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F1AF1" w14:textId="4C68F877" w:rsidR="00865A27" w:rsidRPr="00154EA4" w:rsidRDefault="00940297" w:rsidP="00852F0E">
      <w:pPr>
        <w:pStyle w:val="Covertitle"/>
        <w:rPr>
          <w:sz w:val="64"/>
          <w:szCs w:val="64"/>
        </w:rPr>
      </w:pPr>
      <w:r>
        <w:rPr>
          <w:noProof/>
        </w:rPr>
        <w:drawing>
          <wp:anchor distT="0" distB="0" distL="114300" distR="114300" simplePos="0" relativeHeight="251660297" behindDoc="1" locked="0" layoutInCell="1" allowOverlap="1" wp14:anchorId="7210CBCA" wp14:editId="0B616834">
            <wp:simplePos x="0" y="0"/>
            <wp:positionH relativeFrom="page">
              <wp:posOffset>18415</wp:posOffset>
            </wp:positionH>
            <wp:positionV relativeFrom="page">
              <wp:posOffset>23495</wp:posOffset>
            </wp:positionV>
            <wp:extent cx="7558768" cy="10692000"/>
            <wp:effectExtent l="0" t="0" r="444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sdt>
        <w:sdtPr>
          <w:rPr>
            <w:sz w:val="64"/>
            <w:szCs w:val="64"/>
          </w:rPr>
          <w:id w:val="803730555"/>
          <w:placeholder>
            <w:docPart w:val="635665AC75924558AB9F2796332820A1"/>
          </w:placeholder>
          <w:docPartObj>
            <w:docPartGallery w:val="Cover Pages"/>
            <w:docPartUnique/>
          </w:docPartObj>
        </w:sdtPr>
        <w:sdtEndPr>
          <w:rPr>
            <w:sz w:val="36"/>
            <w:szCs w:val="36"/>
          </w:rPr>
        </w:sdtEndPr>
        <w:sdtContent>
          <w:sdt>
            <w:sdtPr>
              <w:alias w:val="Title"/>
              <w:tag w:val=""/>
              <w:id w:val="-1850469689"/>
              <w:placeholder>
                <w:docPart w:val="635665AC75924558AB9F2796332820A1"/>
              </w:placeholder>
              <w:dataBinding w:prefixMappings="xmlns:ns0='http://purl.org/dc/elements/1.1/' xmlns:ns1='http://schemas.openxmlformats.org/package/2006/metadata/core-properties' " w:xpath="/ns1:coreProperties[1]/ns0:title[1]" w:storeItemID="{6C3C8BC8-F283-45AE-878A-BAB7291924A1}"/>
              <w:text/>
            </w:sdtPr>
            <w:sdtEndPr/>
            <w:sdtContent>
              <w:r w:rsidR="00E3299A" w:rsidRPr="00FD50ED">
                <w:t>National Stillbirth Action and Implementation Plan: Monitoring and Evaluation Framework 2022-</w:t>
              </w:r>
              <w:r w:rsidR="00E3299A">
                <w:t>2030</w:t>
              </w:r>
            </w:sdtContent>
          </w:sdt>
        </w:sdtContent>
      </w:sdt>
    </w:p>
    <w:p w14:paraId="650960FF" w14:textId="2A6C2CBC" w:rsidR="00865A27" w:rsidRPr="00154EA4" w:rsidRDefault="00F21D30" w:rsidP="00BF2397">
      <w:pPr>
        <w:pStyle w:val="CoverPage-Client"/>
        <w:tabs>
          <w:tab w:val="left" w:pos="7938"/>
        </w:tabs>
        <w:spacing w:before="240"/>
        <w:rPr>
          <w:rFonts w:ascii="Arial" w:hAnsi="Arial" w:cs="Arial"/>
          <w:color w:val="FFFFFF" w:themeColor="background1"/>
          <w:sz w:val="44"/>
          <w:szCs w:val="22"/>
        </w:rPr>
      </w:pPr>
      <w:sdt>
        <w:sdtPr>
          <w:rPr>
            <w:rStyle w:val="CoverPage-DateChar"/>
            <w:rFonts w:ascii="Arial" w:hAnsi="Arial" w:cs="Arial"/>
            <w:color w:val="FFFFFF" w:themeColor="background1"/>
            <w:szCs w:val="24"/>
          </w:rPr>
          <w:alias w:val="Publish Date"/>
          <w:tag w:val=""/>
          <w:id w:val="-443608997"/>
          <w:dataBinding w:prefixMappings="xmlns:ns0='http://schemas.microsoft.com/office/2006/coverPageProps' " w:xpath="/ns0:CoverPageProperties[1]/ns0:PublishDate[1]" w:storeItemID="{55AF091B-3C7A-41E3-B477-F2FDAA23CFDA}"/>
          <w:date w:fullDate="2022-09-01T00:00:00Z">
            <w:dateFormat w:val="d MMMM yyyy"/>
            <w:lid w:val="en-AU"/>
            <w:storeMappedDataAs w:val="dateTime"/>
            <w:calendar w:val="gregorian"/>
          </w:date>
        </w:sdtPr>
        <w:sdtEndPr>
          <w:rPr>
            <w:rStyle w:val="DefaultParagraphFont"/>
            <w:sz w:val="36"/>
          </w:rPr>
        </w:sdtEndPr>
        <w:sdtContent>
          <w:r w:rsidR="00A42E65">
            <w:rPr>
              <w:rStyle w:val="CoverPage-DateChar"/>
              <w:rFonts w:ascii="Arial" w:hAnsi="Arial" w:cs="Arial"/>
              <w:color w:val="FFFFFF" w:themeColor="background1"/>
              <w:szCs w:val="24"/>
            </w:rPr>
            <w:t>1</w:t>
          </w:r>
          <w:r w:rsidR="005B2404">
            <w:rPr>
              <w:rStyle w:val="CoverPage-DateChar"/>
              <w:rFonts w:ascii="Arial" w:hAnsi="Arial" w:cs="Arial"/>
              <w:color w:val="FFFFFF" w:themeColor="background1"/>
              <w:szCs w:val="24"/>
            </w:rPr>
            <w:t xml:space="preserve"> </w:t>
          </w:r>
          <w:r w:rsidR="00A42E65">
            <w:rPr>
              <w:rStyle w:val="CoverPage-DateChar"/>
              <w:rFonts w:ascii="Arial" w:hAnsi="Arial" w:cs="Arial"/>
              <w:color w:val="FFFFFF" w:themeColor="background1"/>
              <w:szCs w:val="24"/>
            </w:rPr>
            <w:t>September</w:t>
          </w:r>
          <w:r w:rsidR="005B2404">
            <w:rPr>
              <w:rStyle w:val="CoverPage-DateChar"/>
              <w:rFonts w:ascii="Arial" w:hAnsi="Arial" w:cs="Arial"/>
              <w:color w:val="FFFFFF" w:themeColor="background1"/>
              <w:szCs w:val="24"/>
            </w:rPr>
            <w:t xml:space="preserve"> 2022</w:t>
          </w:r>
        </w:sdtContent>
      </w:sdt>
    </w:p>
    <w:p w14:paraId="73D4CCA2" w14:textId="4DC2E42A" w:rsidR="003E7CF6" w:rsidRPr="00154EA4" w:rsidRDefault="003E7CF6" w:rsidP="00C204DD">
      <w:pPr>
        <w:tabs>
          <w:tab w:val="left" w:pos="7938"/>
        </w:tabs>
        <w:spacing w:after="160" w:line="259" w:lineRule="auto"/>
        <w:rPr>
          <w:sz w:val="22"/>
          <w:szCs w:val="28"/>
        </w:rPr>
      </w:pPr>
    </w:p>
    <w:p w14:paraId="0C43A7B8" w14:textId="77777777" w:rsidR="003E7CF6" w:rsidRDefault="003E7CF6" w:rsidP="00C204DD">
      <w:pPr>
        <w:tabs>
          <w:tab w:val="left" w:pos="7938"/>
        </w:tabs>
        <w:suppressAutoHyphens/>
        <w:spacing w:after="0" w:line="680" w:lineRule="exact"/>
        <w:sectPr w:rsidR="003E7CF6" w:rsidSect="00DD093C">
          <w:headerReference w:type="default" r:id="rId13"/>
          <w:footerReference w:type="default" r:id="rId14"/>
          <w:headerReference w:type="first" r:id="rId15"/>
          <w:pgSz w:w="11907" w:h="16839" w:code="9"/>
          <w:pgMar w:top="11482" w:right="1418" w:bottom="1701" w:left="1559" w:header="737" w:footer="567" w:gutter="0"/>
          <w:pgNumType w:start="0"/>
          <w:cols w:space="720"/>
          <w:titlePg/>
          <w:docGrid w:linePitch="360"/>
        </w:sectPr>
      </w:pPr>
    </w:p>
    <w:p w14:paraId="45BB53D8" w14:textId="0225BCC2" w:rsidR="006C6932" w:rsidRPr="00E547E8" w:rsidRDefault="006C6932" w:rsidP="00E547E8">
      <w:pPr>
        <w:rPr>
          <w:rStyle w:val="Strong"/>
        </w:rPr>
      </w:pPr>
      <w:r w:rsidRPr="00E547E8">
        <w:rPr>
          <w:rStyle w:val="Strong"/>
        </w:rPr>
        <w:lastRenderedPageBreak/>
        <w:t>Disclaimer:</w:t>
      </w:r>
    </w:p>
    <w:p w14:paraId="3E8C5C03" w14:textId="72AA96E1" w:rsidR="00A733A8" w:rsidRPr="00130FFF" w:rsidRDefault="00FD4AB1" w:rsidP="00E547E8">
      <w:r w:rsidRPr="00130FFF">
        <w:rPr>
          <w:noProof/>
        </w:rPr>
        <mc:AlternateContent>
          <mc:Choice Requires="wps">
            <w:drawing>
              <wp:anchor distT="0" distB="0" distL="114300" distR="114300" simplePos="0" relativeHeight="251658240" behindDoc="0" locked="0" layoutInCell="0" allowOverlap="1" wp14:anchorId="0E5F01FF" wp14:editId="093DB2EC">
                <wp:simplePos x="0" y="0"/>
                <wp:positionH relativeFrom="margin">
                  <wp:posOffset>0</wp:posOffset>
                </wp:positionH>
                <wp:positionV relativeFrom="bottomMargin">
                  <wp:posOffset>0</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33743" w14:textId="77777777" w:rsidR="00D05A7B" w:rsidRPr="005A79CA" w:rsidRDefault="00D05A7B" w:rsidP="00FD4AB1">
                            <w:r w:rsidRPr="005A79CA">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F01FF" id="_x0000_t202" coordsize="21600,21600" o:spt="202" path="m,l,21600r21600,l21600,xe">
                <v:stroke joinstyle="miter"/>
                <v:path gradientshapeok="t" o:connecttype="rect"/>
              </v:shapetype>
              <v:shape id="Text Box 820" o:spid="_x0000_s1026" type="#_x0000_t202" alt="&quot;&quot;" style="position:absolute;margin-left:0;margin-top:0;width:135.5pt;height:24.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rkigIAAIoFAAAOAAAAZHJzL2Uyb0RvYy54bWysVE1PGzEQvVfqf7B8L7sJH6URG5SCqCoh&#10;QIWKs+O1yapej2s7yaa/vs/eTUIpF6pedseeN288n2fnXWvYSvnQkK346KDkTFlJdWOfKv794erD&#10;KWchClsLQ1ZVfKMCP5++f3e2dhM1pgWZWnkGEhsma1fxRYxuUhRBLlQrwgE5ZaHU5FsRcfRPRe3F&#10;GuytKcZleVKsydfOk1Qh4PayV/Jp5tdayXirdVCRmYrjbTF/ff7O07eYnonJkxdu0cjhGeIfXtGK&#10;xsLpjupSRMGWvvmLqm2kp0A6HkhqC9K6kSrHgGhG5Yto7hfCqRwLkhPcLk3h/9HKm9WdZ01d8dMx&#10;8mNFiyI9qC6yz9SxdIcMrV2YAHjvAI0dFKj09j7gMgXead+mP0Ji0INrs8tvopPJ6OO4PC2hktAd&#10;jg5RwERT7K2dD/GLopYloeIe9ctpFavrEHvoFpKcBTJNfdUYkw+pZ9SF8WwlUG0T8xtB/gfKWLau&#10;+MnhcZmJLSXzntnYRKNy1wzuUuR9hFmKG6MSxthvSiNrOdBXfAspld35z+iE0nD1FsMBv3/VW4z7&#10;OGCRPZONO+O2seRz9HnM9imrf2xTpns8avMs7iTGbt4NHTGneoOG8NQPVXDyqkHVrkWId8JjilBo&#10;bIZ4i482hKzTIHG2IP/rtfuER3NDy9kaU1nx8HMpvOLMfLVoe1DGLBwdo5c48/nwaXR0hMP8ucYu&#10;2wtCG4ywf5zMYsJHsxW1p/YRy2OWPEIlrITfiseteBH7PYHlI9VslkEYWifitb13MlGn1KZ+fOge&#10;hXdD00a0+w1tZ1dMXvRuj02WlmbLSLrJjZ2S22d0SDoGPo/GsJzSRnl+zqj9Cp3+BgAA//8DAFBL&#10;AwQUAAYACAAAACEAowRA79gAAAAEAQAADwAAAGRycy9kb3ducmV2LnhtbEyPwU7DMBBE70j8g7VI&#10;3KjTgoCGOFVFBT1TuHDbxosTEa9DbLeBr2fhApeRRrOaeVutJt+rA42xC2xgPitAETfBduwMvDw/&#10;XNyCignZYh+YDHxShFV9elJhacORn+iwS05JCccSDbQpDaXWsWnJY5yFgViytzB6TGJHp+2IRyn3&#10;vV4UxbX22LEstDjQfUvN+y57A6/LlJvgHre+wI+1w81X3uaNMedn0/oOVKIp/R3DD76gQy1M+5DZ&#10;RtUbkEfSr0q2uJmL3Ru4Wl6Criv9H77+BgAA//8DAFBLAQItABQABgAIAAAAIQC2gziS/gAAAOEB&#10;AAATAAAAAAAAAAAAAAAAAAAAAABbQ29udGVudF9UeXBlc10ueG1sUEsBAi0AFAAGAAgAAAAhADj9&#10;If/WAAAAlAEAAAsAAAAAAAAAAAAAAAAALwEAAF9yZWxzLy5yZWxzUEsBAi0AFAAGAAgAAAAhACah&#10;SuSKAgAAigUAAA4AAAAAAAAAAAAAAAAALgIAAGRycy9lMm9Eb2MueG1sUEsBAi0AFAAGAAgAAAAh&#10;AKMEQO/YAAAABAEAAA8AAAAAAAAAAAAAAAAA5AQAAGRycy9kb3ducmV2LnhtbFBLBQYAAAAABAAE&#10;APMAAADpBQAAAAA=&#10;" o:allowincell="f" fillcolor="white [3201]" stroked="f" strokeweight=".5pt">
                <v:textbox inset="0">
                  <w:txbxContent>
                    <w:p w14:paraId="5D333743" w14:textId="77777777" w:rsidR="00D05A7B" w:rsidRPr="005A79CA" w:rsidRDefault="00D05A7B" w:rsidP="00FD4AB1">
                      <w:r w:rsidRPr="005A79CA">
                        <w:t>© Nous Group</w:t>
                      </w:r>
                    </w:p>
                  </w:txbxContent>
                </v:textbox>
                <w10:wrap anchorx="margin" anchory="margin"/>
              </v:shape>
            </w:pict>
          </mc:Fallback>
        </mc:AlternateContent>
      </w:r>
      <w:r w:rsidR="00A733A8" w:rsidRPr="00130FFF">
        <w:t>Nous Group (</w:t>
      </w:r>
      <w:r w:rsidR="00A733A8" w:rsidRPr="00130FFF">
        <w:rPr>
          <w:b/>
        </w:rPr>
        <w:t>Nous</w:t>
      </w:r>
      <w:r w:rsidR="00A733A8" w:rsidRPr="00130FFF">
        <w:t xml:space="preserve">) has prepared this report for the benefit of </w:t>
      </w:r>
      <w:r w:rsidR="00B40F1A">
        <w:t xml:space="preserve">the </w:t>
      </w:r>
      <w:r w:rsidR="003B7D37">
        <w:t>Australian Department of Health</w:t>
      </w:r>
      <w:r w:rsidR="00A42E65">
        <w:t xml:space="preserve"> and Aged Care</w:t>
      </w:r>
      <w:r w:rsidR="00A733A8" w:rsidRPr="00130FFF">
        <w:t xml:space="preserve"> (the </w:t>
      </w:r>
      <w:r w:rsidR="00A733A8" w:rsidRPr="00130FFF">
        <w:rPr>
          <w:b/>
        </w:rPr>
        <w:t>Client</w:t>
      </w:r>
      <w:r w:rsidR="00A733A8" w:rsidRPr="00130FFF">
        <w:t>).</w:t>
      </w:r>
    </w:p>
    <w:p w14:paraId="29B2B110" w14:textId="77777777" w:rsidR="000970F6" w:rsidRPr="000970F6" w:rsidRDefault="000970F6" w:rsidP="00E547E8">
      <w:r w:rsidRPr="000970F6">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473F81B6" w14:textId="77777777" w:rsidR="00FD4AB1" w:rsidRPr="00130FFF" w:rsidRDefault="000970F6" w:rsidP="00E547E8">
      <w:pPr>
        <w:sectPr w:rsidR="00FD4AB1" w:rsidRPr="00130FFF" w:rsidSect="00E547E8">
          <w:headerReference w:type="default" r:id="rId16"/>
          <w:footerReference w:type="default" r:id="rId17"/>
          <w:footerReference w:type="first" r:id="rId18"/>
          <w:pgSz w:w="11907" w:h="16839" w:code="9"/>
          <w:pgMar w:top="10915" w:right="1418" w:bottom="1701" w:left="1418" w:header="737" w:footer="720" w:gutter="0"/>
          <w:pgNumType w:fmt="lowerRoman" w:start="1"/>
          <w:cols w:space="720"/>
          <w:titlePg/>
          <w:docGrid w:linePitch="360"/>
        </w:sectPr>
      </w:pPr>
      <w:r w:rsidRPr="000970F6">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6A600738" w14:textId="78921CA5" w:rsidR="00CF7BA0" w:rsidRPr="0082737B" w:rsidRDefault="00CF7BA0" w:rsidP="00C204DD">
      <w:pPr>
        <w:pStyle w:val="ContentsHeading"/>
        <w:tabs>
          <w:tab w:val="left" w:pos="7938"/>
        </w:tabs>
        <w:rPr>
          <w:rFonts w:ascii="Arial" w:hAnsi="Arial" w:cs="Arial"/>
          <w:color w:val="1E1545" w:themeColor="text1"/>
          <w:sz w:val="48"/>
          <w:szCs w:val="48"/>
        </w:rPr>
      </w:pPr>
      <w:r w:rsidRPr="0082737B">
        <w:rPr>
          <w:rFonts w:ascii="Arial" w:hAnsi="Arial" w:cs="Arial"/>
          <w:color w:val="1E1545" w:themeColor="text1"/>
          <w:sz w:val="48"/>
          <w:szCs w:val="48"/>
        </w:rPr>
        <w:lastRenderedPageBreak/>
        <w:t>Contents</w:t>
      </w:r>
    </w:p>
    <w:p w14:paraId="41847AC3" w14:textId="21730861" w:rsidR="00F21D30" w:rsidRDefault="007466D0">
      <w:pPr>
        <w:pStyle w:val="TOC1"/>
        <w:rPr>
          <w:rFonts w:asciiTheme="minorHAnsi" w:eastAsiaTheme="minorEastAsia" w:hAnsiTheme="minorHAnsi"/>
          <w:sz w:val="22"/>
          <w:lang w:val="en-AU" w:eastAsia="en-AU"/>
        </w:rPr>
      </w:pPr>
      <w:r w:rsidRPr="00F35E46">
        <w:rPr>
          <w:rFonts w:ascii="Arial" w:hAnsi="Arial" w:cs="Arial"/>
          <w:lang w:eastAsia="en-AU"/>
        </w:rPr>
        <w:fldChar w:fldCharType="begin"/>
      </w:r>
      <w:r>
        <w:rPr>
          <w:lang w:eastAsia="en-AU"/>
        </w:rPr>
        <w:instrText xml:space="preserve"> TOC \o "1-1" \h \z \u </w:instrText>
      </w:r>
      <w:r w:rsidRPr="00F35E46">
        <w:rPr>
          <w:rFonts w:ascii="Arial" w:hAnsi="Arial" w:cs="Arial"/>
          <w:lang w:eastAsia="en-AU"/>
        </w:rPr>
        <w:fldChar w:fldCharType="separate"/>
      </w:r>
      <w:hyperlink w:anchor="_Toc121303894" w:history="1">
        <w:r w:rsidR="00F21D30" w:rsidRPr="006F7A52">
          <w:rPr>
            <w:rStyle w:val="Hyperlink"/>
          </w:rPr>
          <w:t>1</w:t>
        </w:r>
        <w:r w:rsidR="00F21D30">
          <w:rPr>
            <w:rFonts w:asciiTheme="minorHAnsi" w:eastAsiaTheme="minorEastAsia" w:hAnsiTheme="minorHAnsi"/>
            <w:sz w:val="22"/>
            <w:lang w:val="en-AU" w:eastAsia="en-AU"/>
          </w:rPr>
          <w:tab/>
        </w:r>
        <w:r w:rsidR="00F21D30" w:rsidRPr="006F7A52">
          <w:rPr>
            <w:rStyle w:val="Hyperlink"/>
          </w:rPr>
          <w:t>Introduction</w:t>
        </w:r>
        <w:r w:rsidR="00F21D30">
          <w:rPr>
            <w:webHidden/>
          </w:rPr>
          <w:tab/>
        </w:r>
        <w:r w:rsidR="00F21D30">
          <w:rPr>
            <w:webHidden/>
          </w:rPr>
          <w:fldChar w:fldCharType="begin"/>
        </w:r>
        <w:r w:rsidR="00F21D30">
          <w:rPr>
            <w:webHidden/>
          </w:rPr>
          <w:instrText xml:space="preserve"> PAGEREF _Toc121303894 \h </w:instrText>
        </w:r>
        <w:r w:rsidR="00F21D30">
          <w:rPr>
            <w:webHidden/>
          </w:rPr>
        </w:r>
        <w:r w:rsidR="00F21D30">
          <w:rPr>
            <w:webHidden/>
          </w:rPr>
          <w:fldChar w:fldCharType="separate"/>
        </w:r>
        <w:r w:rsidR="00F21D30">
          <w:rPr>
            <w:webHidden/>
          </w:rPr>
          <w:t>1</w:t>
        </w:r>
        <w:r w:rsidR="00F21D30">
          <w:rPr>
            <w:webHidden/>
          </w:rPr>
          <w:fldChar w:fldCharType="end"/>
        </w:r>
      </w:hyperlink>
    </w:p>
    <w:p w14:paraId="12667491" w14:textId="664860A2" w:rsidR="00F21D30" w:rsidRDefault="00F21D30">
      <w:pPr>
        <w:pStyle w:val="TOC1"/>
        <w:rPr>
          <w:rFonts w:asciiTheme="minorHAnsi" w:eastAsiaTheme="minorEastAsia" w:hAnsiTheme="minorHAnsi"/>
          <w:sz w:val="22"/>
          <w:lang w:val="en-AU" w:eastAsia="en-AU"/>
        </w:rPr>
      </w:pPr>
      <w:hyperlink w:anchor="_Toc121303895" w:history="1">
        <w:r w:rsidRPr="006F7A52">
          <w:rPr>
            <w:rStyle w:val="Hyperlink"/>
          </w:rPr>
          <w:t>2</w:t>
        </w:r>
        <w:r>
          <w:rPr>
            <w:rFonts w:asciiTheme="minorHAnsi" w:eastAsiaTheme="minorEastAsia" w:hAnsiTheme="minorHAnsi"/>
            <w:sz w:val="22"/>
            <w:lang w:val="en-AU" w:eastAsia="en-AU"/>
          </w:rPr>
          <w:tab/>
        </w:r>
        <w:r w:rsidRPr="006F7A52">
          <w:rPr>
            <w:rStyle w:val="Hyperlink"/>
          </w:rPr>
          <w:t>Monitoring and evaluation approach</w:t>
        </w:r>
        <w:r>
          <w:rPr>
            <w:webHidden/>
          </w:rPr>
          <w:tab/>
        </w:r>
        <w:r>
          <w:rPr>
            <w:webHidden/>
          </w:rPr>
          <w:fldChar w:fldCharType="begin"/>
        </w:r>
        <w:r>
          <w:rPr>
            <w:webHidden/>
          </w:rPr>
          <w:instrText xml:space="preserve"> PAGEREF _Toc121303895 \h </w:instrText>
        </w:r>
        <w:r>
          <w:rPr>
            <w:webHidden/>
          </w:rPr>
        </w:r>
        <w:r>
          <w:rPr>
            <w:webHidden/>
          </w:rPr>
          <w:fldChar w:fldCharType="separate"/>
        </w:r>
        <w:r>
          <w:rPr>
            <w:webHidden/>
          </w:rPr>
          <w:t>9</w:t>
        </w:r>
        <w:r>
          <w:rPr>
            <w:webHidden/>
          </w:rPr>
          <w:fldChar w:fldCharType="end"/>
        </w:r>
      </w:hyperlink>
    </w:p>
    <w:p w14:paraId="7F929D76" w14:textId="6E8372D2" w:rsidR="00F21D30" w:rsidRDefault="00F21D30">
      <w:pPr>
        <w:pStyle w:val="TOC1"/>
        <w:rPr>
          <w:rFonts w:asciiTheme="minorHAnsi" w:eastAsiaTheme="minorEastAsia" w:hAnsiTheme="minorHAnsi"/>
          <w:sz w:val="22"/>
          <w:lang w:val="en-AU" w:eastAsia="en-AU"/>
        </w:rPr>
      </w:pPr>
      <w:hyperlink w:anchor="_Toc121303896" w:history="1">
        <w:r w:rsidRPr="006F7A52">
          <w:rPr>
            <w:rStyle w:val="Hyperlink"/>
          </w:rPr>
          <w:t>3</w:t>
        </w:r>
        <w:r>
          <w:rPr>
            <w:rFonts w:asciiTheme="minorHAnsi" w:eastAsiaTheme="minorEastAsia" w:hAnsiTheme="minorHAnsi"/>
            <w:sz w:val="22"/>
            <w:lang w:val="en-AU" w:eastAsia="en-AU"/>
          </w:rPr>
          <w:tab/>
        </w:r>
        <w:r w:rsidRPr="006F7A52">
          <w:rPr>
            <w:rStyle w:val="Hyperlink"/>
          </w:rPr>
          <w:t>Reporting</w:t>
        </w:r>
        <w:r>
          <w:rPr>
            <w:webHidden/>
          </w:rPr>
          <w:tab/>
        </w:r>
        <w:r>
          <w:rPr>
            <w:webHidden/>
          </w:rPr>
          <w:fldChar w:fldCharType="begin"/>
        </w:r>
        <w:r>
          <w:rPr>
            <w:webHidden/>
          </w:rPr>
          <w:instrText xml:space="preserve"> PAGEREF _Toc121303896 \h </w:instrText>
        </w:r>
        <w:r>
          <w:rPr>
            <w:webHidden/>
          </w:rPr>
        </w:r>
        <w:r>
          <w:rPr>
            <w:webHidden/>
          </w:rPr>
          <w:fldChar w:fldCharType="separate"/>
        </w:r>
        <w:r>
          <w:rPr>
            <w:webHidden/>
          </w:rPr>
          <w:t>28</w:t>
        </w:r>
        <w:r>
          <w:rPr>
            <w:webHidden/>
          </w:rPr>
          <w:fldChar w:fldCharType="end"/>
        </w:r>
      </w:hyperlink>
    </w:p>
    <w:p w14:paraId="36AFC050" w14:textId="01BCD74F" w:rsidR="00F21D30" w:rsidRDefault="00F21D30">
      <w:pPr>
        <w:pStyle w:val="TOC1"/>
        <w:rPr>
          <w:rFonts w:asciiTheme="minorHAnsi" w:eastAsiaTheme="minorEastAsia" w:hAnsiTheme="minorHAnsi"/>
          <w:sz w:val="22"/>
          <w:lang w:val="en-AU" w:eastAsia="en-AU"/>
        </w:rPr>
      </w:pPr>
      <w:hyperlink w:anchor="_Toc121303897" w:history="1">
        <w:r w:rsidRPr="006F7A52">
          <w:rPr>
            <w:rStyle w:val="Hyperlink"/>
          </w:rPr>
          <w:t>4</w:t>
        </w:r>
        <w:r>
          <w:rPr>
            <w:rFonts w:asciiTheme="minorHAnsi" w:eastAsiaTheme="minorEastAsia" w:hAnsiTheme="minorHAnsi"/>
            <w:sz w:val="22"/>
            <w:lang w:val="en-AU" w:eastAsia="en-AU"/>
          </w:rPr>
          <w:tab/>
        </w:r>
        <w:r w:rsidRPr="006F7A52">
          <w:rPr>
            <w:rStyle w:val="Hyperlink"/>
          </w:rPr>
          <w:t>Governance arrangements</w:t>
        </w:r>
        <w:r>
          <w:rPr>
            <w:webHidden/>
          </w:rPr>
          <w:tab/>
        </w:r>
        <w:r>
          <w:rPr>
            <w:webHidden/>
          </w:rPr>
          <w:fldChar w:fldCharType="begin"/>
        </w:r>
        <w:r>
          <w:rPr>
            <w:webHidden/>
          </w:rPr>
          <w:instrText xml:space="preserve"> PAGEREF _Toc121303897 \h </w:instrText>
        </w:r>
        <w:r>
          <w:rPr>
            <w:webHidden/>
          </w:rPr>
        </w:r>
        <w:r>
          <w:rPr>
            <w:webHidden/>
          </w:rPr>
          <w:fldChar w:fldCharType="separate"/>
        </w:r>
        <w:r>
          <w:rPr>
            <w:webHidden/>
          </w:rPr>
          <w:t>30</w:t>
        </w:r>
        <w:r>
          <w:rPr>
            <w:webHidden/>
          </w:rPr>
          <w:fldChar w:fldCharType="end"/>
        </w:r>
      </w:hyperlink>
    </w:p>
    <w:p w14:paraId="0F718E10" w14:textId="22C41AD0" w:rsidR="00F21D30" w:rsidRDefault="00F21D30">
      <w:pPr>
        <w:pStyle w:val="TOC1"/>
        <w:rPr>
          <w:rFonts w:asciiTheme="minorHAnsi" w:eastAsiaTheme="minorEastAsia" w:hAnsiTheme="minorHAnsi"/>
          <w:sz w:val="22"/>
          <w:lang w:val="en-AU" w:eastAsia="en-AU"/>
        </w:rPr>
      </w:pPr>
      <w:hyperlink w:anchor="_Toc121303898" w:history="1">
        <w:r w:rsidRPr="006F7A52">
          <w:rPr>
            <w:rStyle w:val="Hyperlink"/>
          </w:rPr>
          <w:t>5</w:t>
        </w:r>
        <w:r>
          <w:rPr>
            <w:rFonts w:asciiTheme="minorHAnsi" w:eastAsiaTheme="minorEastAsia" w:hAnsiTheme="minorHAnsi"/>
            <w:sz w:val="22"/>
            <w:lang w:val="en-AU" w:eastAsia="en-AU"/>
          </w:rPr>
          <w:tab/>
        </w:r>
        <w:r w:rsidRPr="006F7A52">
          <w:rPr>
            <w:rStyle w:val="Hyperlink"/>
          </w:rPr>
          <w:t>Engagement approach</w:t>
        </w:r>
        <w:r>
          <w:rPr>
            <w:webHidden/>
          </w:rPr>
          <w:tab/>
        </w:r>
        <w:r>
          <w:rPr>
            <w:webHidden/>
          </w:rPr>
          <w:fldChar w:fldCharType="begin"/>
        </w:r>
        <w:r>
          <w:rPr>
            <w:webHidden/>
          </w:rPr>
          <w:instrText xml:space="preserve"> PAGEREF _Toc121303898 \h </w:instrText>
        </w:r>
        <w:r>
          <w:rPr>
            <w:webHidden/>
          </w:rPr>
        </w:r>
        <w:r>
          <w:rPr>
            <w:webHidden/>
          </w:rPr>
          <w:fldChar w:fldCharType="separate"/>
        </w:r>
        <w:r>
          <w:rPr>
            <w:webHidden/>
          </w:rPr>
          <w:t>32</w:t>
        </w:r>
        <w:r>
          <w:rPr>
            <w:webHidden/>
          </w:rPr>
          <w:fldChar w:fldCharType="end"/>
        </w:r>
      </w:hyperlink>
    </w:p>
    <w:p w14:paraId="1263BCDA" w14:textId="579008BA" w:rsidR="00F21D30" w:rsidRDefault="00F21D30">
      <w:pPr>
        <w:pStyle w:val="TOC1"/>
        <w:rPr>
          <w:rFonts w:asciiTheme="minorHAnsi" w:eastAsiaTheme="minorEastAsia" w:hAnsiTheme="minorHAnsi"/>
          <w:sz w:val="22"/>
          <w:lang w:val="en-AU" w:eastAsia="en-AU"/>
        </w:rPr>
      </w:pPr>
      <w:hyperlink w:anchor="_Toc121303899" w:history="1">
        <w:r w:rsidRPr="006F7A52">
          <w:rPr>
            <w:rStyle w:val="Hyperlink"/>
          </w:rPr>
          <w:t>6</w:t>
        </w:r>
        <w:r>
          <w:rPr>
            <w:rFonts w:asciiTheme="minorHAnsi" w:eastAsiaTheme="minorEastAsia" w:hAnsiTheme="minorHAnsi"/>
            <w:sz w:val="22"/>
            <w:lang w:val="en-AU" w:eastAsia="en-AU"/>
          </w:rPr>
          <w:tab/>
        </w:r>
        <w:r w:rsidRPr="006F7A52">
          <w:rPr>
            <w:rStyle w:val="Hyperlink"/>
          </w:rPr>
          <w:t>Monitoring and evaluation challenges and opportunities</w:t>
        </w:r>
        <w:r>
          <w:rPr>
            <w:webHidden/>
          </w:rPr>
          <w:tab/>
        </w:r>
        <w:r>
          <w:rPr>
            <w:webHidden/>
          </w:rPr>
          <w:fldChar w:fldCharType="begin"/>
        </w:r>
        <w:r>
          <w:rPr>
            <w:webHidden/>
          </w:rPr>
          <w:instrText xml:space="preserve"> PAGEREF _Toc121303899 \h </w:instrText>
        </w:r>
        <w:r>
          <w:rPr>
            <w:webHidden/>
          </w:rPr>
        </w:r>
        <w:r>
          <w:rPr>
            <w:webHidden/>
          </w:rPr>
          <w:fldChar w:fldCharType="separate"/>
        </w:r>
        <w:r>
          <w:rPr>
            <w:webHidden/>
          </w:rPr>
          <w:t>36</w:t>
        </w:r>
        <w:r>
          <w:rPr>
            <w:webHidden/>
          </w:rPr>
          <w:fldChar w:fldCharType="end"/>
        </w:r>
      </w:hyperlink>
    </w:p>
    <w:p w14:paraId="1750C426" w14:textId="3E901B45" w:rsidR="00F21D30" w:rsidRDefault="00F21D30">
      <w:pPr>
        <w:pStyle w:val="TOC1"/>
        <w:rPr>
          <w:rFonts w:asciiTheme="minorHAnsi" w:eastAsiaTheme="minorEastAsia" w:hAnsiTheme="minorHAnsi"/>
          <w:sz w:val="22"/>
          <w:lang w:val="en-AU" w:eastAsia="en-AU"/>
        </w:rPr>
      </w:pPr>
      <w:hyperlink w:anchor="_Toc121303900" w:history="1">
        <w:r w:rsidRPr="006F7A52">
          <w:rPr>
            <w:rStyle w:val="Hyperlink"/>
          </w:rPr>
          <w:t>Glossary</w:t>
        </w:r>
        <w:r>
          <w:rPr>
            <w:webHidden/>
          </w:rPr>
          <w:tab/>
        </w:r>
        <w:r>
          <w:rPr>
            <w:webHidden/>
          </w:rPr>
          <w:tab/>
        </w:r>
        <w:r>
          <w:rPr>
            <w:webHidden/>
          </w:rPr>
          <w:fldChar w:fldCharType="begin"/>
        </w:r>
        <w:r>
          <w:rPr>
            <w:webHidden/>
          </w:rPr>
          <w:instrText xml:space="preserve"> PAGEREF _Toc121303900 \h </w:instrText>
        </w:r>
        <w:r>
          <w:rPr>
            <w:webHidden/>
          </w:rPr>
        </w:r>
        <w:r>
          <w:rPr>
            <w:webHidden/>
          </w:rPr>
          <w:fldChar w:fldCharType="separate"/>
        </w:r>
        <w:r>
          <w:rPr>
            <w:webHidden/>
          </w:rPr>
          <w:t>39</w:t>
        </w:r>
        <w:r>
          <w:rPr>
            <w:webHidden/>
          </w:rPr>
          <w:fldChar w:fldCharType="end"/>
        </w:r>
      </w:hyperlink>
    </w:p>
    <w:p w14:paraId="1081AE30" w14:textId="1A0AD1BC" w:rsidR="00F21D30" w:rsidRDefault="00F21D30">
      <w:pPr>
        <w:pStyle w:val="TOC1"/>
        <w:rPr>
          <w:rFonts w:asciiTheme="minorHAnsi" w:eastAsiaTheme="minorEastAsia" w:hAnsiTheme="minorHAnsi"/>
          <w:sz w:val="22"/>
          <w:lang w:val="en-AU" w:eastAsia="en-AU"/>
        </w:rPr>
      </w:pPr>
      <w:hyperlink w:anchor="_Toc121303901" w:history="1">
        <w:r w:rsidRPr="006F7A52">
          <w:rPr>
            <w:rStyle w:val="Hyperlink"/>
          </w:rPr>
          <w:t>Appendix A</w:t>
        </w:r>
        <w:r>
          <w:rPr>
            <w:rFonts w:asciiTheme="minorHAnsi" w:eastAsiaTheme="minorEastAsia" w:hAnsiTheme="minorHAnsi"/>
            <w:sz w:val="22"/>
            <w:lang w:val="en-AU" w:eastAsia="en-AU"/>
          </w:rPr>
          <w:tab/>
        </w:r>
        <w:r w:rsidRPr="006F7A52">
          <w:rPr>
            <w:rStyle w:val="Hyperlink"/>
          </w:rPr>
          <w:t>Stakeholders involved in development of this document</w:t>
        </w:r>
        <w:r>
          <w:rPr>
            <w:webHidden/>
          </w:rPr>
          <w:tab/>
        </w:r>
        <w:r>
          <w:rPr>
            <w:webHidden/>
          </w:rPr>
          <w:fldChar w:fldCharType="begin"/>
        </w:r>
        <w:r>
          <w:rPr>
            <w:webHidden/>
          </w:rPr>
          <w:instrText xml:space="preserve"> PAGEREF _Toc121303901 \h </w:instrText>
        </w:r>
        <w:r>
          <w:rPr>
            <w:webHidden/>
          </w:rPr>
        </w:r>
        <w:r>
          <w:rPr>
            <w:webHidden/>
          </w:rPr>
          <w:fldChar w:fldCharType="separate"/>
        </w:r>
        <w:r>
          <w:rPr>
            <w:webHidden/>
          </w:rPr>
          <w:t>46</w:t>
        </w:r>
        <w:r>
          <w:rPr>
            <w:webHidden/>
          </w:rPr>
          <w:fldChar w:fldCharType="end"/>
        </w:r>
      </w:hyperlink>
    </w:p>
    <w:p w14:paraId="5A042CBF" w14:textId="248A1B1F" w:rsidR="00F21D30" w:rsidRDefault="00F21D30">
      <w:pPr>
        <w:pStyle w:val="TOC1"/>
        <w:rPr>
          <w:rFonts w:asciiTheme="minorHAnsi" w:eastAsiaTheme="minorEastAsia" w:hAnsiTheme="minorHAnsi"/>
          <w:sz w:val="22"/>
          <w:lang w:val="en-AU" w:eastAsia="en-AU"/>
        </w:rPr>
      </w:pPr>
      <w:hyperlink w:anchor="_Toc121303902" w:history="1">
        <w:r w:rsidRPr="006F7A52">
          <w:rPr>
            <w:rStyle w:val="Hyperlink"/>
          </w:rPr>
          <w:t>Appendix B</w:t>
        </w:r>
        <w:r>
          <w:rPr>
            <w:rFonts w:asciiTheme="minorHAnsi" w:eastAsiaTheme="minorEastAsia" w:hAnsiTheme="minorHAnsi"/>
            <w:sz w:val="22"/>
            <w:lang w:val="en-AU" w:eastAsia="en-AU"/>
          </w:rPr>
          <w:tab/>
        </w:r>
        <w:r w:rsidRPr="006F7A52">
          <w:rPr>
            <w:rStyle w:val="Hyperlink"/>
          </w:rPr>
          <w:t>Annual Monitoring Report Card</w:t>
        </w:r>
        <w:r>
          <w:rPr>
            <w:webHidden/>
          </w:rPr>
          <w:tab/>
        </w:r>
        <w:r>
          <w:rPr>
            <w:webHidden/>
          </w:rPr>
          <w:fldChar w:fldCharType="begin"/>
        </w:r>
        <w:r>
          <w:rPr>
            <w:webHidden/>
          </w:rPr>
          <w:instrText xml:space="preserve"> PAGEREF _Toc121303902 \h </w:instrText>
        </w:r>
        <w:r>
          <w:rPr>
            <w:webHidden/>
          </w:rPr>
        </w:r>
        <w:r>
          <w:rPr>
            <w:webHidden/>
          </w:rPr>
          <w:fldChar w:fldCharType="separate"/>
        </w:r>
        <w:r>
          <w:rPr>
            <w:webHidden/>
          </w:rPr>
          <w:t>47</w:t>
        </w:r>
        <w:r>
          <w:rPr>
            <w:webHidden/>
          </w:rPr>
          <w:fldChar w:fldCharType="end"/>
        </w:r>
      </w:hyperlink>
    </w:p>
    <w:p w14:paraId="6D3575E6" w14:textId="449D35AD" w:rsidR="00F21D30" w:rsidRDefault="00F21D30">
      <w:pPr>
        <w:pStyle w:val="TOC1"/>
        <w:rPr>
          <w:rFonts w:asciiTheme="minorHAnsi" w:eastAsiaTheme="minorEastAsia" w:hAnsiTheme="minorHAnsi"/>
          <w:sz w:val="22"/>
          <w:lang w:val="en-AU" w:eastAsia="en-AU"/>
        </w:rPr>
      </w:pPr>
      <w:hyperlink w:anchor="_Toc121303903" w:history="1">
        <w:r w:rsidRPr="006F7A52">
          <w:rPr>
            <w:rStyle w:val="Hyperlink"/>
          </w:rPr>
          <w:t>Appendix C</w:t>
        </w:r>
        <w:r>
          <w:rPr>
            <w:rFonts w:asciiTheme="minorHAnsi" w:eastAsiaTheme="minorEastAsia" w:hAnsiTheme="minorHAnsi"/>
            <w:sz w:val="22"/>
            <w:lang w:val="en-AU" w:eastAsia="en-AU"/>
          </w:rPr>
          <w:tab/>
        </w:r>
        <w:r w:rsidRPr="006F7A52">
          <w:rPr>
            <w:rStyle w:val="Hyperlink"/>
          </w:rPr>
          <w:t>Detail on national evaluation indicators</w:t>
        </w:r>
        <w:r>
          <w:rPr>
            <w:webHidden/>
          </w:rPr>
          <w:tab/>
        </w:r>
        <w:r>
          <w:rPr>
            <w:webHidden/>
          </w:rPr>
          <w:fldChar w:fldCharType="begin"/>
        </w:r>
        <w:r>
          <w:rPr>
            <w:webHidden/>
          </w:rPr>
          <w:instrText xml:space="preserve"> PAGEREF _Toc121303903 \h </w:instrText>
        </w:r>
        <w:r>
          <w:rPr>
            <w:webHidden/>
          </w:rPr>
        </w:r>
        <w:r>
          <w:rPr>
            <w:webHidden/>
          </w:rPr>
          <w:fldChar w:fldCharType="separate"/>
        </w:r>
        <w:r>
          <w:rPr>
            <w:webHidden/>
          </w:rPr>
          <w:t>57</w:t>
        </w:r>
        <w:r>
          <w:rPr>
            <w:webHidden/>
          </w:rPr>
          <w:fldChar w:fldCharType="end"/>
        </w:r>
      </w:hyperlink>
    </w:p>
    <w:p w14:paraId="36F8E294" w14:textId="745F3884" w:rsidR="00F21D30" w:rsidRDefault="00F21D30">
      <w:pPr>
        <w:pStyle w:val="TOC1"/>
        <w:rPr>
          <w:rFonts w:asciiTheme="minorHAnsi" w:eastAsiaTheme="minorEastAsia" w:hAnsiTheme="minorHAnsi"/>
          <w:sz w:val="22"/>
          <w:lang w:val="en-AU" w:eastAsia="en-AU"/>
        </w:rPr>
      </w:pPr>
      <w:hyperlink w:anchor="_Toc121303904" w:history="1">
        <w:r w:rsidRPr="006F7A52">
          <w:rPr>
            <w:rStyle w:val="Hyperlink"/>
          </w:rPr>
          <w:t>Appendix D</w:t>
        </w:r>
        <w:r>
          <w:rPr>
            <w:rFonts w:asciiTheme="minorHAnsi" w:eastAsiaTheme="minorEastAsia" w:hAnsiTheme="minorHAnsi"/>
            <w:sz w:val="22"/>
            <w:lang w:val="en-AU" w:eastAsia="en-AU"/>
          </w:rPr>
          <w:tab/>
        </w:r>
        <w:r w:rsidRPr="006F7A52">
          <w:rPr>
            <w:rStyle w:val="Hyperlink"/>
          </w:rPr>
          <w:t>National evaluation indicators mapped to outcomes</w:t>
        </w:r>
        <w:r>
          <w:rPr>
            <w:webHidden/>
          </w:rPr>
          <w:tab/>
        </w:r>
        <w:r>
          <w:rPr>
            <w:webHidden/>
          </w:rPr>
          <w:fldChar w:fldCharType="begin"/>
        </w:r>
        <w:r>
          <w:rPr>
            <w:webHidden/>
          </w:rPr>
          <w:instrText xml:space="preserve"> PAGEREF _Toc121303904 \h </w:instrText>
        </w:r>
        <w:r>
          <w:rPr>
            <w:webHidden/>
          </w:rPr>
        </w:r>
        <w:r>
          <w:rPr>
            <w:webHidden/>
          </w:rPr>
          <w:fldChar w:fldCharType="separate"/>
        </w:r>
        <w:r>
          <w:rPr>
            <w:webHidden/>
          </w:rPr>
          <w:t>72</w:t>
        </w:r>
        <w:r>
          <w:rPr>
            <w:webHidden/>
          </w:rPr>
          <w:fldChar w:fldCharType="end"/>
        </w:r>
      </w:hyperlink>
    </w:p>
    <w:p w14:paraId="06253E4D" w14:textId="05192282" w:rsidR="00CD51B0" w:rsidRDefault="007466D0" w:rsidP="00DE56B2">
      <w:pPr>
        <w:rPr>
          <w:rFonts w:ascii="Arial" w:hAnsi="Arial"/>
          <w:b/>
          <w:bCs/>
          <w:color w:val="3F4A75"/>
          <w:sz w:val="17"/>
          <w:szCs w:val="18"/>
        </w:rPr>
      </w:pPr>
      <w:r w:rsidRPr="00F35E46">
        <w:rPr>
          <w:rFonts w:ascii="Arial" w:hAnsi="Arial" w:cs="Arial"/>
          <w:lang w:val="en-US"/>
        </w:rPr>
        <w:fldChar w:fldCharType="end"/>
      </w:r>
      <w:r w:rsidR="009F62FD" w:rsidRPr="00F35E46">
        <w:rPr>
          <w:rFonts w:ascii="Arial" w:hAnsi="Arial" w:cs="Arial"/>
          <w:b/>
          <w:lang w:eastAsia="en-AU"/>
        </w:rPr>
        <w:t xml:space="preserve"> </w:t>
      </w:r>
      <w:bookmarkStart w:id="0" w:name="_Ref88035338"/>
      <w:r w:rsidR="00CD51B0">
        <w:br w:type="page"/>
      </w:r>
    </w:p>
    <w:p w14:paraId="329FE105" w14:textId="1F08C212" w:rsidR="00CD51B0" w:rsidRDefault="00CD51B0" w:rsidP="00CD51B0">
      <w:pPr>
        <w:pStyle w:val="Caption"/>
      </w:pPr>
      <w:r>
        <w:lastRenderedPageBreak/>
        <w:t xml:space="preserve">Table </w:t>
      </w:r>
      <w:r>
        <w:fldChar w:fldCharType="begin"/>
      </w:r>
      <w:r>
        <w:instrText xml:space="preserve"> SEQ Table \* ARABIC </w:instrText>
      </w:r>
      <w:r>
        <w:fldChar w:fldCharType="separate"/>
      </w:r>
      <w:r w:rsidR="00CF19E2">
        <w:rPr>
          <w:noProof/>
        </w:rPr>
        <w:t>1</w:t>
      </w:r>
      <w:r>
        <w:fldChar w:fldCharType="end"/>
      </w:r>
      <w:bookmarkEnd w:id="0"/>
      <w:r>
        <w:t xml:space="preserve"> | Acronyms used in the Monitoring and Evaluation Framework</w:t>
      </w:r>
    </w:p>
    <w:tbl>
      <w:tblPr>
        <w:tblStyle w:val="TableGrid"/>
        <w:tblW w:w="9072" w:type="dxa"/>
        <w:tblLook w:val="04A0" w:firstRow="1" w:lastRow="0" w:firstColumn="1" w:lastColumn="0" w:noHBand="0" w:noVBand="1"/>
        <w:tblDescription w:val="Table 1 is a list of acronyms used in the Monitoring and Evaluation Framework"/>
      </w:tblPr>
      <w:tblGrid>
        <w:gridCol w:w="2181"/>
        <w:gridCol w:w="6891"/>
      </w:tblGrid>
      <w:tr w:rsidR="00CD51B0" w14:paraId="6DF94E7B" w14:textId="77777777" w:rsidTr="00466F2D">
        <w:trPr>
          <w:cnfStyle w:val="100000000000" w:firstRow="1" w:lastRow="0" w:firstColumn="0" w:lastColumn="0" w:oddVBand="0" w:evenVBand="0" w:oddHBand="0" w:evenHBand="0" w:firstRowFirstColumn="0" w:firstRowLastColumn="0" w:lastRowFirstColumn="0" w:lastRowLastColumn="0"/>
          <w:tblHeader/>
        </w:trPr>
        <w:tc>
          <w:tcPr>
            <w:tcW w:w="2181" w:type="dxa"/>
            <w:tcBorders>
              <w:top w:val="nil"/>
              <w:left w:val="nil"/>
              <w:bottom w:val="nil"/>
              <w:right w:val="nil"/>
            </w:tcBorders>
            <w:shd w:val="clear" w:color="auto" w:fill="3F4A75"/>
          </w:tcPr>
          <w:p w14:paraId="3A88583B" w14:textId="77777777" w:rsidR="00CD51B0" w:rsidRPr="00C42192" w:rsidRDefault="00CD51B0" w:rsidP="000E4D45">
            <w:pPr>
              <w:pStyle w:val="TableNheader"/>
              <w:rPr>
                <w:rFonts w:cs="Arial"/>
              </w:rPr>
            </w:pPr>
            <w:r w:rsidRPr="00C42192">
              <w:rPr>
                <w:rFonts w:cs="Arial"/>
              </w:rPr>
              <w:t>Acronym</w:t>
            </w:r>
          </w:p>
        </w:tc>
        <w:tc>
          <w:tcPr>
            <w:tcW w:w="6891" w:type="dxa"/>
            <w:tcBorders>
              <w:top w:val="nil"/>
              <w:left w:val="nil"/>
              <w:bottom w:val="nil"/>
              <w:right w:val="nil"/>
            </w:tcBorders>
            <w:shd w:val="clear" w:color="auto" w:fill="3F4A75"/>
          </w:tcPr>
          <w:p w14:paraId="1BAD99FD" w14:textId="77777777" w:rsidR="00CD51B0" w:rsidRPr="00C42192" w:rsidRDefault="00CD51B0" w:rsidP="000E4D45">
            <w:pPr>
              <w:pStyle w:val="TableNheader"/>
              <w:rPr>
                <w:rFonts w:cs="Arial"/>
              </w:rPr>
            </w:pPr>
            <w:r w:rsidRPr="00C42192">
              <w:rPr>
                <w:rFonts w:cs="Arial"/>
              </w:rPr>
              <w:t>Description</w:t>
            </w:r>
          </w:p>
        </w:tc>
      </w:tr>
      <w:tr w:rsidR="00CD51B0" w14:paraId="2BCDEB72"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tcBorders>
              <w:top w:val="nil"/>
            </w:tcBorders>
            <w:shd w:val="clear" w:color="auto" w:fill="E6E6E6"/>
          </w:tcPr>
          <w:p w14:paraId="1044C125" w14:textId="77777777" w:rsidR="00CD51B0" w:rsidRPr="00C42192" w:rsidRDefault="00CD51B0" w:rsidP="000E4D45">
            <w:pPr>
              <w:pStyle w:val="TableNText"/>
              <w:rPr>
                <w:rFonts w:cs="Arial"/>
              </w:rPr>
            </w:pPr>
            <w:r w:rsidRPr="00C42192">
              <w:rPr>
                <w:rFonts w:cs="Arial"/>
              </w:rPr>
              <w:t>ACM</w:t>
            </w:r>
          </w:p>
        </w:tc>
        <w:tc>
          <w:tcPr>
            <w:tcW w:w="6888" w:type="dxa"/>
            <w:tcBorders>
              <w:top w:val="nil"/>
            </w:tcBorders>
            <w:shd w:val="clear" w:color="auto" w:fill="F5F5F5"/>
          </w:tcPr>
          <w:p w14:paraId="38B250AE" w14:textId="77777777" w:rsidR="00CD51B0" w:rsidRPr="00C42192" w:rsidRDefault="00CD51B0" w:rsidP="000E4D45">
            <w:pPr>
              <w:pStyle w:val="TableNText"/>
              <w:rPr>
                <w:rFonts w:cs="Arial"/>
              </w:rPr>
            </w:pPr>
            <w:r w:rsidRPr="00C42192">
              <w:rPr>
                <w:rFonts w:cs="Arial"/>
              </w:rPr>
              <w:t>Australian College of Midwives</w:t>
            </w:r>
          </w:p>
        </w:tc>
      </w:tr>
      <w:tr w:rsidR="00CD51B0" w14:paraId="458EB534"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15CE2BCA" w14:textId="77777777" w:rsidR="00CD51B0" w:rsidRPr="00C42192" w:rsidRDefault="00CD51B0" w:rsidP="000E4D45">
            <w:pPr>
              <w:pStyle w:val="TableNText"/>
              <w:rPr>
                <w:rFonts w:cs="Arial"/>
              </w:rPr>
            </w:pPr>
            <w:r w:rsidRPr="00C42192">
              <w:rPr>
                <w:rFonts w:cs="Arial"/>
              </w:rPr>
              <w:t>ACSQHC</w:t>
            </w:r>
          </w:p>
        </w:tc>
        <w:tc>
          <w:tcPr>
            <w:tcW w:w="6888" w:type="dxa"/>
            <w:shd w:val="clear" w:color="auto" w:fill="F5F5F5"/>
          </w:tcPr>
          <w:p w14:paraId="2172A0C7" w14:textId="77777777" w:rsidR="00CD51B0" w:rsidRPr="00C42192" w:rsidRDefault="00CD51B0" w:rsidP="000E4D45">
            <w:pPr>
              <w:pStyle w:val="TableNText"/>
              <w:rPr>
                <w:rFonts w:cs="Arial"/>
              </w:rPr>
            </w:pPr>
            <w:r w:rsidRPr="00C42192">
              <w:rPr>
                <w:rFonts w:cs="Arial"/>
              </w:rPr>
              <w:t>Australian Commission on Safety and Quality in Health Care</w:t>
            </w:r>
          </w:p>
        </w:tc>
      </w:tr>
      <w:tr w:rsidR="00CD51B0" w14:paraId="283FEA38"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0ECA6D9A" w14:textId="77777777" w:rsidR="00CD51B0" w:rsidRPr="00C42192" w:rsidRDefault="00CD51B0" w:rsidP="000E4D45">
            <w:pPr>
              <w:pStyle w:val="TableNText"/>
              <w:rPr>
                <w:rFonts w:cs="Arial"/>
              </w:rPr>
            </w:pPr>
            <w:r w:rsidRPr="00C42192">
              <w:rPr>
                <w:rFonts w:cs="Arial"/>
              </w:rPr>
              <w:t>ACT</w:t>
            </w:r>
          </w:p>
        </w:tc>
        <w:tc>
          <w:tcPr>
            <w:tcW w:w="6888" w:type="dxa"/>
            <w:shd w:val="clear" w:color="auto" w:fill="F5F5F5"/>
          </w:tcPr>
          <w:p w14:paraId="06DB5B08" w14:textId="77777777" w:rsidR="00CD51B0" w:rsidRPr="00C42192" w:rsidRDefault="00CD51B0" w:rsidP="000E4D45">
            <w:pPr>
              <w:pStyle w:val="TableNText"/>
              <w:rPr>
                <w:rFonts w:cs="Arial"/>
              </w:rPr>
            </w:pPr>
            <w:r w:rsidRPr="00C42192">
              <w:rPr>
                <w:rFonts w:cs="Arial"/>
              </w:rPr>
              <w:t>Australian Capital Territory</w:t>
            </w:r>
          </w:p>
        </w:tc>
      </w:tr>
      <w:tr w:rsidR="00CD51B0" w14:paraId="037CE84E"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3709358B" w14:textId="77777777" w:rsidR="00CD51B0" w:rsidRPr="00C42192" w:rsidRDefault="00CD51B0" w:rsidP="000E4D45">
            <w:pPr>
              <w:pStyle w:val="TableNText"/>
              <w:rPr>
                <w:rFonts w:cs="Arial"/>
              </w:rPr>
            </w:pPr>
            <w:r>
              <w:rPr>
                <w:rFonts w:cs="Arial"/>
              </w:rPr>
              <w:t>AHMAC</w:t>
            </w:r>
          </w:p>
        </w:tc>
        <w:tc>
          <w:tcPr>
            <w:tcW w:w="6888" w:type="dxa"/>
            <w:shd w:val="clear" w:color="auto" w:fill="F5F5F5"/>
          </w:tcPr>
          <w:p w14:paraId="7757EF1B" w14:textId="77777777" w:rsidR="00CD51B0" w:rsidRPr="00C42192" w:rsidRDefault="00CD51B0" w:rsidP="000E4D45">
            <w:pPr>
              <w:pStyle w:val="TableNText"/>
              <w:rPr>
                <w:rFonts w:cs="Arial"/>
              </w:rPr>
            </w:pPr>
            <w:r>
              <w:rPr>
                <w:rFonts w:cs="Arial"/>
              </w:rPr>
              <w:t>Australian Health Ministers’ Advisory Council</w:t>
            </w:r>
          </w:p>
        </w:tc>
      </w:tr>
      <w:tr w:rsidR="00CD51B0" w14:paraId="708E31B1"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69E8B7CC" w14:textId="77777777" w:rsidR="00CD51B0" w:rsidRPr="00C42192" w:rsidRDefault="00CD51B0" w:rsidP="000E4D45">
            <w:pPr>
              <w:pStyle w:val="TableNText"/>
              <w:rPr>
                <w:rFonts w:cs="Arial"/>
              </w:rPr>
            </w:pPr>
            <w:r>
              <w:rPr>
                <w:rFonts w:cs="Arial"/>
              </w:rPr>
              <w:t>AIATSIS</w:t>
            </w:r>
          </w:p>
        </w:tc>
        <w:tc>
          <w:tcPr>
            <w:tcW w:w="6888" w:type="dxa"/>
            <w:shd w:val="clear" w:color="auto" w:fill="F5F5F5"/>
          </w:tcPr>
          <w:p w14:paraId="1FE0078B" w14:textId="77777777" w:rsidR="00CD51B0" w:rsidRPr="00C42192" w:rsidRDefault="00CD51B0" w:rsidP="000E4D45">
            <w:pPr>
              <w:pStyle w:val="TableNText"/>
              <w:rPr>
                <w:rFonts w:cs="Arial"/>
              </w:rPr>
            </w:pPr>
            <w:r>
              <w:rPr>
                <w:rFonts w:cs="Arial"/>
              </w:rPr>
              <w:t>Australian Institute of Aboriginal and Torres Strait Islander Studies</w:t>
            </w:r>
          </w:p>
        </w:tc>
      </w:tr>
      <w:tr w:rsidR="00CD51B0" w14:paraId="1F39959A"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1A15371C" w14:textId="77777777" w:rsidR="00CD51B0" w:rsidRDefault="00CD51B0" w:rsidP="000E4D45">
            <w:pPr>
              <w:pStyle w:val="TableNText"/>
              <w:rPr>
                <w:rFonts w:cs="Arial"/>
              </w:rPr>
            </w:pPr>
            <w:r>
              <w:rPr>
                <w:rFonts w:cs="Arial"/>
              </w:rPr>
              <w:t>AIDA</w:t>
            </w:r>
          </w:p>
        </w:tc>
        <w:tc>
          <w:tcPr>
            <w:tcW w:w="6888" w:type="dxa"/>
            <w:shd w:val="clear" w:color="auto" w:fill="F5F5F5"/>
          </w:tcPr>
          <w:p w14:paraId="3AEFDE8D" w14:textId="77777777" w:rsidR="00CD51B0" w:rsidRDefault="00CD51B0" w:rsidP="000E4D45">
            <w:pPr>
              <w:pStyle w:val="TableNText"/>
              <w:rPr>
                <w:rFonts w:cs="Arial"/>
              </w:rPr>
            </w:pPr>
            <w:r>
              <w:rPr>
                <w:rFonts w:cs="Arial"/>
              </w:rPr>
              <w:t>Australian Indigenous Doctors’ Association</w:t>
            </w:r>
          </w:p>
        </w:tc>
      </w:tr>
      <w:tr w:rsidR="00CD51B0" w14:paraId="7FB5F1E3"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7F2CE845" w14:textId="77777777" w:rsidR="00CD51B0" w:rsidRPr="00C42192" w:rsidRDefault="00CD51B0" w:rsidP="000E4D45">
            <w:pPr>
              <w:pStyle w:val="TableNText"/>
              <w:rPr>
                <w:rFonts w:cs="Arial"/>
              </w:rPr>
            </w:pPr>
            <w:r w:rsidRPr="00C42192">
              <w:rPr>
                <w:rFonts w:cs="Arial"/>
              </w:rPr>
              <w:t>AIHW</w:t>
            </w:r>
          </w:p>
        </w:tc>
        <w:tc>
          <w:tcPr>
            <w:tcW w:w="6888" w:type="dxa"/>
            <w:shd w:val="clear" w:color="auto" w:fill="F5F5F5"/>
          </w:tcPr>
          <w:p w14:paraId="78D78929" w14:textId="77777777" w:rsidR="00CD51B0" w:rsidRPr="00C42192" w:rsidRDefault="00CD51B0" w:rsidP="000E4D45">
            <w:pPr>
              <w:pStyle w:val="TableNText"/>
              <w:rPr>
                <w:rFonts w:cs="Arial"/>
              </w:rPr>
            </w:pPr>
            <w:r w:rsidRPr="00C42192">
              <w:rPr>
                <w:rFonts w:cs="Arial"/>
              </w:rPr>
              <w:t>Australian Institute of Health and Welfare</w:t>
            </w:r>
          </w:p>
        </w:tc>
      </w:tr>
      <w:tr w:rsidR="00CD51B0" w14:paraId="578334F0"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020D8562" w14:textId="77777777" w:rsidR="00CD51B0" w:rsidRPr="00C42192" w:rsidRDefault="00CD51B0" w:rsidP="000E4D45">
            <w:pPr>
              <w:pStyle w:val="TableNText"/>
              <w:rPr>
                <w:rFonts w:cs="Arial"/>
              </w:rPr>
            </w:pPr>
            <w:r w:rsidRPr="00C42192">
              <w:rPr>
                <w:rFonts w:cs="Arial"/>
              </w:rPr>
              <w:t>AMS</w:t>
            </w:r>
          </w:p>
        </w:tc>
        <w:tc>
          <w:tcPr>
            <w:tcW w:w="6888" w:type="dxa"/>
            <w:shd w:val="clear" w:color="auto" w:fill="F5F5F5"/>
          </w:tcPr>
          <w:p w14:paraId="5BC2B413" w14:textId="77777777" w:rsidR="00CD51B0" w:rsidRPr="00C42192" w:rsidRDefault="00CD51B0" w:rsidP="000E4D45">
            <w:pPr>
              <w:pStyle w:val="TableNText"/>
              <w:rPr>
                <w:rFonts w:cs="Arial"/>
              </w:rPr>
            </w:pPr>
            <w:r w:rsidRPr="00C42192">
              <w:rPr>
                <w:rFonts w:cs="Arial"/>
              </w:rPr>
              <w:t>Aboriginal Medical Service</w:t>
            </w:r>
          </w:p>
        </w:tc>
      </w:tr>
      <w:tr w:rsidR="00CD51B0" w14:paraId="0BAE5B77"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5F92CB94" w14:textId="77777777" w:rsidR="00CD51B0" w:rsidRPr="00C42192" w:rsidRDefault="00CD51B0" w:rsidP="000E4D45">
            <w:pPr>
              <w:pStyle w:val="TableNText"/>
              <w:rPr>
                <w:rFonts w:cs="Arial"/>
              </w:rPr>
            </w:pPr>
            <w:r>
              <w:rPr>
                <w:rFonts w:cs="Arial"/>
              </w:rPr>
              <w:t>CALD</w:t>
            </w:r>
          </w:p>
        </w:tc>
        <w:tc>
          <w:tcPr>
            <w:tcW w:w="6888" w:type="dxa"/>
            <w:shd w:val="clear" w:color="auto" w:fill="F5F5F5"/>
          </w:tcPr>
          <w:p w14:paraId="1D98D84A" w14:textId="77777777" w:rsidR="00CD51B0" w:rsidRPr="00C42192" w:rsidRDefault="00CD51B0" w:rsidP="000E4D45">
            <w:pPr>
              <w:pStyle w:val="TableNText"/>
              <w:rPr>
                <w:rFonts w:cs="Arial"/>
              </w:rPr>
            </w:pPr>
            <w:r>
              <w:rPr>
                <w:rFonts w:cs="Arial"/>
              </w:rPr>
              <w:t>Culturally and linguistically diverse</w:t>
            </w:r>
          </w:p>
        </w:tc>
      </w:tr>
      <w:tr w:rsidR="00CD51B0" w14:paraId="071D5B54"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3AF789C5" w14:textId="77777777" w:rsidR="00CD51B0" w:rsidRPr="00C42192" w:rsidRDefault="00CD51B0" w:rsidP="000E4D45">
            <w:pPr>
              <w:pStyle w:val="TableNText"/>
              <w:rPr>
                <w:rFonts w:cs="Arial"/>
              </w:rPr>
            </w:pPr>
            <w:proofErr w:type="spellStart"/>
            <w:r w:rsidRPr="00C42192">
              <w:rPr>
                <w:rFonts w:cs="Arial"/>
              </w:rPr>
              <w:t>CATSINaM</w:t>
            </w:r>
            <w:proofErr w:type="spellEnd"/>
          </w:p>
        </w:tc>
        <w:tc>
          <w:tcPr>
            <w:tcW w:w="6888" w:type="dxa"/>
            <w:shd w:val="clear" w:color="auto" w:fill="F5F5F5"/>
          </w:tcPr>
          <w:p w14:paraId="456D247B" w14:textId="77777777" w:rsidR="00CD51B0" w:rsidRPr="00C42192" w:rsidRDefault="00CD51B0" w:rsidP="000E4D45">
            <w:pPr>
              <w:pStyle w:val="TableNText"/>
              <w:rPr>
                <w:rFonts w:cs="Arial"/>
              </w:rPr>
            </w:pPr>
            <w:r w:rsidRPr="00C42192">
              <w:rPr>
                <w:rFonts w:cs="Arial"/>
              </w:rPr>
              <w:t>The Congress of Aboriginal and Torres Strait Islander Nurses and Midwives</w:t>
            </w:r>
          </w:p>
        </w:tc>
      </w:tr>
      <w:tr w:rsidR="00CD51B0" w14:paraId="3FB5B6F9"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0C45546D" w14:textId="77777777" w:rsidR="00CD51B0" w:rsidRPr="00C42192" w:rsidRDefault="00CD51B0" w:rsidP="000E4D45">
            <w:pPr>
              <w:pStyle w:val="TableNText"/>
              <w:rPr>
                <w:rFonts w:cs="Arial"/>
              </w:rPr>
            </w:pPr>
            <w:r>
              <w:rPr>
                <w:rFonts w:cs="Arial"/>
              </w:rPr>
              <w:t>HHS</w:t>
            </w:r>
          </w:p>
        </w:tc>
        <w:tc>
          <w:tcPr>
            <w:tcW w:w="6888" w:type="dxa"/>
            <w:shd w:val="clear" w:color="auto" w:fill="F5F5F5"/>
          </w:tcPr>
          <w:p w14:paraId="5AC481D5" w14:textId="77777777" w:rsidR="00CD51B0" w:rsidRPr="00C42192" w:rsidRDefault="00CD51B0" w:rsidP="000E4D45">
            <w:pPr>
              <w:pStyle w:val="TableNText"/>
              <w:rPr>
                <w:rFonts w:cs="Arial"/>
              </w:rPr>
            </w:pPr>
            <w:r>
              <w:rPr>
                <w:rFonts w:cs="Arial"/>
              </w:rPr>
              <w:t>Hospital and Health Service</w:t>
            </w:r>
          </w:p>
        </w:tc>
      </w:tr>
      <w:tr w:rsidR="00CD51B0" w14:paraId="612FEEDC"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39394C31" w14:textId="77777777" w:rsidR="00CD51B0" w:rsidRDefault="00CD51B0" w:rsidP="000E4D45">
            <w:pPr>
              <w:pStyle w:val="TableNText"/>
              <w:rPr>
                <w:rFonts w:cs="Arial"/>
              </w:rPr>
            </w:pPr>
            <w:r>
              <w:rPr>
                <w:rFonts w:cs="Arial"/>
              </w:rPr>
              <w:t>HREC</w:t>
            </w:r>
          </w:p>
        </w:tc>
        <w:tc>
          <w:tcPr>
            <w:tcW w:w="6888" w:type="dxa"/>
            <w:shd w:val="clear" w:color="auto" w:fill="F5F5F5"/>
          </w:tcPr>
          <w:p w14:paraId="662CD68E" w14:textId="77777777" w:rsidR="00CD51B0" w:rsidRDefault="00CD51B0" w:rsidP="000E4D45">
            <w:pPr>
              <w:pStyle w:val="TableNText"/>
              <w:rPr>
                <w:rFonts w:cs="Arial"/>
              </w:rPr>
            </w:pPr>
            <w:r>
              <w:rPr>
                <w:rFonts w:cs="Arial"/>
              </w:rPr>
              <w:t>Human Research Ethics Committee</w:t>
            </w:r>
          </w:p>
        </w:tc>
      </w:tr>
      <w:tr w:rsidR="00CD51B0" w14:paraId="0CE94A81"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06EB4FA2" w14:textId="77777777" w:rsidR="00CD51B0" w:rsidRDefault="00CD51B0" w:rsidP="000E4D45">
            <w:pPr>
              <w:pStyle w:val="TableNText"/>
              <w:rPr>
                <w:rFonts w:cs="Arial"/>
              </w:rPr>
            </w:pPr>
            <w:r>
              <w:rPr>
                <w:rFonts w:cs="Arial"/>
              </w:rPr>
              <w:t>IOG</w:t>
            </w:r>
          </w:p>
        </w:tc>
        <w:tc>
          <w:tcPr>
            <w:tcW w:w="6888" w:type="dxa"/>
            <w:shd w:val="clear" w:color="auto" w:fill="F5F5F5"/>
          </w:tcPr>
          <w:p w14:paraId="0C5AA7F0" w14:textId="77777777" w:rsidR="00CD51B0" w:rsidRDefault="00CD51B0" w:rsidP="000E4D45">
            <w:pPr>
              <w:pStyle w:val="TableNText"/>
              <w:rPr>
                <w:rFonts w:cs="Arial"/>
              </w:rPr>
            </w:pPr>
            <w:r>
              <w:rPr>
                <w:rFonts w:cs="Arial"/>
              </w:rPr>
              <w:t>National Stillbirth Implementation Oversight Group</w:t>
            </w:r>
          </w:p>
        </w:tc>
      </w:tr>
      <w:tr w:rsidR="00CD51B0" w14:paraId="095C09B6"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6CDBDFB2" w14:textId="77777777" w:rsidR="00CD51B0" w:rsidRDefault="00CD51B0" w:rsidP="000E4D45">
            <w:pPr>
              <w:pStyle w:val="TableNText"/>
              <w:rPr>
                <w:rFonts w:cs="Arial"/>
              </w:rPr>
            </w:pPr>
            <w:r>
              <w:rPr>
                <w:rFonts w:cs="Arial"/>
              </w:rPr>
              <w:t>LHD</w:t>
            </w:r>
          </w:p>
        </w:tc>
        <w:tc>
          <w:tcPr>
            <w:tcW w:w="6888" w:type="dxa"/>
            <w:shd w:val="clear" w:color="auto" w:fill="F5F5F5"/>
          </w:tcPr>
          <w:p w14:paraId="4A21AFA4" w14:textId="77777777" w:rsidR="00CD51B0" w:rsidRDefault="00CD51B0" w:rsidP="000E4D45">
            <w:pPr>
              <w:pStyle w:val="TableNText"/>
              <w:rPr>
                <w:rFonts w:cs="Arial"/>
              </w:rPr>
            </w:pPr>
            <w:r>
              <w:rPr>
                <w:rFonts w:cs="Arial"/>
              </w:rPr>
              <w:t>Local Health District</w:t>
            </w:r>
          </w:p>
        </w:tc>
      </w:tr>
      <w:tr w:rsidR="00CD51B0" w14:paraId="5A74AED5"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2AED4A82" w14:textId="77777777" w:rsidR="00CD51B0" w:rsidRDefault="00CD51B0" w:rsidP="000E4D45">
            <w:pPr>
              <w:pStyle w:val="TableNText"/>
              <w:rPr>
                <w:rFonts w:cs="Arial"/>
              </w:rPr>
            </w:pPr>
            <w:r>
              <w:rPr>
                <w:rFonts w:cs="Arial"/>
              </w:rPr>
              <w:t>LHN</w:t>
            </w:r>
          </w:p>
        </w:tc>
        <w:tc>
          <w:tcPr>
            <w:tcW w:w="6888" w:type="dxa"/>
            <w:shd w:val="clear" w:color="auto" w:fill="F5F5F5"/>
          </w:tcPr>
          <w:p w14:paraId="6C502A53" w14:textId="77777777" w:rsidR="00CD51B0" w:rsidRDefault="00CD51B0" w:rsidP="000E4D45">
            <w:pPr>
              <w:pStyle w:val="TableNText"/>
              <w:rPr>
                <w:rFonts w:cs="Arial"/>
              </w:rPr>
            </w:pPr>
            <w:r>
              <w:rPr>
                <w:rFonts w:cs="Arial"/>
              </w:rPr>
              <w:t>Local Health Network</w:t>
            </w:r>
          </w:p>
        </w:tc>
      </w:tr>
      <w:tr w:rsidR="00CD51B0" w14:paraId="6FCA15D8"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496404CF" w14:textId="6A683956" w:rsidR="00CD51B0" w:rsidRPr="00C42192" w:rsidRDefault="00CA1E8C" w:rsidP="000E4D45">
            <w:pPr>
              <w:pStyle w:val="TableNText"/>
              <w:rPr>
                <w:rFonts w:cs="Arial"/>
              </w:rPr>
            </w:pPr>
            <w:r w:rsidRPr="00C42192">
              <w:rPr>
                <w:rFonts w:cs="Arial"/>
              </w:rPr>
              <w:t>NACCHO</w:t>
            </w:r>
          </w:p>
        </w:tc>
        <w:tc>
          <w:tcPr>
            <w:tcW w:w="6888" w:type="dxa"/>
            <w:shd w:val="clear" w:color="auto" w:fill="F5F5F5"/>
          </w:tcPr>
          <w:p w14:paraId="1D195477" w14:textId="77777777" w:rsidR="00CD51B0" w:rsidRPr="00C42192" w:rsidRDefault="00CD51B0" w:rsidP="000E4D45">
            <w:pPr>
              <w:pStyle w:val="TableNText"/>
              <w:rPr>
                <w:rFonts w:cs="Arial"/>
              </w:rPr>
            </w:pPr>
            <w:r w:rsidRPr="00C42192">
              <w:rPr>
                <w:rFonts w:cs="Arial"/>
              </w:rPr>
              <w:t>National Aboriginal Community Controlled Health Organisation</w:t>
            </w:r>
          </w:p>
        </w:tc>
      </w:tr>
      <w:tr w:rsidR="00CD51B0" w14:paraId="669A1BDF"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36B4FDA6" w14:textId="77777777" w:rsidR="00CD51B0" w:rsidRPr="00C42192" w:rsidRDefault="00CD51B0" w:rsidP="000E4D45">
            <w:pPr>
              <w:pStyle w:val="TableNText"/>
              <w:rPr>
                <w:rFonts w:cs="Arial"/>
              </w:rPr>
            </w:pPr>
            <w:r>
              <w:rPr>
                <w:rFonts w:cs="Arial"/>
              </w:rPr>
              <w:t>NGO</w:t>
            </w:r>
          </w:p>
        </w:tc>
        <w:tc>
          <w:tcPr>
            <w:tcW w:w="6888" w:type="dxa"/>
            <w:shd w:val="clear" w:color="auto" w:fill="F5F5F5"/>
          </w:tcPr>
          <w:p w14:paraId="58739EA6" w14:textId="77777777" w:rsidR="00CD51B0" w:rsidRPr="00C42192" w:rsidRDefault="00CD51B0" w:rsidP="000E4D45">
            <w:pPr>
              <w:pStyle w:val="TableNText"/>
              <w:rPr>
                <w:rFonts w:cs="Arial"/>
              </w:rPr>
            </w:pPr>
            <w:r>
              <w:rPr>
                <w:rFonts w:cs="Arial"/>
              </w:rPr>
              <w:t xml:space="preserve">Non-government Organisation </w:t>
            </w:r>
          </w:p>
        </w:tc>
      </w:tr>
      <w:tr w:rsidR="00CD51B0" w14:paraId="3ECDE8C4"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412C247C" w14:textId="77777777" w:rsidR="00CD51B0" w:rsidRPr="00C42192" w:rsidRDefault="00CD51B0" w:rsidP="000E4D45">
            <w:pPr>
              <w:pStyle w:val="TableNText"/>
              <w:rPr>
                <w:rFonts w:cs="Arial"/>
              </w:rPr>
            </w:pPr>
            <w:r w:rsidRPr="00C42192">
              <w:rPr>
                <w:rFonts w:cs="Arial"/>
              </w:rPr>
              <w:t>NHMRC</w:t>
            </w:r>
          </w:p>
        </w:tc>
        <w:tc>
          <w:tcPr>
            <w:tcW w:w="6888" w:type="dxa"/>
            <w:shd w:val="clear" w:color="auto" w:fill="F5F5F5"/>
          </w:tcPr>
          <w:p w14:paraId="55808728" w14:textId="77777777" w:rsidR="00CD51B0" w:rsidRPr="00C42192" w:rsidRDefault="00CD51B0" w:rsidP="000E4D45">
            <w:pPr>
              <w:pStyle w:val="TableNText"/>
              <w:rPr>
                <w:rFonts w:cs="Arial"/>
              </w:rPr>
            </w:pPr>
            <w:r w:rsidRPr="00C42192">
              <w:rPr>
                <w:rFonts w:cs="Arial"/>
              </w:rPr>
              <w:t>National Health and Medical Research Council</w:t>
            </w:r>
          </w:p>
        </w:tc>
      </w:tr>
      <w:tr w:rsidR="00CD51B0" w14:paraId="32987322"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7C677BDE" w14:textId="77777777" w:rsidR="00CD51B0" w:rsidRPr="00C42192" w:rsidRDefault="00CD51B0" w:rsidP="000E4D45">
            <w:pPr>
              <w:pStyle w:val="TableNText"/>
              <w:rPr>
                <w:rFonts w:cs="Arial"/>
              </w:rPr>
            </w:pPr>
            <w:r w:rsidRPr="00C42192">
              <w:rPr>
                <w:rFonts w:cs="Arial"/>
              </w:rPr>
              <w:t>NSW</w:t>
            </w:r>
          </w:p>
        </w:tc>
        <w:tc>
          <w:tcPr>
            <w:tcW w:w="6888" w:type="dxa"/>
            <w:shd w:val="clear" w:color="auto" w:fill="F5F5F5"/>
          </w:tcPr>
          <w:p w14:paraId="2907FD98" w14:textId="77777777" w:rsidR="00CD51B0" w:rsidRPr="00C42192" w:rsidRDefault="00CD51B0" w:rsidP="000E4D45">
            <w:pPr>
              <w:pStyle w:val="TableNText"/>
              <w:rPr>
                <w:rFonts w:cs="Arial"/>
              </w:rPr>
            </w:pPr>
            <w:r w:rsidRPr="00C42192">
              <w:rPr>
                <w:rFonts w:cs="Arial"/>
              </w:rPr>
              <w:t>New South Wales</w:t>
            </w:r>
          </w:p>
        </w:tc>
      </w:tr>
      <w:tr w:rsidR="00CD51B0" w14:paraId="0C28C7DA"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1D859AB2" w14:textId="77777777" w:rsidR="00CD51B0" w:rsidRPr="00C42192" w:rsidRDefault="00CD51B0" w:rsidP="000E4D45">
            <w:pPr>
              <w:pStyle w:val="TableNText"/>
              <w:rPr>
                <w:rFonts w:cs="Arial"/>
              </w:rPr>
            </w:pPr>
            <w:r w:rsidRPr="00C42192">
              <w:rPr>
                <w:rFonts w:cs="Arial"/>
              </w:rPr>
              <w:t>NT</w:t>
            </w:r>
          </w:p>
        </w:tc>
        <w:tc>
          <w:tcPr>
            <w:tcW w:w="6888" w:type="dxa"/>
            <w:shd w:val="clear" w:color="auto" w:fill="F5F5F5"/>
          </w:tcPr>
          <w:p w14:paraId="298C731C" w14:textId="77777777" w:rsidR="00CD51B0" w:rsidRPr="00C42192" w:rsidRDefault="00CD51B0" w:rsidP="000E4D45">
            <w:pPr>
              <w:pStyle w:val="TableNText"/>
              <w:rPr>
                <w:rFonts w:cs="Arial"/>
              </w:rPr>
            </w:pPr>
            <w:r w:rsidRPr="00C42192">
              <w:rPr>
                <w:rFonts w:cs="Arial"/>
              </w:rPr>
              <w:t>Northern Territory</w:t>
            </w:r>
          </w:p>
        </w:tc>
      </w:tr>
      <w:tr w:rsidR="00CD51B0" w14:paraId="1BE20473"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13879F09" w14:textId="77777777" w:rsidR="00CD51B0" w:rsidRPr="00C42192" w:rsidRDefault="00CD51B0" w:rsidP="000E4D45">
            <w:pPr>
              <w:pStyle w:val="TableNText"/>
              <w:rPr>
                <w:rFonts w:cs="Arial"/>
              </w:rPr>
            </w:pPr>
            <w:r w:rsidRPr="00C42192">
              <w:rPr>
                <w:rFonts w:cs="Arial"/>
              </w:rPr>
              <w:t>PSANZ</w:t>
            </w:r>
          </w:p>
        </w:tc>
        <w:tc>
          <w:tcPr>
            <w:tcW w:w="6888" w:type="dxa"/>
            <w:shd w:val="clear" w:color="auto" w:fill="F5F5F5"/>
          </w:tcPr>
          <w:p w14:paraId="54ECCF85" w14:textId="77777777" w:rsidR="00CD51B0" w:rsidRPr="00C42192" w:rsidRDefault="00CD51B0" w:rsidP="000E4D45">
            <w:pPr>
              <w:pStyle w:val="TableNText"/>
              <w:rPr>
                <w:rFonts w:cs="Arial"/>
              </w:rPr>
            </w:pPr>
            <w:r w:rsidRPr="00C42192">
              <w:rPr>
                <w:rFonts w:cs="Arial"/>
              </w:rPr>
              <w:t>Perinatal Society of Australia and New Zealand</w:t>
            </w:r>
          </w:p>
        </w:tc>
      </w:tr>
      <w:tr w:rsidR="00CD51B0" w14:paraId="68BD3C86"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48D16F2B" w14:textId="77777777" w:rsidR="00CD51B0" w:rsidRPr="00C42192" w:rsidRDefault="00CD51B0" w:rsidP="000E4D45">
            <w:pPr>
              <w:pStyle w:val="TableNText"/>
              <w:rPr>
                <w:rFonts w:cs="Arial"/>
              </w:rPr>
            </w:pPr>
            <w:r w:rsidRPr="00C42192">
              <w:rPr>
                <w:rFonts w:cs="Arial"/>
              </w:rPr>
              <w:t>QLD</w:t>
            </w:r>
          </w:p>
        </w:tc>
        <w:tc>
          <w:tcPr>
            <w:tcW w:w="6888" w:type="dxa"/>
            <w:shd w:val="clear" w:color="auto" w:fill="F5F5F5"/>
          </w:tcPr>
          <w:p w14:paraId="25A291B9" w14:textId="77777777" w:rsidR="00CD51B0" w:rsidRPr="00C42192" w:rsidRDefault="00CD51B0" w:rsidP="000E4D45">
            <w:pPr>
              <w:pStyle w:val="TableNText"/>
              <w:rPr>
                <w:rFonts w:cs="Arial"/>
              </w:rPr>
            </w:pPr>
            <w:r w:rsidRPr="00C42192">
              <w:rPr>
                <w:rFonts w:cs="Arial"/>
              </w:rPr>
              <w:t>Queensland</w:t>
            </w:r>
          </w:p>
        </w:tc>
      </w:tr>
      <w:tr w:rsidR="00CD51B0" w14:paraId="7ACA224D"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3EC7C41C" w14:textId="77777777" w:rsidR="00CD51B0" w:rsidRPr="00C42192" w:rsidRDefault="00CD51B0" w:rsidP="000E4D45">
            <w:pPr>
              <w:pStyle w:val="TableNText"/>
              <w:rPr>
                <w:rFonts w:cs="Arial"/>
              </w:rPr>
            </w:pPr>
            <w:r w:rsidRPr="00C42192">
              <w:rPr>
                <w:rFonts w:cs="Arial"/>
              </w:rPr>
              <w:t>RACGP</w:t>
            </w:r>
          </w:p>
        </w:tc>
        <w:tc>
          <w:tcPr>
            <w:tcW w:w="6888" w:type="dxa"/>
            <w:shd w:val="clear" w:color="auto" w:fill="F5F5F5"/>
          </w:tcPr>
          <w:p w14:paraId="10BB4170" w14:textId="77777777" w:rsidR="00CD51B0" w:rsidRPr="00C42192" w:rsidRDefault="00CD51B0" w:rsidP="000E4D45">
            <w:pPr>
              <w:pStyle w:val="TableNText"/>
              <w:rPr>
                <w:rFonts w:cs="Arial"/>
              </w:rPr>
            </w:pPr>
            <w:r w:rsidRPr="00C42192">
              <w:rPr>
                <w:rFonts w:cs="Arial"/>
              </w:rPr>
              <w:t>Royal Australian College of General Practitioners</w:t>
            </w:r>
          </w:p>
        </w:tc>
      </w:tr>
      <w:tr w:rsidR="00CD51B0" w14:paraId="67C4C228"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3792E227" w14:textId="77777777" w:rsidR="00CD51B0" w:rsidRPr="00C42192" w:rsidRDefault="00CD51B0" w:rsidP="000E4D45">
            <w:pPr>
              <w:pStyle w:val="TableNText"/>
              <w:rPr>
                <w:rFonts w:cs="Arial"/>
              </w:rPr>
            </w:pPr>
            <w:r w:rsidRPr="00C42192">
              <w:rPr>
                <w:rFonts w:cs="Arial"/>
              </w:rPr>
              <w:t>RANZCOG</w:t>
            </w:r>
          </w:p>
        </w:tc>
        <w:tc>
          <w:tcPr>
            <w:tcW w:w="6888" w:type="dxa"/>
            <w:shd w:val="clear" w:color="auto" w:fill="F5F5F5"/>
          </w:tcPr>
          <w:p w14:paraId="18FAC784" w14:textId="77777777" w:rsidR="00CD51B0" w:rsidRPr="00C42192" w:rsidRDefault="00CD51B0" w:rsidP="000E4D45">
            <w:pPr>
              <w:pStyle w:val="TableNText"/>
              <w:rPr>
                <w:rFonts w:cs="Arial"/>
              </w:rPr>
            </w:pPr>
            <w:r w:rsidRPr="00C42192">
              <w:rPr>
                <w:rFonts w:cs="Arial"/>
              </w:rPr>
              <w:t xml:space="preserve">Royal Australian and New Zealand College of Obstetricians and Gynaecologists </w:t>
            </w:r>
          </w:p>
        </w:tc>
      </w:tr>
      <w:tr w:rsidR="00CD51B0" w14:paraId="10B73032"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02596302" w14:textId="77777777" w:rsidR="00CD51B0" w:rsidRPr="00C42192" w:rsidRDefault="00CD51B0" w:rsidP="000E4D45">
            <w:pPr>
              <w:pStyle w:val="TableNText"/>
              <w:rPr>
                <w:rFonts w:cs="Arial"/>
              </w:rPr>
            </w:pPr>
            <w:r>
              <w:rPr>
                <w:rFonts w:cs="Arial"/>
              </w:rPr>
              <w:t>RANZCR</w:t>
            </w:r>
          </w:p>
        </w:tc>
        <w:tc>
          <w:tcPr>
            <w:tcW w:w="6888" w:type="dxa"/>
            <w:shd w:val="clear" w:color="auto" w:fill="F5F5F5"/>
          </w:tcPr>
          <w:p w14:paraId="3A37FB79" w14:textId="77777777" w:rsidR="00CD51B0" w:rsidRPr="00C42192" w:rsidRDefault="00CD51B0" w:rsidP="000E4D45">
            <w:pPr>
              <w:pStyle w:val="TableNText"/>
              <w:rPr>
                <w:rFonts w:cs="Arial"/>
              </w:rPr>
            </w:pPr>
            <w:r>
              <w:rPr>
                <w:rFonts w:cs="Arial"/>
              </w:rPr>
              <w:t xml:space="preserve">Royal Australian and New Zealand College of Radiologists </w:t>
            </w:r>
          </w:p>
        </w:tc>
      </w:tr>
      <w:tr w:rsidR="00CD51B0" w14:paraId="453BFC9E"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5EC0B379" w14:textId="77777777" w:rsidR="00CD51B0" w:rsidRPr="00C42192" w:rsidRDefault="00CD51B0" w:rsidP="000E4D45">
            <w:pPr>
              <w:pStyle w:val="TableNText"/>
              <w:rPr>
                <w:rFonts w:cs="Arial"/>
              </w:rPr>
            </w:pPr>
            <w:r w:rsidRPr="00C42192">
              <w:rPr>
                <w:rFonts w:cs="Arial"/>
              </w:rPr>
              <w:t>RCPA</w:t>
            </w:r>
          </w:p>
        </w:tc>
        <w:tc>
          <w:tcPr>
            <w:tcW w:w="6888" w:type="dxa"/>
            <w:shd w:val="clear" w:color="auto" w:fill="F5F5F5"/>
          </w:tcPr>
          <w:p w14:paraId="21B20379" w14:textId="77777777" w:rsidR="00CD51B0" w:rsidRPr="00C42192" w:rsidRDefault="00CD51B0" w:rsidP="000E4D45">
            <w:pPr>
              <w:pStyle w:val="TableNText"/>
              <w:rPr>
                <w:rFonts w:cs="Arial"/>
              </w:rPr>
            </w:pPr>
            <w:r w:rsidRPr="00C42192">
              <w:rPr>
                <w:rFonts w:cs="Arial"/>
              </w:rPr>
              <w:t>Royal College of Pathologists of Australasia</w:t>
            </w:r>
          </w:p>
        </w:tc>
      </w:tr>
      <w:tr w:rsidR="00CD51B0" w14:paraId="5CF03D90"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29571410" w14:textId="77777777" w:rsidR="00CD51B0" w:rsidRPr="00C42192" w:rsidRDefault="00CD51B0" w:rsidP="000E4D45">
            <w:pPr>
              <w:pStyle w:val="TableNText"/>
              <w:rPr>
                <w:rFonts w:cs="Arial"/>
              </w:rPr>
            </w:pPr>
            <w:r w:rsidRPr="00C42192">
              <w:rPr>
                <w:rFonts w:cs="Arial"/>
              </w:rPr>
              <w:t>SA</w:t>
            </w:r>
          </w:p>
        </w:tc>
        <w:tc>
          <w:tcPr>
            <w:tcW w:w="6888" w:type="dxa"/>
            <w:shd w:val="clear" w:color="auto" w:fill="F5F5F5"/>
          </w:tcPr>
          <w:p w14:paraId="0CA97B6A" w14:textId="77777777" w:rsidR="00CD51B0" w:rsidRPr="00C42192" w:rsidRDefault="00CD51B0" w:rsidP="000E4D45">
            <w:pPr>
              <w:pStyle w:val="TableNText"/>
              <w:rPr>
                <w:rFonts w:cs="Arial"/>
              </w:rPr>
            </w:pPr>
            <w:r w:rsidRPr="00C42192">
              <w:rPr>
                <w:rFonts w:cs="Arial"/>
              </w:rPr>
              <w:t>South Australia</w:t>
            </w:r>
          </w:p>
        </w:tc>
      </w:tr>
      <w:tr w:rsidR="00CD51B0" w14:paraId="41F47073"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0776B607" w14:textId="77777777" w:rsidR="00CD51B0" w:rsidRPr="00C42192" w:rsidRDefault="00CD51B0" w:rsidP="000E4D45">
            <w:pPr>
              <w:pStyle w:val="TableNText"/>
              <w:rPr>
                <w:rFonts w:cs="Arial"/>
              </w:rPr>
            </w:pPr>
            <w:r w:rsidRPr="00C42192">
              <w:rPr>
                <w:rFonts w:cs="Arial"/>
              </w:rPr>
              <w:t>Stillbirth CRE</w:t>
            </w:r>
          </w:p>
        </w:tc>
        <w:tc>
          <w:tcPr>
            <w:tcW w:w="6888" w:type="dxa"/>
            <w:shd w:val="clear" w:color="auto" w:fill="F5F5F5"/>
          </w:tcPr>
          <w:p w14:paraId="7031CF8E" w14:textId="77777777" w:rsidR="00CD51B0" w:rsidRPr="00C42192" w:rsidRDefault="00CD51B0" w:rsidP="000E4D45">
            <w:pPr>
              <w:pStyle w:val="TableNText"/>
              <w:rPr>
                <w:rFonts w:cs="Arial"/>
              </w:rPr>
            </w:pPr>
            <w:r w:rsidRPr="00C42192">
              <w:rPr>
                <w:rFonts w:cs="Arial"/>
              </w:rPr>
              <w:t>Stillbirth Centre of Research Excellence</w:t>
            </w:r>
          </w:p>
        </w:tc>
      </w:tr>
      <w:tr w:rsidR="00CD51B0" w14:paraId="73829F74"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598ABAFA" w14:textId="77777777" w:rsidR="00CD51B0" w:rsidRPr="00C42192" w:rsidRDefault="00CD51B0" w:rsidP="000E4D45">
            <w:pPr>
              <w:pStyle w:val="TableNText"/>
              <w:rPr>
                <w:rFonts w:cs="Arial"/>
              </w:rPr>
            </w:pPr>
            <w:r w:rsidRPr="00C42192">
              <w:rPr>
                <w:rFonts w:cs="Arial"/>
              </w:rPr>
              <w:t>TAS</w:t>
            </w:r>
          </w:p>
        </w:tc>
        <w:tc>
          <w:tcPr>
            <w:tcW w:w="6888" w:type="dxa"/>
            <w:shd w:val="clear" w:color="auto" w:fill="F5F5F5"/>
          </w:tcPr>
          <w:p w14:paraId="3A33E26F" w14:textId="77777777" w:rsidR="00CD51B0" w:rsidRPr="00C42192" w:rsidRDefault="00CD51B0" w:rsidP="000E4D45">
            <w:pPr>
              <w:pStyle w:val="TableNText"/>
              <w:rPr>
                <w:rFonts w:cs="Arial"/>
              </w:rPr>
            </w:pPr>
            <w:r w:rsidRPr="00C42192">
              <w:rPr>
                <w:rFonts w:cs="Arial"/>
              </w:rPr>
              <w:t>Tasmania</w:t>
            </w:r>
          </w:p>
        </w:tc>
      </w:tr>
      <w:tr w:rsidR="00CD51B0" w14:paraId="72A59361"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752C0AE4" w14:textId="77777777" w:rsidR="00CD51B0" w:rsidRPr="00C42192" w:rsidRDefault="00CD51B0" w:rsidP="000E4D45">
            <w:pPr>
              <w:pStyle w:val="TableNText"/>
              <w:rPr>
                <w:rFonts w:cs="Arial"/>
              </w:rPr>
            </w:pPr>
            <w:r>
              <w:rPr>
                <w:rFonts w:cs="Arial"/>
              </w:rPr>
              <w:t>The Plan</w:t>
            </w:r>
          </w:p>
        </w:tc>
        <w:tc>
          <w:tcPr>
            <w:tcW w:w="6888" w:type="dxa"/>
            <w:shd w:val="clear" w:color="auto" w:fill="F5F5F5"/>
          </w:tcPr>
          <w:p w14:paraId="35AAC072" w14:textId="77777777" w:rsidR="00CD51B0" w:rsidRPr="00C42192" w:rsidRDefault="00CD51B0" w:rsidP="000E4D45">
            <w:pPr>
              <w:pStyle w:val="TableNText"/>
              <w:rPr>
                <w:rFonts w:cs="Arial"/>
              </w:rPr>
            </w:pPr>
            <w:r>
              <w:rPr>
                <w:rFonts w:cs="Arial"/>
              </w:rPr>
              <w:t>The National Stillbirth Action and Implementation Plan</w:t>
            </w:r>
          </w:p>
        </w:tc>
      </w:tr>
      <w:tr w:rsidR="00CD51B0" w14:paraId="3808A42F"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5513D265" w14:textId="77777777" w:rsidR="00CD51B0" w:rsidRPr="00C42192" w:rsidRDefault="00CD51B0" w:rsidP="000E4D45">
            <w:pPr>
              <w:pStyle w:val="TableNText"/>
              <w:rPr>
                <w:rFonts w:cs="Arial"/>
              </w:rPr>
            </w:pPr>
            <w:r w:rsidRPr="00C42192">
              <w:rPr>
                <w:rFonts w:cs="Arial"/>
              </w:rPr>
              <w:t>WA</w:t>
            </w:r>
          </w:p>
        </w:tc>
        <w:tc>
          <w:tcPr>
            <w:tcW w:w="6888" w:type="dxa"/>
            <w:shd w:val="clear" w:color="auto" w:fill="F5F5F5"/>
          </w:tcPr>
          <w:p w14:paraId="747B44BB" w14:textId="77777777" w:rsidR="00CD51B0" w:rsidRPr="00C42192" w:rsidRDefault="00CD51B0" w:rsidP="000E4D45">
            <w:pPr>
              <w:pStyle w:val="TableNText"/>
              <w:rPr>
                <w:rFonts w:cs="Arial"/>
              </w:rPr>
            </w:pPr>
            <w:r w:rsidRPr="00C42192">
              <w:rPr>
                <w:rFonts w:cs="Arial"/>
              </w:rPr>
              <w:t>Western Australia</w:t>
            </w:r>
          </w:p>
        </w:tc>
      </w:tr>
      <w:tr w:rsidR="00CD51B0" w14:paraId="64D23EA7" w14:textId="77777777" w:rsidTr="000E4D4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2179" w:type="dxa"/>
            <w:shd w:val="clear" w:color="auto" w:fill="E6E6E6"/>
          </w:tcPr>
          <w:p w14:paraId="3E8F686E" w14:textId="37DE7695" w:rsidR="00CD51B0" w:rsidRPr="00C42192" w:rsidRDefault="00CD51B0" w:rsidP="000E4D45">
            <w:pPr>
              <w:pStyle w:val="TableNText"/>
              <w:rPr>
                <w:rFonts w:cs="Arial"/>
              </w:rPr>
            </w:pPr>
            <w:r>
              <w:rPr>
                <w:rFonts w:cs="Arial"/>
              </w:rPr>
              <w:lastRenderedPageBreak/>
              <w:t>WCC</w:t>
            </w:r>
          </w:p>
        </w:tc>
        <w:tc>
          <w:tcPr>
            <w:tcW w:w="6888" w:type="dxa"/>
            <w:shd w:val="clear" w:color="auto" w:fill="F5F5F5"/>
          </w:tcPr>
          <w:p w14:paraId="1EA61722" w14:textId="77777777" w:rsidR="00CD51B0" w:rsidRPr="00C42192" w:rsidRDefault="00CD51B0" w:rsidP="000E4D45">
            <w:pPr>
              <w:pStyle w:val="TableNText"/>
              <w:rPr>
                <w:rFonts w:cs="Arial"/>
              </w:rPr>
            </w:pPr>
            <w:r>
              <w:rPr>
                <w:rFonts w:cs="Arial"/>
              </w:rPr>
              <w:t xml:space="preserve">Women-Centred Care: Strategic directions for maternity services </w:t>
            </w:r>
          </w:p>
        </w:tc>
      </w:tr>
    </w:tbl>
    <w:p w14:paraId="70BA7B8F" w14:textId="77777777" w:rsidR="00CD51B0" w:rsidRPr="00325E65" w:rsidRDefault="00CD51B0" w:rsidP="00CD51B0">
      <w:pPr>
        <w:rPr>
          <w:lang w:eastAsia="en-AU"/>
        </w:rPr>
      </w:pPr>
    </w:p>
    <w:p w14:paraId="4E9D090E" w14:textId="77777777" w:rsidR="009434D3" w:rsidRDefault="009434D3" w:rsidP="00A41383">
      <w:pPr>
        <w:pStyle w:val="Heading1"/>
        <w:numPr>
          <w:ilvl w:val="0"/>
          <w:numId w:val="0"/>
        </w:numPr>
        <w:ind w:left="357"/>
        <w:sectPr w:rsidR="009434D3" w:rsidSect="00466F2D">
          <w:headerReference w:type="first" r:id="rId19"/>
          <w:pgSz w:w="11907" w:h="16839" w:code="9"/>
          <w:pgMar w:top="709" w:right="1191" w:bottom="1134" w:left="1418" w:header="454" w:footer="452" w:gutter="0"/>
          <w:pgNumType w:fmt="lowerRoman"/>
          <w:cols w:space="720"/>
          <w:titlePg/>
          <w:docGrid w:linePitch="360"/>
        </w:sectPr>
      </w:pPr>
    </w:p>
    <w:p w14:paraId="3F29B79D" w14:textId="2DD01608" w:rsidR="00966C37" w:rsidRDefault="006B1BDE" w:rsidP="00A41383">
      <w:pPr>
        <w:pStyle w:val="Heading1"/>
        <w:numPr>
          <w:ilvl w:val="0"/>
          <w:numId w:val="2"/>
        </w:numPr>
      </w:pPr>
      <w:bookmarkStart w:id="1" w:name="_Toc121303894"/>
      <w:r>
        <w:lastRenderedPageBreak/>
        <w:t>Introduction</w:t>
      </w:r>
      <w:bookmarkEnd w:id="1"/>
    </w:p>
    <w:p w14:paraId="36E98C6B" w14:textId="77777777" w:rsidR="00ED2B74" w:rsidRPr="00ED2B74" w:rsidRDefault="00ED2B74" w:rsidP="00904AC0">
      <w:pPr>
        <w:pStyle w:val="Sectionlist"/>
      </w:pPr>
      <w:r w:rsidRPr="00ED2B74">
        <w:t>This section outlines the:</w:t>
      </w:r>
    </w:p>
    <w:p w14:paraId="38BCC59B" w14:textId="77777777" w:rsidR="00ED2B74" w:rsidRPr="00ED2B74" w:rsidRDefault="00ED2B74" w:rsidP="00904AC0">
      <w:pPr>
        <w:pStyle w:val="VisionBox"/>
      </w:pPr>
      <w:r w:rsidRPr="00ED2B74">
        <w:t>Purpose and background to the National Stillbirth Action and Implementation Plan</w:t>
      </w:r>
    </w:p>
    <w:p w14:paraId="3CF591E4" w14:textId="77777777" w:rsidR="00ED2B74" w:rsidRPr="00ED2B74" w:rsidRDefault="00ED2B74" w:rsidP="00904AC0">
      <w:pPr>
        <w:pStyle w:val="VisionBox"/>
      </w:pPr>
      <w:r w:rsidRPr="00ED2B74">
        <w:t xml:space="preserve">Policy, </w:t>
      </w:r>
      <w:proofErr w:type="gramStart"/>
      <w:r w:rsidRPr="00ED2B74">
        <w:t>stakeholder</w:t>
      </w:r>
      <w:proofErr w:type="gramEnd"/>
      <w:r w:rsidRPr="00ED2B74">
        <w:t xml:space="preserve"> and operating context</w:t>
      </w:r>
    </w:p>
    <w:p w14:paraId="33EAB5B7" w14:textId="77777777" w:rsidR="00ED2B74" w:rsidRPr="00ED2B74" w:rsidRDefault="00ED2B74" w:rsidP="00904AC0">
      <w:pPr>
        <w:pStyle w:val="VisionBox"/>
      </w:pPr>
      <w:r w:rsidRPr="00ED2B74">
        <w:t>Purpose of this Monitoring and Evaluation Framework</w:t>
      </w:r>
    </w:p>
    <w:p w14:paraId="22E9EAC1" w14:textId="4E49F7CF" w:rsidR="00ED2B74" w:rsidRPr="00ED2B74" w:rsidRDefault="00ED2B74" w:rsidP="00904AC0">
      <w:pPr>
        <w:pStyle w:val="VisionBox"/>
      </w:pPr>
      <w:r w:rsidRPr="00ED2B74">
        <w:t>Structure of this document.</w:t>
      </w:r>
    </w:p>
    <w:p w14:paraId="7A32EA9A" w14:textId="7C4C4AA6" w:rsidR="00BC0F96" w:rsidRDefault="005251BD" w:rsidP="00C204DD">
      <w:pPr>
        <w:pStyle w:val="Heading2"/>
        <w:tabs>
          <w:tab w:val="left" w:pos="7938"/>
        </w:tabs>
        <w:ind w:left="567"/>
      </w:pPr>
      <w:bookmarkStart w:id="2" w:name="_Ref88565108"/>
      <w:r>
        <w:t>Purpose and background to the</w:t>
      </w:r>
      <w:r w:rsidR="00C1697D">
        <w:t xml:space="preserve"> Plan</w:t>
      </w:r>
      <w:bookmarkEnd w:id="2"/>
    </w:p>
    <w:p w14:paraId="0771C4A0" w14:textId="15D8C86E" w:rsidR="00A83579" w:rsidRPr="00424B90" w:rsidRDefault="00A83579" w:rsidP="00ED2B74">
      <w:pPr>
        <w:pStyle w:val="Heading3"/>
        <w:rPr>
          <w:rFonts w:cs="Arial"/>
        </w:rPr>
      </w:pPr>
      <w:r w:rsidRPr="00424B90">
        <w:rPr>
          <w:rFonts w:cs="Arial"/>
        </w:rPr>
        <w:t>Australia’s first national plan to reduce stillbirth rates was launched in 2020.</w:t>
      </w:r>
    </w:p>
    <w:p w14:paraId="58C7A360" w14:textId="0F6F654B" w:rsidR="004A1D14" w:rsidRDefault="00AE2312" w:rsidP="00ED2B74">
      <w:pPr>
        <w:rPr>
          <w:rFonts w:ascii="Arial" w:hAnsi="Arial" w:cs="Arial"/>
        </w:rPr>
      </w:pPr>
      <w:r w:rsidRPr="00424B90">
        <w:rPr>
          <w:rFonts w:ascii="Arial" w:hAnsi="Arial" w:cs="Arial"/>
          <w:lang w:eastAsia="en-AU"/>
        </w:rPr>
        <w:t xml:space="preserve">Stillbirth is a significant public health issue </w:t>
      </w:r>
      <w:r w:rsidR="006B5498">
        <w:rPr>
          <w:rFonts w:ascii="Arial" w:hAnsi="Arial" w:cs="Arial"/>
          <w:lang w:eastAsia="en-AU"/>
        </w:rPr>
        <w:t>that</w:t>
      </w:r>
      <w:r w:rsidR="006B5498" w:rsidRPr="00424B90">
        <w:rPr>
          <w:rFonts w:ascii="Arial" w:hAnsi="Arial" w:cs="Arial"/>
          <w:lang w:eastAsia="en-AU"/>
        </w:rPr>
        <w:t xml:space="preserve"> </w:t>
      </w:r>
      <w:r w:rsidRPr="00424B90">
        <w:rPr>
          <w:rFonts w:ascii="Arial" w:hAnsi="Arial" w:cs="Arial"/>
          <w:lang w:eastAsia="en-AU"/>
        </w:rPr>
        <w:t xml:space="preserve">has a profound and long-lasting effect on parents, </w:t>
      </w:r>
      <w:proofErr w:type="gramStart"/>
      <w:r w:rsidRPr="00424B90">
        <w:rPr>
          <w:rFonts w:ascii="Arial" w:hAnsi="Arial" w:cs="Arial"/>
          <w:lang w:eastAsia="en-AU"/>
        </w:rPr>
        <w:t>families</w:t>
      </w:r>
      <w:proofErr w:type="gramEnd"/>
      <w:r w:rsidRPr="00424B90">
        <w:rPr>
          <w:rFonts w:ascii="Arial" w:hAnsi="Arial" w:cs="Arial"/>
          <w:lang w:eastAsia="en-AU"/>
        </w:rPr>
        <w:t xml:space="preserve"> and care providers. </w:t>
      </w:r>
      <w:r w:rsidR="00B4408E">
        <w:rPr>
          <w:rFonts w:ascii="Arial" w:hAnsi="Arial" w:cs="Arial"/>
        </w:rPr>
        <w:t xml:space="preserve">While </w:t>
      </w:r>
      <w:r w:rsidR="00866F03">
        <w:rPr>
          <w:rFonts w:ascii="Arial" w:hAnsi="Arial" w:cs="Arial"/>
        </w:rPr>
        <w:t>Australia’s</w:t>
      </w:r>
      <w:r w:rsidR="00673BD7">
        <w:rPr>
          <w:rFonts w:ascii="Arial" w:hAnsi="Arial" w:cs="Arial"/>
        </w:rPr>
        <w:t xml:space="preserve"> stillbirth</w:t>
      </w:r>
      <w:r w:rsidR="00866F03">
        <w:rPr>
          <w:rFonts w:ascii="Arial" w:hAnsi="Arial" w:cs="Arial"/>
        </w:rPr>
        <w:t xml:space="preserve"> rate</w:t>
      </w:r>
      <w:r w:rsidR="001E3280">
        <w:rPr>
          <w:rStyle w:val="FootnoteReference"/>
          <w:rFonts w:ascii="Arial" w:hAnsi="Arial" w:cs="Arial"/>
        </w:rPr>
        <w:footnoteReference w:id="2"/>
      </w:r>
      <w:r w:rsidR="00866F03">
        <w:rPr>
          <w:rFonts w:ascii="Arial" w:hAnsi="Arial" w:cs="Arial"/>
        </w:rPr>
        <w:t xml:space="preserve"> </w:t>
      </w:r>
      <w:r w:rsidR="009F02A6" w:rsidRPr="00424B90">
        <w:rPr>
          <w:rFonts w:ascii="Arial" w:hAnsi="Arial" w:cs="Arial"/>
        </w:rPr>
        <w:t xml:space="preserve">has </w:t>
      </w:r>
      <w:r w:rsidR="001E3280">
        <w:rPr>
          <w:rFonts w:ascii="Arial" w:hAnsi="Arial" w:cs="Arial"/>
        </w:rPr>
        <w:t>been decreasing</w:t>
      </w:r>
      <w:r w:rsidR="00B4408E">
        <w:rPr>
          <w:rFonts w:ascii="Arial" w:hAnsi="Arial" w:cs="Arial"/>
        </w:rPr>
        <w:t>, it</w:t>
      </w:r>
      <w:r w:rsidR="009F02A6" w:rsidRPr="00424B90" w:rsidDel="00B4408E">
        <w:rPr>
          <w:rFonts w:ascii="Arial" w:hAnsi="Arial" w:cs="Arial"/>
        </w:rPr>
        <w:t xml:space="preserve"> </w:t>
      </w:r>
      <w:r w:rsidR="00AE4D28">
        <w:rPr>
          <w:rFonts w:ascii="Arial" w:hAnsi="Arial" w:cs="Arial"/>
        </w:rPr>
        <w:t>remains</w:t>
      </w:r>
      <w:r w:rsidR="009F02A6" w:rsidRPr="00424B90" w:rsidDel="00E26DA9">
        <w:rPr>
          <w:rFonts w:ascii="Arial" w:hAnsi="Arial" w:cs="Arial"/>
        </w:rPr>
        <w:t xml:space="preserve"> </w:t>
      </w:r>
      <w:r w:rsidR="009F02A6" w:rsidRPr="00424B90">
        <w:rPr>
          <w:rFonts w:ascii="Arial" w:hAnsi="Arial" w:cs="Arial"/>
        </w:rPr>
        <w:t>higher than countries implementing broadscale best practice stillbirth prevention and care.</w:t>
      </w:r>
      <w:r w:rsidR="00D855F2" w:rsidRPr="00424B90">
        <w:rPr>
          <w:rStyle w:val="FootnoteReference"/>
          <w:rFonts w:ascii="Arial" w:hAnsi="Arial" w:cs="Arial"/>
        </w:rPr>
        <w:footnoteReference w:id="3"/>
      </w:r>
      <w:r w:rsidR="009F02A6" w:rsidRPr="00424B90">
        <w:rPr>
          <w:rFonts w:ascii="Arial" w:hAnsi="Arial" w:cs="Arial"/>
        </w:rPr>
        <w:t xml:space="preserve"> </w:t>
      </w:r>
      <w:r w:rsidR="003361EF">
        <w:rPr>
          <w:rFonts w:ascii="Arial" w:hAnsi="Arial" w:cs="Arial"/>
        </w:rPr>
        <w:t xml:space="preserve">In response to the high rate, and considerable advocacy work undertaken by bereaved parents, advocacy groups, </w:t>
      </w:r>
      <w:proofErr w:type="gramStart"/>
      <w:r w:rsidR="003361EF">
        <w:rPr>
          <w:rFonts w:ascii="Arial" w:hAnsi="Arial" w:cs="Arial"/>
        </w:rPr>
        <w:t>researchers</w:t>
      </w:r>
      <w:proofErr w:type="gramEnd"/>
      <w:r w:rsidR="003361EF">
        <w:rPr>
          <w:rFonts w:ascii="Arial" w:hAnsi="Arial" w:cs="Arial"/>
        </w:rPr>
        <w:t xml:space="preserve"> and health professionals, </w:t>
      </w:r>
      <w:r w:rsidR="000E1435">
        <w:rPr>
          <w:rFonts w:ascii="Arial" w:hAnsi="Arial" w:cs="Arial"/>
        </w:rPr>
        <w:t>in March 2018 the Senate established the Select Committee on Stillbirth Research and Education to inq</w:t>
      </w:r>
      <w:r w:rsidR="005863C8">
        <w:rPr>
          <w:rFonts w:ascii="Arial" w:hAnsi="Arial" w:cs="Arial"/>
        </w:rPr>
        <w:t xml:space="preserve">uire into the future of stillbirth in Australia. </w:t>
      </w:r>
      <w:r w:rsidR="00A42E65">
        <w:rPr>
          <w:rFonts w:ascii="Arial" w:hAnsi="Arial" w:cs="Arial"/>
        </w:rPr>
        <w:t xml:space="preserve">The Australian Government agreed, or agreed in principle, to all recommendations arising from this inquiry and in December 2020, the </w:t>
      </w:r>
      <w:r w:rsidR="00A42E65">
        <w:rPr>
          <w:rFonts w:ascii="Arial" w:hAnsi="Arial" w:cs="Arial"/>
          <w:i/>
        </w:rPr>
        <w:t xml:space="preserve">National Stillbirth </w:t>
      </w:r>
      <w:proofErr w:type="gramStart"/>
      <w:r w:rsidR="00A42E65">
        <w:rPr>
          <w:rFonts w:ascii="Arial" w:hAnsi="Arial" w:cs="Arial"/>
          <w:i/>
        </w:rPr>
        <w:t>Action</w:t>
      </w:r>
      <w:proofErr w:type="gramEnd"/>
      <w:r w:rsidR="00A42E65">
        <w:rPr>
          <w:rFonts w:ascii="Arial" w:hAnsi="Arial" w:cs="Arial"/>
          <w:i/>
        </w:rPr>
        <w:t xml:space="preserve"> and Implementation Plan</w:t>
      </w:r>
      <w:r w:rsidR="00A42E65">
        <w:rPr>
          <w:rFonts w:ascii="Arial" w:hAnsi="Arial" w:cs="Arial"/>
        </w:rPr>
        <w:t xml:space="preserve"> (the Plan) was publicly released. </w:t>
      </w:r>
      <w:r w:rsidR="0096076F" w:rsidRPr="00424B90">
        <w:rPr>
          <w:rFonts w:ascii="Arial" w:hAnsi="Arial" w:cs="Arial"/>
        </w:rPr>
        <w:t>The</w:t>
      </w:r>
      <w:r w:rsidR="004341DA">
        <w:rPr>
          <w:rFonts w:ascii="Arial" w:hAnsi="Arial" w:cs="Arial"/>
        </w:rPr>
        <w:t xml:space="preserve"> overarching goal of the Plan is</w:t>
      </w:r>
      <w:r w:rsidR="0096076F" w:rsidRPr="00424B90">
        <w:rPr>
          <w:rFonts w:ascii="Arial" w:hAnsi="Arial" w:cs="Arial"/>
        </w:rPr>
        <w:t xml:space="preserve"> </w:t>
      </w:r>
      <w:r w:rsidR="004B1274">
        <w:rPr>
          <w:rFonts w:ascii="Arial" w:hAnsi="Arial" w:cs="Arial"/>
        </w:rPr>
        <w:t>to reduce the number of preventable stillbirths in Australia</w:t>
      </w:r>
      <w:r w:rsidR="00E054EA">
        <w:rPr>
          <w:rFonts w:ascii="Arial" w:hAnsi="Arial" w:cs="Arial"/>
        </w:rPr>
        <w:t xml:space="preserve"> after</w:t>
      </w:r>
      <w:r w:rsidR="004B1274">
        <w:rPr>
          <w:rFonts w:ascii="Arial" w:hAnsi="Arial" w:cs="Arial"/>
        </w:rPr>
        <w:t xml:space="preserve"> 28 weeks</w:t>
      </w:r>
      <w:r w:rsidR="00E054EA">
        <w:rPr>
          <w:rFonts w:ascii="Arial" w:hAnsi="Arial" w:cs="Arial"/>
        </w:rPr>
        <w:t xml:space="preserve"> by 20</w:t>
      </w:r>
      <w:r w:rsidR="0074697C">
        <w:rPr>
          <w:rFonts w:ascii="Arial" w:hAnsi="Arial" w:cs="Arial"/>
        </w:rPr>
        <w:t>% or more over five years (</w:t>
      </w:r>
      <w:proofErr w:type="gramStart"/>
      <w:r w:rsidR="0074697C">
        <w:rPr>
          <w:rFonts w:ascii="Arial" w:hAnsi="Arial" w:cs="Arial"/>
        </w:rPr>
        <w:t>i.e.</w:t>
      </w:r>
      <w:proofErr w:type="gramEnd"/>
      <w:r w:rsidR="0074697C">
        <w:rPr>
          <w:rFonts w:ascii="Arial" w:hAnsi="Arial" w:cs="Arial"/>
        </w:rPr>
        <w:t xml:space="preserve"> by December 2025</w:t>
      </w:r>
      <w:r w:rsidR="00400242">
        <w:rPr>
          <w:rFonts w:ascii="Arial" w:hAnsi="Arial" w:cs="Arial"/>
        </w:rPr>
        <w:t>). It</w:t>
      </w:r>
      <w:r w:rsidR="0074697C">
        <w:rPr>
          <w:rFonts w:ascii="Arial" w:hAnsi="Arial" w:cs="Arial"/>
        </w:rPr>
        <w:t xml:space="preserve"> also aims to ensure that families experiencing stillbirth receive respectful and supportive bereavement care.</w:t>
      </w:r>
    </w:p>
    <w:p w14:paraId="79F94579" w14:textId="4A6982EE" w:rsidR="004A1D14" w:rsidRPr="00424B90" w:rsidRDefault="004A1D14" w:rsidP="00ED2B74">
      <w:pPr>
        <w:rPr>
          <w:rFonts w:ascii="Arial" w:hAnsi="Arial" w:cs="Arial"/>
          <w:lang w:eastAsia="en-AU"/>
        </w:rPr>
      </w:pPr>
      <w:r w:rsidRPr="00424B90">
        <w:rPr>
          <w:rFonts w:ascii="Arial" w:hAnsi="Arial" w:cs="Arial"/>
          <w:lang w:eastAsia="en-AU"/>
        </w:rPr>
        <w:t>Stillbirth rates</w:t>
      </w:r>
      <w:r>
        <w:rPr>
          <w:rFonts w:ascii="Arial" w:hAnsi="Arial" w:cs="Arial"/>
          <w:lang w:eastAsia="en-AU"/>
        </w:rPr>
        <w:t xml:space="preserve"> in Australia</w:t>
      </w:r>
      <w:r w:rsidRPr="00424B90">
        <w:rPr>
          <w:rFonts w:ascii="Arial" w:hAnsi="Arial" w:cs="Arial"/>
          <w:lang w:eastAsia="en-AU"/>
        </w:rPr>
        <w:t xml:space="preserve"> are inequitable</w:t>
      </w:r>
      <w:r>
        <w:rPr>
          <w:rFonts w:ascii="Arial" w:hAnsi="Arial" w:cs="Arial"/>
          <w:lang w:eastAsia="en-AU"/>
        </w:rPr>
        <w:t xml:space="preserve"> and reducing </w:t>
      </w:r>
      <w:r w:rsidR="000943B6">
        <w:rPr>
          <w:rFonts w:ascii="Arial" w:hAnsi="Arial" w:cs="Arial"/>
          <w:lang w:eastAsia="en-AU"/>
        </w:rPr>
        <w:t>disparities in stillbirth rates is an ambition of the Plan. The Plan particularly focuses on</w:t>
      </w:r>
      <w:r w:rsidR="009B7508">
        <w:rPr>
          <w:rFonts w:ascii="Arial" w:hAnsi="Arial" w:cs="Arial"/>
          <w:lang w:eastAsia="en-AU"/>
        </w:rPr>
        <w:t xml:space="preserve"> reducing stillbirths</w:t>
      </w:r>
      <w:r w:rsidRPr="00424B90">
        <w:rPr>
          <w:rFonts w:ascii="Arial" w:hAnsi="Arial" w:cs="Arial"/>
          <w:lang w:eastAsia="en-AU"/>
        </w:rPr>
        <w:t xml:space="preserve"> experienced by Aboriginal and Torres Strait Islander women, some culturally and linguistically diverse (CALD)</w:t>
      </w:r>
      <w:r w:rsidR="0002571C">
        <w:rPr>
          <w:rStyle w:val="FootnoteReference"/>
          <w:rFonts w:ascii="Arial" w:hAnsi="Arial" w:cs="Arial"/>
          <w:lang w:eastAsia="en-AU"/>
        </w:rPr>
        <w:footnoteReference w:id="4"/>
      </w:r>
      <w:r w:rsidRPr="00424B90">
        <w:rPr>
          <w:rFonts w:ascii="Arial" w:hAnsi="Arial" w:cs="Arial"/>
          <w:lang w:eastAsia="en-AU"/>
        </w:rPr>
        <w:t xml:space="preserve"> women</w:t>
      </w:r>
      <w:r w:rsidR="009B7508">
        <w:rPr>
          <w:rFonts w:ascii="Arial" w:hAnsi="Arial" w:cs="Arial"/>
          <w:lang w:eastAsia="en-AU"/>
        </w:rPr>
        <w:t>,</w:t>
      </w:r>
      <w:r w:rsidDel="009B7508">
        <w:rPr>
          <w:rFonts w:ascii="Arial" w:hAnsi="Arial" w:cs="Arial"/>
          <w:lang w:eastAsia="en-AU"/>
        </w:rPr>
        <w:t xml:space="preserve"> </w:t>
      </w:r>
      <w:r w:rsidRPr="00424B90">
        <w:rPr>
          <w:rFonts w:ascii="Arial" w:hAnsi="Arial" w:cs="Arial"/>
          <w:lang w:eastAsia="en-AU"/>
        </w:rPr>
        <w:t xml:space="preserve">women living in </w:t>
      </w:r>
      <w:r>
        <w:rPr>
          <w:rFonts w:ascii="Arial" w:hAnsi="Arial" w:cs="Arial"/>
          <w:lang w:eastAsia="en-AU"/>
        </w:rPr>
        <w:t>rural and remote</w:t>
      </w:r>
      <w:r w:rsidRPr="00424B90">
        <w:rPr>
          <w:rFonts w:ascii="Arial" w:hAnsi="Arial" w:cs="Arial"/>
          <w:lang w:eastAsia="en-AU"/>
        </w:rPr>
        <w:t xml:space="preserve"> areas</w:t>
      </w:r>
      <w:r>
        <w:rPr>
          <w:rFonts w:ascii="Arial" w:hAnsi="Arial" w:cs="Arial"/>
          <w:lang w:eastAsia="en-AU"/>
        </w:rPr>
        <w:t>, women under 20 and women who have had a previous stillbirth</w:t>
      </w:r>
      <w:r w:rsidRPr="00424B90">
        <w:rPr>
          <w:rFonts w:ascii="Arial" w:hAnsi="Arial" w:cs="Arial"/>
          <w:lang w:eastAsia="en-AU"/>
        </w:rPr>
        <w:t>.</w:t>
      </w:r>
      <w:r w:rsidRPr="00424B90">
        <w:rPr>
          <w:rStyle w:val="FootnoteReference"/>
          <w:rFonts w:ascii="Arial" w:hAnsi="Arial" w:cs="Arial"/>
          <w:lang w:eastAsia="en-AU"/>
        </w:rPr>
        <w:footnoteReference w:id="5"/>
      </w:r>
      <w:r w:rsidRPr="00424B90">
        <w:rPr>
          <w:rFonts w:ascii="Arial" w:hAnsi="Arial" w:cs="Arial"/>
          <w:lang w:eastAsia="en-AU"/>
        </w:rPr>
        <w:t xml:space="preserve"> </w:t>
      </w:r>
      <w:r w:rsidR="00465572">
        <w:rPr>
          <w:rFonts w:ascii="Arial" w:hAnsi="Arial" w:cs="Arial"/>
          <w:lang w:eastAsia="en-AU"/>
        </w:rPr>
        <w:t>These groups</w:t>
      </w:r>
      <w:r w:rsidR="00310280">
        <w:rPr>
          <w:rFonts w:ascii="Arial" w:hAnsi="Arial" w:cs="Arial"/>
          <w:lang w:eastAsia="en-AU"/>
        </w:rPr>
        <w:t>, as identified in the Plan,</w:t>
      </w:r>
      <w:r w:rsidR="00465572">
        <w:rPr>
          <w:rFonts w:ascii="Arial" w:hAnsi="Arial" w:cs="Arial"/>
          <w:lang w:eastAsia="en-AU"/>
        </w:rPr>
        <w:t xml:space="preserve"> will be referred to as </w:t>
      </w:r>
      <w:r w:rsidR="00310280">
        <w:rPr>
          <w:rFonts w:ascii="Arial" w:hAnsi="Arial" w:cs="Arial"/>
          <w:lang w:eastAsia="en-AU"/>
        </w:rPr>
        <w:t xml:space="preserve">‘target cohorts’ throughout this document. </w:t>
      </w:r>
    </w:p>
    <w:p w14:paraId="3EAE4FD2" w14:textId="699A1D5F" w:rsidR="009259EB" w:rsidRDefault="009259EB" w:rsidP="00ED2B74">
      <w:pPr>
        <w:rPr>
          <w:rFonts w:ascii="Arial" w:hAnsi="Arial" w:cs="Arial"/>
        </w:rPr>
      </w:pPr>
      <w:r w:rsidRPr="00424B90">
        <w:rPr>
          <w:rFonts w:ascii="Arial" w:hAnsi="Arial" w:cs="Arial"/>
        </w:rPr>
        <w:t xml:space="preserve">The </w:t>
      </w:r>
      <w:r w:rsidR="008F1137">
        <w:rPr>
          <w:rFonts w:ascii="Arial" w:hAnsi="Arial" w:cs="Arial"/>
        </w:rPr>
        <w:t>Plan</w:t>
      </w:r>
      <w:r w:rsidRPr="00424B90">
        <w:rPr>
          <w:rFonts w:ascii="Arial" w:hAnsi="Arial" w:cs="Arial"/>
        </w:rPr>
        <w:t xml:space="preserve"> was informed by extensive consultation with state and territory governments, researchers, clinical experts, non-government organisations and bereaved parents. </w:t>
      </w:r>
      <w:r w:rsidR="001C1F57">
        <w:rPr>
          <w:rFonts w:ascii="Arial" w:hAnsi="Arial" w:cs="Arial"/>
        </w:rPr>
        <w:t>The National Stillbirth Implementation Oversight Group (IOG)</w:t>
      </w:r>
      <w:r w:rsidR="00AA0787">
        <w:rPr>
          <w:rFonts w:ascii="Arial" w:hAnsi="Arial" w:cs="Arial"/>
        </w:rPr>
        <w:t xml:space="preserve"> </w:t>
      </w:r>
      <w:r w:rsidR="00B105AC">
        <w:rPr>
          <w:rFonts w:ascii="Arial" w:hAnsi="Arial" w:cs="Arial"/>
        </w:rPr>
        <w:t>has</w:t>
      </w:r>
      <w:r w:rsidR="008535FC">
        <w:rPr>
          <w:rFonts w:ascii="Arial" w:hAnsi="Arial" w:cs="Arial"/>
        </w:rPr>
        <w:t xml:space="preserve"> oversight of i</w:t>
      </w:r>
      <w:r w:rsidR="00334F7C">
        <w:rPr>
          <w:rFonts w:ascii="Arial" w:hAnsi="Arial" w:cs="Arial"/>
        </w:rPr>
        <w:t>mplementation</w:t>
      </w:r>
      <w:r w:rsidR="00094493">
        <w:rPr>
          <w:rFonts w:ascii="Arial" w:hAnsi="Arial" w:cs="Arial"/>
        </w:rPr>
        <w:t xml:space="preserve">, monitoring and evaluation </w:t>
      </w:r>
      <w:r w:rsidR="00334F7C">
        <w:rPr>
          <w:rFonts w:ascii="Arial" w:hAnsi="Arial" w:cs="Arial"/>
        </w:rPr>
        <w:t>of the Plan</w:t>
      </w:r>
      <w:r w:rsidR="004D3EDA">
        <w:rPr>
          <w:rFonts w:ascii="Arial" w:hAnsi="Arial" w:cs="Arial"/>
        </w:rPr>
        <w:t>.</w:t>
      </w:r>
    </w:p>
    <w:p w14:paraId="57A3ABC2" w14:textId="511189AA" w:rsidR="005B2404" w:rsidRDefault="005B2404" w:rsidP="00ED2B74">
      <w:pPr>
        <w:spacing w:before="240"/>
        <w:rPr>
          <w:rFonts w:ascii="Arial" w:hAnsi="Arial" w:cs="Arial"/>
        </w:rPr>
      </w:pPr>
      <w:r>
        <w:rPr>
          <w:rFonts w:ascii="Arial" w:hAnsi="Arial" w:cs="Arial"/>
        </w:rPr>
        <w:t>While the Australian definition of stillbirth is</w:t>
      </w:r>
      <w:r w:rsidRPr="007B5CC7">
        <w:rPr>
          <w:rFonts w:ascii="Arial" w:hAnsi="Arial" w:cs="Arial"/>
        </w:rPr>
        <w:t xml:space="preserve"> a </w:t>
      </w:r>
      <w:proofErr w:type="spellStart"/>
      <w:r w:rsidRPr="007B5CC7">
        <w:rPr>
          <w:rFonts w:ascii="Arial" w:hAnsi="Arial" w:cs="Arial"/>
        </w:rPr>
        <w:t>fetal</w:t>
      </w:r>
      <w:proofErr w:type="spellEnd"/>
      <w:r w:rsidRPr="007B5CC7">
        <w:rPr>
          <w:rFonts w:ascii="Arial" w:hAnsi="Arial" w:cs="Arial"/>
        </w:rPr>
        <w:t xml:space="preserve"> death prior to the birth of a baby of 20 or more completed weeks of gestation or of 400 grams or more birthweight</w:t>
      </w:r>
      <w:r>
        <w:rPr>
          <w:rStyle w:val="FootnoteReference"/>
          <w:rFonts w:ascii="Arial" w:hAnsi="Arial" w:cs="Arial"/>
        </w:rPr>
        <w:footnoteReference w:id="6"/>
      </w:r>
      <w:r>
        <w:rPr>
          <w:rFonts w:ascii="Arial" w:hAnsi="Arial" w:cs="Arial"/>
        </w:rPr>
        <w:t>, t</w:t>
      </w:r>
      <w:r w:rsidRPr="007B5CC7">
        <w:rPr>
          <w:rFonts w:ascii="Arial" w:hAnsi="Arial" w:cs="Arial"/>
        </w:rPr>
        <w:t>he Plan has a focus on stillbirth</w:t>
      </w:r>
      <w:r>
        <w:rPr>
          <w:rFonts w:ascii="Arial" w:hAnsi="Arial" w:cs="Arial"/>
        </w:rPr>
        <w:t>s</w:t>
      </w:r>
      <w:r w:rsidRPr="007B5CC7">
        <w:rPr>
          <w:rFonts w:ascii="Arial" w:hAnsi="Arial" w:cs="Arial"/>
        </w:rPr>
        <w:t xml:space="preserve"> post 28 weeks of gestation, as most preventive interventions are specific to the third trimester. </w:t>
      </w:r>
      <w:r>
        <w:rPr>
          <w:rFonts w:ascii="Arial" w:hAnsi="Arial" w:cs="Arial"/>
        </w:rPr>
        <w:t xml:space="preserve">The </w:t>
      </w:r>
      <w:r>
        <w:rPr>
          <w:rFonts w:ascii="Arial" w:hAnsi="Arial" w:cs="Arial"/>
        </w:rPr>
        <w:lastRenderedPageBreak/>
        <w:t>Plan’s definition</w:t>
      </w:r>
      <w:r w:rsidRPr="007B5CC7">
        <w:rPr>
          <w:rFonts w:ascii="Arial" w:hAnsi="Arial" w:cs="Arial"/>
        </w:rPr>
        <w:t xml:space="preserve"> is also in line with international definitions</w:t>
      </w:r>
      <w:r>
        <w:rPr>
          <w:rFonts w:ascii="Arial" w:hAnsi="Arial" w:cs="Arial"/>
        </w:rPr>
        <w:t xml:space="preserve"> of stillbirth, including the World Health Organization</w:t>
      </w:r>
      <w:r w:rsidRPr="00A30D5A">
        <w:rPr>
          <w:rFonts w:ascii="Arial" w:hAnsi="Arial" w:cs="Arial"/>
        </w:rPr>
        <w:t>.</w:t>
      </w:r>
      <w:r>
        <w:rPr>
          <w:rStyle w:val="FootnoteReference"/>
          <w:rFonts w:ascii="Arial" w:hAnsi="Arial" w:cs="Arial"/>
        </w:rPr>
        <w:footnoteReference w:id="7"/>
      </w:r>
      <w:r w:rsidRPr="00A30D5A">
        <w:rPr>
          <w:rFonts w:ascii="Arial" w:hAnsi="Arial" w:cs="Arial"/>
        </w:rPr>
        <w:t xml:space="preserve"> </w:t>
      </w:r>
      <w:r w:rsidR="00C329A8">
        <w:rPr>
          <w:rFonts w:ascii="Arial" w:hAnsi="Arial" w:cs="Arial"/>
        </w:rPr>
        <w:t>T</w:t>
      </w:r>
      <w:r w:rsidRPr="00A30D5A">
        <w:rPr>
          <w:rFonts w:ascii="Arial" w:hAnsi="Arial" w:cs="Arial"/>
        </w:rPr>
        <w:t>he actions of the Plan may also have an impact on reducing the rate of earlier stillbirths.</w:t>
      </w:r>
    </w:p>
    <w:p w14:paraId="2E31DE6F" w14:textId="77777777" w:rsidR="00BD0982" w:rsidRPr="00BD0982" w:rsidRDefault="00BD0982" w:rsidP="00BD0982">
      <w:pPr>
        <w:pStyle w:val="PolicyStatement"/>
      </w:pPr>
      <w:r w:rsidRPr="00BD0982">
        <w:t>A NOTE ABOUT THE TERM ‘PREVENTABLE’ STILLBIRTH:</w:t>
      </w:r>
    </w:p>
    <w:p w14:paraId="4A2F0C5C" w14:textId="77777777" w:rsidR="00BD0982" w:rsidRPr="00BD0982" w:rsidRDefault="00BD0982" w:rsidP="00BD0982">
      <w:pPr>
        <w:pStyle w:val="PolicyStatement"/>
      </w:pPr>
      <w:r w:rsidRPr="00BD0982">
        <w:t xml:space="preserve">The Lancet series Stillbirths 2016: Ending Preventable Stillbirths indicated that many stillbirths result from preventable conditions, including maternal infection, non-communicable diseases, obstetric complications, preventable congenital </w:t>
      </w:r>
      <w:proofErr w:type="gramStart"/>
      <w:r w:rsidRPr="00BD0982">
        <w:t>disorders</w:t>
      </w:r>
      <w:proofErr w:type="gramEnd"/>
      <w:r w:rsidRPr="00BD0982">
        <w:t xml:space="preserve"> and lifestyle factors (including obesity and smoking).  As such, the Lancet Series identifies high quality antenatal and intrapartum care, that also supports lifestyle change, as the key to reducing the rate of preventable stillbirths globally. </w:t>
      </w:r>
    </w:p>
    <w:p w14:paraId="09F9FC91" w14:textId="77777777" w:rsidR="00BD0982" w:rsidRPr="00BD0982" w:rsidRDefault="00BD0982" w:rsidP="00BD0982">
      <w:pPr>
        <w:pStyle w:val="PolicyStatement"/>
      </w:pPr>
      <w:r w:rsidRPr="00BD0982">
        <w:t xml:space="preserve">The Plan’s goal is to reduce ‘preventable stillbirths after 28 </w:t>
      </w:r>
      <w:proofErr w:type="gramStart"/>
      <w:r w:rsidRPr="00BD0982">
        <w:t>weeks’</w:t>
      </w:r>
      <w:proofErr w:type="gramEnd"/>
      <w:r w:rsidRPr="00BD0982">
        <w:t xml:space="preserve">. The Monitoring and Evaluation Framework therefore includes a key question on the extent to which this goal has been achieved. The evaluation will compile qualitative and quantitative data from multiple sources </w:t>
      </w:r>
      <w:proofErr w:type="gramStart"/>
      <w:r w:rsidRPr="00BD0982">
        <w:t>in an attempt to</w:t>
      </w:r>
      <w:proofErr w:type="gramEnd"/>
      <w:r w:rsidRPr="00BD0982">
        <w:t xml:space="preserve"> answer this key question (see Section 2.3). However, the relevant evaluation indicator, which relies only on quantitative Australian Institute of Health and Welfare (AIHW) data, excludes the word ‘preventable’ given it is not possible to identify ‘preventable’ stillbirths in that dataset. </w:t>
      </w:r>
    </w:p>
    <w:p w14:paraId="565B03AB" w14:textId="77777777" w:rsidR="00BD0982" w:rsidRPr="00BD0982" w:rsidRDefault="00BD0982" w:rsidP="00BD0982">
      <w:pPr>
        <w:pStyle w:val="PolicyStatement"/>
      </w:pPr>
      <w:r w:rsidRPr="00BD0982">
        <w:t xml:space="preserve">In Australia, historically, datasets reporting the stillbirth rate have combined stillbirth and termination numbers where the termination occurs after 20 weeks gestation. This means fluctuation in termination rates over time can cloud understanding around preventable stillbirths – for example, a decrease in Australia’s overall stillbirth rate might suggest a reduction in preventable stillbirths but may also result from a decrease in the number of pregnancies that are terminated. This relationship between late termination and stillbirth is an important one to consider – particularly as in some cases, antenatal screening and diagnostic techniques identify abnormalities that significantly increase the likelihood of stillbirth or neonatal death and may lead to a decision to terminate the pregnancy. </w:t>
      </w:r>
    </w:p>
    <w:p w14:paraId="7CA88B69" w14:textId="77777777" w:rsidR="00BD0982" w:rsidRPr="00BD0982" w:rsidRDefault="00BD0982" w:rsidP="00BD0982">
      <w:pPr>
        <w:pStyle w:val="PolicyStatement"/>
      </w:pPr>
      <w:r w:rsidRPr="00BD0982">
        <w:t xml:space="preserve">Access to late term termination varies by jurisdiction, but in all Australian </w:t>
      </w:r>
      <w:proofErr w:type="gramStart"/>
      <w:r w:rsidRPr="00BD0982">
        <w:t>jurisdictions</w:t>
      </w:r>
      <w:proofErr w:type="gramEnd"/>
      <w:r w:rsidRPr="00BD0982">
        <w:t xml:space="preserve"> terminations are restricted after a certain gestational period. Late term terminations typically require the approval of two doctors and are based on the woman’s current and future physical, </w:t>
      </w:r>
      <w:proofErr w:type="gramStart"/>
      <w:r w:rsidRPr="00BD0982">
        <w:t>psychological</w:t>
      </w:r>
      <w:proofErr w:type="gramEnd"/>
      <w:r w:rsidRPr="00BD0982">
        <w:t xml:space="preserve"> and social circumstances or on the grounds of </w:t>
      </w:r>
      <w:proofErr w:type="spellStart"/>
      <w:r w:rsidRPr="00BD0982">
        <w:t>fetal</w:t>
      </w:r>
      <w:proofErr w:type="spellEnd"/>
      <w:r w:rsidRPr="00BD0982">
        <w:t xml:space="preserve"> disability.  A small number of late term terminations may occur in lieu of what may have otherwise been a stillbirth, but it is not possible to distinguish instances of this in the current data.</w:t>
      </w:r>
    </w:p>
    <w:p w14:paraId="28DB18F9" w14:textId="7A655C69" w:rsidR="00BD0982" w:rsidRDefault="00BD0982" w:rsidP="00BD0982">
      <w:pPr>
        <w:pStyle w:val="PolicyStatement"/>
      </w:pPr>
      <w:r w:rsidRPr="00BD0982">
        <w:t>Most jurisdictions provide the AIHW data that separates terminations of pregnancy from stillbirths. Recent changes have improved reporting of this data. The AIHW is currently working with states and territories to improve concerns around data quality so that future reporting can potentially separate termination of pregnancy from stillbirths. There are sensitivities associated with this and approval of jurisdictions would be required.</w:t>
      </w:r>
    </w:p>
    <w:p w14:paraId="39BB484A" w14:textId="3946498C" w:rsidR="002D0414" w:rsidRPr="00424B90" w:rsidRDefault="002D0414" w:rsidP="00ED2B74">
      <w:pPr>
        <w:pStyle w:val="Heading3"/>
        <w:rPr>
          <w:rFonts w:cs="Arial"/>
          <w:bCs/>
        </w:rPr>
      </w:pPr>
      <w:r w:rsidRPr="00424B90">
        <w:rPr>
          <w:rFonts w:cs="Arial"/>
        </w:rPr>
        <w:lastRenderedPageBreak/>
        <w:t xml:space="preserve">The </w:t>
      </w:r>
      <w:r w:rsidR="009259EB" w:rsidRPr="00424B90">
        <w:rPr>
          <w:rFonts w:cs="Arial"/>
        </w:rPr>
        <w:t>Plan aims to</w:t>
      </w:r>
      <w:r w:rsidR="00713DC6" w:rsidRPr="00424B90">
        <w:rPr>
          <w:rFonts w:cs="Arial"/>
        </w:rPr>
        <w:t xml:space="preserve"> </w:t>
      </w:r>
      <w:r w:rsidR="009259EB" w:rsidRPr="00424B90">
        <w:rPr>
          <w:rFonts w:cs="Arial"/>
        </w:rPr>
        <w:t>sustainably</w:t>
      </w:r>
      <w:r w:rsidR="00713DC6" w:rsidRPr="00424B90">
        <w:rPr>
          <w:rFonts w:cs="Arial"/>
        </w:rPr>
        <w:t xml:space="preserve"> reduc</w:t>
      </w:r>
      <w:r w:rsidR="009259EB" w:rsidRPr="00424B90">
        <w:rPr>
          <w:rFonts w:cs="Arial"/>
        </w:rPr>
        <w:t>e</w:t>
      </w:r>
      <w:r w:rsidR="00713DC6" w:rsidRPr="00424B90">
        <w:rPr>
          <w:rFonts w:cs="Arial"/>
        </w:rPr>
        <w:t xml:space="preserve"> stillbirth</w:t>
      </w:r>
      <w:r w:rsidR="009259EB" w:rsidRPr="00424B90">
        <w:rPr>
          <w:rFonts w:cs="Arial"/>
        </w:rPr>
        <w:t xml:space="preserve"> rates</w:t>
      </w:r>
      <w:r w:rsidR="00713DC6" w:rsidRPr="00424B90">
        <w:rPr>
          <w:rFonts w:cs="Arial"/>
        </w:rPr>
        <w:t xml:space="preserve"> </w:t>
      </w:r>
      <w:r w:rsidR="009259EB" w:rsidRPr="00424B90">
        <w:rPr>
          <w:rFonts w:cs="Arial"/>
        </w:rPr>
        <w:t>and improve bereavement care</w:t>
      </w:r>
      <w:r w:rsidR="00713DC6" w:rsidRPr="00424B90">
        <w:rPr>
          <w:rFonts w:cs="Arial"/>
        </w:rPr>
        <w:t xml:space="preserve">. </w:t>
      </w:r>
    </w:p>
    <w:p w14:paraId="61FB4F79" w14:textId="189E85E1" w:rsidR="00691ABF" w:rsidRDefault="004B1BDD" w:rsidP="00A0342C">
      <w:pPr>
        <w:pStyle w:val="ListBullet"/>
        <w:numPr>
          <w:ilvl w:val="0"/>
          <w:numId w:val="0"/>
        </w:numPr>
      </w:pPr>
      <w:r>
        <w:t xml:space="preserve">The Plan has five priority areas, each with action areas, </w:t>
      </w:r>
      <w:proofErr w:type="gramStart"/>
      <w:r>
        <w:t>goals</w:t>
      </w:r>
      <w:proofErr w:type="gramEnd"/>
      <w:r>
        <w:t xml:space="preserve"> and tasks</w:t>
      </w:r>
      <w:r w:rsidR="009259EB">
        <w:t xml:space="preserve">, </w:t>
      </w:r>
      <w:r w:rsidR="007B3324">
        <w:t xml:space="preserve">as </w:t>
      </w:r>
      <w:r w:rsidR="009259EB">
        <w:t xml:space="preserve">summarised in </w:t>
      </w:r>
      <w:r w:rsidR="002618D0">
        <w:fldChar w:fldCharType="begin"/>
      </w:r>
      <w:r w:rsidR="002618D0">
        <w:instrText xml:space="preserve"> REF _Ref86650777 \h </w:instrText>
      </w:r>
      <w:r w:rsidR="002618D0">
        <w:fldChar w:fldCharType="separate"/>
      </w:r>
      <w:r w:rsidR="00CF19E2">
        <w:t xml:space="preserve">Figure </w:t>
      </w:r>
      <w:r w:rsidR="00CF19E2">
        <w:rPr>
          <w:noProof/>
        </w:rPr>
        <w:t>1</w:t>
      </w:r>
      <w:r w:rsidR="002618D0">
        <w:fldChar w:fldCharType="end"/>
      </w:r>
      <w:r>
        <w:t xml:space="preserve">. </w:t>
      </w:r>
      <w:r w:rsidR="009259EB">
        <w:t xml:space="preserve">The Plan has a focus on stillbirth prevention and bereavement support. The timeframe for implementation is </w:t>
      </w:r>
      <w:r w:rsidR="001A2A7B">
        <w:t xml:space="preserve">December </w:t>
      </w:r>
      <w:r w:rsidR="009259EB">
        <w:t xml:space="preserve">2020 to </w:t>
      </w:r>
      <w:r w:rsidR="001A2A7B">
        <w:t xml:space="preserve">December </w:t>
      </w:r>
      <w:r w:rsidR="009259EB">
        <w:t xml:space="preserve">2030. </w:t>
      </w:r>
    </w:p>
    <w:p w14:paraId="2D7F57BD" w14:textId="7B35302D" w:rsidR="00BC631B" w:rsidRPr="00095BF8" w:rsidRDefault="00E45430" w:rsidP="00095BF8">
      <w:pPr>
        <w:pStyle w:val="ListBullet"/>
        <w:numPr>
          <w:ilvl w:val="0"/>
          <w:numId w:val="0"/>
        </w:numPr>
      </w:pPr>
      <w:r>
        <w:t>Many action areas and tasks have a general population focus, whilst others focus on specific tar</w:t>
      </w:r>
      <w:r w:rsidR="00C421D6">
        <w:t xml:space="preserve">get </w:t>
      </w:r>
      <w:r w:rsidR="0009127D">
        <w:t>cohorts such as Aboriginal and Torres Strait Islander women</w:t>
      </w:r>
      <w:r w:rsidR="009B170F">
        <w:t xml:space="preserve"> and</w:t>
      </w:r>
      <w:r w:rsidR="0009127D">
        <w:t xml:space="preserve"> women and families from</w:t>
      </w:r>
      <w:r w:rsidR="004A2F77">
        <w:t xml:space="preserve"> </w:t>
      </w:r>
      <w:r w:rsidR="0009127D">
        <w:t>CALD backgrounds</w:t>
      </w:r>
      <w:r w:rsidR="009B170F">
        <w:t>.</w:t>
      </w:r>
    </w:p>
    <w:p w14:paraId="7ECE04CF" w14:textId="4EEBB7C2" w:rsidR="00F8401D" w:rsidRDefault="002618D0" w:rsidP="00F8401D">
      <w:pPr>
        <w:pStyle w:val="Caption"/>
      </w:pPr>
      <w:bookmarkStart w:id="3" w:name="_Ref86650777"/>
      <w:r>
        <w:t xml:space="preserve">Figure </w:t>
      </w:r>
      <w:r w:rsidR="005A3A31">
        <w:fldChar w:fldCharType="begin"/>
      </w:r>
      <w:r w:rsidR="005A3A31">
        <w:instrText xml:space="preserve"> SEQ Figure \* ARABIC </w:instrText>
      </w:r>
      <w:r w:rsidR="005A3A31">
        <w:fldChar w:fldCharType="separate"/>
      </w:r>
      <w:r w:rsidR="00CF19E2">
        <w:rPr>
          <w:noProof/>
        </w:rPr>
        <w:t>1</w:t>
      </w:r>
      <w:r w:rsidR="005A3A31">
        <w:fldChar w:fldCharType="end"/>
      </w:r>
      <w:bookmarkEnd w:id="3"/>
      <w:r>
        <w:t xml:space="preserve"> | Summary of the Plan</w:t>
      </w:r>
      <w:r w:rsidR="00CC4B84">
        <w:rPr>
          <w:rStyle w:val="FootnoteReference"/>
        </w:rPr>
        <w:footnoteReference w:id="8"/>
      </w:r>
      <w:r w:rsidR="0038440C" w:rsidRPr="0038440C">
        <w:rPr>
          <w:vertAlign w:val="superscript"/>
        </w:rPr>
        <w:t>,</w:t>
      </w:r>
      <w:r w:rsidR="0038440C">
        <w:rPr>
          <w:rStyle w:val="FootnoteReference"/>
        </w:rPr>
        <w:footnoteReference w:id="9"/>
      </w:r>
    </w:p>
    <w:p w14:paraId="39EA27E7" w14:textId="6EF115A8" w:rsidR="00F8401D" w:rsidRPr="00F8401D" w:rsidRDefault="0000261A" w:rsidP="00CC4B84">
      <w:r w:rsidRPr="0000261A">
        <w:rPr>
          <w:noProof/>
        </w:rPr>
        <w:drawing>
          <wp:inline distT="0" distB="0" distL="0" distR="0" wp14:anchorId="3AB9BCB4" wp14:editId="4B4BF3F9">
            <wp:extent cx="5937747" cy="4795284"/>
            <wp:effectExtent l="0" t="0" r="6350" b="5715"/>
            <wp:docPr id="6" name="Picture 6" descr="This figure provides a summary of the National Stillbirth Action and Implementation Plan (the Plan). The Plan has the overarching goal to support a sustainable reduction in the rate of preventable stillbirth after 28 weeks, with a primary goal of 20 per cent reduction by December 2025. The Plan aims to achieve this by implementing 14 action areas and 38 tasks across the five priority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provides a summary of the National Stillbirth Action and Implementation Plan (the Plan). The Plan has the overarching goal to support a sustainable reduction in the rate of preventable stillbirth after 28 weeks, with a primary goal of 20 per cent reduction by December 2025. The Plan aims to achieve this by implementing 14 action areas and 38 tasks across the five priority area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028" cy="4799549"/>
                    </a:xfrm>
                    <a:prstGeom prst="rect">
                      <a:avLst/>
                    </a:prstGeom>
                    <a:noFill/>
                    <a:ln>
                      <a:noFill/>
                    </a:ln>
                  </pic:spPr>
                </pic:pic>
              </a:graphicData>
            </a:graphic>
          </wp:inline>
        </w:drawing>
      </w:r>
    </w:p>
    <w:p w14:paraId="07B255E1" w14:textId="2A375ED2" w:rsidR="004B0168" w:rsidRPr="00F27731" w:rsidRDefault="00031D09" w:rsidP="004B0168">
      <w:pPr>
        <w:rPr>
          <w:rFonts w:ascii="Arial" w:hAnsi="Arial" w:cs="Arial"/>
        </w:rPr>
      </w:pPr>
      <w:r>
        <w:rPr>
          <w:rFonts w:ascii="Arial" w:hAnsi="Arial" w:cs="Arial"/>
        </w:rPr>
        <w:t xml:space="preserve">Funding for </w:t>
      </w:r>
      <w:r w:rsidR="00021DC7">
        <w:rPr>
          <w:rFonts w:ascii="Arial" w:hAnsi="Arial" w:cs="Arial"/>
        </w:rPr>
        <w:t xml:space="preserve">many </w:t>
      </w:r>
      <w:r>
        <w:rPr>
          <w:rFonts w:ascii="Arial" w:hAnsi="Arial" w:cs="Arial"/>
        </w:rPr>
        <w:t xml:space="preserve">tasks under the Plan </w:t>
      </w:r>
      <w:r w:rsidR="006748AD">
        <w:rPr>
          <w:rFonts w:ascii="Arial" w:hAnsi="Arial" w:cs="Arial"/>
        </w:rPr>
        <w:t xml:space="preserve">is </w:t>
      </w:r>
      <w:r w:rsidR="00B2427B">
        <w:rPr>
          <w:rFonts w:ascii="Arial" w:hAnsi="Arial" w:cs="Arial"/>
        </w:rPr>
        <w:t>allocated</w:t>
      </w:r>
      <w:r w:rsidR="00DD3843">
        <w:rPr>
          <w:rFonts w:ascii="Arial" w:hAnsi="Arial" w:cs="Arial"/>
        </w:rPr>
        <w:t xml:space="preserve"> through </w:t>
      </w:r>
      <w:r w:rsidR="002F42AC" w:rsidRPr="00F27731">
        <w:rPr>
          <w:rFonts w:ascii="Arial" w:hAnsi="Arial" w:cs="Arial"/>
        </w:rPr>
        <w:t>existing funding agreements</w:t>
      </w:r>
      <w:r w:rsidR="00D00370" w:rsidRPr="00F27731">
        <w:rPr>
          <w:rFonts w:ascii="Arial" w:hAnsi="Arial" w:cs="Arial"/>
        </w:rPr>
        <w:t>, existing research grants</w:t>
      </w:r>
      <w:r w:rsidR="00DD3843">
        <w:rPr>
          <w:rFonts w:ascii="Arial" w:hAnsi="Arial" w:cs="Arial"/>
        </w:rPr>
        <w:t xml:space="preserve">, or specific funding allocations from Australian or </w:t>
      </w:r>
      <w:r w:rsidR="000F536B">
        <w:rPr>
          <w:rFonts w:ascii="Arial" w:hAnsi="Arial" w:cs="Arial"/>
        </w:rPr>
        <w:t>s</w:t>
      </w:r>
      <w:r w:rsidR="00DD3843">
        <w:rPr>
          <w:rFonts w:ascii="Arial" w:hAnsi="Arial" w:cs="Arial"/>
        </w:rPr>
        <w:t xml:space="preserve">tate and </w:t>
      </w:r>
      <w:r w:rsidR="000F536B">
        <w:rPr>
          <w:rFonts w:ascii="Arial" w:hAnsi="Arial" w:cs="Arial"/>
        </w:rPr>
        <w:t>t</w:t>
      </w:r>
      <w:r w:rsidR="00DD3843">
        <w:rPr>
          <w:rFonts w:ascii="Arial" w:hAnsi="Arial" w:cs="Arial"/>
        </w:rPr>
        <w:t xml:space="preserve">erritory </w:t>
      </w:r>
      <w:r w:rsidR="000F536B">
        <w:rPr>
          <w:rFonts w:ascii="Arial" w:hAnsi="Arial" w:cs="Arial"/>
        </w:rPr>
        <w:t>g</w:t>
      </w:r>
      <w:r w:rsidR="00DD3843">
        <w:rPr>
          <w:rFonts w:ascii="Arial" w:hAnsi="Arial" w:cs="Arial"/>
        </w:rPr>
        <w:t>overnment</w:t>
      </w:r>
      <w:r w:rsidR="000F536B">
        <w:rPr>
          <w:rFonts w:ascii="Arial" w:hAnsi="Arial" w:cs="Arial"/>
        </w:rPr>
        <w:t>s</w:t>
      </w:r>
      <w:r w:rsidR="00975DD1" w:rsidDel="00021DC7">
        <w:rPr>
          <w:rFonts w:ascii="Arial" w:hAnsi="Arial" w:cs="Arial"/>
        </w:rPr>
        <w:t xml:space="preserve">. </w:t>
      </w:r>
      <w:r w:rsidR="004370C3">
        <w:rPr>
          <w:rFonts w:ascii="Arial" w:hAnsi="Arial" w:cs="Arial"/>
        </w:rPr>
        <w:t>At the time of preparing this document, not all tasks under the Plan have been funded.</w:t>
      </w:r>
    </w:p>
    <w:p w14:paraId="3F8A70B1" w14:textId="77777777" w:rsidR="00607C03" w:rsidRPr="00BD0982" w:rsidRDefault="00607C03" w:rsidP="00BD0982">
      <w:r w:rsidRPr="00BD0982">
        <w:br w:type="page"/>
      </w:r>
    </w:p>
    <w:p w14:paraId="78F370D3" w14:textId="4621B1F0" w:rsidR="00633FC5" w:rsidRDefault="00633FC5" w:rsidP="00DF7E5F">
      <w:pPr>
        <w:pStyle w:val="Heading2"/>
        <w:spacing w:before="0"/>
      </w:pPr>
      <w:r>
        <w:lastRenderedPageBreak/>
        <w:t xml:space="preserve">Policy, </w:t>
      </w:r>
      <w:proofErr w:type="gramStart"/>
      <w:r>
        <w:t>stakeholder</w:t>
      </w:r>
      <w:proofErr w:type="gramEnd"/>
      <w:r>
        <w:t xml:space="preserve"> and operating context</w:t>
      </w:r>
    </w:p>
    <w:p w14:paraId="641D8566" w14:textId="28FBAADA" w:rsidR="0070544D" w:rsidRPr="00AB08CE" w:rsidRDefault="0070544D" w:rsidP="00ED2B74">
      <w:pPr>
        <w:pStyle w:val="Heading3"/>
      </w:pPr>
      <w:r w:rsidRPr="00AB08CE">
        <w:t xml:space="preserve">The </w:t>
      </w:r>
      <w:r w:rsidR="00DB6AA0">
        <w:t xml:space="preserve">context </w:t>
      </w:r>
      <w:r w:rsidR="006858DF">
        <w:t xml:space="preserve">in which the </w:t>
      </w:r>
      <w:r w:rsidRPr="00AB08CE">
        <w:t xml:space="preserve">Plan </w:t>
      </w:r>
      <w:r w:rsidR="00582187" w:rsidRPr="00AB08CE">
        <w:t xml:space="preserve">is being implemented </w:t>
      </w:r>
      <w:r w:rsidR="00346E2D">
        <w:t xml:space="preserve">and evaluated </w:t>
      </w:r>
      <w:r w:rsidR="00DB6AA0">
        <w:t>is</w:t>
      </w:r>
      <w:r w:rsidRPr="00AB08CE">
        <w:t xml:space="preserve"> complex</w:t>
      </w:r>
      <w:r w:rsidR="00DB6AA0">
        <w:t xml:space="preserve">. </w:t>
      </w:r>
    </w:p>
    <w:p w14:paraId="161255D1" w14:textId="16B58C60" w:rsidR="004B0186" w:rsidRPr="00EE2EB8" w:rsidRDefault="005E01EA" w:rsidP="00ED2B74">
      <w:pPr>
        <w:rPr>
          <w:rFonts w:ascii="Arial" w:hAnsi="Arial" w:cs="Arial"/>
        </w:rPr>
      </w:pPr>
      <w:r w:rsidRPr="00EE2EB8">
        <w:rPr>
          <w:rFonts w:ascii="Arial" w:hAnsi="Arial" w:cs="Arial"/>
          <w:lang w:eastAsia="en-AU"/>
        </w:rPr>
        <w:t>The policy</w:t>
      </w:r>
      <w:r w:rsidR="00267E96" w:rsidRPr="00EE2EB8">
        <w:rPr>
          <w:rFonts w:ascii="Arial" w:hAnsi="Arial" w:cs="Arial"/>
          <w:lang w:eastAsia="en-AU"/>
        </w:rPr>
        <w:t>, stakeholder</w:t>
      </w:r>
      <w:r w:rsidR="00392C5C" w:rsidRPr="00EE2EB8">
        <w:rPr>
          <w:rFonts w:ascii="Arial" w:hAnsi="Arial" w:cs="Arial"/>
          <w:lang w:eastAsia="en-AU"/>
        </w:rPr>
        <w:t xml:space="preserve"> and</w:t>
      </w:r>
      <w:r w:rsidR="00267E96" w:rsidRPr="00EE2EB8">
        <w:rPr>
          <w:rFonts w:ascii="Arial" w:hAnsi="Arial" w:cs="Arial"/>
          <w:lang w:eastAsia="en-AU"/>
        </w:rPr>
        <w:t xml:space="preserve"> </w:t>
      </w:r>
      <w:r w:rsidRPr="00EE2EB8">
        <w:rPr>
          <w:rFonts w:ascii="Arial" w:hAnsi="Arial" w:cs="Arial"/>
          <w:lang w:eastAsia="en-AU"/>
        </w:rPr>
        <w:t xml:space="preserve">operational context </w:t>
      </w:r>
      <w:r w:rsidR="00267E96" w:rsidRPr="00EE2EB8">
        <w:rPr>
          <w:rFonts w:ascii="Arial" w:hAnsi="Arial" w:cs="Arial"/>
          <w:lang w:eastAsia="en-AU"/>
        </w:rPr>
        <w:t xml:space="preserve">for the maternity service sector is </w:t>
      </w:r>
      <w:r w:rsidR="00607C03" w:rsidRPr="00EE2EB8">
        <w:rPr>
          <w:rFonts w:ascii="Arial" w:hAnsi="Arial" w:cs="Arial"/>
          <w:lang w:eastAsia="en-AU"/>
        </w:rPr>
        <w:t>summarised</w:t>
      </w:r>
      <w:r w:rsidR="00711549" w:rsidRPr="00EE2EB8">
        <w:rPr>
          <w:rFonts w:ascii="Arial" w:hAnsi="Arial" w:cs="Arial"/>
          <w:lang w:eastAsia="en-AU"/>
        </w:rPr>
        <w:t xml:space="preserve"> </w:t>
      </w:r>
      <w:r w:rsidRPr="00EE2EB8">
        <w:rPr>
          <w:rFonts w:ascii="Arial" w:hAnsi="Arial" w:cs="Arial"/>
        </w:rPr>
        <w:t xml:space="preserve">in </w:t>
      </w:r>
      <w:r w:rsidR="004F40C6" w:rsidRPr="00EE2EB8">
        <w:rPr>
          <w:rFonts w:ascii="Arial" w:hAnsi="Arial" w:cs="Arial"/>
        </w:rPr>
        <w:fldChar w:fldCharType="begin"/>
      </w:r>
      <w:r w:rsidR="004F40C6" w:rsidRPr="00EE2EB8">
        <w:rPr>
          <w:rFonts w:ascii="Arial" w:hAnsi="Arial" w:cs="Arial"/>
        </w:rPr>
        <w:instrText xml:space="preserve"> REF _Ref86850990 \h </w:instrText>
      </w:r>
      <w:r w:rsidR="00607C03" w:rsidRPr="00EE2EB8">
        <w:rPr>
          <w:rFonts w:ascii="Arial" w:hAnsi="Arial" w:cs="Arial"/>
        </w:rPr>
        <w:instrText xml:space="preserve"> \* MERGEFORMAT </w:instrText>
      </w:r>
      <w:r w:rsidR="004F40C6" w:rsidRPr="00EE2EB8">
        <w:rPr>
          <w:rFonts w:ascii="Arial" w:hAnsi="Arial" w:cs="Arial"/>
        </w:rPr>
      </w:r>
      <w:r w:rsidR="004F40C6" w:rsidRPr="00EE2EB8">
        <w:rPr>
          <w:rFonts w:ascii="Arial" w:hAnsi="Arial" w:cs="Arial"/>
        </w:rPr>
        <w:fldChar w:fldCharType="separate"/>
      </w:r>
      <w:r w:rsidR="00CF19E2" w:rsidRPr="00CF19E2">
        <w:rPr>
          <w:rFonts w:ascii="Arial" w:hAnsi="Arial" w:cs="Arial"/>
        </w:rPr>
        <w:t xml:space="preserve">Figure </w:t>
      </w:r>
      <w:r w:rsidR="00CF19E2" w:rsidRPr="00CF19E2">
        <w:rPr>
          <w:rFonts w:ascii="Arial" w:hAnsi="Arial" w:cs="Arial"/>
          <w:noProof/>
        </w:rPr>
        <w:t>2</w:t>
      </w:r>
      <w:r w:rsidR="004F40C6" w:rsidRPr="00EE2EB8">
        <w:rPr>
          <w:rFonts w:ascii="Arial" w:hAnsi="Arial" w:cs="Arial"/>
        </w:rPr>
        <w:fldChar w:fldCharType="end"/>
      </w:r>
      <w:r w:rsidR="004F40C6" w:rsidRPr="00EE2EB8">
        <w:rPr>
          <w:rFonts w:ascii="Arial" w:hAnsi="Arial" w:cs="Arial"/>
        </w:rPr>
        <w:t>.</w:t>
      </w:r>
      <w:r w:rsidRPr="00EE2EB8">
        <w:rPr>
          <w:rFonts w:ascii="Arial" w:hAnsi="Arial" w:cs="Arial"/>
          <w:lang w:eastAsia="en-AU"/>
        </w:rPr>
        <w:t xml:space="preserve"> </w:t>
      </w:r>
      <w:r w:rsidR="00EB09AE" w:rsidRPr="00EE2EB8">
        <w:rPr>
          <w:rFonts w:ascii="Arial" w:hAnsi="Arial" w:cs="Arial"/>
          <w:lang w:eastAsia="en-AU"/>
        </w:rPr>
        <w:t>It shows that t</w:t>
      </w:r>
      <w:r w:rsidR="004B0186" w:rsidRPr="00EE2EB8">
        <w:rPr>
          <w:rFonts w:ascii="Arial" w:hAnsi="Arial" w:cs="Arial"/>
          <w:lang w:eastAsia="en-AU"/>
        </w:rPr>
        <w:t xml:space="preserve">here are </w:t>
      </w:r>
      <w:r w:rsidRPr="00EE2EB8">
        <w:rPr>
          <w:rFonts w:ascii="Arial" w:hAnsi="Arial" w:cs="Arial"/>
        </w:rPr>
        <w:t xml:space="preserve">many stakeholders </w:t>
      </w:r>
      <w:r w:rsidR="001B1352" w:rsidRPr="00EE2EB8">
        <w:rPr>
          <w:rFonts w:ascii="Arial" w:hAnsi="Arial" w:cs="Arial"/>
        </w:rPr>
        <w:t>involved in the delivery of maternity services</w:t>
      </w:r>
      <w:r w:rsidR="00607C03" w:rsidRPr="00EE2EB8">
        <w:rPr>
          <w:rFonts w:ascii="Arial" w:hAnsi="Arial" w:cs="Arial"/>
        </w:rPr>
        <w:t xml:space="preserve"> in Australia</w:t>
      </w:r>
      <w:r w:rsidR="00392C5C" w:rsidRPr="00EE2EB8">
        <w:rPr>
          <w:rFonts w:ascii="Arial" w:hAnsi="Arial" w:cs="Arial"/>
        </w:rPr>
        <w:t xml:space="preserve">. </w:t>
      </w:r>
      <w:r w:rsidR="00EB09AE" w:rsidRPr="00EE2EB8">
        <w:rPr>
          <w:rFonts w:ascii="Arial" w:hAnsi="Arial" w:cs="Arial"/>
        </w:rPr>
        <w:t>There are also a</w:t>
      </w:r>
      <w:r w:rsidR="004B0186" w:rsidRPr="00EE2EB8">
        <w:rPr>
          <w:rFonts w:ascii="Arial" w:hAnsi="Arial" w:cs="Arial"/>
        </w:rPr>
        <w:t xml:space="preserve"> </w:t>
      </w:r>
      <w:r w:rsidR="00D25297" w:rsidRPr="00EE2EB8">
        <w:rPr>
          <w:rFonts w:ascii="Arial" w:hAnsi="Arial" w:cs="Arial"/>
        </w:rPr>
        <w:t>multitude of national and jurisdictional policies that guide the</w:t>
      </w:r>
      <w:r w:rsidR="00F64584">
        <w:rPr>
          <w:rFonts w:ascii="Arial" w:hAnsi="Arial" w:cs="Arial"/>
        </w:rPr>
        <w:t xml:space="preserve"> </w:t>
      </w:r>
      <w:r w:rsidR="00224E7B">
        <w:rPr>
          <w:rFonts w:ascii="Arial" w:hAnsi="Arial" w:cs="Arial"/>
        </w:rPr>
        <w:t xml:space="preserve">planning and </w:t>
      </w:r>
      <w:r w:rsidR="00D25297" w:rsidRPr="00EE2EB8">
        <w:rPr>
          <w:rFonts w:ascii="Arial" w:hAnsi="Arial" w:cs="Arial"/>
        </w:rPr>
        <w:t>delivery of maternity services</w:t>
      </w:r>
      <w:r w:rsidR="004B0186" w:rsidRPr="00EE2EB8">
        <w:rPr>
          <w:rFonts w:ascii="Arial" w:hAnsi="Arial" w:cs="Arial"/>
        </w:rPr>
        <w:t xml:space="preserve">. </w:t>
      </w:r>
    </w:p>
    <w:p w14:paraId="154D2976" w14:textId="4E2DDAA0" w:rsidR="003221B9" w:rsidRPr="00EE2EB8" w:rsidRDefault="00EB09AE" w:rsidP="00ED2B74">
      <w:pPr>
        <w:rPr>
          <w:rFonts w:ascii="Arial" w:hAnsi="Arial" w:cs="Arial"/>
        </w:rPr>
      </w:pPr>
      <w:r w:rsidRPr="00EE2EB8">
        <w:rPr>
          <w:rFonts w:ascii="Arial" w:hAnsi="Arial" w:cs="Arial"/>
        </w:rPr>
        <w:t>T</w:t>
      </w:r>
      <w:r w:rsidR="00B15E0D" w:rsidRPr="00EE2EB8">
        <w:rPr>
          <w:rFonts w:ascii="Arial" w:hAnsi="Arial" w:cs="Arial"/>
        </w:rPr>
        <w:t xml:space="preserve">he monitoring and evaluation approach has been designed </w:t>
      </w:r>
      <w:r w:rsidRPr="00EE2EB8">
        <w:rPr>
          <w:rFonts w:ascii="Arial" w:hAnsi="Arial" w:cs="Arial"/>
        </w:rPr>
        <w:t>to respond to</w:t>
      </w:r>
      <w:r w:rsidR="00B15E0D" w:rsidRPr="00EE2EB8">
        <w:rPr>
          <w:rFonts w:ascii="Arial" w:hAnsi="Arial" w:cs="Arial"/>
        </w:rPr>
        <w:t xml:space="preserve"> </w:t>
      </w:r>
      <w:r w:rsidR="004B0186" w:rsidRPr="00EE2EB8">
        <w:rPr>
          <w:rFonts w:ascii="Arial" w:hAnsi="Arial" w:cs="Arial"/>
        </w:rPr>
        <w:t xml:space="preserve">the Plan’s context. </w:t>
      </w:r>
      <w:r w:rsidR="003221B9" w:rsidRPr="00EE2EB8">
        <w:rPr>
          <w:rFonts w:ascii="Arial" w:hAnsi="Arial" w:cs="Arial"/>
        </w:rPr>
        <w:t>For example</w:t>
      </w:r>
      <w:r w:rsidR="008515EF" w:rsidRPr="00EE2EB8">
        <w:rPr>
          <w:rFonts w:ascii="Arial" w:hAnsi="Arial" w:cs="Arial"/>
        </w:rPr>
        <w:t xml:space="preserve">: </w:t>
      </w:r>
    </w:p>
    <w:p w14:paraId="1076F1B5" w14:textId="2EFC13D8" w:rsidR="002D0D67" w:rsidRPr="00EE2EB8" w:rsidRDefault="002D0D67" w:rsidP="00ED2B74">
      <w:pPr>
        <w:pStyle w:val="ListBullet"/>
      </w:pPr>
      <w:r w:rsidRPr="00EE2EB8">
        <w:t xml:space="preserve">The complex context may </w:t>
      </w:r>
      <w:r w:rsidR="004B4FD8" w:rsidRPr="00EE2EB8">
        <w:t xml:space="preserve">make it challenging to set a </w:t>
      </w:r>
      <w:r w:rsidRPr="00EE2EB8">
        <w:t xml:space="preserve">national baseline for the evaluation, as jurisdictions and stakeholders collect different data and are at different stages of implementation. </w:t>
      </w:r>
    </w:p>
    <w:p w14:paraId="6A81B2B5" w14:textId="598219CE" w:rsidR="003221B9" w:rsidRDefault="003221B9" w:rsidP="00ED2B74">
      <w:pPr>
        <w:pStyle w:val="ListBullet"/>
      </w:pPr>
      <w:r w:rsidRPr="00EE2EB8">
        <w:rPr>
          <w:rFonts w:cs="Arial"/>
        </w:rPr>
        <w:t>Monitoring and evaluation will use quantitative data to measure progress</w:t>
      </w:r>
      <w:r>
        <w:t xml:space="preserve"> where possible, </w:t>
      </w:r>
      <w:r w:rsidR="00836C7F">
        <w:t>complemented</w:t>
      </w:r>
      <w:r>
        <w:t xml:space="preserve"> by qualitative data and case studies to explore the reasons for progress and outcomes (or a lack of).</w:t>
      </w:r>
    </w:p>
    <w:p w14:paraId="57D78A99" w14:textId="47F77229" w:rsidR="00B15E0D" w:rsidRDefault="00B15E0D" w:rsidP="00ED2B74">
      <w:pPr>
        <w:pStyle w:val="ListBullet"/>
      </w:pPr>
      <w:r w:rsidRPr="001008F1">
        <w:t xml:space="preserve">Where features of the </w:t>
      </w:r>
      <w:r>
        <w:t xml:space="preserve">Plan </w:t>
      </w:r>
      <w:r w:rsidR="00405499">
        <w:t>itself</w:t>
      </w:r>
      <w:r w:rsidR="00ED3ADF">
        <w:t>,</w:t>
      </w:r>
      <w:r w:rsidR="00405499">
        <w:t xml:space="preserve"> </w:t>
      </w:r>
      <w:r w:rsidR="00094DF7">
        <w:t xml:space="preserve">or the </w:t>
      </w:r>
      <w:r>
        <w:t>context</w:t>
      </w:r>
      <w:r w:rsidRPr="001008F1">
        <w:t xml:space="preserve"> </w:t>
      </w:r>
      <w:r w:rsidR="00405499">
        <w:t>it is implemented in</w:t>
      </w:r>
      <w:r w:rsidR="00ED3ADF">
        <w:t>,</w:t>
      </w:r>
      <w:r w:rsidR="00405499">
        <w:t xml:space="preserve"> create</w:t>
      </w:r>
      <w:r w:rsidRPr="001008F1">
        <w:t xml:space="preserve"> challenges in measuring outcomes or in attribution, the </w:t>
      </w:r>
      <w:r>
        <w:t>Monitoring and Evaluation</w:t>
      </w:r>
      <w:r w:rsidRPr="001008F1">
        <w:t xml:space="preserve"> Framework notes </w:t>
      </w:r>
      <w:r w:rsidR="00405499">
        <w:t>limitations and/or</w:t>
      </w:r>
      <w:r w:rsidRPr="001008F1">
        <w:t xml:space="preserve"> mitigation strategies.</w:t>
      </w:r>
    </w:p>
    <w:p w14:paraId="25DAE844" w14:textId="71C543C7" w:rsidR="000B7EDC" w:rsidRDefault="000B7EDC" w:rsidP="00ED2B74">
      <w:pPr>
        <w:pStyle w:val="Caption"/>
      </w:pPr>
      <w:bookmarkStart w:id="4" w:name="_Ref86850990"/>
      <w:r>
        <w:t xml:space="preserve">Figure </w:t>
      </w:r>
      <w:r w:rsidR="005A3A31">
        <w:fldChar w:fldCharType="begin"/>
      </w:r>
      <w:r w:rsidR="005A3A31">
        <w:instrText xml:space="preserve"> SEQ Figure \* ARABIC </w:instrText>
      </w:r>
      <w:r w:rsidR="005A3A31">
        <w:fldChar w:fldCharType="separate"/>
      </w:r>
      <w:r w:rsidR="00CF19E2">
        <w:rPr>
          <w:noProof/>
        </w:rPr>
        <w:t>2</w:t>
      </w:r>
      <w:r w:rsidR="005A3A31">
        <w:fldChar w:fldCharType="end"/>
      </w:r>
      <w:bookmarkEnd w:id="4"/>
      <w:r>
        <w:t xml:space="preserve"> | Summary of the complex landscape in that the Plan operates within</w:t>
      </w:r>
    </w:p>
    <w:p w14:paraId="5976367F" w14:textId="1FC9DB16" w:rsidR="000B7EDC" w:rsidRDefault="004D4B2B" w:rsidP="00ED2B74">
      <w:r w:rsidRPr="004D4B2B">
        <w:rPr>
          <w:noProof/>
        </w:rPr>
        <w:drawing>
          <wp:inline distT="0" distB="0" distL="0" distR="0" wp14:anchorId="43FF0E87" wp14:editId="3CD96B94">
            <wp:extent cx="5904230" cy="3913505"/>
            <wp:effectExtent l="0" t="0" r="1270" b="0"/>
            <wp:docPr id="7" name="Picture 7" descr="This figure describes the complex policy landscape that the Plan operates in. This includes workforce pressures, increasing use of intervention and a large group of invested stakeholders. The Plan must also align to policy documents including Woman-centred care: Strategic directions for Australian maternity services and the National Agreement on Closing the G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describes the complex policy landscape that the Plan operates in. This includes workforce pressures, increasing use of intervention and a large group of invested stakeholders. The Plan must also align to policy documents including Woman-centred care: Strategic directions for Australian maternity services and the National Agreement on Closing the Gap.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4230" cy="3913505"/>
                    </a:xfrm>
                    <a:prstGeom prst="rect">
                      <a:avLst/>
                    </a:prstGeom>
                    <a:noFill/>
                    <a:ln>
                      <a:noFill/>
                    </a:ln>
                  </pic:spPr>
                </pic:pic>
              </a:graphicData>
            </a:graphic>
          </wp:inline>
        </w:drawing>
      </w:r>
    </w:p>
    <w:p w14:paraId="278974D0" w14:textId="1A92C6AA" w:rsidR="004B0186" w:rsidRPr="00EE2EB8" w:rsidRDefault="004B0186" w:rsidP="00ED2B74">
      <w:pPr>
        <w:rPr>
          <w:rFonts w:ascii="Arial" w:hAnsi="Arial" w:cs="Arial"/>
        </w:rPr>
      </w:pPr>
      <w:r w:rsidRPr="00EE2EB8">
        <w:rPr>
          <w:rFonts w:ascii="Arial" w:hAnsi="Arial" w:cs="Arial"/>
        </w:rPr>
        <w:t xml:space="preserve">Each element of </w:t>
      </w:r>
      <w:r w:rsidR="00ED3ADF" w:rsidRPr="00EE2EB8">
        <w:rPr>
          <w:rFonts w:ascii="Arial" w:hAnsi="Arial" w:cs="Arial"/>
        </w:rPr>
        <w:t xml:space="preserve">context shown in </w:t>
      </w:r>
      <w:r w:rsidRPr="00EE2EB8">
        <w:rPr>
          <w:rFonts w:ascii="Arial" w:hAnsi="Arial" w:cs="Arial"/>
        </w:rPr>
        <w:fldChar w:fldCharType="begin"/>
      </w:r>
      <w:r w:rsidRPr="00EE2EB8">
        <w:rPr>
          <w:rFonts w:ascii="Arial" w:hAnsi="Arial" w:cs="Arial"/>
        </w:rPr>
        <w:instrText xml:space="preserve"> REF _Ref86850990 \h  \* MERGEFORMAT </w:instrText>
      </w:r>
      <w:r w:rsidRPr="00EE2EB8">
        <w:rPr>
          <w:rFonts w:ascii="Arial" w:hAnsi="Arial" w:cs="Arial"/>
        </w:rPr>
      </w:r>
      <w:r w:rsidRPr="00EE2EB8">
        <w:rPr>
          <w:rFonts w:ascii="Arial" w:hAnsi="Arial" w:cs="Arial"/>
        </w:rPr>
        <w:fldChar w:fldCharType="separate"/>
      </w:r>
      <w:r w:rsidR="00CF19E2" w:rsidRPr="00CF19E2">
        <w:rPr>
          <w:rFonts w:ascii="Arial" w:hAnsi="Arial" w:cs="Arial"/>
        </w:rPr>
        <w:t xml:space="preserve">Figure </w:t>
      </w:r>
      <w:r w:rsidR="00CF19E2" w:rsidRPr="00CF19E2">
        <w:rPr>
          <w:rFonts w:ascii="Arial" w:hAnsi="Arial" w:cs="Arial"/>
          <w:noProof/>
        </w:rPr>
        <w:t>2</w:t>
      </w:r>
      <w:r w:rsidRPr="00EE2EB8">
        <w:rPr>
          <w:rFonts w:ascii="Arial" w:hAnsi="Arial" w:cs="Arial"/>
        </w:rPr>
        <w:fldChar w:fldCharType="end"/>
      </w:r>
      <w:r w:rsidRPr="00EE2EB8">
        <w:rPr>
          <w:rFonts w:ascii="Arial" w:hAnsi="Arial" w:cs="Arial"/>
        </w:rPr>
        <w:t xml:space="preserve"> is described below. </w:t>
      </w:r>
    </w:p>
    <w:p w14:paraId="621B1F77" w14:textId="78AEDA1C" w:rsidR="001B1352" w:rsidRPr="00BD0982" w:rsidRDefault="005C4E12" w:rsidP="00BD0982">
      <w:pPr>
        <w:pStyle w:val="Heading4"/>
      </w:pPr>
      <w:r w:rsidRPr="00BD0982">
        <w:t>STAKEHOLDER ENVIRONMENT</w:t>
      </w:r>
    </w:p>
    <w:p w14:paraId="4F34C7B9" w14:textId="3C92656D" w:rsidR="00825780" w:rsidRPr="00EE2EB8" w:rsidRDefault="004A1532" w:rsidP="00ED2B74">
      <w:pPr>
        <w:rPr>
          <w:rFonts w:ascii="Arial" w:hAnsi="Arial" w:cs="Arial"/>
        </w:rPr>
      </w:pPr>
      <w:r w:rsidRPr="00EE2EB8">
        <w:rPr>
          <w:rFonts w:ascii="Arial" w:hAnsi="Arial" w:cs="Arial"/>
        </w:rPr>
        <w:t xml:space="preserve">Responsibility for funding, </w:t>
      </w:r>
      <w:proofErr w:type="gramStart"/>
      <w:r w:rsidRPr="00EE2EB8">
        <w:rPr>
          <w:rFonts w:ascii="Arial" w:hAnsi="Arial" w:cs="Arial"/>
        </w:rPr>
        <w:t>planning</w:t>
      </w:r>
      <w:proofErr w:type="gramEnd"/>
      <w:r w:rsidRPr="00EE2EB8">
        <w:rPr>
          <w:rFonts w:ascii="Arial" w:hAnsi="Arial" w:cs="Arial"/>
        </w:rPr>
        <w:t xml:space="preserve"> and delivering</w:t>
      </w:r>
      <w:r w:rsidR="00B40EBD" w:rsidRPr="00EE2EB8">
        <w:rPr>
          <w:rFonts w:ascii="Arial" w:hAnsi="Arial" w:cs="Arial"/>
        </w:rPr>
        <w:t xml:space="preserve"> maternity</w:t>
      </w:r>
      <w:r w:rsidRPr="00EE2EB8">
        <w:rPr>
          <w:rFonts w:ascii="Arial" w:hAnsi="Arial" w:cs="Arial"/>
        </w:rPr>
        <w:t xml:space="preserve"> services is shared across Australian, state and territory governments. </w:t>
      </w:r>
      <w:r w:rsidR="00C134CB" w:rsidRPr="00EE2EB8">
        <w:rPr>
          <w:rFonts w:ascii="Arial" w:hAnsi="Arial" w:cs="Arial"/>
        </w:rPr>
        <w:t>S</w:t>
      </w:r>
      <w:r w:rsidR="001B1352" w:rsidRPr="00EE2EB8">
        <w:rPr>
          <w:rFonts w:ascii="Arial" w:hAnsi="Arial" w:cs="Arial"/>
        </w:rPr>
        <w:t xml:space="preserve">ervices </w:t>
      </w:r>
      <w:r w:rsidR="00C134CB" w:rsidRPr="00EE2EB8">
        <w:rPr>
          <w:rFonts w:ascii="Arial" w:hAnsi="Arial" w:cs="Arial"/>
        </w:rPr>
        <w:t xml:space="preserve">are </w:t>
      </w:r>
      <w:r w:rsidR="001B1352" w:rsidRPr="00EE2EB8">
        <w:rPr>
          <w:rFonts w:ascii="Arial" w:hAnsi="Arial" w:cs="Arial"/>
        </w:rPr>
        <w:t xml:space="preserve">delivered across public and private services, Aboriginal Medical </w:t>
      </w:r>
      <w:proofErr w:type="gramStart"/>
      <w:r w:rsidR="001B1352" w:rsidRPr="00EE2EB8">
        <w:rPr>
          <w:rFonts w:ascii="Arial" w:hAnsi="Arial" w:cs="Arial"/>
        </w:rPr>
        <w:t>Services</w:t>
      </w:r>
      <w:proofErr w:type="gramEnd"/>
      <w:r w:rsidR="001B1352" w:rsidRPr="00EE2EB8">
        <w:rPr>
          <w:rFonts w:ascii="Arial" w:hAnsi="Arial" w:cs="Arial"/>
        </w:rPr>
        <w:t xml:space="preserve"> and other non-government providers. </w:t>
      </w:r>
      <w:r w:rsidR="0028510E" w:rsidRPr="00EE2EB8">
        <w:rPr>
          <w:rFonts w:ascii="Arial" w:hAnsi="Arial" w:cs="Arial"/>
        </w:rPr>
        <w:t>Responsibilit</w:t>
      </w:r>
      <w:r w:rsidR="001C4354" w:rsidRPr="00EE2EB8">
        <w:rPr>
          <w:rFonts w:ascii="Arial" w:hAnsi="Arial" w:cs="Arial"/>
        </w:rPr>
        <w:t>ies</w:t>
      </w:r>
      <w:r w:rsidR="0028510E" w:rsidRPr="00EE2EB8">
        <w:rPr>
          <w:rFonts w:ascii="Arial" w:hAnsi="Arial" w:cs="Arial"/>
        </w:rPr>
        <w:t xml:space="preserve"> for</w:t>
      </w:r>
      <w:r w:rsidR="001C4354" w:rsidRPr="00EE2EB8">
        <w:rPr>
          <w:rFonts w:ascii="Arial" w:hAnsi="Arial" w:cs="Arial"/>
        </w:rPr>
        <w:t>, and delivery of,</w:t>
      </w:r>
      <w:r w:rsidR="0028510E" w:rsidRPr="00EE2EB8">
        <w:rPr>
          <w:rFonts w:ascii="Arial" w:hAnsi="Arial" w:cs="Arial"/>
        </w:rPr>
        <w:t xml:space="preserve"> bereavement care is </w:t>
      </w:r>
      <w:r w:rsidR="004D4B2B" w:rsidRPr="00EE2EB8">
        <w:rPr>
          <w:rFonts w:ascii="Arial" w:hAnsi="Arial" w:cs="Arial"/>
        </w:rPr>
        <w:lastRenderedPageBreak/>
        <w:t>opaquer</w:t>
      </w:r>
      <w:r w:rsidR="0028510E" w:rsidRPr="00EE2EB8">
        <w:rPr>
          <w:rFonts w:ascii="Arial" w:hAnsi="Arial" w:cs="Arial"/>
        </w:rPr>
        <w:t xml:space="preserve">. It differs significantly across </w:t>
      </w:r>
      <w:r w:rsidR="00825780" w:rsidRPr="00EE2EB8">
        <w:rPr>
          <w:rFonts w:ascii="Arial" w:hAnsi="Arial" w:cs="Arial"/>
        </w:rPr>
        <w:t>jurisdictions</w:t>
      </w:r>
      <w:r w:rsidR="0028510E" w:rsidRPr="00EE2EB8">
        <w:rPr>
          <w:rFonts w:ascii="Arial" w:hAnsi="Arial" w:cs="Arial"/>
        </w:rPr>
        <w:t xml:space="preserve"> and individual facilities and </w:t>
      </w:r>
      <w:r w:rsidR="00825780" w:rsidRPr="00EE2EB8">
        <w:rPr>
          <w:rFonts w:ascii="Arial" w:hAnsi="Arial" w:cs="Arial"/>
        </w:rPr>
        <w:t xml:space="preserve">is difficult to comprehensively map. </w:t>
      </w:r>
    </w:p>
    <w:p w14:paraId="686D70F6" w14:textId="057215E2" w:rsidR="00825780" w:rsidRPr="00EE2EB8" w:rsidRDefault="00FC3FC1" w:rsidP="00ED2B74">
      <w:pPr>
        <w:rPr>
          <w:rFonts w:ascii="Arial" w:hAnsi="Arial" w:cs="Arial"/>
        </w:rPr>
      </w:pPr>
      <w:r>
        <w:rPr>
          <w:rFonts w:ascii="Arial" w:hAnsi="Arial" w:cs="Arial"/>
        </w:rPr>
        <w:t>There are</w:t>
      </w:r>
      <w:r w:rsidR="00825780" w:rsidRPr="00EE2EB8">
        <w:rPr>
          <w:rFonts w:ascii="Arial" w:hAnsi="Arial" w:cs="Arial"/>
        </w:rPr>
        <w:t xml:space="preserve"> a broad range of stakeholders involved in delivering the Plan. The Plan’s actions are assigned, but may not be limited to</w:t>
      </w:r>
      <w:r w:rsidR="005D46CE" w:rsidRPr="00EE2EB8">
        <w:rPr>
          <w:rFonts w:ascii="Arial" w:hAnsi="Arial" w:cs="Arial"/>
        </w:rPr>
        <w:t>, delivery by</w:t>
      </w:r>
      <w:r w:rsidR="00825780" w:rsidRPr="00EE2EB8">
        <w:rPr>
          <w:rFonts w:ascii="Arial" w:hAnsi="Arial" w:cs="Arial"/>
        </w:rPr>
        <w:t xml:space="preserve">: </w:t>
      </w:r>
    </w:p>
    <w:p w14:paraId="49938600" w14:textId="3E55A3B7" w:rsidR="00825780" w:rsidRPr="00EE2EB8" w:rsidRDefault="00825780" w:rsidP="00ED2B74">
      <w:pPr>
        <w:pStyle w:val="ListBullet"/>
        <w:rPr>
          <w:rFonts w:cs="Arial"/>
        </w:rPr>
      </w:pPr>
      <w:r w:rsidRPr="00EE2EB8">
        <w:rPr>
          <w:rFonts w:cs="Arial"/>
        </w:rPr>
        <w:t xml:space="preserve">Australian Government and state and territory </w:t>
      </w:r>
      <w:r w:rsidR="00D25EC7" w:rsidRPr="00EE2EB8">
        <w:rPr>
          <w:rFonts w:cs="Arial"/>
        </w:rPr>
        <w:t>health departments</w:t>
      </w:r>
    </w:p>
    <w:p w14:paraId="37C72616" w14:textId="6D198B10" w:rsidR="00D25EC7" w:rsidRPr="00586330" w:rsidRDefault="00D25EC7" w:rsidP="00ED2B74">
      <w:pPr>
        <w:pStyle w:val="ListBullet"/>
      </w:pPr>
      <w:r>
        <w:t>Health professionals across a range of public and private facilities</w:t>
      </w:r>
      <w:r w:rsidR="000D17CA">
        <w:t xml:space="preserve"> nationally</w:t>
      </w:r>
    </w:p>
    <w:p w14:paraId="3B8898C6" w14:textId="22B999A3" w:rsidR="00825780" w:rsidRPr="00586330" w:rsidRDefault="00E134F2" w:rsidP="00ED2B74">
      <w:pPr>
        <w:pStyle w:val="ListBullet"/>
      </w:pPr>
      <w:r w:rsidRPr="00C42192">
        <w:rPr>
          <w:rFonts w:cs="Arial"/>
        </w:rPr>
        <w:t>Stillbirth Centre of Research Excellence</w:t>
      </w:r>
      <w:r w:rsidRPr="00586330">
        <w:t xml:space="preserve"> </w:t>
      </w:r>
      <w:r>
        <w:t>(</w:t>
      </w:r>
      <w:r w:rsidR="00825780" w:rsidRPr="00586330">
        <w:t xml:space="preserve">Stillbirth </w:t>
      </w:r>
      <w:r w:rsidR="00825780">
        <w:t>CRE</w:t>
      </w:r>
      <w:r>
        <w:t>)</w:t>
      </w:r>
      <w:r w:rsidR="00825780" w:rsidRPr="00586330">
        <w:t xml:space="preserve"> </w:t>
      </w:r>
      <w:r w:rsidR="000D17CA">
        <w:t xml:space="preserve">and other researchers </w:t>
      </w:r>
    </w:p>
    <w:p w14:paraId="0259B78E" w14:textId="77777777" w:rsidR="009A7AEB" w:rsidRPr="00EE2EB8" w:rsidRDefault="009A7AEB" w:rsidP="00ED2B74">
      <w:pPr>
        <w:pStyle w:val="ListBullet"/>
        <w:rPr>
          <w:rFonts w:cs="Arial"/>
        </w:rPr>
      </w:pPr>
      <w:r w:rsidRPr="00EE2EB8">
        <w:rPr>
          <w:rFonts w:cs="Arial"/>
        </w:rPr>
        <w:t xml:space="preserve">Congress of Aboriginal and Torres Strait Islander Nurses and Midwives </w:t>
      </w:r>
      <w:r w:rsidR="004E53E4" w:rsidRPr="00EE2EB8">
        <w:rPr>
          <w:rFonts w:cs="Arial"/>
        </w:rPr>
        <w:t xml:space="preserve">(CATSINAM) </w:t>
      </w:r>
    </w:p>
    <w:p w14:paraId="46E36AF9" w14:textId="1C5DC514" w:rsidR="00825780" w:rsidRPr="00EE2EB8" w:rsidRDefault="00E77C76" w:rsidP="00ED2B74">
      <w:pPr>
        <w:pStyle w:val="ListBullet"/>
        <w:rPr>
          <w:rFonts w:cs="Arial"/>
        </w:rPr>
      </w:pPr>
      <w:r>
        <w:rPr>
          <w:rFonts w:cs="Arial"/>
        </w:rPr>
        <w:t xml:space="preserve">Australian Institute of Health and Welfare </w:t>
      </w:r>
      <w:r w:rsidR="00473FDE">
        <w:rPr>
          <w:rFonts w:cs="Arial"/>
        </w:rPr>
        <w:t>(</w:t>
      </w:r>
      <w:r w:rsidR="00825780" w:rsidRPr="00EE2EB8">
        <w:rPr>
          <w:rFonts w:cs="Arial"/>
        </w:rPr>
        <w:t>AIHW</w:t>
      </w:r>
      <w:r w:rsidR="00473FDE">
        <w:rPr>
          <w:rFonts w:cs="Arial"/>
        </w:rPr>
        <w:t>)</w:t>
      </w:r>
    </w:p>
    <w:p w14:paraId="1D8BA8A1" w14:textId="77777777" w:rsidR="009A7AEB" w:rsidRPr="00EE2EB8" w:rsidRDefault="009A7AEB" w:rsidP="00ED2B74">
      <w:pPr>
        <w:pStyle w:val="ListBullet"/>
        <w:rPr>
          <w:rFonts w:cs="Arial"/>
        </w:rPr>
      </w:pPr>
      <w:r w:rsidRPr="00EE2EB8">
        <w:rPr>
          <w:rFonts w:cs="Arial"/>
        </w:rPr>
        <w:t xml:space="preserve">Perinatal Society Australia and New Zealand </w:t>
      </w:r>
      <w:r w:rsidR="004E53E4" w:rsidRPr="00EE2EB8">
        <w:rPr>
          <w:rFonts w:cs="Arial"/>
        </w:rPr>
        <w:t>(PSANZ)</w:t>
      </w:r>
    </w:p>
    <w:p w14:paraId="11D0EEA0" w14:textId="67B45598" w:rsidR="00825780" w:rsidRPr="00EE2EB8" w:rsidRDefault="00825780" w:rsidP="00ED2B74">
      <w:pPr>
        <w:pStyle w:val="ListBullet"/>
        <w:rPr>
          <w:rFonts w:cs="Arial"/>
        </w:rPr>
      </w:pPr>
      <w:r w:rsidRPr="00EE2EB8">
        <w:rPr>
          <w:rFonts w:cs="Arial"/>
        </w:rPr>
        <w:t xml:space="preserve">Non-government </w:t>
      </w:r>
      <w:r w:rsidR="00533781" w:rsidRPr="00EE2EB8">
        <w:rPr>
          <w:rFonts w:cs="Arial"/>
        </w:rPr>
        <w:t xml:space="preserve">and advocacy </w:t>
      </w:r>
      <w:r w:rsidRPr="00EE2EB8">
        <w:rPr>
          <w:rFonts w:cs="Arial"/>
        </w:rPr>
        <w:t>organisations, including Red Nose</w:t>
      </w:r>
      <w:r w:rsidR="006D22F1">
        <w:rPr>
          <w:rFonts w:cs="Arial"/>
        </w:rPr>
        <w:t>.</w:t>
      </w:r>
    </w:p>
    <w:p w14:paraId="459AF81F" w14:textId="1805BD5F" w:rsidR="005453FD" w:rsidRPr="00EE2EB8" w:rsidRDefault="009A7AEB" w:rsidP="00ED2B74">
      <w:pPr>
        <w:rPr>
          <w:rFonts w:ascii="Arial" w:hAnsi="Arial" w:cs="Arial"/>
        </w:rPr>
      </w:pPr>
      <w:r w:rsidRPr="00EE2EB8">
        <w:rPr>
          <w:rFonts w:ascii="Arial" w:hAnsi="Arial" w:cs="Arial"/>
        </w:rPr>
        <w:t xml:space="preserve">Delivering </w:t>
      </w:r>
      <w:r w:rsidR="00825780" w:rsidRPr="00EE2EB8">
        <w:rPr>
          <w:rFonts w:ascii="Arial" w:hAnsi="Arial" w:cs="Arial"/>
        </w:rPr>
        <w:t>and evaluating the Plan therefore</w:t>
      </w:r>
      <w:r w:rsidRPr="00EE2EB8">
        <w:rPr>
          <w:rFonts w:ascii="Arial" w:hAnsi="Arial" w:cs="Arial"/>
        </w:rPr>
        <w:t xml:space="preserve"> requires</w:t>
      </w:r>
      <w:r w:rsidRPr="00EE2EB8" w:rsidDel="00222EA4">
        <w:rPr>
          <w:rFonts w:ascii="Arial" w:hAnsi="Arial" w:cs="Arial"/>
        </w:rPr>
        <w:t xml:space="preserve"> </w:t>
      </w:r>
      <w:r w:rsidR="004A1532" w:rsidRPr="00EE2EB8">
        <w:rPr>
          <w:rFonts w:ascii="Arial" w:hAnsi="Arial" w:cs="Arial"/>
        </w:rPr>
        <w:t>engaging diverse</w:t>
      </w:r>
      <w:r w:rsidRPr="00EE2EB8">
        <w:rPr>
          <w:rFonts w:ascii="Arial" w:hAnsi="Arial" w:cs="Arial"/>
        </w:rPr>
        <w:t xml:space="preserve"> stakeholders to make change</w:t>
      </w:r>
      <w:r w:rsidR="004A1532" w:rsidRPr="00EE2EB8">
        <w:rPr>
          <w:rFonts w:ascii="Arial" w:hAnsi="Arial" w:cs="Arial"/>
        </w:rPr>
        <w:t>s in practice, models of care and data collection</w:t>
      </w:r>
      <w:r w:rsidR="00B40EBD" w:rsidRPr="00EE2EB8">
        <w:rPr>
          <w:rFonts w:ascii="Arial" w:hAnsi="Arial" w:cs="Arial"/>
        </w:rPr>
        <w:t xml:space="preserve"> and collaboration across levels of government. </w:t>
      </w:r>
    </w:p>
    <w:p w14:paraId="1B41771C" w14:textId="7577B416" w:rsidR="002D3F95" w:rsidRPr="00EE2EB8" w:rsidRDefault="002D3F95" w:rsidP="00ED2B74">
      <w:pPr>
        <w:rPr>
          <w:rFonts w:ascii="Arial" w:hAnsi="Arial" w:cs="Arial"/>
        </w:rPr>
      </w:pPr>
      <w:r w:rsidRPr="00EE2EB8">
        <w:rPr>
          <w:rFonts w:ascii="Arial" w:hAnsi="Arial" w:cs="Arial"/>
        </w:rPr>
        <w:t>It is important to note that whilst these stakeholders will deliver actions under the Plan</w:t>
      </w:r>
      <w:r w:rsidR="00872353" w:rsidRPr="00EE2EB8">
        <w:rPr>
          <w:rFonts w:ascii="Arial" w:hAnsi="Arial" w:cs="Arial"/>
        </w:rPr>
        <w:t xml:space="preserve">, they (and others) may also undertake similar or overlapping </w:t>
      </w:r>
      <w:r w:rsidR="003C0353" w:rsidRPr="00EE2EB8">
        <w:rPr>
          <w:rFonts w:ascii="Arial" w:hAnsi="Arial" w:cs="Arial"/>
        </w:rPr>
        <w:t>tasks</w:t>
      </w:r>
      <w:r w:rsidR="00872353" w:rsidRPr="00EE2EB8">
        <w:rPr>
          <w:rFonts w:ascii="Arial" w:hAnsi="Arial" w:cs="Arial"/>
        </w:rPr>
        <w:t xml:space="preserve"> </w:t>
      </w:r>
      <w:r w:rsidR="00FA4C1F" w:rsidRPr="00EE2EB8">
        <w:rPr>
          <w:rFonts w:ascii="Arial" w:hAnsi="Arial" w:cs="Arial"/>
        </w:rPr>
        <w:t xml:space="preserve">related to stillbirth </w:t>
      </w:r>
      <w:r w:rsidR="00872353" w:rsidRPr="00EE2EB8">
        <w:rPr>
          <w:rFonts w:ascii="Arial" w:hAnsi="Arial" w:cs="Arial"/>
        </w:rPr>
        <w:t xml:space="preserve">that are not stated or funded under the Plan. </w:t>
      </w:r>
      <w:r w:rsidR="00F63946" w:rsidRPr="00EE2EB8">
        <w:rPr>
          <w:rFonts w:ascii="Arial" w:hAnsi="Arial" w:cs="Arial"/>
          <w:szCs w:val="17"/>
          <w:lang w:eastAsia="en-AU"/>
        </w:rPr>
        <w:t xml:space="preserve">The evaluation will </w:t>
      </w:r>
      <w:r w:rsidR="00FA4C1F" w:rsidRPr="00EE2EB8">
        <w:rPr>
          <w:rFonts w:ascii="Arial" w:hAnsi="Arial" w:cs="Arial"/>
          <w:szCs w:val="17"/>
          <w:lang w:eastAsia="en-AU"/>
        </w:rPr>
        <w:t>attempt</w:t>
      </w:r>
      <w:r w:rsidR="00F63946" w:rsidRPr="00EE2EB8">
        <w:rPr>
          <w:rFonts w:ascii="Arial" w:hAnsi="Arial" w:cs="Arial"/>
          <w:szCs w:val="17"/>
          <w:lang w:eastAsia="en-AU"/>
        </w:rPr>
        <w:t xml:space="preserve"> to separate the impact of activities outside and under the </w:t>
      </w:r>
      <w:r w:rsidR="00B10A98" w:rsidRPr="00EE2EB8">
        <w:rPr>
          <w:rFonts w:ascii="Arial" w:hAnsi="Arial" w:cs="Arial"/>
          <w:szCs w:val="17"/>
          <w:lang w:eastAsia="en-AU"/>
        </w:rPr>
        <w:t>Plan</w:t>
      </w:r>
      <w:r w:rsidR="00F63946" w:rsidRPr="00EE2EB8">
        <w:rPr>
          <w:rFonts w:ascii="Arial" w:hAnsi="Arial" w:cs="Arial"/>
          <w:szCs w:val="17"/>
          <w:lang w:eastAsia="en-AU"/>
        </w:rPr>
        <w:t>, which may be challenging.</w:t>
      </w:r>
    </w:p>
    <w:p w14:paraId="0CADB4CC" w14:textId="2BB28E6A" w:rsidR="006F7C15" w:rsidRPr="00BD0982" w:rsidRDefault="003D5FD5" w:rsidP="00BD0982">
      <w:pPr>
        <w:pStyle w:val="Heading4"/>
      </w:pPr>
      <w:r w:rsidRPr="00EE2EB8">
        <w:t>POLICY</w:t>
      </w:r>
      <w:r w:rsidRPr="00EE2EB8">
        <w:rPr>
          <w:color w:val="862F08" w:themeColor="accent5" w:themeShade="80"/>
        </w:rPr>
        <w:t xml:space="preserve"> </w:t>
      </w:r>
      <w:r w:rsidRPr="00EE2EB8">
        <w:t>AND</w:t>
      </w:r>
      <w:r w:rsidRPr="00EE2EB8">
        <w:rPr>
          <w:color w:val="862F08" w:themeColor="accent5" w:themeShade="80"/>
        </w:rPr>
        <w:t xml:space="preserve"> </w:t>
      </w:r>
      <w:r w:rsidRPr="00EE2EB8">
        <w:t>STRATEGY</w:t>
      </w:r>
      <w:r w:rsidRPr="00EE2EB8">
        <w:rPr>
          <w:color w:val="862F08" w:themeColor="accent5" w:themeShade="80"/>
        </w:rPr>
        <w:t xml:space="preserve"> </w:t>
      </w:r>
      <w:r w:rsidRPr="00EE2EB8">
        <w:t>CONTEXT</w:t>
      </w:r>
    </w:p>
    <w:p w14:paraId="56F647B2" w14:textId="311935A8" w:rsidR="008B4C30" w:rsidRPr="00EE2EB8" w:rsidRDefault="001B1352" w:rsidP="00ED2B74">
      <w:pPr>
        <w:rPr>
          <w:rFonts w:ascii="Arial" w:hAnsi="Arial" w:cs="Arial"/>
          <w:lang w:eastAsia="en-AU"/>
        </w:rPr>
      </w:pPr>
      <w:r w:rsidRPr="00EE2EB8">
        <w:rPr>
          <w:rFonts w:ascii="Arial" w:hAnsi="Arial" w:cs="Arial"/>
        </w:rPr>
        <w:t xml:space="preserve">The </w:t>
      </w:r>
      <w:r w:rsidR="00B5294D" w:rsidRPr="00EE2EB8">
        <w:rPr>
          <w:rFonts w:ascii="Arial" w:hAnsi="Arial" w:cs="Arial"/>
        </w:rPr>
        <w:t xml:space="preserve">national health and maternity service </w:t>
      </w:r>
      <w:r w:rsidRPr="00EE2EB8">
        <w:rPr>
          <w:rFonts w:ascii="Arial" w:hAnsi="Arial" w:cs="Arial"/>
        </w:rPr>
        <w:t xml:space="preserve">policy </w:t>
      </w:r>
      <w:r w:rsidR="006F7C15" w:rsidRPr="00EE2EB8">
        <w:rPr>
          <w:rFonts w:ascii="Arial" w:hAnsi="Arial" w:cs="Arial"/>
        </w:rPr>
        <w:t>context</w:t>
      </w:r>
      <w:r w:rsidR="007059D7" w:rsidRPr="00EE2EB8">
        <w:rPr>
          <w:rFonts w:ascii="Arial" w:hAnsi="Arial" w:cs="Arial"/>
        </w:rPr>
        <w:t>s</w:t>
      </w:r>
      <w:r w:rsidRPr="00EE2EB8">
        <w:rPr>
          <w:rFonts w:ascii="Arial" w:hAnsi="Arial" w:cs="Arial"/>
        </w:rPr>
        <w:t xml:space="preserve"> </w:t>
      </w:r>
      <w:r w:rsidR="00B5294D" w:rsidRPr="00EE2EB8">
        <w:rPr>
          <w:rFonts w:ascii="Arial" w:hAnsi="Arial" w:cs="Arial"/>
        </w:rPr>
        <w:t xml:space="preserve">in Australia </w:t>
      </w:r>
      <w:r w:rsidR="007059D7" w:rsidRPr="00EE2EB8">
        <w:rPr>
          <w:rFonts w:ascii="Arial" w:hAnsi="Arial" w:cs="Arial"/>
        </w:rPr>
        <w:t>are</w:t>
      </w:r>
      <w:r w:rsidRPr="00EE2EB8">
        <w:rPr>
          <w:rFonts w:ascii="Arial" w:hAnsi="Arial" w:cs="Arial"/>
        </w:rPr>
        <w:t xml:space="preserve"> </w:t>
      </w:r>
      <w:r w:rsidR="00B5294D" w:rsidRPr="00EE2EB8">
        <w:rPr>
          <w:rFonts w:ascii="Arial" w:hAnsi="Arial" w:cs="Arial"/>
        </w:rPr>
        <w:t>ever evolving</w:t>
      </w:r>
      <w:r w:rsidR="009A7AEB" w:rsidRPr="00EE2EB8">
        <w:rPr>
          <w:rFonts w:ascii="Arial" w:hAnsi="Arial" w:cs="Arial"/>
        </w:rPr>
        <w:t>.</w:t>
      </w:r>
      <w:r w:rsidR="006F7C15" w:rsidRPr="00EE2EB8">
        <w:rPr>
          <w:rFonts w:ascii="Arial" w:hAnsi="Arial" w:cs="Arial"/>
        </w:rPr>
        <w:t xml:space="preserve"> </w:t>
      </w:r>
      <w:r w:rsidR="004C0849" w:rsidRPr="00EE2EB8">
        <w:rPr>
          <w:rFonts w:ascii="Arial" w:hAnsi="Arial" w:cs="Arial"/>
        </w:rPr>
        <w:t>The Plan was developed in alignment with major current policies, which include</w:t>
      </w:r>
      <w:r w:rsidR="00B5294D" w:rsidRPr="00EE2EB8">
        <w:rPr>
          <w:rFonts w:ascii="Arial" w:hAnsi="Arial" w:cs="Arial"/>
          <w:lang w:eastAsia="en-AU"/>
        </w:rPr>
        <w:t>, but are not limited to</w:t>
      </w:r>
      <w:r w:rsidR="008B4C30" w:rsidRPr="00EE2EB8">
        <w:rPr>
          <w:rFonts w:ascii="Arial" w:hAnsi="Arial" w:cs="Arial"/>
          <w:lang w:eastAsia="en-AU"/>
        </w:rPr>
        <w:t>:</w:t>
      </w:r>
    </w:p>
    <w:p w14:paraId="3D07A3CA" w14:textId="28AB0413" w:rsidR="001B1352" w:rsidRPr="00EE2EB8" w:rsidRDefault="001B1352" w:rsidP="00ED2B74">
      <w:pPr>
        <w:pStyle w:val="ListBullet"/>
      </w:pPr>
      <w:r w:rsidRPr="00EE2EB8">
        <w:rPr>
          <w:i/>
          <w:iCs/>
        </w:rPr>
        <w:t>The Woman-Centred Care: Strategic Directions for Maternity Services</w:t>
      </w:r>
      <w:r w:rsidRPr="00EE2EB8">
        <w:rPr>
          <w:i/>
        </w:rPr>
        <w:t xml:space="preserve"> (</w:t>
      </w:r>
      <w:r w:rsidR="00366D67" w:rsidRPr="00EE2EB8">
        <w:rPr>
          <w:i/>
          <w:iCs/>
        </w:rPr>
        <w:t>2019)</w:t>
      </w:r>
      <w:r w:rsidRPr="00EE2EB8">
        <w:t xml:space="preserve"> (WCC)</w:t>
      </w:r>
      <w:r w:rsidR="002F077B">
        <w:rPr>
          <w:rStyle w:val="FootnoteReference"/>
          <w:rFonts w:cs="Arial"/>
        </w:rPr>
        <w:footnoteReference w:id="10"/>
      </w:r>
      <w:r w:rsidR="00366D67" w:rsidRPr="00EE2EB8">
        <w:t xml:space="preserve"> </w:t>
      </w:r>
      <w:r w:rsidRPr="00EE2EB8">
        <w:t xml:space="preserve">aims to provide strategic and national direction </w:t>
      </w:r>
      <w:r w:rsidR="006C7BF6">
        <w:t>for</w:t>
      </w:r>
      <w:r w:rsidRPr="00EE2EB8">
        <w:t xml:space="preserve"> Australian maternity services</w:t>
      </w:r>
      <w:r w:rsidR="00903341">
        <w:t>, across all jurisdictions</w:t>
      </w:r>
      <w:r w:rsidRPr="00EE2EB8">
        <w:t xml:space="preserve">. </w:t>
      </w:r>
      <w:r w:rsidR="002E6CE6">
        <w:t xml:space="preserve">It provides overarching national strategic directions to support Australia’s high-quality maternity care system and </w:t>
      </w:r>
      <w:r w:rsidRPr="00EE2EB8">
        <w:t xml:space="preserve">enable improvements in line with </w:t>
      </w:r>
      <w:r w:rsidR="00294113">
        <w:t>contemporary</w:t>
      </w:r>
      <w:r w:rsidRPr="00EE2EB8">
        <w:t xml:space="preserve"> practice</w:t>
      </w:r>
      <w:r w:rsidR="00294113">
        <w:t xml:space="preserve">, </w:t>
      </w:r>
      <w:proofErr w:type="gramStart"/>
      <w:r w:rsidR="00294113">
        <w:t>evidence</w:t>
      </w:r>
      <w:proofErr w:type="gramEnd"/>
      <w:r w:rsidR="00294113">
        <w:t xml:space="preserve"> and international developments</w:t>
      </w:r>
      <w:r w:rsidRPr="00EE2EB8">
        <w:t xml:space="preserve">. </w:t>
      </w:r>
      <w:r w:rsidR="00B43862">
        <w:t>WCC intersects with the Plan and includes a strategic direction that focuses on reducing stillbirth rates.</w:t>
      </w:r>
      <w:r w:rsidRPr="00EE2EB8">
        <w:t xml:space="preserve"> </w:t>
      </w:r>
    </w:p>
    <w:p w14:paraId="64C52371" w14:textId="0284A242" w:rsidR="00F56BCE" w:rsidRDefault="00841CC2" w:rsidP="00ED2B74">
      <w:pPr>
        <w:pStyle w:val="ListBullet"/>
      </w:pPr>
      <w:r w:rsidRPr="00EE2EB8">
        <w:rPr>
          <w:i/>
          <w:iCs/>
        </w:rPr>
        <w:t>The National Health Reform Agreement (2020-</w:t>
      </w:r>
      <w:r w:rsidR="0085411D" w:rsidRPr="00EE2EB8">
        <w:rPr>
          <w:i/>
          <w:iCs/>
        </w:rPr>
        <w:t>20</w:t>
      </w:r>
      <w:r w:rsidR="0085411D">
        <w:rPr>
          <w:i/>
          <w:iCs/>
        </w:rPr>
        <w:t>2</w:t>
      </w:r>
      <w:r w:rsidR="0085411D" w:rsidRPr="00EE2EB8">
        <w:rPr>
          <w:i/>
          <w:iCs/>
        </w:rPr>
        <w:t>5</w:t>
      </w:r>
      <w:r w:rsidR="001449EE">
        <w:rPr>
          <w:i/>
          <w:iCs/>
        </w:rPr>
        <w:t>)</w:t>
      </w:r>
      <w:r w:rsidR="00E42321">
        <w:rPr>
          <w:rStyle w:val="FootnoteReference"/>
          <w:rFonts w:cs="Arial"/>
          <w:i/>
          <w:iCs/>
        </w:rPr>
        <w:footnoteReference w:id="11"/>
      </w:r>
      <w:r w:rsidRPr="00EE2EB8">
        <w:rPr>
          <w:i/>
          <w:iCs/>
        </w:rPr>
        <w:t xml:space="preserve"> </w:t>
      </w:r>
      <w:r w:rsidRPr="00EE2EB8">
        <w:t xml:space="preserve">is an agreement between the Australian Government and all state and territory governments that commits to improving health outcomes for Australians. The </w:t>
      </w:r>
      <w:r w:rsidRPr="004C38F7">
        <w:rPr>
          <w:i/>
          <w:iCs/>
        </w:rPr>
        <w:t>National</w:t>
      </w:r>
      <w:r w:rsidR="004C38F7" w:rsidRPr="004C38F7">
        <w:rPr>
          <w:i/>
          <w:iCs/>
        </w:rPr>
        <w:t xml:space="preserve"> Health Reform</w:t>
      </w:r>
      <w:r w:rsidRPr="004C38F7">
        <w:rPr>
          <w:i/>
          <w:iCs/>
        </w:rPr>
        <w:t xml:space="preserve"> Agreement</w:t>
      </w:r>
      <w:r w:rsidRPr="00EE2EB8">
        <w:t xml:space="preserve"> aims to provide better coordinated and joined up care</w:t>
      </w:r>
      <w:r w:rsidR="00BD6B6F" w:rsidRPr="00EE2EB8">
        <w:t>, including in regional and remote settings</w:t>
      </w:r>
      <w:r w:rsidRPr="00EE2EB8">
        <w:t>, as well as</w:t>
      </w:r>
      <w:r>
        <w:t xml:space="preserve"> provide a mechanism for transparency, </w:t>
      </w:r>
      <w:proofErr w:type="gramStart"/>
      <w:r>
        <w:t>governance</w:t>
      </w:r>
      <w:proofErr w:type="gramEnd"/>
      <w:r>
        <w:t xml:space="preserve"> and financing Australia’s public hospital system. This agreement </w:t>
      </w:r>
      <w:r w:rsidR="00B514CA">
        <w:t xml:space="preserve">is a key mechanism for the governance, </w:t>
      </w:r>
      <w:proofErr w:type="gramStart"/>
      <w:r w:rsidR="00B514CA">
        <w:t>management</w:t>
      </w:r>
      <w:proofErr w:type="gramEnd"/>
      <w:r w:rsidR="00B514CA">
        <w:t xml:space="preserve"> and financing of Australia</w:t>
      </w:r>
      <w:r w:rsidR="005B2404">
        <w:t>n</w:t>
      </w:r>
      <w:r w:rsidR="00B514CA">
        <w:t xml:space="preserve"> hospitals.</w:t>
      </w:r>
      <w:r w:rsidR="00900294">
        <w:t xml:space="preserve"> </w:t>
      </w:r>
    </w:p>
    <w:p w14:paraId="07BBDA36" w14:textId="30E7EBFF" w:rsidR="00D84773" w:rsidRDefault="00F97367" w:rsidP="00ED2B74">
      <w:pPr>
        <w:pStyle w:val="ListBullet"/>
      </w:pPr>
      <w:r w:rsidRPr="00F56BCE">
        <w:rPr>
          <w:i/>
          <w:iCs/>
        </w:rPr>
        <w:t xml:space="preserve">The </w:t>
      </w:r>
      <w:r w:rsidR="00E862DF" w:rsidRPr="00F56BCE">
        <w:rPr>
          <w:i/>
          <w:iCs/>
        </w:rPr>
        <w:t>National Agreement on Closing the Gap</w:t>
      </w:r>
      <w:r w:rsidR="009009FA">
        <w:rPr>
          <w:i/>
          <w:iCs/>
        </w:rPr>
        <w:t xml:space="preserve"> (2020)</w:t>
      </w:r>
      <w:r w:rsidR="009009FA">
        <w:rPr>
          <w:rStyle w:val="FootnoteReference"/>
          <w:i/>
          <w:iCs/>
        </w:rPr>
        <w:footnoteReference w:id="12"/>
      </w:r>
      <w:r w:rsidR="00F56BCE" w:rsidRPr="00F56BCE">
        <w:rPr>
          <w:i/>
          <w:iCs/>
        </w:rPr>
        <w:t xml:space="preserve"> </w:t>
      </w:r>
      <w:r w:rsidR="00165E79">
        <w:t xml:space="preserve">enables </w:t>
      </w:r>
      <w:r w:rsidR="00F56BCE">
        <w:t>governments to work with Aboriginal and Torres Strait Islander communities to overcome the inequitable life outcomes experienced by Aboriginal and Torres Strait Islander people.</w:t>
      </w:r>
      <w:r w:rsidR="00165E79">
        <w:t xml:space="preserve"> Closing the Gap currently has 17 targets focused on reducing inequity throughout all stages of li</w:t>
      </w:r>
      <w:r w:rsidR="00DC762D">
        <w:t>f</w:t>
      </w:r>
      <w:r w:rsidR="00165E79">
        <w:t xml:space="preserve">e. The Plan </w:t>
      </w:r>
      <w:r w:rsidR="004850FB">
        <w:t>compl</w:t>
      </w:r>
      <w:r w:rsidR="00B73E8E">
        <w:t>e</w:t>
      </w:r>
      <w:r w:rsidR="004850FB">
        <w:t xml:space="preserve">ments </w:t>
      </w:r>
      <w:r w:rsidR="006244F9">
        <w:t xml:space="preserve">the </w:t>
      </w:r>
      <w:r w:rsidR="006244F9" w:rsidRPr="004C38F7">
        <w:rPr>
          <w:i/>
          <w:iCs/>
        </w:rPr>
        <w:t>National Agreement on</w:t>
      </w:r>
      <w:r w:rsidR="006244F9">
        <w:t xml:space="preserve"> </w:t>
      </w:r>
      <w:r w:rsidR="00165E79" w:rsidRPr="004C38F7">
        <w:rPr>
          <w:i/>
          <w:iCs/>
        </w:rPr>
        <w:t>Closing the Gap</w:t>
      </w:r>
      <w:r w:rsidR="00165E79">
        <w:t xml:space="preserve"> and will be key to reducing the high rate of stillbirth experienced by Aboriginal and Torres Strait Islander women and families. </w:t>
      </w:r>
    </w:p>
    <w:p w14:paraId="4BB39BEB" w14:textId="5A949311" w:rsidR="00F56BCE" w:rsidRDefault="00F40186" w:rsidP="00ED2B74">
      <w:pPr>
        <w:pStyle w:val="ListBullet"/>
      </w:pPr>
      <w:r>
        <w:lastRenderedPageBreak/>
        <w:t>A range of jurisdictional level health strategies and plans</w:t>
      </w:r>
      <w:r w:rsidR="006475DF">
        <w:t xml:space="preserve"> govern the delivery of state and local maternity services. Examples include</w:t>
      </w:r>
      <w:r>
        <w:t xml:space="preserve"> </w:t>
      </w:r>
      <w:r w:rsidR="00A7317D">
        <w:rPr>
          <w:i/>
          <w:iCs/>
        </w:rPr>
        <w:t>The</w:t>
      </w:r>
      <w:r w:rsidR="003D64DB">
        <w:rPr>
          <w:i/>
          <w:iCs/>
        </w:rPr>
        <w:t xml:space="preserve"> New South Wales</w:t>
      </w:r>
      <w:r w:rsidR="00A7317D">
        <w:rPr>
          <w:i/>
          <w:iCs/>
        </w:rPr>
        <w:t xml:space="preserve"> Maternity Care Policy</w:t>
      </w:r>
      <w:r w:rsidR="0045783B">
        <w:rPr>
          <w:rStyle w:val="FootnoteReference"/>
          <w:i/>
          <w:iCs/>
        </w:rPr>
        <w:footnoteReference w:id="13"/>
      </w:r>
      <w:r w:rsidR="004A547A">
        <w:rPr>
          <w:i/>
          <w:iCs/>
        </w:rPr>
        <w:t xml:space="preserve"> </w:t>
      </w:r>
      <w:r w:rsidR="004A547A">
        <w:t xml:space="preserve">and the </w:t>
      </w:r>
      <w:r w:rsidR="003D64DB">
        <w:rPr>
          <w:i/>
          <w:iCs/>
        </w:rPr>
        <w:t>Capability frameworks for Victorian maternity and newborn services</w:t>
      </w:r>
      <w:r w:rsidR="007F5F6D">
        <w:rPr>
          <w:i/>
          <w:iCs/>
        </w:rPr>
        <w:t xml:space="preserve"> (2019)</w:t>
      </w:r>
      <w:r w:rsidR="004C38F7">
        <w:rPr>
          <w:rStyle w:val="FootnoteReference"/>
          <w:i/>
          <w:iCs/>
        </w:rPr>
        <w:footnoteReference w:id="14"/>
      </w:r>
      <w:r w:rsidR="003D64DB">
        <w:t xml:space="preserve">. Variation within the policy context </w:t>
      </w:r>
      <w:r w:rsidR="00C66A34">
        <w:t>between each state and territory</w:t>
      </w:r>
      <w:r w:rsidR="0079740A">
        <w:t xml:space="preserve"> </w:t>
      </w:r>
      <w:r w:rsidR="00633684">
        <w:t>mean</w:t>
      </w:r>
      <w:r w:rsidR="00BC4A41">
        <w:t xml:space="preserve">s </w:t>
      </w:r>
      <w:r w:rsidR="0079740A">
        <w:t xml:space="preserve">that jurisdictional approaches to implementing </w:t>
      </w:r>
      <w:r w:rsidR="00E61759">
        <w:t xml:space="preserve">the Plan </w:t>
      </w:r>
      <w:r w:rsidR="00CB33B9">
        <w:t>will vary.</w:t>
      </w:r>
      <w:r w:rsidR="00165E79">
        <w:t xml:space="preserve"> </w:t>
      </w:r>
    </w:p>
    <w:p w14:paraId="7AF42922" w14:textId="34260D91" w:rsidR="00B5294D" w:rsidRDefault="005F70A3" w:rsidP="00ED2B74">
      <w:pPr>
        <w:pStyle w:val="ListBullet"/>
      </w:pPr>
      <w:r>
        <w:t>New national and jurisdictional</w:t>
      </w:r>
      <w:r w:rsidR="00B5294D">
        <w:t xml:space="preserve"> policies, strategies and plans will</w:t>
      </w:r>
      <w:r>
        <w:t xml:space="preserve"> likely</w:t>
      </w:r>
      <w:r w:rsidR="00B5294D">
        <w:t xml:space="preserve"> be released </w:t>
      </w:r>
      <w:r>
        <w:t xml:space="preserve">as the Plan is implemented. Those managing and delivering the Plan will need to consider the changing reform and policy context through to 2030. </w:t>
      </w:r>
      <w:r w:rsidR="00621175">
        <w:t>E</w:t>
      </w:r>
      <w:r w:rsidR="00EA0C77">
        <w:t>valuation of the Plan will need to consider how existing and new national and jurisdiction</w:t>
      </w:r>
      <w:r w:rsidR="002136E0">
        <w:t xml:space="preserve">al policies </w:t>
      </w:r>
      <w:r w:rsidR="00621175">
        <w:t xml:space="preserve">affect progress and outcomes as the Plan is implemented. </w:t>
      </w:r>
    </w:p>
    <w:p w14:paraId="62AAC4D2" w14:textId="76202602" w:rsidR="006F7C15" w:rsidRPr="00BD0982" w:rsidRDefault="00DF5ACF" w:rsidP="00BD0982">
      <w:pPr>
        <w:pStyle w:val="Heading4"/>
      </w:pPr>
      <w:r w:rsidRPr="00BD0982">
        <w:t>OPERATING CONTEXT</w:t>
      </w:r>
    </w:p>
    <w:p w14:paraId="2456A6FD" w14:textId="4812DEF8" w:rsidR="00826BB6" w:rsidRDefault="00826BB6" w:rsidP="00ED2B74">
      <w:pPr>
        <w:pStyle w:val="ListBullet"/>
      </w:pPr>
      <w:r>
        <w:t xml:space="preserve">Five key factors related to the maternity services operating context are important to understand for evaluation of the Plan. These are: </w:t>
      </w:r>
    </w:p>
    <w:p w14:paraId="415BB38C" w14:textId="54AD3DCA" w:rsidR="00FE7DDC" w:rsidRDefault="00826BB6" w:rsidP="00ED2B74">
      <w:pPr>
        <w:pStyle w:val="ListBullet"/>
      </w:pPr>
      <w:r w:rsidRPr="00C253ED">
        <w:rPr>
          <w:rFonts w:cs="Arial"/>
          <w:b/>
          <w:color w:val="3F4A75"/>
        </w:rPr>
        <w:t>Jurisdictional variations</w:t>
      </w:r>
      <w:r w:rsidRPr="00DF5ACF">
        <w:rPr>
          <w:color w:val="3F4A75"/>
        </w:rPr>
        <w:t xml:space="preserve">: </w:t>
      </w:r>
      <w:r w:rsidR="007A5D0E" w:rsidRPr="007A5D0E">
        <w:t xml:space="preserve">Implementation of the Plan will vary due to jurisdictional differences in maternity care policy and the significant role of </w:t>
      </w:r>
      <w:r w:rsidR="00AA6431">
        <w:t>non-government organisations (</w:t>
      </w:r>
      <w:r w:rsidR="007A5D0E" w:rsidRPr="007A5D0E">
        <w:t>NGOs</w:t>
      </w:r>
      <w:r w:rsidR="00AA6431">
        <w:t>)</w:t>
      </w:r>
      <w:r w:rsidR="007A5D0E" w:rsidRPr="007A5D0E">
        <w:t xml:space="preserve"> in delivering stillbirth and bereavement services.</w:t>
      </w:r>
      <w:r w:rsidR="007A5D0E">
        <w:t xml:space="preserve"> </w:t>
      </w:r>
      <w:r w:rsidR="00423E00">
        <w:t>Jurisdictions have</w:t>
      </w:r>
      <w:r w:rsidR="00290F43">
        <w:t xml:space="preserve"> different geographic environments and populations and therefore</w:t>
      </w:r>
      <w:r w:rsidR="00423E00">
        <w:t xml:space="preserve"> have flexibility to </w:t>
      </w:r>
      <w:r w:rsidR="00290F43">
        <w:t>identify their own priorities under the Plan</w:t>
      </w:r>
      <w:r w:rsidR="00485946">
        <w:t xml:space="preserve">, </w:t>
      </w:r>
      <w:r w:rsidR="00423E00">
        <w:t xml:space="preserve">choose what </w:t>
      </w:r>
      <w:r w:rsidR="00290F43">
        <w:t>tasks</w:t>
      </w:r>
      <w:r w:rsidR="00423E00">
        <w:t xml:space="preserve"> they implement </w:t>
      </w:r>
      <w:r w:rsidR="00485946">
        <w:t>and</w:t>
      </w:r>
      <w:r w:rsidR="00290F43">
        <w:t xml:space="preserve"> </w:t>
      </w:r>
      <w:r w:rsidR="00423E00">
        <w:t>how they</w:t>
      </w:r>
      <w:r w:rsidR="001940E9">
        <w:t xml:space="preserve"> will</w:t>
      </w:r>
      <w:r w:rsidR="00423E00">
        <w:t xml:space="preserve"> implement </w:t>
      </w:r>
      <w:r w:rsidR="001940E9">
        <w:t xml:space="preserve">those </w:t>
      </w:r>
      <w:r w:rsidR="00423E00">
        <w:t>tasks</w:t>
      </w:r>
      <w:r w:rsidR="00FE7DDC">
        <w:rPr>
          <w:szCs w:val="17"/>
        </w:rPr>
        <w:t xml:space="preserve">. This results </w:t>
      </w:r>
      <w:r w:rsidR="00FE7DDC" w:rsidRPr="0098784C">
        <w:rPr>
          <w:szCs w:val="17"/>
        </w:rPr>
        <w:t xml:space="preserve">in challenges determining national </w:t>
      </w:r>
      <w:r w:rsidR="00FE7DDC">
        <w:rPr>
          <w:szCs w:val="17"/>
        </w:rPr>
        <w:t>outcomes</w:t>
      </w:r>
      <w:r w:rsidR="00FE7DDC" w:rsidRPr="0098784C">
        <w:rPr>
          <w:szCs w:val="17"/>
        </w:rPr>
        <w:t xml:space="preserve">. Additional variability may be introduced at the </w:t>
      </w:r>
      <w:r w:rsidR="00FE7DDC">
        <w:rPr>
          <w:szCs w:val="17"/>
        </w:rPr>
        <w:t xml:space="preserve">Local Health Network (LHN), </w:t>
      </w:r>
      <w:r w:rsidR="00FE7DDC" w:rsidRPr="0098784C">
        <w:rPr>
          <w:szCs w:val="17"/>
        </w:rPr>
        <w:t>Local Health District (LHD) or Hospital and Health Service (HHS) level</w:t>
      </w:r>
      <w:r w:rsidR="00FE7DDC">
        <w:rPr>
          <w:szCs w:val="17"/>
        </w:rPr>
        <w:t xml:space="preserve">, or even at the facility level. </w:t>
      </w:r>
      <w:r w:rsidR="00324125">
        <w:rPr>
          <w:szCs w:val="17"/>
        </w:rPr>
        <w:t xml:space="preserve">Jurisdictional health services will also have different starting points for the evaluation. The evaluation will use case studies to describe </w:t>
      </w:r>
      <w:r w:rsidR="00593157">
        <w:rPr>
          <w:szCs w:val="17"/>
        </w:rPr>
        <w:t>good</w:t>
      </w:r>
      <w:r w:rsidR="00FC0246">
        <w:rPr>
          <w:szCs w:val="17"/>
        </w:rPr>
        <w:t xml:space="preserve"> practice </w:t>
      </w:r>
      <w:r w:rsidR="00324125">
        <w:rPr>
          <w:szCs w:val="17"/>
        </w:rPr>
        <w:t xml:space="preserve">jurisdictional approaches and outcomes. </w:t>
      </w:r>
    </w:p>
    <w:p w14:paraId="2E59F510" w14:textId="727615F1" w:rsidR="0033095C" w:rsidRPr="00EE2EB8" w:rsidRDefault="00826BB6" w:rsidP="00ED2B74">
      <w:pPr>
        <w:pStyle w:val="ListBullet"/>
        <w:rPr>
          <w:rFonts w:cs="Arial"/>
        </w:rPr>
      </w:pPr>
      <w:r w:rsidRPr="00C253ED">
        <w:rPr>
          <w:rFonts w:cs="Arial"/>
          <w:b/>
          <w:color w:val="3F4A75"/>
        </w:rPr>
        <w:t>Emerging good practice:</w:t>
      </w:r>
      <w:r w:rsidRPr="00DF5ACF">
        <w:rPr>
          <w:color w:val="3F4A75"/>
        </w:rPr>
        <w:t xml:space="preserve"> </w:t>
      </w:r>
      <w:r w:rsidR="0025248A">
        <w:t>E</w:t>
      </w:r>
      <w:r w:rsidR="002B4475" w:rsidRPr="002B4475">
        <w:t>v</w:t>
      </w:r>
      <w:r w:rsidR="00955768" w:rsidRPr="002B4475">
        <w:t xml:space="preserve">idence on good practice in stillbirth prevention and bereavement care </w:t>
      </w:r>
      <w:r w:rsidR="002B4475">
        <w:t xml:space="preserve">is continuously emerging and </w:t>
      </w:r>
      <w:r w:rsidR="005817DF">
        <w:t>being</w:t>
      </w:r>
      <w:r w:rsidR="002B4475">
        <w:t xml:space="preserve"> incorporated into </w:t>
      </w:r>
      <w:r w:rsidR="00507BE0">
        <w:t>service delivery</w:t>
      </w:r>
      <w:r w:rsidR="0025248A">
        <w:t xml:space="preserve">. </w:t>
      </w:r>
      <w:r w:rsidR="005817DF">
        <w:t>T</w:t>
      </w:r>
      <w:r w:rsidR="002B4475">
        <w:t>he devolved</w:t>
      </w:r>
      <w:r w:rsidR="002B4475" w:rsidRPr="002B4475">
        <w:t xml:space="preserve"> health system</w:t>
      </w:r>
      <w:r w:rsidR="00F7598E">
        <w:t xml:space="preserve"> model</w:t>
      </w:r>
      <w:r w:rsidR="002B4475">
        <w:t xml:space="preserve"> means</w:t>
      </w:r>
      <w:r w:rsidR="00955768" w:rsidRPr="002B4475">
        <w:t xml:space="preserve"> </w:t>
      </w:r>
      <w:r w:rsidR="00F7598E">
        <w:t>emerging evidence and updated models of care can be adopted to differing degrees or at differing rates</w:t>
      </w:r>
      <w:r w:rsidR="00FE75C9" w:rsidRPr="00EE2EB8">
        <w:rPr>
          <w:rFonts w:cs="Arial"/>
        </w:rPr>
        <w:t>.</w:t>
      </w:r>
      <w:r w:rsidR="0033095C" w:rsidRPr="00EE2EB8">
        <w:rPr>
          <w:rFonts w:cs="Arial"/>
        </w:rPr>
        <w:t xml:space="preserve"> </w:t>
      </w:r>
      <w:r w:rsidR="00F7598E" w:rsidRPr="00EE2EB8">
        <w:rPr>
          <w:rFonts w:cs="Arial"/>
        </w:rPr>
        <w:t xml:space="preserve">These are the </w:t>
      </w:r>
      <w:r w:rsidR="00820AE7" w:rsidRPr="00EE2EB8">
        <w:rPr>
          <w:rFonts w:cs="Arial"/>
        </w:rPr>
        <w:t>sort</w:t>
      </w:r>
      <w:r w:rsidR="00F7598E" w:rsidRPr="00EE2EB8">
        <w:rPr>
          <w:rFonts w:cs="Arial"/>
        </w:rPr>
        <w:t xml:space="preserve"> of operating context differences the evaluation will need to consider when reporting progress and outcomes. </w:t>
      </w:r>
    </w:p>
    <w:p w14:paraId="09FC2A1B" w14:textId="0C3F7A46" w:rsidR="00621F12" w:rsidRPr="00EE2EB8" w:rsidRDefault="00826BB6" w:rsidP="00ED2B74">
      <w:pPr>
        <w:pStyle w:val="ListBullet"/>
      </w:pPr>
      <w:r w:rsidRPr="00C253ED">
        <w:rPr>
          <w:b/>
          <w:color w:val="3F4A75"/>
        </w:rPr>
        <w:t xml:space="preserve">Role of </w:t>
      </w:r>
      <w:r w:rsidR="00084B22" w:rsidRPr="00C253ED">
        <w:rPr>
          <w:b/>
          <w:color w:val="3F4A75"/>
        </w:rPr>
        <w:t>NGOs</w:t>
      </w:r>
      <w:r w:rsidRPr="00C253ED">
        <w:rPr>
          <w:b/>
          <w:color w:val="3F4A75"/>
        </w:rPr>
        <w:t>:</w:t>
      </w:r>
      <w:r w:rsidRPr="00EE2EB8">
        <w:rPr>
          <w:color w:val="3F4A75"/>
        </w:rPr>
        <w:t xml:space="preserve"> </w:t>
      </w:r>
      <w:r w:rsidR="005817DF" w:rsidRPr="0051620E">
        <w:t>Many of the activities under the Plan are delivered by NGOs</w:t>
      </w:r>
      <w:r w:rsidR="00155E71">
        <w:t>, wh</w:t>
      </w:r>
      <w:r w:rsidR="00DE0824">
        <w:t>o</w:t>
      </w:r>
      <w:r w:rsidR="00155E71">
        <w:t xml:space="preserve"> </w:t>
      </w:r>
      <w:r w:rsidR="005817DF" w:rsidRPr="0051620E">
        <w:t>are recipients of government funding. This includes the delivery of stillbirth education and awareness programs and programs to support families who have experienced stillbirth.</w:t>
      </w:r>
      <w:r w:rsidR="009408A6">
        <w:t xml:space="preserve"> </w:t>
      </w:r>
      <w:r w:rsidR="00155E71">
        <w:t>T</w:t>
      </w:r>
      <w:r w:rsidR="00F61E60" w:rsidRPr="00EE2EB8">
        <w:t>he</w:t>
      </w:r>
      <w:r w:rsidR="00BE526B" w:rsidRPr="00EE2EB8">
        <w:t xml:space="preserve"> evaluation </w:t>
      </w:r>
      <w:r w:rsidR="00F61E60" w:rsidRPr="00EE2EB8">
        <w:t>will</w:t>
      </w:r>
      <w:r w:rsidR="00BE526B" w:rsidRPr="00EE2EB8">
        <w:t xml:space="preserve"> </w:t>
      </w:r>
      <w:r w:rsidR="00505329" w:rsidRPr="00EE2EB8">
        <w:t xml:space="preserve">use </w:t>
      </w:r>
      <w:r w:rsidR="00621F12" w:rsidRPr="00EE2EB8">
        <w:t>case studies</w:t>
      </w:r>
      <w:r w:rsidR="00555DF1" w:rsidRPr="00EE2EB8">
        <w:t xml:space="preserve"> to </w:t>
      </w:r>
      <w:r w:rsidR="00D55980">
        <w:t>showcase</w:t>
      </w:r>
      <w:r w:rsidR="00555DF1" w:rsidRPr="00EE2EB8" w:rsidDel="00D55980">
        <w:t xml:space="preserve"> </w:t>
      </w:r>
      <w:r w:rsidR="00621F12" w:rsidRPr="00EE2EB8">
        <w:t>specific initiatives</w:t>
      </w:r>
      <w:r w:rsidR="00155E71">
        <w:t xml:space="preserve"> (noting it is out of scope of this evaluation to evaluate specific tasks). </w:t>
      </w:r>
    </w:p>
    <w:p w14:paraId="5B125EBF" w14:textId="0C421CEC" w:rsidR="00826BB6" w:rsidRPr="00EE2EB8" w:rsidRDefault="00826BB6" w:rsidP="00ED2B74">
      <w:pPr>
        <w:pStyle w:val="ListBullet"/>
      </w:pPr>
      <w:r w:rsidRPr="00C253ED">
        <w:rPr>
          <w:b/>
          <w:color w:val="3F4A75"/>
        </w:rPr>
        <w:t>COVID-19 pandemic</w:t>
      </w:r>
      <w:r w:rsidRPr="00EE2EB8">
        <w:rPr>
          <w:color w:val="3F4A75"/>
        </w:rPr>
        <w:t xml:space="preserve">: </w:t>
      </w:r>
      <w:r w:rsidRPr="00EE2EB8">
        <w:t xml:space="preserve">COVID-19 will continue to have an impact on health services across Australia. It may result in </w:t>
      </w:r>
      <w:r w:rsidR="00DF0291">
        <w:t xml:space="preserve">competing priorities and reallocation of resources, leading to </w:t>
      </w:r>
      <w:r w:rsidRPr="00EE2EB8">
        <w:t xml:space="preserve">reduced capacity to implement tasks under the Plan </w:t>
      </w:r>
      <w:r w:rsidR="000629C5">
        <w:t>and undertake</w:t>
      </w:r>
      <w:r w:rsidRPr="00EE2EB8">
        <w:t xml:space="preserve"> data collection and </w:t>
      </w:r>
      <w:r w:rsidR="000629C5">
        <w:t xml:space="preserve">monitoring of </w:t>
      </w:r>
      <w:r w:rsidRPr="00EE2EB8">
        <w:t xml:space="preserve">trends in maternity services. </w:t>
      </w:r>
    </w:p>
    <w:p w14:paraId="37AE9464" w14:textId="2FE838DE" w:rsidR="007F5AC6" w:rsidRDefault="00826BB6" w:rsidP="00ED2B74">
      <w:pPr>
        <w:pStyle w:val="ListBullet"/>
      </w:pPr>
      <w:r w:rsidRPr="00C253ED">
        <w:rPr>
          <w:b/>
          <w:color w:val="3F4A75"/>
        </w:rPr>
        <w:t>Social taboos:</w:t>
      </w:r>
      <w:r w:rsidR="00113C05" w:rsidRPr="00EE2EB8">
        <w:rPr>
          <w:color w:val="3F4A75"/>
        </w:rPr>
        <w:t xml:space="preserve"> </w:t>
      </w:r>
      <w:r w:rsidR="000F2BC3" w:rsidRPr="00EE2EB8">
        <w:t>Social taboos and stigma</w:t>
      </w:r>
      <w:r w:rsidR="007F5AC6" w:rsidRPr="00EE2EB8">
        <w:t xml:space="preserve"> can significantly impact families who experience stillbirth</w:t>
      </w:r>
      <w:r w:rsidR="00B76AE8" w:rsidRPr="00EE2EB8">
        <w:t>,</w:t>
      </w:r>
      <w:r w:rsidR="007F5AC6" w:rsidRPr="00EE2EB8">
        <w:t xml:space="preserve"> and, in many cases, </w:t>
      </w:r>
      <w:r w:rsidR="002C6A65" w:rsidRPr="00EE2EB8">
        <w:t xml:space="preserve">this can </w:t>
      </w:r>
      <w:r w:rsidR="007F5AC6" w:rsidRPr="00EE2EB8">
        <w:t>exacerbate their trauma.</w:t>
      </w:r>
      <w:r w:rsidR="007F5AC6" w:rsidRPr="00EE2EB8">
        <w:rPr>
          <w:rStyle w:val="FootnoteReference"/>
          <w:rFonts w:cs="Arial"/>
        </w:rPr>
        <w:footnoteReference w:id="15"/>
      </w:r>
      <w:r w:rsidR="007F5AC6" w:rsidRPr="00EE2EB8">
        <w:t xml:space="preserve"> In some circles, breaking of social taboos around stillbirth are leading to increased public awareness and improved outcomes</w:t>
      </w:r>
      <w:r w:rsidR="00112E6F" w:rsidRPr="00EE2EB8">
        <w:t>. F</w:t>
      </w:r>
      <w:r w:rsidR="007F5AC6" w:rsidRPr="00EE2EB8">
        <w:t>or others</w:t>
      </w:r>
      <w:r w:rsidR="00A233CE">
        <w:t>,</w:t>
      </w:r>
      <w:r w:rsidR="007F5AC6" w:rsidRPr="00EE2EB8">
        <w:t xml:space="preserve"> cultural taboos </w:t>
      </w:r>
      <w:r w:rsidR="00876E72">
        <w:t xml:space="preserve">can create barriers to accessing bereavement care following stillbirth. </w:t>
      </w:r>
      <w:r w:rsidR="007F5AC6" w:rsidRPr="00EE2EB8">
        <w:t xml:space="preserve">Often, the latter is the experience of populations who are at higher risk of experiencing stillbirth. Social taboos </w:t>
      </w:r>
      <w:r w:rsidRPr="00EE2EB8">
        <w:t>can impact the ability to collect data (for example at the health service level or in evaluation specific consultations)</w:t>
      </w:r>
      <w:r w:rsidR="007F5AC6" w:rsidRPr="00EE2EB8">
        <w:t xml:space="preserve">. Monitoring and evaluation must be sensitive to </w:t>
      </w:r>
      <w:r w:rsidR="00CC0153" w:rsidRPr="00EE2EB8">
        <w:t>this and</w:t>
      </w:r>
      <w:r w:rsidR="00CC0153">
        <w:t xml:space="preserve"> work with jurisdictional governments to leverage existing relationships and </w:t>
      </w:r>
      <w:r w:rsidR="00F90C50">
        <w:t xml:space="preserve">local level </w:t>
      </w:r>
      <w:r w:rsidR="00CC0153">
        <w:t xml:space="preserve">data collection </w:t>
      </w:r>
      <w:r w:rsidR="00F90C50">
        <w:t xml:space="preserve">that is already underway </w:t>
      </w:r>
      <w:r w:rsidR="00CC0153">
        <w:t>as much as possible.</w:t>
      </w:r>
    </w:p>
    <w:p w14:paraId="775F487B" w14:textId="11E14015" w:rsidR="00966C37" w:rsidRDefault="003437A3" w:rsidP="00C204DD">
      <w:pPr>
        <w:pStyle w:val="Heading2"/>
        <w:tabs>
          <w:tab w:val="left" w:pos="7938"/>
        </w:tabs>
        <w:ind w:left="567"/>
      </w:pPr>
      <w:r>
        <w:lastRenderedPageBreak/>
        <w:t>Purpose</w:t>
      </w:r>
      <w:r w:rsidR="0023710B">
        <w:t xml:space="preserve"> </w:t>
      </w:r>
      <w:r w:rsidR="00966C37">
        <w:t xml:space="preserve">of the </w:t>
      </w:r>
      <w:r w:rsidR="00F748DC">
        <w:t xml:space="preserve">Monitoring and Evaluation Framework </w:t>
      </w:r>
    </w:p>
    <w:p w14:paraId="5A84F75E" w14:textId="67C15F78" w:rsidR="002A0B59" w:rsidRDefault="004F54DB" w:rsidP="00ED2B74">
      <w:pPr>
        <w:pStyle w:val="Heading3"/>
      </w:pPr>
      <w:r>
        <w:t xml:space="preserve">The </w:t>
      </w:r>
      <w:r w:rsidR="009D1A53">
        <w:t>Monitoring and Evaluation Framework</w:t>
      </w:r>
      <w:r>
        <w:t xml:space="preserve"> </w:t>
      </w:r>
      <w:r w:rsidR="00F77B0C">
        <w:t xml:space="preserve">provides the </w:t>
      </w:r>
      <w:r w:rsidR="00F41F4D">
        <w:t xml:space="preserve">overall frame to assess </w:t>
      </w:r>
      <w:r w:rsidR="00717680">
        <w:t>the Plan</w:t>
      </w:r>
      <w:r w:rsidR="003E7ECA">
        <w:t>.</w:t>
      </w:r>
    </w:p>
    <w:p w14:paraId="5CF11995" w14:textId="7D416D4F" w:rsidR="00F059FD" w:rsidRPr="00086F83" w:rsidRDefault="000106C4" w:rsidP="00267574">
      <w:pPr>
        <w:rPr>
          <w:rFonts w:ascii="Arial" w:hAnsi="Arial" w:cs="Arial"/>
        </w:rPr>
      </w:pPr>
      <w:r>
        <w:rPr>
          <w:rFonts w:ascii="Arial" w:hAnsi="Arial" w:cs="Arial"/>
        </w:rPr>
        <w:t xml:space="preserve">The Department has engaged the Nous Group to develop the </w:t>
      </w:r>
      <w:r w:rsidR="003B0497">
        <w:rPr>
          <w:rFonts w:ascii="Arial" w:hAnsi="Arial" w:cs="Arial"/>
        </w:rPr>
        <w:t xml:space="preserve">Monitoring and </w:t>
      </w:r>
      <w:r w:rsidR="00200CDC">
        <w:rPr>
          <w:rFonts w:ascii="Arial" w:hAnsi="Arial" w:cs="Arial"/>
        </w:rPr>
        <w:t xml:space="preserve">Evaluation Framework. </w:t>
      </w:r>
      <w:r w:rsidR="00484864" w:rsidRPr="00086F83">
        <w:rPr>
          <w:rFonts w:ascii="Arial" w:hAnsi="Arial" w:cs="Arial"/>
        </w:rPr>
        <w:t xml:space="preserve">Monitoring and evaluation </w:t>
      </w:r>
      <w:r w:rsidR="000546E4" w:rsidRPr="00086F83">
        <w:rPr>
          <w:rFonts w:ascii="Arial" w:hAnsi="Arial" w:cs="Arial"/>
        </w:rPr>
        <w:t>will be</w:t>
      </w:r>
      <w:r w:rsidR="00BA1158" w:rsidRPr="00086F83">
        <w:rPr>
          <w:rFonts w:ascii="Arial" w:hAnsi="Arial" w:cs="Arial"/>
        </w:rPr>
        <w:t xml:space="preserve"> used to</w:t>
      </w:r>
      <w:r w:rsidR="00267574" w:rsidRPr="00086F83">
        <w:rPr>
          <w:rFonts w:ascii="Arial" w:hAnsi="Arial" w:cs="Arial"/>
        </w:rPr>
        <w:t xml:space="preserve"> assess</w:t>
      </w:r>
      <w:r w:rsidR="00BA1158" w:rsidRPr="00086F83">
        <w:rPr>
          <w:rFonts w:ascii="Arial" w:hAnsi="Arial" w:cs="Arial"/>
        </w:rPr>
        <w:t xml:space="preserve"> the implementation of the Plan as the short-, medium- and longer-term tasks are delivered</w:t>
      </w:r>
      <w:r w:rsidR="00AD547D" w:rsidRPr="00086F83">
        <w:rPr>
          <w:rFonts w:ascii="Arial" w:hAnsi="Arial" w:cs="Arial"/>
        </w:rPr>
        <w:t xml:space="preserve"> and</w:t>
      </w:r>
      <w:r w:rsidR="00BA1158" w:rsidRPr="00086F83">
        <w:rPr>
          <w:rFonts w:ascii="Arial" w:hAnsi="Arial" w:cs="Arial"/>
        </w:rPr>
        <w:t xml:space="preserve"> </w:t>
      </w:r>
      <w:r w:rsidR="00267574" w:rsidRPr="00086F83">
        <w:rPr>
          <w:rFonts w:ascii="Arial" w:hAnsi="Arial" w:cs="Arial"/>
        </w:rPr>
        <w:t xml:space="preserve">track progress towards the </w:t>
      </w:r>
      <w:r w:rsidR="000562F4" w:rsidRPr="00086F83">
        <w:rPr>
          <w:rFonts w:ascii="Arial" w:hAnsi="Arial" w:cs="Arial"/>
        </w:rPr>
        <w:t>overarching goals.</w:t>
      </w:r>
      <w:r w:rsidR="00267574" w:rsidRPr="00086F83">
        <w:rPr>
          <w:rFonts w:ascii="Arial" w:hAnsi="Arial" w:cs="Arial"/>
        </w:rPr>
        <w:t xml:space="preserve"> In doing so,</w:t>
      </w:r>
      <w:r w:rsidR="00F059FD" w:rsidRPr="00086F83">
        <w:rPr>
          <w:rFonts w:ascii="Arial" w:hAnsi="Arial" w:cs="Arial"/>
        </w:rPr>
        <w:t xml:space="preserve"> monitoring and evaluation</w:t>
      </w:r>
      <w:r w:rsidR="000562F4" w:rsidRPr="00086F83">
        <w:rPr>
          <w:rFonts w:ascii="Arial" w:hAnsi="Arial" w:cs="Arial"/>
        </w:rPr>
        <w:t xml:space="preserve"> of the Plan has four objectives: </w:t>
      </w:r>
    </w:p>
    <w:p w14:paraId="1E3EAEDC" w14:textId="294B6874" w:rsidR="00E33EAB" w:rsidRDefault="00264DBC" w:rsidP="00267574">
      <w:r>
        <w:rPr>
          <w:noProof/>
        </w:rPr>
        <w:drawing>
          <wp:inline distT="0" distB="0" distL="0" distR="0" wp14:anchorId="632C07AF" wp14:editId="783D30D6">
            <wp:extent cx="5904230" cy="1737360"/>
            <wp:effectExtent l="0" t="0" r="1270" b="0"/>
            <wp:docPr id="42" name="Picture 42" descr="This diagram summaries the four objectives of monitoring and evaluation. This includes assessing the appropriateness, effectiveness and cost-effectiveness of the Plan, measuring and analysing the impact of the Plan, identifying barriers and enablers to the Plan and supporting ongoing monitoring of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diagram summaries the four objectives of monitoring and evaluation. This includes assessing the appropriateness, effectiveness and cost-effectiveness of the Plan, measuring and analysing the impact of the Plan, identifying barriers and enablers to the Plan and supporting ongoing monitoring of the Pla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4230" cy="1737360"/>
                    </a:xfrm>
                    <a:prstGeom prst="rect">
                      <a:avLst/>
                    </a:prstGeom>
                  </pic:spPr>
                </pic:pic>
              </a:graphicData>
            </a:graphic>
          </wp:inline>
        </w:drawing>
      </w:r>
    </w:p>
    <w:p w14:paraId="6DDDE1A1" w14:textId="0EDE7423" w:rsidR="00F52859" w:rsidRPr="00086F83" w:rsidRDefault="00717680" w:rsidP="00741228">
      <w:pPr>
        <w:rPr>
          <w:rFonts w:ascii="Arial" w:hAnsi="Arial" w:cs="Arial"/>
        </w:rPr>
      </w:pPr>
      <w:r w:rsidRPr="00086F83">
        <w:rPr>
          <w:rFonts w:ascii="Arial" w:hAnsi="Arial" w:cs="Arial"/>
        </w:rPr>
        <w:t>The</w:t>
      </w:r>
      <w:r w:rsidR="00594849" w:rsidRPr="00086F83">
        <w:rPr>
          <w:rFonts w:ascii="Arial" w:hAnsi="Arial" w:cs="Arial"/>
        </w:rPr>
        <w:t xml:space="preserve"> </w:t>
      </w:r>
      <w:r w:rsidR="00FF7B64" w:rsidRPr="00086F83">
        <w:rPr>
          <w:rFonts w:ascii="Arial" w:hAnsi="Arial" w:cs="Arial"/>
        </w:rPr>
        <w:t>M</w:t>
      </w:r>
      <w:r w:rsidR="00594849" w:rsidRPr="00086F83">
        <w:rPr>
          <w:rFonts w:ascii="Arial" w:hAnsi="Arial" w:cs="Arial"/>
        </w:rPr>
        <w:t xml:space="preserve">onitoring and </w:t>
      </w:r>
      <w:r w:rsidR="00FF7B64" w:rsidRPr="00086F83">
        <w:rPr>
          <w:rFonts w:ascii="Arial" w:hAnsi="Arial" w:cs="Arial"/>
        </w:rPr>
        <w:t>E</w:t>
      </w:r>
      <w:r w:rsidR="00594849" w:rsidRPr="00086F83">
        <w:rPr>
          <w:rFonts w:ascii="Arial" w:hAnsi="Arial" w:cs="Arial"/>
        </w:rPr>
        <w:t xml:space="preserve">valuation </w:t>
      </w:r>
      <w:r w:rsidR="00CE611A" w:rsidRPr="00086F83">
        <w:rPr>
          <w:rFonts w:ascii="Arial" w:hAnsi="Arial" w:cs="Arial"/>
        </w:rPr>
        <w:t>Framework</w:t>
      </w:r>
      <w:r w:rsidR="00583F76" w:rsidRPr="00086F83">
        <w:rPr>
          <w:rFonts w:ascii="Arial" w:hAnsi="Arial" w:cs="Arial"/>
        </w:rPr>
        <w:t xml:space="preserve"> (this document)</w:t>
      </w:r>
      <w:r w:rsidR="00FF7B64" w:rsidRPr="00086F83">
        <w:rPr>
          <w:rFonts w:ascii="Arial" w:hAnsi="Arial" w:cs="Arial"/>
        </w:rPr>
        <w:t xml:space="preserve"> </w:t>
      </w:r>
      <w:r w:rsidRPr="00086F83">
        <w:rPr>
          <w:rFonts w:ascii="Arial" w:hAnsi="Arial" w:cs="Arial"/>
        </w:rPr>
        <w:t>provides the high-level guide and theoretical bas</w:t>
      </w:r>
      <w:r w:rsidR="001B381D" w:rsidRPr="00086F83">
        <w:rPr>
          <w:rFonts w:ascii="Arial" w:hAnsi="Arial" w:cs="Arial"/>
        </w:rPr>
        <w:t>i</w:t>
      </w:r>
      <w:r w:rsidRPr="00086F83">
        <w:rPr>
          <w:rFonts w:ascii="Arial" w:hAnsi="Arial" w:cs="Arial"/>
        </w:rPr>
        <w:t>s</w:t>
      </w:r>
      <w:r w:rsidR="00CE611A" w:rsidRPr="00086F83">
        <w:rPr>
          <w:rFonts w:ascii="Arial" w:hAnsi="Arial" w:cs="Arial"/>
        </w:rPr>
        <w:t xml:space="preserve"> </w:t>
      </w:r>
      <w:r w:rsidR="00134755" w:rsidRPr="00086F83">
        <w:rPr>
          <w:rFonts w:ascii="Arial" w:hAnsi="Arial" w:cs="Arial"/>
        </w:rPr>
        <w:t>for</w:t>
      </w:r>
      <w:r w:rsidR="00CE611A" w:rsidRPr="00086F83">
        <w:rPr>
          <w:rFonts w:ascii="Arial" w:hAnsi="Arial" w:cs="Arial"/>
        </w:rPr>
        <w:t xml:space="preserve"> </w:t>
      </w:r>
      <w:r w:rsidR="001C24EB" w:rsidRPr="00086F83">
        <w:rPr>
          <w:rFonts w:ascii="Arial" w:hAnsi="Arial" w:cs="Arial"/>
        </w:rPr>
        <w:t xml:space="preserve">monitoring and evaluation </w:t>
      </w:r>
      <w:r w:rsidR="00160E57" w:rsidRPr="00086F83">
        <w:rPr>
          <w:rFonts w:ascii="Arial" w:hAnsi="Arial" w:cs="Arial"/>
        </w:rPr>
        <w:t>from 202</w:t>
      </w:r>
      <w:r w:rsidR="00C93E60" w:rsidRPr="00086F83">
        <w:rPr>
          <w:rFonts w:ascii="Arial" w:hAnsi="Arial" w:cs="Arial"/>
        </w:rPr>
        <w:t>2</w:t>
      </w:r>
      <w:r w:rsidR="00160E57" w:rsidRPr="00086F83">
        <w:rPr>
          <w:rFonts w:ascii="Arial" w:hAnsi="Arial" w:cs="Arial"/>
        </w:rPr>
        <w:t xml:space="preserve"> </w:t>
      </w:r>
      <w:r w:rsidR="00780E02" w:rsidRPr="00086F83">
        <w:rPr>
          <w:rFonts w:ascii="Arial" w:hAnsi="Arial" w:cs="Arial"/>
        </w:rPr>
        <w:t>to</w:t>
      </w:r>
      <w:r w:rsidR="00160E57" w:rsidRPr="00086F83">
        <w:rPr>
          <w:rFonts w:ascii="Arial" w:hAnsi="Arial" w:cs="Arial"/>
        </w:rPr>
        <w:t xml:space="preserve"> 2030. </w:t>
      </w:r>
      <w:r w:rsidR="00975562">
        <w:rPr>
          <w:rFonts w:ascii="Arial" w:hAnsi="Arial" w:cs="Arial"/>
        </w:rPr>
        <w:t xml:space="preserve">While the Plan’s implementation will continue into 2030, it is recommended the final evaluation is completed in 2029 to allow </w:t>
      </w:r>
      <w:r w:rsidR="004B6448">
        <w:rPr>
          <w:rFonts w:ascii="Arial" w:hAnsi="Arial" w:cs="Arial"/>
        </w:rPr>
        <w:t>evaluation findings to inform decisions</w:t>
      </w:r>
      <w:r w:rsidR="00975562">
        <w:rPr>
          <w:rFonts w:ascii="Arial" w:hAnsi="Arial" w:cs="Arial"/>
        </w:rPr>
        <w:t xml:space="preserve"> on the future of stillbirth</w:t>
      </w:r>
      <w:r w:rsidR="004B6448">
        <w:rPr>
          <w:rFonts w:ascii="Arial" w:hAnsi="Arial" w:cs="Arial"/>
        </w:rPr>
        <w:t xml:space="preserve"> activities</w:t>
      </w:r>
      <w:r w:rsidR="00975562">
        <w:rPr>
          <w:rFonts w:ascii="Arial" w:hAnsi="Arial" w:cs="Arial"/>
        </w:rPr>
        <w:t xml:space="preserve"> in Australia </w:t>
      </w:r>
      <w:r w:rsidR="00B93BB1">
        <w:rPr>
          <w:rFonts w:ascii="Arial" w:hAnsi="Arial" w:cs="Arial"/>
        </w:rPr>
        <w:t>after</w:t>
      </w:r>
      <w:r w:rsidR="00D710D3">
        <w:rPr>
          <w:rFonts w:ascii="Arial" w:hAnsi="Arial" w:cs="Arial"/>
        </w:rPr>
        <w:t xml:space="preserve"> the Plan</w:t>
      </w:r>
      <w:r w:rsidR="00B93BB1">
        <w:rPr>
          <w:rFonts w:ascii="Arial" w:hAnsi="Arial" w:cs="Arial"/>
        </w:rPr>
        <w:t>’</w:t>
      </w:r>
      <w:r w:rsidR="00D710D3">
        <w:rPr>
          <w:rFonts w:ascii="Arial" w:hAnsi="Arial" w:cs="Arial"/>
        </w:rPr>
        <w:t>s completion.</w:t>
      </w:r>
      <w:r w:rsidR="00975562">
        <w:rPr>
          <w:rFonts w:ascii="Arial" w:hAnsi="Arial" w:cs="Arial"/>
        </w:rPr>
        <w:t xml:space="preserve"> </w:t>
      </w:r>
      <w:r w:rsidR="00160E57" w:rsidRPr="00086F83">
        <w:rPr>
          <w:rFonts w:ascii="Arial" w:hAnsi="Arial" w:cs="Arial"/>
        </w:rPr>
        <w:t xml:space="preserve"> </w:t>
      </w:r>
    </w:p>
    <w:p w14:paraId="34C0EEF8" w14:textId="50D1F9A8" w:rsidR="00F52859" w:rsidRDefault="008F39A6" w:rsidP="004A5E76">
      <w:pPr>
        <w:rPr>
          <w:rFonts w:ascii="Arial" w:hAnsi="Arial" w:cs="Arial"/>
        </w:rPr>
      </w:pPr>
      <w:r w:rsidRPr="00086F83">
        <w:rPr>
          <w:rFonts w:ascii="Arial" w:hAnsi="Arial" w:cs="Arial"/>
        </w:rPr>
        <w:t>Monitoring implementation and progress</w:t>
      </w:r>
      <w:r w:rsidR="00F52859" w:rsidRPr="00086F83">
        <w:rPr>
          <w:rFonts w:ascii="Arial" w:hAnsi="Arial" w:cs="Arial"/>
        </w:rPr>
        <w:t xml:space="preserve"> of the Plan</w:t>
      </w:r>
      <w:r w:rsidR="00E81330" w:rsidRPr="00086F83">
        <w:rPr>
          <w:rFonts w:ascii="Arial" w:hAnsi="Arial" w:cs="Arial"/>
        </w:rPr>
        <w:t xml:space="preserve"> </w:t>
      </w:r>
      <w:r w:rsidR="004A5E76" w:rsidRPr="00086F83">
        <w:rPr>
          <w:rFonts w:ascii="Arial" w:hAnsi="Arial" w:cs="Arial"/>
        </w:rPr>
        <w:t>allow</w:t>
      </w:r>
      <w:r w:rsidRPr="00086F83">
        <w:rPr>
          <w:rFonts w:ascii="Arial" w:hAnsi="Arial" w:cs="Arial"/>
        </w:rPr>
        <w:t>s</w:t>
      </w:r>
      <w:r w:rsidR="004A5E76" w:rsidRPr="00086F83">
        <w:rPr>
          <w:rFonts w:ascii="Arial" w:hAnsi="Arial" w:cs="Arial"/>
        </w:rPr>
        <w:t xml:space="preserve"> for</w:t>
      </w:r>
      <w:r w:rsidR="00F52859" w:rsidRPr="00086F83">
        <w:rPr>
          <w:rFonts w:ascii="Arial" w:hAnsi="Arial" w:cs="Arial"/>
        </w:rPr>
        <w:t xml:space="preserve"> an action learning approach</w:t>
      </w:r>
      <w:r w:rsidR="003064F3" w:rsidRPr="00086F83">
        <w:rPr>
          <w:rFonts w:ascii="Arial" w:hAnsi="Arial" w:cs="Arial"/>
        </w:rPr>
        <w:t xml:space="preserve">. This </w:t>
      </w:r>
      <w:r w:rsidRPr="00086F83">
        <w:rPr>
          <w:rFonts w:ascii="Arial" w:hAnsi="Arial" w:cs="Arial"/>
        </w:rPr>
        <w:t xml:space="preserve">means regularly assessing what is working well or less well in delivery and emerging evidence of good practice. </w:t>
      </w:r>
      <w:r w:rsidR="003064F3" w:rsidRPr="00086F83">
        <w:rPr>
          <w:rFonts w:ascii="Arial" w:hAnsi="Arial" w:cs="Arial"/>
        </w:rPr>
        <w:t>This will help to ensure</w:t>
      </w:r>
      <w:r w:rsidR="00F52859" w:rsidRPr="00086F83">
        <w:rPr>
          <w:rFonts w:ascii="Arial" w:hAnsi="Arial" w:cs="Arial"/>
        </w:rPr>
        <w:t xml:space="preserve"> </w:t>
      </w:r>
      <w:r w:rsidR="004A5E76" w:rsidRPr="00086F83">
        <w:rPr>
          <w:rFonts w:ascii="Arial" w:hAnsi="Arial" w:cs="Arial"/>
        </w:rPr>
        <w:t>i</w:t>
      </w:r>
      <w:r w:rsidR="00F52859" w:rsidRPr="00086F83">
        <w:rPr>
          <w:rFonts w:ascii="Arial" w:hAnsi="Arial" w:cs="Arial"/>
        </w:rPr>
        <w:t>mplementers learn about what works</w:t>
      </w:r>
      <w:r w:rsidRPr="00086F83">
        <w:rPr>
          <w:rFonts w:ascii="Arial" w:hAnsi="Arial" w:cs="Arial"/>
        </w:rPr>
        <w:t xml:space="preserve"> to achieve outcomes</w:t>
      </w:r>
      <w:r w:rsidR="004A5E76" w:rsidRPr="00086F83">
        <w:rPr>
          <w:rFonts w:ascii="Arial" w:hAnsi="Arial" w:cs="Arial"/>
        </w:rPr>
        <w:t>,</w:t>
      </w:r>
      <w:r w:rsidR="00F52859" w:rsidRPr="00086F83">
        <w:rPr>
          <w:rFonts w:ascii="Arial" w:hAnsi="Arial" w:cs="Arial"/>
        </w:rPr>
        <w:t xml:space="preserve"> including in different contexts</w:t>
      </w:r>
      <w:r w:rsidRPr="00086F83">
        <w:rPr>
          <w:rFonts w:ascii="Arial" w:hAnsi="Arial" w:cs="Arial"/>
        </w:rPr>
        <w:t xml:space="preserve"> and for different cohorts</w:t>
      </w:r>
      <w:r w:rsidR="004A5E76" w:rsidRPr="00086F83">
        <w:rPr>
          <w:rFonts w:ascii="Arial" w:hAnsi="Arial" w:cs="Arial"/>
        </w:rPr>
        <w:t>.</w:t>
      </w:r>
    </w:p>
    <w:p w14:paraId="2D3ACDBF" w14:textId="77777777" w:rsidR="00BD0982" w:rsidRPr="00BD0982" w:rsidRDefault="00BD0982" w:rsidP="00BD0982">
      <w:pPr>
        <w:pStyle w:val="PolicyStatement"/>
      </w:pPr>
      <w:r w:rsidRPr="00BD0982">
        <w:t>COLLABORATION IN DEVELOPING THIS MONITORING AND EVALUATION FRAMEWORK</w:t>
      </w:r>
    </w:p>
    <w:p w14:paraId="43F3D501" w14:textId="77777777" w:rsidR="00BD0982" w:rsidRPr="00BD0982" w:rsidRDefault="00BD0982" w:rsidP="00BD0982">
      <w:pPr>
        <w:pStyle w:val="PolicyStatement"/>
      </w:pPr>
      <w:r w:rsidRPr="00BD0982">
        <w:t xml:space="preserve">Collaboration with the stakeholders responsible for implementing the Plan was key to a feasible Monitoring and Evaluation Framework. A feasible monitoring and evaluation approach must be based on a sound understanding of stakeholder and jurisdictional tasks, specific circumstances, </w:t>
      </w:r>
      <w:proofErr w:type="gramStart"/>
      <w:r w:rsidRPr="00BD0982">
        <w:t>timing</w:t>
      </w:r>
      <w:proofErr w:type="gramEnd"/>
      <w:r w:rsidRPr="00BD0982">
        <w:t xml:space="preserve"> and approach to task-level or jurisdictional-level measurement and evaluation. </w:t>
      </w:r>
    </w:p>
    <w:p w14:paraId="552088D3" w14:textId="7C3F5F2D" w:rsidR="00EE2EB8" w:rsidRPr="00086F83" w:rsidRDefault="00BD0982" w:rsidP="00BD0982">
      <w:pPr>
        <w:pStyle w:val="PolicyStatement"/>
      </w:pPr>
      <w:r w:rsidRPr="00BD0982">
        <w:t>Stakeholders implementing the Plan were consulted between July 2021 and February 2022 to inform the development of the Monitoring and Evaluation Framework and national indicators (see Appendix A).</w:t>
      </w:r>
    </w:p>
    <w:p w14:paraId="67D51506" w14:textId="24F61DB0" w:rsidR="003A75CF" w:rsidRDefault="003A75CF" w:rsidP="00BD0982">
      <w:pPr>
        <w:pStyle w:val="Heading2"/>
        <w:pageBreakBefore/>
        <w:ind w:left="862"/>
      </w:pPr>
      <w:r>
        <w:lastRenderedPageBreak/>
        <w:t>Structure of this document</w:t>
      </w:r>
    </w:p>
    <w:p w14:paraId="5C164BA4" w14:textId="2D713C87" w:rsidR="00F52859" w:rsidRPr="00086F83" w:rsidRDefault="00F52859" w:rsidP="00F52859">
      <w:pPr>
        <w:rPr>
          <w:rFonts w:ascii="Arial" w:hAnsi="Arial" w:cs="Arial"/>
          <w:lang w:eastAsia="en-AU"/>
        </w:rPr>
      </w:pPr>
      <w:r w:rsidRPr="00086F83">
        <w:rPr>
          <w:rFonts w:ascii="Arial" w:hAnsi="Arial" w:cs="Arial"/>
        </w:rPr>
        <w:t xml:space="preserve">The </w:t>
      </w:r>
      <w:r w:rsidR="003B5687" w:rsidRPr="00086F83">
        <w:rPr>
          <w:rFonts w:ascii="Arial" w:hAnsi="Arial" w:cs="Arial"/>
        </w:rPr>
        <w:t>Monitoring</w:t>
      </w:r>
      <w:r w:rsidR="00405DBC" w:rsidRPr="00086F83">
        <w:rPr>
          <w:rFonts w:ascii="Arial" w:hAnsi="Arial" w:cs="Arial"/>
        </w:rPr>
        <w:t xml:space="preserve"> and </w:t>
      </w:r>
      <w:r w:rsidRPr="00086F83">
        <w:rPr>
          <w:rFonts w:ascii="Arial" w:hAnsi="Arial" w:cs="Arial"/>
        </w:rPr>
        <w:t xml:space="preserve">Evaluation Framework covers </w:t>
      </w:r>
      <w:r w:rsidR="00975562">
        <w:rPr>
          <w:rFonts w:ascii="Arial" w:hAnsi="Arial" w:cs="Arial"/>
        </w:rPr>
        <w:t xml:space="preserve">monitoring and evaluation </w:t>
      </w:r>
      <w:r w:rsidRPr="00086F83">
        <w:rPr>
          <w:rFonts w:ascii="Arial" w:hAnsi="Arial" w:cs="Arial"/>
        </w:rPr>
        <w:t xml:space="preserve">activities from </w:t>
      </w:r>
      <w:r w:rsidR="00BC292E" w:rsidRPr="00086F83">
        <w:rPr>
          <w:rFonts w:ascii="Arial" w:hAnsi="Arial" w:cs="Arial"/>
        </w:rPr>
        <w:t>July 202</w:t>
      </w:r>
      <w:r w:rsidR="00AB08CE" w:rsidRPr="00086F83">
        <w:rPr>
          <w:rFonts w:ascii="Arial" w:hAnsi="Arial" w:cs="Arial"/>
        </w:rPr>
        <w:t>2</w:t>
      </w:r>
      <w:r w:rsidRPr="00086F83">
        <w:rPr>
          <w:rFonts w:ascii="Arial" w:hAnsi="Arial" w:cs="Arial"/>
        </w:rPr>
        <w:t xml:space="preserve"> to </w:t>
      </w:r>
      <w:r w:rsidR="00A80749">
        <w:rPr>
          <w:rFonts w:ascii="Arial" w:hAnsi="Arial" w:cs="Arial"/>
        </w:rPr>
        <w:t>June</w:t>
      </w:r>
      <w:r w:rsidR="00BC292E" w:rsidRPr="00086F83">
        <w:rPr>
          <w:rFonts w:ascii="Arial" w:hAnsi="Arial" w:cs="Arial"/>
        </w:rPr>
        <w:t xml:space="preserve"> 2030</w:t>
      </w:r>
      <w:r w:rsidRPr="00086F83">
        <w:rPr>
          <w:rFonts w:ascii="Arial" w:hAnsi="Arial" w:cs="Arial"/>
        </w:rPr>
        <w:t xml:space="preserve">. </w:t>
      </w:r>
      <w:r w:rsidRPr="00086F83">
        <w:rPr>
          <w:rFonts w:ascii="Arial" w:hAnsi="Arial" w:cs="Arial"/>
          <w:lang w:eastAsia="en-AU"/>
        </w:rPr>
        <w:t xml:space="preserve">The primary audience for </w:t>
      </w:r>
      <w:r w:rsidR="003B5687" w:rsidRPr="00086F83">
        <w:rPr>
          <w:rFonts w:ascii="Arial" w:hAnsi="Arial" w:cs="Arial"/>
          <w:lang w:eastAsia="en-AU"/>
        </w:rPr>
        <w:t>this document</w:t>
      </w:r>
      <w:r w:rsidRPr="00086F83">
        <w:rPr>
          <w:rFonts w:ascii="Arial" w:hAnsi="Arial" w:cs="Arial"/>
          <w:lang w:eastAsia="en-AU"/>
        </w:rPr>
        <w:t xml:space="preserve"> is the </w:t>
      </w:r>
      <w:r w:rsidR="003B5687" w:rsidRPr="00086F83">
        <w:rPr>
          <w:rFonts w:ascii="Arial" w:hAnsi="Arial" w:cs="Arial"/>
          <w:lang w:eastAsia="en-AU"/>
        </w:rPr>
        <w:t xml:space="preserve">Australian Government </w:t>
      </w:r>
      <w:r w:rsidRPr="00086F83">
        <w:rPr>
          <w:rFonts w:ascii="Arial" w:hAnsi="Arial" w:cs="Arial"/>
          <w:lang w:eastAsia="en-AU"/>
        </w:rPr>
        <w:t>Department</w:t>
      </w:r>
      <w:r w:rsidR="003B5687" w:rsidRPr="00086F83">
        <w:rPr>
          <w:rFonts w:ascii="Arial" w:hAnsi="Arial" w:cs="Arial"/>
          <w:lang w:eastAsia="en-AU"/>
        </w:rPr>
        <w:t xml:space="preserve"> of Health</w:t>
      </w:r>
      <w:r w:rsidR="00A42E65">
        <w:rPr>
          <w:rFonts w:ascii="Arial" w:hAnsi="Arial" w:cs="Arial"/>
          <w:lang w:eastAsia="en-AU"/>
        </w:rPr>
        <w:t xml:space="preserve"> and Aged Care</w:t>
      </w:r>
      <w:r w:rsidR="00BC292E" w:rsidRPr="00086F83">
        <w:rPr>
          <w:rFonts w:ascii="Arial" w:hAnsi="Arial" w:cs="Arial"/>
          <w:lang w:eastAsia="en-AU"/>
        </w:rPr>
        <w:t>,</w:t>
      </w:r>
      <w:r w:rsidRPr="00086F83">
        <w:rPr>
          <w:rFonts w:ascii="Arial" w:hAnsi="Arial" w:cs="Arial"/>
          <w:lang w:eastAsia="en-AU"/>
        </w:rPr>
        <w:t xml:space="preserve"> </w:t>
      </w:r>
      <w:proofErr w:type="gramStart"/>
      <w:r w:rsidRPr="00086F83">
        <w:rPr>
          <w:rFonts w:ascii="Arial" w:hAnsi="Arial" w:cs="Arial"/>
          <w:lang w:eastAsia="en-AU"/>
        </w:rPr>
        <w:t>state</w:t>
      </w:r>
      <w:proofErr w:type="gramEnd"/>
      <w:r w:rsidRPr="00086F83">
        <w:rPr>
          <w:rFonts w:ascii="Arial" w:hAnsi="Arial" w:cs="Arial"/>
          <w:lang w:eastAsia="en-AU"/>
        </w:rPr>
        <w:t xml:space="preserve"> and territory government representatives</w:t>
      </w:r>
      <w:r w:rsidR="00AD547D" w:rsidRPr="00086F83">
        <w:rPr>
          <w:rFonts w:ascii="Arial" w:hAnsi="Arial" w:cs="Arial"/>
          <w:lang w:eastAsia="en-AU"/>
        </w:rPr>
        <w:t xml:space="preserve"> and</w:t>
      </w:r>
      <w:r w:rsidR="00BC292E" w:rsidRPr="00086F83">
        <w:rPr>
          <w:rFonts w:ascii="Arial" w:hAnsi="Arial" w:cs="Arial"/>
          <w:lang w:eastAsia="en-AU"/>
        </w:rPr>
        <w:t xml:space="preserve"> relevant professional</w:t>
      </w:r>
      <w:r w:rsidR="00105DB0">
        <w:rPr>
          <w:rFonts w:ascii="Arial" w:hAnsi="Arial" w:cs="Arial"/>
          <w:lang w:eastAsia="en-AU"/>
        </w:rPr>
        <w:t>, academic</w:t>
      </w:r>
      <w:r w:rsidR="00BC292E" w:rsidRPr="00086F83">
        <w:rPr>
          <w:rFonts w:ascii="Arial" w:hAnsi="Arial" w:cs="Arial"/>
          <w:lang w:eastAsia="en-AU"/>
        </w:rPr>
        <w:t xml:space="preserve"> and advocacy stakeholders</w:t>
      </w:r>
      <w:r w:rsidRPr="00086F83">
        <w:rPr>
          <w:rFonts w:ascii="Arial" w:hAnsi="Arial" w:cs="Arial"/>
          <w:lang w:eastAsia="en-AU"/>
        </w:rPr>
        <w:t xml:space="preserve">. This </w:t>
      </w:r>
      <w:r w:rsidR="008D3972" w:rsidRPr="00086F83">
        <w:rPr>
          <w:rFonts w:ascii="Arial" w:hAnsi="Arial" w:cs="Arial"/>
          <w:lang w:eastAsia="en-AU"/>
        </w:rPr>
        <w:t xml:space="preserve">Monitoring and </w:t>
      </w:r>
      <w:r w:rsidRPr="00086F83">
        <w:rPr>
          <w:rFonts w:ascii="Arial" w:hAnsi="Arial" w:cs="Arial"/>
          <w:lang w:eastAsia="en-AU"/>
        </w:rPr>
        <w:t xml:space="preserve">Evaluation Framework provides: </w:t>
      </w:r>
    </w:p>
    <w:p w14:paraId="4EF7BDC9" w14:textId="77D087E2" w:rsidR="00FE6429" w:rsidRPr="00BD0982" w:rsidRDefault="00CA2162" w:rsidP="00BD0982">
      <w:pPr>
        <w:pStyle w:val="ListBullet"/>
      </w:pPr>
      <w:r w:rsidRPr="00BD0982">
        <w:t>t</w:t>
      </w:r>
      <w:r w:rsidR="00FE6429" w:rsidRPr="00BD0982">
        <w:t>he</w:t>
      </w:r>
      <w:r w:rsidR="00C432A9" w:rsidRPr="00BD0982">
        <w:t xml:space="preserve"> monitoring and</w:t>
      </w:r>
      <w:r w:rsidR="00FE6429" w:rsidRPr="00BD0982">
        <w:t xml:space="preserve"> evaluation approach, questions and data collection and analysis methods (Section </w:t>
      </w:r>
      <w:r w:rsidR="00A26FDA" w:rsidRPr="00BD0982">
        <w:fldChar w:fldCharType="begin"/>
      </w:r>
      <w:r w:rsidR="00A26FDA" w:rsidRPr="00BD0982">
        <w:instrText xml:space="preserve"> REF _Ref88490997 \r \h  \* MERGEFORMAT </w:instrText>
      </w:r>
      <w:r w:rsidR="00A26FDA" w:rsidRPr="00BD0982">
        <w:fldChar w:fldCharType="separate"/>
      </w:r>
      <w:r w:rsidR="00CF19E2" w:rsidRPr="00BD0982">
        <w:t>2</w:t>
      </w:r>
      <w:r w:rsidR="00A26FDA" w:rsidRPr="00BD0982">
        <w:fldChar w:fldCharType="end"/>
      </w:r>
      <w:r w:rsidR="00FE6429" w:rsidRPr="00BD0982">
        <w:t>)</w:t>
      </w:r>
    </w:p>
    <w:p w14:paraId="6D89FF5B" w14:textId="75C1816E" w:rsidR="00EE5356" w:rsidRPr="00BD0982" w:rsidRDefault="00EE5356" w:rsidP="00BD0982">
      <w:pPr>
        <w:pStyle w:val="ListBullet"/>
      </w:pPr>
      <w:r w:rsidRPr="00BD0982">
        <w:t xml:space="preserve">an overview of evaluation reporting (Section </w:t>
      </w:r>
      <w:r w:rsidR="00F038F0" w:rsidRPr="00BD0982">
        <w:fldChar w:fldCharType="begin"/>
      </w:r>
      <w:r w:rsidR="00F038F0" w:rsidRPr="00BD0982">
        <w:instrText xml:space="preserve"> REF _Ref100146648 \r \h </w:instrText>
      </w:r>
      <w:r w:rsidR="00BD0982">
        <w:instrText xml:space="preserve"> \* MERGEFORMAT </w:instrText>
      </w:r>
      <w:r w:rsidR="00F038F0" w:rsidRPr="00BD0982">
        <w:fldChar w:fldCharType="separate"/>
      </w:r>
      <w:r w:rsidR="00CF19E2" w:rsidRPr="00BD0982">
        <w:t>3</w:t>
      </w:r>
      <w:r w:rsidR="00F038F0" w:rsidRPr="00BD0982">
        <w:fldChar w:fldCharType="end"/>
      </w:r>
      <w:r w:rsidRPr="00BD0982">
        <w:t>)</w:t>
      </w:r>
    </w:p>
    <w:p w14:paraId="0D072A16" w14:textId="56B74DEC" w:rsidR="00C432A9" w:rsidRPr="00BD0982" w:rsidRDefault="00CA2162" w:rsidP="00BD0982">
      <w:pPr>
        <w:pStyle w:val="ListBullet"/>
      </w:pPr>
      <w:r w:rsidRPr="00BD0982">
        <w:t xml:space="preserve">an overview of how monitoring and evaluation will be governed (Section </w:t>
      </w:r>
      <w:r w:rsidRPr="00BD0982">
        <w:fldChar w:fldCharType="begin"/>
      </w:r>
      <w:r w:rsidRPr="00BD0982">
        <w:instrText xml:space="preserve"> REF _Ref88489546 \r \h </w:instrText>
      </w:r>
      <w:r w:rsidR="00A26FDA" w:rsidRPr="00BD0982">
        <w:instrText xml:space="preserve"> \* MERGEFORMAT </w:instrText>
      </w:r>
      <w:r w:rsidRPr="00BD0982">
        <w:fldChar w:fldCharType="separate"/>
      </w:r>
      <w:r w:rsidR="00CF19E2" w:rsidRPr="00BD0982">
        <w:t>4</w:t>
      </w:r>
      <w:r w:rsidRPr="00BD0982">
        <w:fldChar w:fldCharType="end"/>
      </w:r>
      <w:r w:rsidRPr="00BD0982">
        <w:t>)</w:t>
      </w:r>
    </w:p>
    <w:p w14:paraId="4135CED7" w14:textId="02E28E91" w:rsidR="00F52859" w:rsidRPr="00BD0982" w:rsidRDefault="00FE05DF" w:rsidP="00BD0982">
      <w:pPr>
        <w:pStyle w:val="ListBullet"/>
      </w:pPr>
      <w:r w:rsidRPr="00BD0982">
        <w:t>a</w:t>
      </w:r>
      <w:r w:rsidR="00CA2162" w:rsidRPr="00BD0982">
        <w:t xml:space="preserve"> stakeholder </w:t>
      </w:r>
      <w:r w:rsidR="00EE5356" w:rsidRPr="00BD0982">
        <w:t>engagement plan</w:t>
      </w:r>
      <w:r w:rsidR="00F52859" w:rsidRPr="00BD0982">
        <w:t xml:space="preserve"> (</w:t>
      </w:r>
      <w:r w:rsidR="00BC292E" w:rsidRPr="00BD0982">
        <w:t xml:space="preserve">Section </w:t>
      </w:r>
      <w:r w:rsidR="00CA2162" w:rsidRPr="00BD0982">
        <w:fldChar w:fldCharType="begin"/>
      </w:r>
      <w:r w:rsidR="00CA2162" w:rsidRPr="00BD0982">
        <w:instrText xml:space="preserve"> REF _Ref88490934 \r \h </w:instrText>
      </w:r>
      <w:r w:rsidR="00A26FDA" w:rsidRPr="00BD0982">
        <w:instrText xml:space="preserve"> \* MERGEFORMAT </w:instrText>
      </w:r>
      <w:r w:rsidR="00CA2162" w:rsidRPr="00BD0982">
        <w:fldChar w:fldCharType="separate"/>
      </w:r>
      <w:r w:rsidR="00CF19E2" w:rsidRPr="00BD0982">
        <w:t>5</w:t>
      </w:r>
      <w:r w:rsidR="00CA2162" w:rsidRPr="00BD0982">
        <w:fldChar w:fldCharType="end"/>
      </w:r>
      <w:r w:rsidR="00F52859" w:rsidRPr="00BD0982">
        <w:t>)</w:t>
      </w:r>
    </w:p>
    <w:p w14:paraId="059C6689" w14:textId="401EB98F" w:rsidR="00F52859" w:rsidRPr="00BD0982" w:rsidRDefault="00FE05DF" w:rsidP="00BD0982">
      <w:pPr>
        <w:pStyle w:val="ListBullet"/>
      </w:pPr>
      <w:r w:rsidRPr="00BD0982">
        <w:t>key</w:t>
      </w:r>
      <w:r w:rsidR="00F52859" w:rsidRPr="00BD0982">
        <w:t xml:space="preserve"> challenges </w:t>
      </w:r>
      <w:r w:rsidRPr="00BD0982">
        <w:t xml:space="preserve">for monitoring </w:t>
      </w:r>
      <w:r w:rsidR="00F52859" w:rsidRPr="00BD0982">
        <w:t xml:space="preserve">and </w:t>
      </w:r>
      <w:r w:rsidRPr="00BD0982">
        <w:t>evaluation</w:t>
      </w:r>
      <w:r w:rsidR="00F52859" w:rsidRPr="00BD0982">
        <w:t xml:space="preserve"> (</w:t>
      </w:r>
      <w:r w:rsidR="00BC292E" w:rsidRPr="00BD0982">
        <w:t xml:space="preserve">Section </w:t>
      </w:r>
      <w:r w:rsidR="00CA2162" w:rsidRPr="00BD0982">
        <w:fldChar w:fldCharType="begin"/>
      </w:r>
      <w:r w:rsidR="00CA2162" w:rsidRPr="00BD0982">
        <w:instrText xml:space="preserve"> REF _Ref88490947 \r \h </w:instrText>
      </w:r>
      <w:r w:rsidR="00A26FDA" w:rsidRPr="00BD0982">
        <w:instrText xml:space="preserve"> \* MERGEFORMAT </w:instrText>
      </w:r>
      <w:r w:rsidR="00CA2162" w:rsidRPr="00BD0982">
        <w:fldChar w:fldCharType="separate"/>
      </w:r>
      <w:r w:rsidR="00CF19E2" w:rsidRPr="00BD0982">
        <w:t>6</w:t>
      </w:r>
      <w:r w:rsidR="00CA2162" w:rsidRPr="00BD0982">
        <w:fldChar w:fldCharType="end"/>
      </w:r>
      <w:r w:rsidR="00F52859" w:rsidRPr="00BD0982">
        <w:t>)</w:t>
      </w:r>
      <w:r w:rsidR="00EE5356" w:rsidRPr="00BD0982">
        <w:t>.</w:t>
      </w:r>
    </w:p>
    <w:p w14:paraId="1E80D356" w14:textId="3BF96F2A" w:rsidR="00A858FD" w:rsidRDefault="00E13655" w:rsidP="00A41383">
      <w:pPr>
        <w:pStyle w:val="Heading1"/>
      </w:pPr>
      <w:bookmarkStart w:id="5" w:name="_Ref88490997"/>
      <w:bookmarkStart w:id="6" w:name="_Toc121303895"/>
      <w:r>
        <w:lastRenderedPageBreak/>
        <w:t>Monitoring and evaluation approach</w:t>
      </w:r>
      <w:bookmarkEnd w:id="5"/>
      <w:bookmarkEnd w:id="6"/>
    </w:p>
    <w:p w14:paraId="323012C5" w14:textId="77777777" w:rsidR="00BD0982" w:rsidRPr="00740BBB" w:rsidRDefault="00BD0982" w:rsidP="00904AC0">
      <w:pPr>
        <w:pStyle w:val="Sectionlist"/>
      </w:pPr>
      <w:r w:rsidRPr="00740BBB">
        <w:t>This section details the monitoring and evaluation approach for 2022 to 2030. It includes:</w:t>
      </w:r>
    </w:p>
    <w:p w14:paraId="794CD7DE" w14:textId="3FAA5EF0" w:rsidR="00BD0982" w:rsidRPr="00904AC0" w:rsidRDefault="00BD0982" w:rsidP="00904AC0">
      <w:pPr>
        <w:pStyle w:val="VisionBox"/>
      </w:pPr>
      <w:r w:rsidRPr="00904AC0">
        <w:t xml:space="preserve">monitoring and evaluation approach and scope </w:t>
      </w:r>
    </w:p>
    <w:p w14:paraId="14026AB8" w14:textId="1FEB6560" w:rsidR="00BD0982" w:rsidRPr="00904AC0" w:rsidRDefault="00BD0982" w:rsidP="00904AC0">
      <w:pPr>
        <w:pStyle w:val="VisionBox"/>
      </w:pPr>
      <w:r w:rsidRPr="00904AC0">
        <w:t>program theory, including the change the Plan intends to bring about and how</w:t>
      </w:r>
    </w:p>
    <w:p w14:paraId="3BC4CD1E" w14:textId="2E1713AE" w:rsidR="00BD0982" w:rsidRPr="00904AC0" w:rsidRDefault="00BD0982" w:rsidP="00904AC0">
      <w:pPr>
        <w:pStyle w:val="VisionBox"/>
      </w:pPr>
      <w:r w:rsidRPr="00904AC0">
        <w:t>key monitoring and evaluation questions</w:t>
      </w:r>
    </w:p>
    <w:p w14:paraId="07FDBB30" w14:textId="21473948" w:rsidR="00BD0982" w:rsidRPr="00904AC0" w:rsidRDefault="00BD0982" w:rsidP="00904AC0">
      <w:pPr>
        <w:pStyle w:val="VisionBox"/>
      </w:pPr>
      <w:r w:rsidRPr="00904AC0">
        <w:t xml:space="preserve">national evaluation indicators </w:t>
      </w:r>
    </w:p>
    <w:p w14:paraId="2C02D843" w14:textId="2FA61B36" w:rsidR="00BD0982" w:rsidRPr="00904AC0" w:rsidRDefault="00BD0982" w:rsidP="00904AC0">
      <w:pPr>
        <w:pStyle w:val="VisionBox"/>
      </w:pPr>
      <w:r w:rsidRPr="00904AC0">
        <w:t>data collection and analysis methods</w:t>
      </w:r>
    </w:p>
    <w:p w14:paraId="6B2A844F" w14:textId="3A030668" w:rsidR="00BD0982" w:rsidRPr="00740BBB" w:rsidRDefault="00BD0982" w:rsidP="00904AC0">
      <w:pPr>
        <w:pStyle w:val="VisionBox"/>
      </w:pPr>
      <w:r w:rsidRPr="00904AC0">
        <w:t>monitor</w:t>
      </w:r>
      <w:r w:rsidRPr="00740BBB">
        <w:t>ing and evaluation timeline.</w:t>
      </w:r>
    </w:p>
    <w:p w14:paraId="196D951C" w14:textId="67C0F8FC" w:rsidR="000D0A4C" w:rsidRDefault="007B72FB" w:rsidP="00C204DD">
      <w:pPr>
        <w:pStyle w:val="Heading2"/>
        <w:tabs>
          <w:tab w:val="left" w:pos="7938"/>
        </w:tabs>
        <w:ind w:left="567"/>
      </w:pPr>
      <w:bookmarkStart w:id="7" w:name="_Ref89089347"/>
      <w:r>
        <w:t>Monitoring and e</w:t>
      </w:r>
      <w:r w:rsidR="000D0A4C">
        <w:t>valuation approach</w:t>
      </w:r>
      <w:r w:rsidR="005B706E">
        <w:t xml:space="preserve"> and scope</w:t>
      </w:r>
      <w:bookmarkEnd w:id="7"/>
    </w:p>
    <w:p w14:paraId="614AB458" w14:textId="5E6FCECD" w:rsidR="00500E53" w:rsidRPr="004F0B3F" w:rsidRDefault="00333E2D" w:rsidP="00ED2B74">
      <w:pPr>
        <w:pStyle w:val="Heading3"/>
        <w:rPr>
          <w:rFonts w:cs="Arial"/>
        </w:rPr>
      </w:pPr>
      <w:r w:rsidRPr="004F0B3F">
        <w:rPr>
          <w:rFonts w:cs="Arial"/>
        </w:rPr>
        <w:t xml:space="preserve">Monitoring </w:t>
      </w:r>
      <w:r w:rsidR="007F0124" w:rsidRPr="004F0B3F">
        <w:rPr>
          <w:rFonts w:cs="Arial"/>
        </w:rPr>
        <w:t>oversees implementation</w:t>
      </w:r>
      <w:r w:rsidR="00A044BF" w:rsidRPr="004F0B3F">
        <w:rPr>
          <w:rFonts w:cs="Arial"/>
        </w:rPr>
        <w:t xml:space="preserve">; </w:t>
      </w:r>
      <w:r w:rsidR="003101C1" w:rsidRPr="004F0B3F">
        <w:rPr>
          <w:rFonts w:cs="Arial"/>
        </w:rPr>
        <w:t>e</w:t>
      </w:r>
      <w:r w:rsidR="00A044BF" w:rsidRPr="004F0B3F">
        <w:rPr>
          <w:rFonts w:cs="Arial"/>
        </w:rPr>
        <w:t xml:space="preserve">valuation </w:t>
      </w:r>
      <w:r w:rsidR="003101C1" w:rsidRPr="004F0B3F">
        <w:rPr>
          <w:rFonts w:cs="Arial"/>
        </w:rPr>
        <w:t>helps to assess outcomes and</w:t>
      </w:r>
      <w:r w:rsidR="000A6E5F" w:rsidRPr="004F0B3F">
        <w:rPr>
          <w:rFonts w:cs="Arial"/>
        </w:rPr>
        <w:t xml:space="preserve"> </w:t>
      </w:r>
      <w:r w:rsidR="00FC4CBD" w:rsidRPr="004F0B3F">
        <w:rPr>
          <w:rFonts w:cs="Arial"/>
        </w:rPr>
        <w:t>imp</w:t>
      </w:r>
      <w:r w:rsidR="00C31C59" w:rsidRPr="004F0B3F">
        <w:rPr>
          <w:rFonts w:cs="Arial"/>
        </w:rPr>
        <w:t>act</w:t>
      </w:r>
      <w:r w:rsidR="00FB3022" w:rsidRPr="004F0B3F">
        <w:rPr>
          <w:rFonts w:cs="Arial"/>
        </w:rPr>
        <w:t>.</w:t>
      </w:r>
    </w:p>
    <w:p w14:paraId="044911E2" w14:textId="5607471D" w:rsidR="00200392" w:rsidRPr="004F0B3F" w:rsidRDefault="008B3AB9" w:rsidP="00ED2B74">
      <w:pPr>
        <w:rPr>
          <w:rFonts w:ascii="Arial" w:hAnsi="Arial" w:cs="Arial"/>
        </w:rPr>
      </w:pPr>
      <w:r>
        <w:rPr>
          <w:rFonts w:ascii="Arial" w:hAnsi="Arial" w:cs="Arial"/>
        </w:rPr>
        <w:t xml:space="preserve">Monitoring and evaluation play two different, but complementary roles, in the assessment of the Plan. </w:t>
      </w:r>
      <w:r w:rsidR="007077DE" w:rsidRPr="00C75146">
        <w:rPr>
          <w:rFonts w:ascii="Arial" w:hAnsi="Arial" w:cs="Arial"/>
          <w:b/>
          <w:bCs/>
        </w:rPr>
        <w:t xml:space="preserve">Monitoring </w:t>
      </w:r>
      <w:r w:rsidR="00200392" w:rsidRPr="00C75146">
        <w:rPr>
          <w:rFonts w:ascii="Arial" w:hAnsi="Arial" w:cs="Arial"/>
          <w:b/>
          <w:bCs/>
        </w:rPr>
        <w:t>of the Plan</w:t>
      </w:r>
      <w:r w:rsidR="00200392" w:rsidRPr="004F0B3F">
        <w:rPr>
          <w:rFonts w:ascii="Arial" w:hAnsi="Arial" w:cs="Arial"/>
        </w:rPr>
        <w:t xml:space="preserve"> focuses on the ‘what’ – what is being done</w:t>
      </w:r>
      <w:r w:rsidR="00FB559B">
        <w:rPr>
          <w:rFonts w:ascii="Arial" w:hAnsi="Arial" w:cs="Arial"/>
        </w:rPr>
        <w:t xml:space="preserve"> to implement the Plan and to what extent are the rates of stillbirth, access to maternity and bereavement services, and use</w:t>
      </w:r>
      <w:r w:rsidR="00C214EE">
        <w:rPr>
          <w:rFonts w:ascii="Arial" w:hAnsi="Arial" w:cs="Arial"/>
        </w:rPr>
        <w:t xml:space="preserve"> of evidence, investigations and research </w:t>
      </w:r>
      <w:r w:rsidR="001064B8">
        <w:rPr>
          <w:rFonts w:ascii="Arial" w:hAnsi="Arial" w:cs="Arial"/>
        </w:rPr>
        <w:t xml:space="preserve">are </w:t>
      </w:r>
      <w:r w:rsidR="00C214EE">
        <w:rPr>
          <w:rFonts w:ascii="Arial" w:hAnsi="Arial" w:cs="Arial"/>
        </w:rPr>
        <w:t xml:space="preserve">changing. </w:t>
      </w:r>
      <w:r w:rsidR="00200392" w:rsidRPr="004F0B3F">
        <w:rPr>
          <w:rFonts w:ascii="Arial" w:hAnsi="Arial" w:cs="Arial"/>
        </w:rPr>
        <w:t>This focus allows the monitoring process to:</w:t>
      </w:r>
    </w:p>
    <w:p w14:paraId="31CA04B2" w14:textId="5A5179C2" w:rsidR="009505F7" w:rsidRPr="004F0B3F" w:rsidRDefault="009505F7" w:rsidP="00ED2B74">
      <w:pPr>
        <w:pStyle w:val="ListBullet"/>
        <w:rPr>
          <w:rFonts w:cs="Arial"/>
        </w:rPr>
      </w:pPr>
      <w:r w:rsidRPr="004F0B3F">
        <w:rPr>
          <w:rFonts w:cs="Arial"/>
        </w:rPr>
        <w:t>Act as an a</w:t>
      </w:r>
      <w:r w:rsidR="00200392" w:rsidRPr="004F0B3F">
        <w:rPr>
          <w:rFonts w:cs="Arial"/>
        </w:rPr>
        <w:t xml:space="preserve">ccountability mechanism and </w:t>
      </w:r>
      <w:r w:rsidRPr="004F0B3F">
        <w:rPr>
          <w:rFonts w:cs="Arial"/>
        </w:rPr>
        <w:t xml:space="preserve">track implementation </w:t>
      </w:r>
      <w:r w:rsidR="00B10A98" w:rsidRPr="004F0B3F">
        <w:rPr>
          <w:rFonts w:cs="Arial"/>
        </w:rPr>
        <w:t xml:space="preserve">of all tasks </w:t>
      </w:r>
      <w:r w:rsidRPr="004F0B3F">
        <w:rPr>
          <w:rFonts w:cs="Arial"/>
        </w:rPr>
        <w:t>against</w:t>
      </w:r>
      <w:r w:rsidR="00200392" w:rsidRPr="004F0B3F">
        <w:rPr>
          <w:rFonts w:cs="Arial"/>
        </w:rPr>
        <w:t xml:space="preserve"> the </w:t>
      </w:r>
      <w:r w:rsidR="00B10A98" w:rsidRPr="004F0B3F">
        <w:rPr>
          <w:rFonts w:cs="Arial"/>
        </w:rPr>
        <w:t xml:space="preserve">five </w:t>
      </w:r>
      <w:r w:rsidR="00200392" w:rsidRPr="004F0B3F">
        <w:rPr>
          <w:rFonts w:cs="Arial"/>
        </w:rPr>
        <w:t>priority area</w:t>
      </w:r>
      <w:r w:rsidRPr="004F0B3F">
        <w:rPr>
          <w:rFonts w:cs="Arial"/>
        </w:rPr>
        <w:t xml:space="preserve">s. In doing so, monitoring will support an understanding of what has been completed under the Plan, by whom and when. </w:t>
      </w:r>
    </w:p>
    <w:p w14:paraId="251B1D18" w14:textId="6F96CE1F" w:rsidR="009505F7" w:rsidRPr="004F0B3F" w:rsidRDefault="009505F7" w:rsidP="00ED2B74">
      <w:pPr>
        <w:pStyle w:val="ListBullet"/>
        <w:rPr>
          <w:rFonts w:cs="Arial"/>
        </w:rPr>
      </w:pPr>
      <w:r w:rsidRPr="004F0B3F">
        <w:rPr>
          <w:rFonts w:cs="Arial"/>
        </w:rPr>
        <w:t>S</w:t>
      </w:r>
      <w:r w:rsidR="00200392" w:rsidRPr="004F0B3F">
        <w:rPr>
          <w:rFonts w:cs="Arial"/>
        </w:rPr>
        <w:t xml:space="preserve">upport identification of trends against key outcome domains on an annual basis. </w:t>
      </w:r>
      <w:r w:rsidRPr="004F0B3F">
        <w:rPr>
          <w:rFonts w:cs="Arial"/>
        </w:rPr>
        <w:t xml:space="preserve">Early identification of key trends </w:t>
      </w:r>
      <w:r w:rsidR="00850E7D" w:rsidRPr="004F0B3F">
        <w:rPr>
          <w:rFonts w:cs="Arial"/>
        </w:rPr>
        <w:t>will allow</w:t>
      </w:r>
      <w:r w:rsidRPr="004F0B3F">
        <w:rPr>
          <w:rFonts w:cs="Arial"/>
        </w:rPr>
        <w:t xml:space="preserve"> </w:t>
      </w:r>
      <w:r w:rsidR="00B10A98" w:rsidRPr="004F0B3F">
        <w:rPr>
          <w:rFonts w:cs="Arial"/>
        </w:rPr>
        <w:t>tasks</w:t>
      </w:r>
      <w:r w:rsidRPr="004F0B3F">
        <w:rPr>
          <w:rFonts w:cs="Arial"/>
        </w:rPr>
        <w:t xml:space="preserve"> to be </w:t>
      </w:r>
      <w:r w:rsidR="00850E7D" w:rsidRPr="004F0B3F">
        <w:rPr>
          <w:rFonts w:cs="Arial"/>
        </w:rPr>
        <w:t xml:space="preserve">revised and adapted during the implementation process. This feedback mechanism provides </w:t>
      </w:r>
      <w:r w:rsidR="00162C22">
        <w:rPr>
          <w:rFonts w:cs="Arial"/>
        </w:rPr>
        <w:t xml:space="preserve">the </w:t>
      </w:r>
      <w:r w:rsidR="00850E7D" w:rsidRPr="004F0B3F">
        <w:rPr>
          <w:rFonts w:cs="Arial"/>
        </w:rPr>
        <w:t xml:space="preserve">opportunity to increase the effectiveness and appropriateness of the Plan’s </w:t>
      </w:r>
      <w:r w:rsidR="00B10A98" w:rsidRPr="004F0B3F">
        <w:rPr>
          <w:rFonts w:cs="Arial"/>
        </w:rPr>
        <w:t>tasks</w:t>
      </w:r>
      <w:r w:rsidR="00850E7D" w:rsidRPr="004F0B3F">
        <w:rPr>
          <w:rFonts w:cs="Arial"/>
        </w:rPr>
        <w:t>.</w:t>
      </w:r>
    </w:p>
    <w:p w14:paraId="39B89B5B" w14:textId="4148BDB9" w:rsidR="00370710" w:rsidRPr="004F0B3F" w:rsidRDefault="009505F7" w:rsidP="00ED2B74">
      <w:pPr>
        <w:pStyle w:val="ListBullet"/>
        <w:rPr>
          <w:rFonts w:cs="Arial"/>
        </w:rPr>
      </w:pPr>
      <w:r w:rsidRPr="004F0B3F">
        <w:rPr>
          <w:rFonts w:cs="Arial"/>
        </w:rPr>
        <w:t>I</w:t>
      </w:r>
      <w:r w:rsidR="00200392" w:rsidRPr="004F0B3F">
        <w:rPr>
          <w:rFonts w:cs="Arial"/>
        </w:rPr>
        <w:t>ndicate</w:t>
      </w:r>
      <w:r w:rsidR="00E83547" w:rsidRPr="004F0B3F">
        <w:rPr>
          <w:rFonts w:cs="Arial"/>
        </w:rPr>
        <w:t xml:space="preserve"> </w:t>
      </w:r>
      <w:r w:rsidR="00002C81" w:rsidRPr="004F0B3F">
        <w:rPr>
          <w:rFonts w:cs="Arial"/>
        </w:rPr>
        <w:t xml:space="preserve">how the desired outcomes </w:t>
      </w:r>
      <w:r w:rsidR="00E1620A" w:rsidRPr="004F0B3F">
        <w:rPr>
          <w:rFonts w:cs="Arial"/>
        </w:rPr>
        <w:t xml:space="preserve">are changing over </w:t>
      </w:r>
      <w:r w:rsidR="00200392" w:rsidRPr="004F0B3F">
        <w:rPr>
          <w:rFonts w:cs="Arial"/>
        </w:rPr>
        <w:t>longer time periods</w:t>
      </w:r>
      <w:r w:rsidR="00E1620A" w:rsidRPr="004F0B3F">
        <w:rPr>
          <w:rFonts w:cs="Arial"/>
        </w:rPr>
        <w:t xml:space="preserve"> in response to </w:t>
      </w:r>
      <w:r w:rsidR="00162C22">
        <w:rPr>
          <w:rFonts w:cs="Arial"/>
        </w:rPr>
        <w:t xml:space="preserve">the </w:t>
      </w:r>
      <w:r w:rsidR="00E1620A" w:rsidRPr="004F0B3F">
        <w:rPr>
          <w:rFonts w:cs="Arial"/>
        </w:rPr>
        <w:t>implementation of the Plan.</w:t>
      </w:r>
      <w:r w:rsidR="00370710" w:rsidRPr="004F0B3F">
        <w:rPr>
          <w:rFonts w:cs="Arial"/>
        </w:rPr>
        <w:t xml:space="preserve"> </w:t>
      </w:r>
      <w:r w:rsidR="00901650" w:rsidRPr="004F0B3F">
        <w:rPr>
          <w:rFonts w:cs="Arial"/>
        </w:rPr>
        <w:t>S</w:t>
      </w:r>
      <w:r w:rsidR="004D3A17" w:rsidRPr="004F0B3F">
        <w:rPr>
          <w:rFonts w:cs="Arial"/>
        </w:rPr>
        <w:t xml:space="preserve">ome actions and tasks will take time </w:t>
      </w:r>
      <w:r w:rsidR="007B79AD" w:rsidRPr="004F0B3F">
        <w:rPr>
          <w:rFonts w:cs="Arial"/>
        </w:rPr>
        <w:t xml:space="preserve">for their intended outcomes </w:t>
      </w:r>
      <w:r w:rsidR="00134412" w:rsidRPr="004F0B3F">
        <w:rPr>
          <w:rFonts w:cs="Arial"/>
        </w:rPr>
        <w:t xml:space="preserve">to </w:t>
      </w:r>
      <w:r w:rsidR="003A1234" w:rsidRPr="004F0B3F">
        <w:rPr>
          <w:rFonts w:cs="Arial"/>
        </w:rPr>
        <w:t xml:space="preserve">be </w:t>
      </w:r>
      <w:r w:rsidR="00134412" w:rsidRPr="004F0B3F">
        <w:rPr>
          <w:rFonts w:cs="Arial"/>
        </w:rPr>
        <w:t xml:space="preserve">realised. Therefore, the ability to monitor </w:t>
      </w:r>
      <w:r w:rsidR="00241910" w:rsidRPr="004F0B3F">
        <w:rPr>
          <w:rFonts w:cs="Arial"/>
        </w:rPr>
        <w:t xml:space="preserve">against </w:t>
      </w:r>
      <w:r w:rsidR="00134412" w:rsidRPr="004F0B3F">
        <w:rPr>
          <w:rFonts w:cs="Arial"/>
        </w:rPr>
        <w:t xml:space="preserve">the </w:t>
      </w:r>
      <w:r w:rsidR="00D30C18" w:rsidRPr="004F0B3F">
        <w:rPr>
          <w:rFonts w:cs="Arial"/>
        </w:rPr>
        <w:t xml:space="preserve">lead indicators and </w:t>
      </w:r>
      <w:r w:rsidR="000B4F7B" w:rsidRPr="004F0B3F">
        <w:rPr>
          <w:rFonts w:cs="Arial"/>
        </w:rPr>
        <w:t>short-term</w:t>
      </w:r>
      <w:r w:rsidR="00D30C18" w:rsidRPr="004F0B3F">
        <w:rPr>
          <w:rFonts w:cs="Arial"/>
        </w:rPr>
        <w:t xml:space="preserve"> outcomes is important.</w:t>
      </w:r>
      <w:r w:rsidR="002862CC" w:rsidRPr="004F0B3F">
        <w:rPr>
          <w:rFonts w:cs="Arial"/>
        </w:rPr>
        <w:t xml:space="preserve"> </w:t>
      </w:r>
    </w:p>
    <w:p w14:paraId="549B8388" w14:textId="51DC2E06" w:rsidR="00DB2AD2" w:rsidRPr="004F0B3F" w:rsidRDefault="00E4301E" w:rsidP="00ED2B74">
      <w:pPr>
        <w:rPr>
          <w:rFonts w:ascii="Arial" w:hAnsi="Arial" w:cs="Arial"/>
        </w:rPr>
      </w:pPr>
      <w:r w:rsidRPr="004F0B3F">
        <w:rPr>
          <w:rFonts w:ascii="Arial" w:hAnsi="Arial" w:cs="Arial"/>
        </w:rPr>
        <w:t>Monitoring</w:t>
      </w:r>
      <w:r w:rsidR="00D84095" w:rsidRPr="004F0B3F">
        <w:rPr>
          <w:rFonts w:ascii="Arial" w:hAnsi="Arial" w:cs="Arial"/>
        </w:rPr>
        <w:t xml:space="preserve"> </w:t>
      </w:r>
      <w:r w:rsidR="00A7301E" w:rsidRPr="004F0B3F">
        <w:rPr>
          <w:rFonts w:ascii="Arial" w:hAnsi="Arial" w:cs="Arial"/>
        </w:rPr>
        <w:t xml:space="preserve">of </w:t>
      </w:r>
      <w:r w:rsidRPr="004F0B3F">
        <w:rPr>
          <w:rFonts w:ascii="Arial" w:hAnsi="Arial" w:cs="Arial"/>
        </w:rPr>
        <w:t>implementation</w:t>
      </w:r>
      <w:r w:rsidR="00D84095" w:rsidRPr="004F0B3F">
        <w:rPr>
          <w:rFonts w:ascii="Arial" w:hAnsi="Arial" w:cs="Arial"/>
        </w:rPr>
        <w:t xml:space="preserve"> </w:t>
      </w:r>
      <w:r w:rsidR="00883FF0" w:rsidRPr="004F0B3F">
        <w:rPr>
          <w:rFonts w:ascii="Arial" w:hAnsi="Arial" w:cs="Arial"/>
        </w:rPr>
        <w:t xml:space="preserve">of all individual tasks in the Plan under the five priority areas </w:t>
      </w:r>
      <w:r w:rsidR="00D84095" w:rsidRPr="004F0B3F">
        <w:rPr>
          <w:rFonts w:ascii="Arial" w:hAnsi="Arial" w:cs="Arial"/>
        </w:rPr>
        <w:t xml:space="preserve">will be </w:t>
      </w:r>
      <w:r w:rsidRPr="004F0B3F">
        <w:rPr>
          <w:rFonts w:ascii="Arial" w:hAnsi="Arial" w:cs="Arial"/>
        </w:rPr>
        <w:t>done via</w:t>
      </w:r>
      <w:r w:rsidR="001C2CC9" w:rsidRPr="004F0B3F">
        <w:rPr>
          <w:rFonts w:ascii="Arial" w:hAnsi="Arial" w:cs="Arial"/>
        </w:rPr>
        <w:t xml:space="preserve"> </w:t>
      </w:r>
      <w:r w:rsidR="00B6628A" w:rsidRPr="004F0B3F">
        <w:rPr>
          <w:rFonts w:ascii="Arial" w:hAnsi="Arial" w:cs="Arial"/>
        </w:rPr>
        <w:t>the Annual Monitoring Report Card</w:t>
      </w:r>
      <w:r w:rsidR="00BA2D90" w:rsidRPr="004F0B3F">
        <w:rPr>
          <w:rFonts w:ascii="Arial" w:hAnsi="Arial" w:cs="Arial"/>
        </w:rPr>
        <w:t xml:space="preserve"> (see </w:t>
      </w:r>
      <w:r w:rsidR="00084B1E" w:rsidRPr="004F0B3F">
        <w:rPr>
          <w:rFonts w:ascii="Arial" w:hAnsi="Arial" w:cs="Arial"/>
          <w:highlight w:val="yellow"/>
        </w:rPr>
        <w:fldChar w:fldCharType="begin"/>
      </w:r>
      <w:r w:rsidR="00084B1E" w:rsidRPr="004F0B3F">
        <w:rPr>
          <w:rFonts w:ascii="Arial" w:hAnsi="Arial" w:cs="Arial"/>
        </w:rPr>
        <w:instrText xml:space="preserve"> REF _Ref87958108 \r \h </w:instrText>
      </w:r>
      <w:r w:rsidR="000D2CEB" w:rsidRPr="004F0B3F">
        <w:rPr>
          <w:rFonts w:ascii="Arial" w:hAnsi="Arial" w:cs="Arial"/>
          <w:highlight w:val="yellow"/>
        </w:rPr>
        <w:instrText xml:space="preserve"> \* MERGEFORMAT </w:instrText>
      </w:r>
      <w:r w:rsidR="00084B1E" w:rsidRPr="004F0B3F">
        <w:rPr>
          <w:rFonts w:ascii="Arial" w:hAnsi="Arial" w:cs="Arial"/>
          <w:highlight w:val="yellow"/>
        </w:rPr>
      </w:r>
      <w:r w:rsidR="00084B1E" w:rsidRPr="004F0B3F">
        <w:rPr>
          <w:rFonts w:ascii="Arial" w:hAnsi="Arial" w:cs="Arial"/>
          <w:highlight w:val="yellow"/>
        </w:rPr>
        <w:fldChar w:fldCharType="separate"/>
      </w:r>
      <w:r w:rsidR="00CF19E2">
        <w:rPr>
          <w:rFonts w:ascii="Arial" w:hAnsi="Arial" w:cs="Arial"/>
        </w:rPr>
        <w:t>Appendix B</w:t>
      </w:r>
      <w:r w:rsidR="00084B1E" w:rsidRPr="004F0B3F">
        <w:rPr>
          <w:rFonts w:ascii="Arial" w:hAnsi="Arial" w:cs="Arial"/>
          <w:highlight w:val="yellow"/>
        </w:rPr>
        <w:fldChar w:fldCharType="end"/>
      </w:r>
      <w:r w:rsidR="00BA2D90" w:rsidRPr="004F0B3F">
        <w:rPr>
          <w:rFonts w:ascii="Arial" w:hAnsi="Arial" w:cs="Arial"/>
        </w:rPr>
        <w:t>).</w:t>
      </w:r>
      <w:r w:rsidRPr="004F0B3F">
        <w:rPr>
          <w:rFonts w:ascii="Arial" w:hAnsi="Arial" w:cs="Arial"/>
        </w:rPr>
        <w:t xml:space="preserve"> Section </w:t>
      </w:r>
      <w:r w:rsidR="00E61293">
        <w:rPr>
          <w:rFonts w:ascii="Arial" w:hAnsi="Arial" w:cs="Arial"/>
        </w:rPr>
        <w:fldChar w:fldCharType="begin"/>
      </w:r>
      <w:r w:rsidR="00E61293">
        <w:rPr>
          <w:rFonts w:ascii="Arial" w:hAnsi="Arial" w:cs="Arial"/>
        </w:rPr>
        <w:instrText xml:space="preserve"> REF _Ref97882116 \r \h </w:instrText>
      </w:r>
      <w:r w:rsidR="00E61293">
        <w:rPr>
          <w:rFonts w:ascii="Arial" w:hAnsi="Arial" w:cs="Arial"/>
        </w:rPr>
      </w:r>
      <w:r w:rsidR="00E61293">
        <w:rPr>
          <w:rFonts w:ascii="Arial" w:hAnsi="Arial" w:cs="Arial"/>
        </w:rPr>
        <w:fldChar w:fldCharType="separate"/>
      </w:r>
      <w:r w:rsidR="00CF19E2">
        <w:rPr>
          <w:rFonts w:ascii="Arial" w:hAnsi="Arial" w:cs="Arial"/>
        </w:rPr>
        <w:t>3</w:t>
      </w:r>
      <w:r w:rsidR="00E61293">
        <w:rPr>
          <w:rFonts w:ascii="Arial" w:hAnsi="Arial" w:cs="Arial"/>
        </w:rPr>
        <w:fldChar w:fldCharType="end"/>
      </w:r>
      <w:r w:rsidRPr="004F0B3F">
        <w:rPr>
          <w:rFonts w:ascii="Arial" w:hAnsi="Arial" w:cs="Arial"/>
        </w:rPr>
        <w:t xml:space="preserve"> provides further detail on reporting. </w:t>
      </w:r>
    </w:p>
    <w:p w14:paraId="7CE33EF2" w14:textId="2E379B9E" w:rsidR="00E769A5" w:rsidRPr="004F0B3F" w:rsidRDefault="005D1A6E" w:rsidP="00ED2B74">
      <w:pPr>
        <w:rPr>
          <w:rFonts w:ascii="Arial" w:hAnsi="Arial" w:cs="Arial"/>
        </w:rPr>
      </w:pPr>
      <w:r w:rsidRPr="00C75146">
        <w:rPr>
          <w:rFonts w:ascii="Arial" w:hAnsi="Arial" w:cs="Arial"/>
          <w:b/>
          <w:bCs/>
        </w:rPr>
        <w:t xml:space="preserve">Evaluation </w:t>
      </w:r>
      <w:r w:rsidR="00CE715C" w:rsidRPr="00C75146">
        <w:rPr>
          <w:rFonts w:ascii="Arial" w:hAnsi="Arial" w:cs="Arial"/>
          <w:b/>
          <w:bCs/>
        </w:rPr>
        <w:t>of the Plan</w:t>
      </w:r>
      <w:r w:rsidR="00CE715C" w:rsidRPr="004F0B3F">
        <w:rPr>
          <w:rFonts w:ascii="Arial" w:hAnsi="Arial" w:cs="Arial"/>
        </w:rPr>
        <w:t xml:space="preserve"> considers the extent to which the Plan is contributing to observed changes in the stillbirth and bereavement sector – it focuses on</w:t>
      </w:r>
      <w:r w:rsidR="00953CEE" w:rsidRPr="004F0B3F">
        <w:rPr>
          <w:rFonts w:ascii="Arial" w:hAnsi="Arial" w:cs="Arial"/>
        </w:rPr>
        <w:t xml:space="preserve"> </w:t>
      </w:r>
      <w:r w:rsidR="006115B5" w:rsidRPr="004F0B3F">
        <w:rPr>
          <w:rFonts w:ascii="Arial" w:hAnsi="Arial" w:cs="Arial"/>
        </w:rPr>
        <w:t xml:space="preserve">understanding </w:t>
      </w:r>
      <w:r w:rsidR="00CE715C" w:rsidRPr="004F0B3F">
        <w:rPr>
          <w:rFonts w:ascii="Arial" w:hAnsi="Arial" w:cs="Arial"/>
        </w:rPr>
        <w:t>whether</w:t>
      </w:r>
      <w:r w:rsidR="006115B5" w:rsidRPr="004F0B3F">
        <w:rPr>
          <w:rFonts w:ascii="Arial" w:hAnsi="Arial" w:cs="Arial"/>
        </w:rPr>
        <w:t xml:space="preserve"> the Plan</w:t>
      </w:r>
      <w:r w:rsidR="00055804" w:rsidRPr="004F0B3F">
        <w:rPr>
          <w:rFonts w:ascii="Arial" w:hAnsi="Arial" w:cs="Arial"/>
        </w:rPr>
        <w:t xml:space="preserve"> “is making a difference”.</w:t>
      </w:r>
      <w:r w:rsidR="00D1005F" w:rsidRPr="004F0B3F">
        <w:rPr>
          <w:rFonts w:ascii="Arial" w:hAnsi="Arial" w:cs="Arial"/>
        </w:rPr>
        <w:t xml:space="preserve"> Given the </w:t>
      </w:r>
      <w:r w:rsidR="00C819FB" w:rsidRPr="004F0B3F">
        <w:rPr>
          <w:rFonts w:ascii="Arial" w:hAnsi="Arial" w:cs="Arial"/>
        </w:rPr>
        <w:t>evaluation</w:t>
      </w:r>
      <w:r w:rsidR="00CE3947" w:rsidRPr="004F0B3F">
        <w:rPr>
          <w:rFonts w:ascii="Arial" w:hAnsi="Arial" w:cs="Arial"/>
        </w:rPr>
        <w:t>’s</w:t>
      </w:r>
      <w:r w:rsidR="00C819FB" w:rsidRPr="004F0B3F">
        <w:rPr>
          <w:rFonts w:ascii="Arial" w:hAnsi="Arial" w:cs="Arial"/>
        </w:rPr>
        <w:t xml:space="preserve"> aims, the evaluation includes process, outcome</w:t>
      </w:r>
      <w:r w:rsidR="009C534A" w:rsidRPr="004F0B3F">
        <w:rPr>
          <w:rFonts w:ascii="Arial" w:hAnsi="Arial" w:cs="Arial"/>
        </w:rPr>
        <w:t>,</w:t>
      </w:r>
      <w:r w:rsidR="00C819FB" w:rsidRPr="004F0B3F">
        <w:rPr>
          <w:rFonts w:ascii="Arial" w:hAnsi="Arial" w:cs="Arial"/>
        </w:rPr>
        <w:t xml:space="preserve"> economic </w:t>
      </w:r>
      <w:r w:rsidR="009C534A" w:rsidRPr="004F0B3F">
        <w:rPr>
          <w:rFonts w:ascii="Arial" w:hAnsi="Arial" w:cs="Arial"/>
        </w:rPr>
        <w:t>and action learning</w:t>
      </w:r>
      <w:r w:rsidR="00C819FB" w:rsidRPr="004F0B3F">
        <w:rPr>
          <w:rFonts w:ascii="Arial" w:hAnsi="Arial" w:cs="Arial"/>
        </w:rPr>
        <w:t xml:space="preserve"> components:</w:t>
      </w:r>
    </w:p>
    <w:p w14:paraId="76F718ED" w14:textId="21932EEA" w:rsidR="00BC552B" w:rsidRPr="004F0B3F" w:rsidRDefault="00BC552B" w:rsidP="00ED2B74">
      <w:pPr>
        <w:pStyle w:val="ListBullet"/>
        <w:rPr>
          <w:rFonts w:cs="Arial"/>
        </w:rPr>
      </w:pPr>
      <w:r w:rsidRPr="00E27329">
        <w:rPr>
          <w:rFonts w:cs="Arial"/>
          <w:b/>
        </w:rPr>
        <w:t>Process component</w:t>
      </w:r>
      <w:r w:rsidRPr="004F0B3F">
        <w:rPr>
          <w:rFonts w:cs="Arial"/>
        </w:rPr>
        <w:t xml:space="preserve">: This refers to the process of implementation and delivery of the Plan including the </w:t>
      </w:r>
      <w:r w:rsidR="005930E7">
        <w:rPr>
          <w:rFonts w:cs="Arial"/>
        </w:rPr>
        <w:t>appropriateness</w:t>
      </w:r>
      <w:r w:rsidR="005930E7" w:rsidRPr="004F0B3F">
        <w:rPr>
          <w:rFonts w:cs="Arial"/>
        </w:rPr>
        <w:t xml:space="preserve"> </w:t>
      </w:r>
      <w:r w:rsidRPr="004F0B3F">
        <w:rPr>
          <w:rFonts w:cs="Arial"/>
        </w:rPr>
        <w:t xml:space="preserve">of </w:t>
      </w:r>
      <w:r w:rsidR="00E053C3" w:rsidRPr="004F0B3F">
        <w:rPr>
          <w:rFonts w:cs="Arial"/>
        </w:rPr>
        <w:t xml:space="preserve">the Plan’s </w:t>
      </w:r>
      <w:r w:rsidR="005930E7">
        <w:rPr>
          <w:rFonts w:cs="Arial"/>
        </w:rPr>
        <w:t xml:space="preserve">design and </w:t>
      </w:r>
      <w:r w:rsidR="00E053C3" w:rsidRPr="004F0B3F">
        <w:rPr>
          <w:rFonts w:cs="Arial"/>
        </w:rPr>
        <w:t>priority areas</w:t>
      </w:r>
      <w:r w:rsidRPr="004F0B3F">
        <w:rPr>
          <w:rFonts w:cs="Arial"/>
        </w:rPr>
        <w:t xml:space="preserve">. </w:t>
      </w:r>
    </w:p>
    <w:p w14:paraId="00842D8B" w14:textId="46CEF147" w:rsidR="00BC552B" w:rsidRPr="004F0B3F" w:rsidRDefault="00BC552B" w:rsidP="00ED2B74">
      <w:pPr>
        <w:pStyle w:val="ListBullet"/>
        <w:rPr>
          <w:rFonts w:cs="Arial"/>
        </w:rPr>
      </w:pPr>
      <w:r w:rsidRPr="00E27329">
        <w:rPr>
          <w:rFonts w:cs="Arial"/>
          <w:b/>
        </w:rPr>
        <w:t>Outcome component</w:t>
      </w:r>
      <w:r w:rsidRPr="004F0B3F">
        <w:rPr>
          <w:rFonts w:cs="Arial"/>
        </w:rPr>
        <w:t>: This refers to understanding the</w:t>
      </w:r>
      <w:r w:rsidR="00525255">
        <w:rPr>
          <w:rFonts w:cs="Arial"/>
        </w:rPr>
        <w:t xml:space="preserve"> impact </w:t>
      </w:r>
      <w:r w:rsidR="002010E9">
        <w:rPr>
          <w:rFonts w:cs="Arial"/>
        </w:rPr>
        <w:t xml:space="preserve">and effectiveness </w:t>
      </w:r>
      <w:r w:rsidR="00525255">
        <w:rPr>
          <w:rFonts w:cs="Arial"/>
        </w:rPr>
        <w:t>of the Plan</w:t>
      </w:r>
      <w:r w:rsidR="00750A92">
        <w:rPr>
          <w:rFonts w:cs="Arial"/>
        </w:rPr>
        <w:t xml:space="preserve"> includ</w:t>
      </w:r>
      <w:r w:rsidR="00772C8C">
        <w:rPr>
          <w:rFonts w:cs="Arial"/>
        </w:rPr>
        <w:t>ing</w:t>
      </w:r>
      <w:r w:rsidR="00750A92">
        <w:rPr>
          <w:rFonts w:cs="Arial"/>
        </w:rPr>
        <w:t xml:space="preserve"> </w:t>
      </w:r>
      <w:r w:rsidR="00525255">
        <w:rPr>
          <w:rFonts w:cs="Arial"/>
        </w:rPr>
        <w:t>the</w:t>
      </w:r>
      <w:r w:rsidRPr="004F0B3F">
        <w:rPr>
          <w:rFonts w:cs="Arial"/>
        </w:rPr>
        <w:t xml:space="preserve"> extent to which intended </w:t>
      </w:r>
      <w:r w:rsidR="000D2CEB" w:rsidRPr="004F0B3F">
        <w:rPr>
          <w:rFonts w:cs="Arial"/>
        </w:rPr>
        <w:t xml:space="preserve">or unintended </w:t>
      </w:r>
      <w:r w:rsidRPr="004F0B3F">
        <w:rPr>
          <w:rFonts w:cs="Arial"/>
        </w:rPr>
        <w:t xml:space="preserve">outcomes and overarching goals were achieved over the life of the Plan. </w:t>
      </w:r>
    </w:p>
    <w:p w14:paraId="377A9025" w14:textId="129ED77D" w:rsidR="00C819FB" w:rsidRPr="004F0B3F" w:rsidRDefault="00BC552B" w:rsidP="00ED2B74">
      <w:pPr>
        <w:pStyle w:val="ListBullet"/>
        <w:rPr>
          <w:rFonts w:cs="Arial"/>
        </w:rPr>
      </w:pPr>
      <w:r w:rsidRPr="00E27329">
        <w:rPr>
          <w:rFonts w:cs="Arial"/>
          <w:b/>
        </w:rPr>
        <w:t>Economic component</w:t>
      </w:r>
      <w:r w:rsidRPr="004F0B3F">
        <w:rPr>
          <w:rFonts w:cs="Arial"/>
        </w:rPr>
        <w:t>: This refers to understanding the</w:t>
      </w:r>
      <w:r w:rsidR="002010E9">
        <w:rPr>
          <w:rFonts w:cs="Arial"/>
        </w:rPr>
        <w:t xml:space="preserve"> efficiency and</w:t>
      </w:r>
      <w:r w:rsidRPr="004F0B3F">
        <w:rPr>
          <w:rFonts w:cs="Arial"/>
        </w:rPr>
        <w:t xml:space="preserve"> cost-effectiveness of the Plan</w:t>
      </w:r>
      <w:r w:rsidR="00C7102D" w:rsidRPr="004F0B3F">
        <w:rPr>
          <w:rFonts w:cs="Arial"/>
        </w:rPr>
        <w:t xml:space="preserve"> and how</w:t>
      </w:r>
      <w:r w:rsidR="000D2CEB" w:rsidRPr="004F0B3F">
        <w:rPr>
          <w:rFonts w:cs="Arial"/>
        </w:rPr>
        <w:t xml:space="preserve"> resources used to implement the Plan were used. </w:t>
      </w:r>
    </w:p>
    <w:p w14:paraId="55CE7CC5" w14:textId="5E36EBC0" w:rsidR="009C534A" w:rsidRPr="004F0B3F" w:rsidRDefault="009C534A" w:rsidP="00ED2B74">
      <w:pPr>
        <w:pStyle w:val="ListBullet"/>
        <w:rPr>
          <w:rFonts w:cs="Arial"/>
        </w:rPr>
      </w:pPr>
      <w:r w:rsidRPr="00E27329">
        <w:rPr>
          <w:rFonts w:cs="Arial"/>
          <w:b/>
        </w:rPr>
        <w:lastRenderedPageBreak/>
        <w:t>Action learning</w:t>
      </w:r>
      <w:r w:rsidRPr="004F0B3F">
        <w:rPr>
          <w:rFonts w:cs="Arial"/>
        </w:rPr>
        <w:t xml:space="preserve">: </w:t>
      </w:r>
      <w:r w:rsidR="003743C9" w:rsidRPr="004F0B3F">
        <w:rPr>
          <w:rFonts w:cs="Arial"/>
        </w:rPr>
        <w:t xml:space="preserve">This refers to </w:t>
      </w:r>
      <w:r w:rsidR="0034620A" w:rsidRPr="004F0B3F">
        <w:rPr>
          <w:rFonts w:cs="Arial"/>
        </w:rPr>
        <w:t xml:space="preserve">ensuring there are continuous mechanisms by which </w:t>
      </w:r>
      <w:r w:rsidR="00005FA9" w:rsidRPr="004F0B3F">
        <w:rPr>
          <w:rFonts w:cs="Arial"/>
        </w:rPr>
        <w:t>the evaluation insights and learnings</w:t>
      </w:r>
      <w:r w:rsidR="00396A87">
        <w:rPr>
          <w:rFonts w:cs="Arial"/>
        </w:rPr>
        <w:t xml:space="preserve"> across the previous three components</w:t>
      </w:r>
      <w:r w:rsidR="00005FA9" w:rsidRPr="004F0B3F">
        <w:rPr>
          <w:rFonts w:cs="Arial"/>
        </w:rPr>
        <w:t xml:space="preserve"> can be shared with implementers</w:t>
      </w:r>
      <w:r w:rsidR="00E32B9C" w:rsidRPr="004F0B3F">
        <w:rPr>
          <w:rFonts w:cs="Arial"/>
        </w:rPr>
        <w:t>. This helps them</w:t>
      </w:r>
      <w:r w:rsidR="00005FA9" w:rsidRPr="004F0B3F">
        <w:rPr>
          <w:rFonts w:cs="Arial"/>
        </w:rPr>
        <w:t xml:space="preserve"> to adapt and improve implementation </w:t>
      </w:r>
      <w:r w:rsidR="00CF4AB9" w:rsidRPr="004F0B3F">
        <w:rPr>
          <w:rFonts w:cs="Arial"/>
        </w:rPr>
        <w:t>during</w:t>
      </w:r>
      <w:r w:rsidR="00C7102D" w:rsidRPr="004F0B3F">
        <w:rPr>
          <w:rFonts w:cs="Arial"/>
        </w:rPr>
        <w:t xml:space="preserve"> the evaluation period</w:t>
      </w:r>
      <w:r w:rsidR="00005FA9" w:rsidRPr="004F0B3F">
        <w:rPr>
          <w:rFonts w:cs="Arial"/>
        </w:rPr>
        <w:t>.</w:t>
      </w:r>
    </w:p>
    <w:p w14:paraId="09689F85" w14:textId="5CC24EBB" w:rsidR="00C7102D" w:rsidRDefault="00C7102D" w:rsidP="00ED2B74">
      <w:pPr>
        <w:rPr>
          <w:rFonts w:ascii="Arial" w:hAnsi="Arial" w:cs="Arial"/>
        </w:rPr>
      </w:pPr>
      <w:r w:rsidRPr="004F0B3F">
        <w:rPr>
          <w:rFonts w:ascii="Arial" w:hAnsi="Arial" w:cs="Arial"/>
        </w:rPr>
        <w:t xml:space="preserve">The evaluation is likely to observe different approaches to implementation and different interventions in each jurisdiction. Such variation provides an opportunity to evaluate the effectiveness and impact of different approaches, </w:t>
      </w:r>
      <w:proofErr w:type="gramStart"/>
      <w:r w:rsidRPr="004F0B3F">
        <w:rPr>
          <w:rFonts w:ascii="Arial" w:hAnsi="Arial" w:cs="Arial"/>
        </w:rPr>
        <w:t>contexts</w:t>
      </w:r>
      <w:proofErr w:type="gramEnd"/>
      <w:r w:rsidRPr="004F0B3F">
        <w:rPr>
          <w:rFonts w:ascii="Arial" w:hAnsi="Arial" w:cs="Arial"/>
        </w:rPr>
        <w:t xml:space="preserve"> and operating environments on the success of the Plan. The evaluation report will draw high level conclusions around this variation to answer the question of what works, for whom, in what context, but will not report findings at a jurisdictional level. </w:t>
      </w:r>
    </w:p>
    <w:p w14:paraId="1FA4654F" w14:textId="684F94C6" w:rsidR="00AA773C" w:rsidRDefault="00585A70" w:rsidP="00ED2B74">
      <w:pPr>
        <w:rPr>
          <w:rFonts w:ascii="Arial" w:hAnsi="Arial" w:cs="Arial"/>
        </w:rPr>
      </w:pPr>
      <w:r w:rsidRPr="003D58CB">
        <w:rPr>
          <w:rFonts w:ascii="Arial" w:hAnsi="Arial" w:cs="Arial"/>
        </w:rPr>
        <w:fldChar w:fldCharType="begin"/>
      </w:r>
      <w:r w:rsidRPr="003D58CB">
        <w:rPr>
          <w:rFonts w:ascii="Arial" w:hAnsi="Arial" w:cs="Arial"/>
        </w:rPr>
        <w:instrText xml:space="preserve"> REF _Ref93390284 \h </w:instrText>
      </w:r>
      <w:r w:rsidR="003D58CB">
        <w:rPr>
          <w:rFonts w:ascii="Arial" w:hAnsi="Arial" w:cs="Arial"/>
        </w:rPr>
        <w:instrText xml:space="preserve"> \* MERGEFORMAT </w:instrText>
      </w:r>
      <w:r w:rsidRPr="003D58CB">
        <w:rPr>
          <w:rFonts w:ascii="Arial" w:hAnsi="Arial" w:cs="Arial"/>
        </w:rPr>
      </w:r>
      <w:r w:rsidRPr="003D58CB">
        <w:rPr>
          <w:rFonts w:ascii="Arial" w:hAnsi="Arial" w:cs="Arial"/>
        </w:rPr>
        <w:fldChar w:fldCharType="separate"/>
      </w:r>
      <w:r w:rsidR="00CF19E2" w:rsidRPr="00CF19E2">
        <w:rPr>
          <w:rFonts w:ascii="Arial" w:hAnsi="Arial" w:cs="Arial"/>
        </w:rPr>
        <w:t xml:space="preserve">Figure </w:t>
      </w:r>
      <w:r w:rsidR="00CF19E2" w:rsidRPr="00CF19E2">
        <w:rPr>
          <w:rFonts w:ascii="Arial" w:hAnsi="Arial" w:cs="Arial"/>
          <w:noProof/>
        </w:rPr>
        <w:t>3</w:t>
      </w:r>
      <w:r w:rsidRPr="003D58CB">
        <w:rPr>
          <w:rFonts w:ascii="Arial" w:hAnsi="Arial" w:cs="Arial"/>
        </w:rPr>
        <w:fldChar w:fldCharType="end"/>
      </w:r>
      <w:r>
        <w:rPr>
          <w:rFonts w:ascii="Arial" w:hAnsi="Arial" w:cs="Arial"/>
        </w:rPr>
        <w:t xml:space="preserve"> summarises the intent and pro</w:t>
      </w:r>
      <w:r w:rsidR="00703CB9">
        <w:rPr>
          <w:rFonts w:ascii="Arial" w:hAnsi="Arial" w:cs="Arial"/>
        </w:rPr>
        <w:t>cess for undertaking the monitoring and evaluation components outlined above</w:t>
      </w:r>
      <w:r w:rsidR="00C07F04">
        <w:rPr>
          <w:rFonts w:ascii="Arial" w:hAnsi="Arial" w:cs="Arial"/>
        </w:rPr>
        <w:t xml:space="preserve"> and outlines their complementary roles</w:t>
      </w:r>
      <w:r w:rsidR="00703CB9">
        <w:rPr>
          <w:rFonts w:ascii="Arial" w:hAnsi="Arial" w:cs="Arial"/>
        </w:rPr>
        <w:t>.</w:t>
      </w:r>
      <w:r w:rsidR="00AA773C">
        <w:rPr>
          <w:rFonts w:ascii="Arial" w:hAnsi="Arial" w:cs="Arial"/>
        </w:rPr>
        <w:t xml:space="preserve"> </w:t>
      </w:r>
    </w:p>
    <w:p w14:paraId="779172E7" w14:textId="1F19769B" w:rsidR="00C41249" w:rsidRDefault="00C41249" w:rsidP="00ED2B74">
      <w:pPr>
        <w:pStyle w:val="Caption"/>
      </w:pPr>
      <w:bookmarkStart w:id="8" w:name="_Ref93390284"/>
      <w:r>
        <w:t xml:space="preserve">Figure </w:t>
      </w:r>
      <w:r w:rsidR="005A3A31">
        <w:fldChar w:fldCharType="begin"/>
      </w:r>
      <w:r w:rsidR="005A3A31">
        <w:instrText xml:space="preserve"> SEQ Figure \* ARABIC </w:instrText>
      </w:r>
      <w:r w:rsidR="005A3A31">
        <w:fldChar w:fldCharType="separate"/>
      </w:r>
      <w:r w:rsidR="00CF19E2">
        <w:rPr>
          <w:noProof/>
        </w:rPr>
        <w:t>3</w:t>
      </w:r>
      <w:r w:rsidR="005A3A31">
        <w:fldChar w:fldCharType="end"/>
      </w:r>
      <w:bookmarkEnd w:id="8"/>
      <w:r>
        <w:t xml:space="preserve"> | </w:t>
      </w:r>
      <w:r w:rsidR="00AD1E64">
        <w:t>Summary of monitoring and evaluation components</w:t>
      </w:r>
    </w:p>
    <w:p w14:paraId="21F1F46B" w14:textId="62DC47B7" w:rsidR="00C41249" w:rsidRDefault="001F1F99" w:rsidP="00ED2B74">
      <w:r>
        <w:rPr>
          <w:noProof/>
        </w:rPr>
        <w:drawing>
          <wp:inline distT="0" distB="0" distL="0" distR="0" wp14:anchorId="5A37FE31" wp14:editId="765E4907">
            <wp:extent cx="5880296" cy="3220893"/>
            <wp:effectExtent l="0" t="0" r="6350" b="0"/>
            <wp:docPr id="4" name="Picture 4" descr="This figure summaries the purpose of monitoring and evaluation. Monitoring of the Plan provides an annual progress update and acts as an accountability mechanism for implementation. Evaluation will occur in 2023, 2026 and 2029 and provides an indication of the appropriateness, effectiveness, impact and efficiency of th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ummaries the purpose of monitoring and evaluation. Monitoring of the Plan provides an annual progress update and acts as an accountability mechanism for implementation. Evaluation will occur in 2023, 2026 and 2029 and provides an indication of the appropriateness, effectiveness, impact and efficiency of the Pla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6306" cy="3229662"/>
                    </a:xfrm>
                    <a:prstGeom prst="rect">
                      <a:avLst/>
                    </a:prstGeom>
                    <a:noFill/>
                  </pic:spPr>
                </pic:pic>
              </a:graphicData>
            </a:graphic>
          </wp:inline>
        </w:drawing>
      </w:r>
    </w:p>
    <w:p w14:paraId="044B8F4C" w14:textId="3A0284EE" w:rsidR="00D338C1" w:rsidRPr="004F0B3F" w:rsidRDefault="00151AFC" w:rsidP="00ED2B74">
      <w:pPr>
        <w:pStyle w:val="Heading3"/>
        <w:rPr>
          <w:rFonts w:cs="Arial"/>
        </w:rPr>
      </w:pPr>
      <w:r w:rsidRPr="004F0B3F">
        <w:rPr>
          <w:rFonts w:cs="Arial"/>
        </w:rPr>
        <w:t>Monitoring and evaluation will use</w:t>
      </w:r>
      <w:r w:rsidR="00D338C1" w:rsidRPr="004F0B3F">
        <w:rPr>
          <w:rFonts w:cs="Arial"/>
        </w:rPr>
        <w:t xml:space="preserve"> mixed methods </w:t>
      </w:r>
      <w:r w:rsidRPr="004F0B3F">
        <w:rPr>
          <w:rFonts w:cs="Arial"/>
        </w:rPr>
        <w:t xml:space="preserve">and leverage existing data sources. </w:t>
      </w:r>
    </w:p>
    <w:p w14:paraId="2EBA378E" w14:textId="61435B7D" w:rsidR="00FF42C1" w:rsidRPr="004F0B3F" w:rsidRDefault="008B3AB9" w:rsidP="00ED2B74">
      <w:pPr>
        <w:rPr>
          <w:rFonts w:ascii="Arial" w:hAnsi="Arial" w:cs="Arial"/>
        </w:rPr>
      </w:pPr>
      <w:r>
        <w:rPr>
          <w:rFonts w:ascii="Arial" w:hAnsi="Arial" w:cs="Arial"/>
        </w:rPr>
        <w:t xml:space="preserve">While monitoring and evaluation </w:t>
      </w:r>
      <w:r w:rsidR="0068406C">
        <w:rPr>
          <w:rFonts w:ascii="Arial" w:hAnsi="Arial" w:cs="Arial"/>
        </w:rPr>
        <w:t>play distinct</w:t>
      </w:r>
      <w:r>
        <w:rPr>
          <w:rFonts w:ascii="Arial" w:hAnsi="Arial" w:cs="Arial"/>
        </w:rPr>
        <w:t xml:space="preserve"> roles, </w:t>
      </w:r>
      <w:r w:rsidR="00ED586C">
        <w:rPr>
          <w:rFonts w:ascii="Arial" w:hAnsi="Arial" w:cs="Arial"/>
        </w:rPr>
        <w:t xml:space="preserve">and have different outcomes and outputs, </w:t>
      </w:r>
      <w:r>
        <w:rPr>
          <w:rFonts w:ascii="Arial" w:hAnsi="Arial" w:cs="Arial"/>
        </w:rPr>
        <w:t>the approach to completing these activities is similar</w:t>
      </w:r>
      <w:r w:rsidR="008C659F">
        <w:rPr>
          <w:rFonts w:ascii="Arial" w:hAnsi="Arial" w:cs="Arial"/>
        </w:rPr>
        <w:t>.</w:t>
      </w:r>
      <w:r w:rsidR="007233C3">
        <w:rPr>
          <w:rFonts w:ascii="Arial" w:hAnsi="Arial" w:cs="Arial"/>
        </w:rPr>
        <w:t xml:space="preserve"> </w:t>
      </w:r>
      <w:r w:rsidR="00FF42C1" w:rsidRPr="004F0B3F">
        <w:rPr>
          <w:rFonts w:ascii="Arial" w:hAnsi="Arial" w:cs="Arial"/>
        </w:rPr>
        <w:t>A visual summary of the</w:t>
      </w:r>
      <w:r w:rsidR="007233C3">
        <w:rPr>
          <w:rFonts w:ascii="Arial" w:hAnsi="Arial" w:cs="Arial"/>
        </w:rPr>
        <w:t xml:space="preserve"> overall</w:t>
      </w:r>
      <w:r w:rsidR="00FF42C1" w:rsidRPr="004F0B3F">
        <w:rPr>
          <w:rFonts w:ascii="Arial" w:hAnsi="Arial" w:cs="Arial"/>
        </w:rPr>
        <w:t xml:space="preserve"> monitoring and evaluation approach is shown in </w:t>
      </w:r>
      <w:r w:rsidR="007244AD" w:rsidRPr="004F0B3F">
        <w:rPr>
          <w:rFonts w:ascii="Arial" w:hAnsi="Arial" w:cs="Arial"/>
        </w:rPr>
        <w:fldChar w:fldCharType="begin"/>
      </w:r>
      <w:r w:rsidR="007244AD" w:rsidRPr="004F0B3F">
        <w:rPr>
          <w:rFonts w:ascii="Arial" w:hAnsi="Arial" w:cs="Arial"/>
        </w:rPr>
        <w:instrText xml:space="preserve"> REF _Ref88045269 \h </w:instrText>
      </w:r>
      <w:r w:rsidR="00486345" w:rsidRPr="004F0B3F">
        <w:rPr>
          <w:rFonts w:ascii="Arial" w:hAnsi="Arial" w:cs="Arial"/>
        </w:rPr>
        <w:instrText xml:space="preserve"> \* MERGEFORMAT </w:instrText>
      </w:r>
      <w:r w:rsidR="007244AD" w:rsidRPr="004F0B3F">
        <w:rPr>
          <w:rFonts w:ascii="Arial" w:hAnsi="Arial" w:cs="Arial"/>
        </w:rPr>
      </w:r>
      <w:r w:rsidR="007244AD" w:rsidRPr="004F0B3F">
        <w:rPr>
          <w:rFonts w:ascii="Arial" w:hAnsi="Arial" w:cs="Arial"/>
        </w:rPr>
        <w:fldChar w:fldCharType="separate"/>
      </w:r>
      <w:r w:rsidR="00CF19E2" w:rsidRPr="00CF19E2">
        <w:rPr>
          <w:rFonts w:ascii="Arial" w:hAnsi="Arial" w:cs="Arial"/>
        </w:rPr>
        <w:t xml:space="preserve">Figure </w:t>
      </w:r>
      <w:r w:rsidR="00CF19E2" w:rsidRPr="00CF19E2">
        <w:rPr>
          <w:rFonts w:ascii="Arial" w:hAnsi="Arial" w:cs="Arial"/>
          <w:noProof/>
        </w:rPr>
        <w:t>4</w:t>
      </w:r>
      <w:r w:rsidR="007244AD" w:rsidRPr="004F0B3F">
        <w:rPr>
          <w:rFonts w:ascii="Arial" w:hAnsi="Arial" w:cs="Arial"/>
        </w:rPr>
        <w:fldChar w:fldCharType="end"/>
      </w:r>
      <w:r w:rsidR="007244AD" w:rsidRPr="004F0B3F">
        <w:rPr>
          <w:rFonts w:ascii="Arial" w:hAnsi="Arial" w:cs="Arial"/>
        </w:rPr>
        <w:t>.</w:t>
      </w:r>
      <w:r w:rsidR="00F9284D" w:rsidRPr="004F0B3F">
        <w:rPr>
          <w:rFonts w:ascii="Arial" w:hAnsi="Arial" w:cs="Arial"/>
        </w:rPr>
        <w:t xml:space="preserve"> </w:t>
      </w:r>
      <w:r w:rsidR="005C7C26" w:rsidRPr="004F0B3F">
        <w:rPr>
          <w:rFonts w:ascii="Arial" w:hAnsi="Arial" w:cs="Arial"/>
        </w:rPr>
        <w:t>It shows the objectives, approach, data sources</w:t>
      </w:r>
      <w:r w:rsidR="00BF64A1" w:rsidRPr="004F0B3F">
        <w:rPr>
          <w:rFonts w:ascii="Arial" w:hAnsi="Arial" w:cs="Arial"/>
        </w:rPr>
        <w:t xml:space="preserve"> and approach for analysis, </w:t>
      </w:r>
      <w:proofErr w:type="gramStart"/>
      <w:r w:rsidR="00BF64A1" w:rsidRPr="004F0B3F">
        <w:rPr>
          <w:rFonts w:ascii="Arial" w:hAnsi="Arial" w:cs="Arial"/>
        </w:rPr>
        <w:t>synthesis</w:t>
      </w:r>
      <w:proofErr w:type="gramEnd"/>
      <w:r w:rsidR="00BF64A1" w:rsidRPr="004F0B3F">
        <w:rPr>
          <w:rFonts w:ascii="Arial" w:hAnsi="Arial" w:cs="Arial"/>
        </w:rPr>
        <w:t xml:space="preserve"> and reporting.</w:t>
      </w:r>
      <w:r w:rsidR="00A36339" w:rsidRPr="004F0B3F">
        <w:rPr>
          <w:rFonts w:ascii="Arial" w:hAnsi="Arial" w:cs="Arial"/>
        </w:rPr>
        <w:t xml:space="preserve"> </w:t>
      </w:r>
      <w:r w:rsidR="00BF64A1" w:rsidRPr="004F0B3F">
        <w:rPr>
          <w:rFonts w:ascii="Arial" w:hAnsi="Arial" w:cs="Arial"/>
        </w:rPr>
        <w:t xml:space="preserve">Subsequent sections provide the </w:t>
      </w:r>
      <w:r w:rsidR="00257718" w:rsidRPr="004F0B3F">
        <w:rPr>
          <w:rFonts w:ascii="Arial" w:hAnsi="Arial" w:cs="Arial"/>
        </w:rPr>
        <w:t>program theory (</w:t>
      </w:r>
      <w:r w:rsidR="00486345" w:rsidRPr="004F0B3F">
        <w:rPr>
          <w:rFonts w:ascii="Arial" w:hAnsi="Arial" w:cs="Arial"/>
        </w:rPr>
        <w:t xml:space="preserve">Section </w:t>
      </w:r>
      <w:r w:rsidR="00486345" w:rsidRPr="004F0B3F">
        <w:rPr>
          <w:rFonts w:ascii="Arial" w:hAnsi="Arial" w:cs="Arial"/>
        </w:rPr>
        <w:fldChar w:fldCharType="begin"/>
      </w:r>
      <w:r w:rsidR="00486345" w:rsidRPr="004F0B3F">
        <w:rPr>
          <w:rFonts w:ascii="Arial" w:hAnsi="Arial" w:cs="Arial"/>
        </w:rPr>
        <w:instrText xml:space="preserve"> REF _Ref88478907 \r \h  \* MERGEFORMAT </w:instrText>
      </w:r>
      <w:r w:rsidR="00486345" w:rsidRPr="004F0B3F">
        <w:rPr>
          <w:rFonts w:ascii="Arial" w:hAnsi="Arial" w:cs="Arial"/>
        </w:rPr>
      </w:r>
      <w:r w:rsidR="00486345" w:rsidRPr="004F0B3F">
        <w:rPr>
          <w:rFonts w:ascii="Arial" w:hAnsi="Arial" w:cs="Arial"/>
        </w:rPr>
        <w:fldChar w:fldCharType="separate"/>
      </w:r>
      <w:r w:rsidR="00CF19E2">
        <w:rPr>
          <w:rFonts w:ascii="Arial" w:hAnsi="Arial" w:cs="Arial"/>
        </w:rPr>
        <w:t>2.2</w:t>
      </w:r>
      <w:r w:rsidR="00486345" w:rsidRPr="004F0B3F">
        <w:rPr>
          <w:rFonts w:ascii="Arial" w:hAnsi="Arial" w:cs="Arial"/>
        </w:rPr>
        <w:fldChar w:fldCharType="end"/>
      </w:r>
      <w:r w:rsidR="00257718" w:rsidRPr="004F0B3F">
        <w:rPr>
          <w:rFonts w:ascii="Arial" w:hAnsi="Arial" w:cs="Arial"/>
        </w:rPr>
        <w:t>), key monitoring and evaluation questions (</w:t>
      </w:r>
      <w:r w:rsidR="00486345" w:rsidRPr="004F0B3F">
        <w:rPr>
          <w:rFonts w:ascii="Arial" w:hAnsi="Arial" w:cs="Arial"/>
        </w:rPr>
        <w:t>S</w:t>
      </w:r>
      <w:r w:rsidR="00257718" w:rsidRPr="004F0B3F">
        <w:rPr>
          <w:rFonts w:ascii="Arial" w:hAnsi="Arial" w:cs="Arial"/>
        </w:rPr>
        <w:t xml:space="preserve">ection </w:t>
      </w:r>
      <w:r w:rsidR="00453F02">
        <w:rPr>
          <w:rFonts w:ascii="Arial" w:hAnsi="Arial" w:cs="Arial"/>
        </w:rPr>
        <w:fldChar w:fldCharType="begin"/>
      </w:r>
      <w:r w:rsidR="00453F02">
        <w:rPr>
          <w:rFonts w:ascii="Arial" w:hAnsi="Arial" w:cs="Arial"/>
        </w:rPr>
        <w:instrText xml:space="preserve"> REF _Ref93395070 \w \h </w:instrText>
      </w:r>
      <w:r w:rsidR="00453F02">
        <w:rPr>
          <w:rFonts w:ascii="Arial" w:hAnsi="Arial" w:cs="Arial"/>
        </w:rPr>
      </w:r>
      <w:r w:rsidR="00453F02">
        <w:rPr>
          <w:rFonts w:ascii="Arial" w:hAnsi="Arial" w:cs="Arial"/>
        </w:rPr>
        <w:fldChar w:fldCharType="separate"/>
      </w:r>
      <w:r w:rsidR="00CF19E2">
        <w:rPr>
          <w:rFonts w:ascii="Arial" w:hAnsi="Arial" w:cs="Arial"/>
        </w:rPr>
        <w:t>2.3</w:t>
      </w:r>
      <w:r w:rsidR="00453F02">
        <w:rPr>
          <w:rFonts w:ascii="Arial" w:hAnsi="Arial" w:cs="Arial"/>
        </w:rPr>
        <w:fldChar w:fldCharType="end"/>
      </w:r>
      <w:r w:rsidR="00257718" w:rsidRPr="004F0B3F">
        <w:rPr>
          <w:rFonts w:ascii="Arial" w:hAnsi="Arial" w:cs="Arial"/>
        </w:rPr>
        <w:t xml:space="preserve">), national </w:t>
      </w:r>
      <w:r w:rsidR="00591746" w:rsidRPr="004F0B3F">
        <w:rPr>
          <w:rFonts w:ascii="Arial" w:hAnsi="Arial" w:cs="Arial"/>
        </w:rPr>
        <w:t xml:space="preserve">evaluation </w:t>
      </w:r>
      <w:r w:rsidR="00257718" w:rsidRPr="004F0B3F">
        <w:rPr>
          <w:rFonts w:ascii="Arial" w:hAnsi="Arial" w:cs="Arial"/>
        </w:rPr>
        <w:t>indicators (</w:t>
      </w:r>
      <w:r w:rsidR="00486345" w:rsidRPr="004F0B3F">
        <w:rPr>
          <w:rFonts w:ascii="Arial" w:hAnsi="Arial" w:cs="Arial"/>
        </w:rPr>
        <w:t>S</w:t>
      </w:r>
      <w:r w:rsidR="00257718" w:rsidRPr="004F0B3F">
        <w:rPr>
          <w:rFonts w:ascii="Arial" w:hAnsi="Arial" w:cs="Arial"/>
        </w:rPr>
        <w:t>ection</w:t>
      </w:r>
      <w:r w:rsidR="00F5127D">
        <w:rPr>
          <w:rFonts w:ascii="Arial" w:hAnsi="Arial" w:cs="Arial"/>
        </w:rPr>
        <w:t xml:space="preserve"> </w:t>
      </w:r>
      <w:r w:rsidR="00F5127D">
        <w:rPr>
          <w:rFonts w:ascii="Arial" w:hAnsi="Arial" w:cs="Arial"/>
        </w:rPr>
        <w:fldChar w:fldCharType="begin"/>
      </w:r>
      <w:r w:rsidR="00F5127D">
        <w:rPr>
          <w:rFonts w:ascii="Arial" w:hAnsi="Arial" w:cs="Arial"/>
        </w:rPr>
        <w:instrText xml:space="preserve"> REF _Ref88659891 \r \h </w:instrText>
      </w:r>
      <w:r w:rsidR="00F5127D">
        <w:rPr>
          <w:rFonts w:ascii="Arial" w:hAnsi="Arial" w:cs="Arial"/>
        </w:rPr>
      </w:r>
      <w:r w:rsidR="00F5127D">
        <w:rPr>
          <w:rFonts w:ascii="Arial" w:hAnsi="Arial" w:cs="Arial"/>
        </w:rPr>
        <w:fldChar w:fldCharType="separate"/>
      </w:r>
      <w:r w:rsidR="00CF19E2">
        <w:rPr>
          <w:rFonts w:ascii="Arial" w:hAnsi="Arial" w:cs="Arial"/>
        </w:rPr>
        <w:t>2.4</w:t>
      </w:r>
      <w:r w:rsidR="00F5127D">
        <w:rPr>
          <w:rFonts w:ascii="Arial" w:hAnsi="Arial" w:cs="Arial"/>
        </w:rPr>
        <w:fldChar w:fldCharType="end"/>
      </w:r>
      <w:r w:rsidR="00257718" w:rsidRPr="004F0B3F">
        <w:rPr>
          <w:rFonts w:ascii="Arial" w:hAnsi="Arial" w:cs="Arial"/>
        </w:rPr>
        <w:t xml:space="preserve">), </w:t>
      </w:r>
      <w:r w:rsidR="00BF64A1" w:rsidRPr="004F0B3F">
        <w:rPr>
          <w:rFonts w:ascii="Arial" w:hAnsi="Arial" w:cs="Arial"/>
        </w:rPr>
        <w:t xml:space="preserve">data </w:t>
      </w:r>
      <w:r w:rsidR="008640BC">
        <w:rPr>
          <w:rFonts w:ascii="Arial" w:hAnsi="Arial" w:cs="Arial"/>
        </w:rPr>
        <w:t>collection and analysis</w:t>
      </w:r>
      <w:r w:rsidR="00BF64A1" w:rsidRPr="004F0B3F">
        <w:rPr>
          <w:rFonts w:ascii="Arial" w:hAnsi="Arial" w:cs="Arial"/>
        </w:rPr>
        <w:t xml:space="preserve"> (</w:t>
      </w:r>
      <w:r w:rsidR="00486345" w:rsidRPr="004F0B3F">
        <w:rPr>
          <w:rFonts w:ascii="Arial" w:hAnsi="Arial" w:cs="Arial"/>
        </w:rPr>
        <w:t>S</w:t>
      </w:r>
      <w:r w:rsidR="00BF64A1" w:rsidRPr="004F0B3F">
        <w:rPr>
          <w:rFonts w:ascii="Arial" w:hAnsi="Arial" w:cs="Arial"/>
        </w:rPr>
        <w:t xml:space="preserve">ection </w:t>
      </w:r>
      <w:r w:rsidR="00486345" w:rsidRPr="004F0B3F">
        <w:rPr>
          <w:rFonts w:ascii="Arial" w:hAnsi="Arial" w:cs="Arial"/>
        </w:rPr>
        <w:fldChar w:fldCharType="begin"/>
      </w:r>
      <w:r w:rsidR="00486345" w:rsidRPr="004F0B3F">
        <w:rPr>
          <w:rFonts w:ascii="Arial" w:hAnsi="Arial" w:cs="Arial"/>
        </w:rPr>
        <w:instrText xml:space="preserve"> REF _Ref88478959 \r \h  \* MERGEFORMAT </w:instrText>
      </w:r>
      <w:r w:rsidR="00486345" w:rsidRPr="004F0B3F">
        <w:rPr>
          <w:rFonts w:ascii="Arial" w:hAnsi="Arial" w:cs="Arial"/>
        </w:rPr>
      </w:r>
      <w:r w:rsidR="00486345" w:rsidRPr="004F0B3F">
        <w:rPr>
          <w:rFonts w:ascii="Arial" w:hAnsi="Arial" w:cs="Arial"/>
        </w:rPr>
        <w:fldChar w:fldCharType="separate"/>
      </w:r>
      <w:r w:rsidR="00CF19E2">
        <w:rPr>
          <w:rFonts w:ascii="Arial" w:hAnsi="Arial" w:cs="Arial"/>
        </w:rPr>
        <w:t>2.5</w:t>
      </w:r>
      <w:r w:rsidR="00486345" w:rsidRPr="004F0B3F">
        <w:rPr>
          <w:rFonts w:ascii="Arial" w:hAnsi="Arial" w:cs="Arial"/>
        </w:rPr>
        <w:fldChar w:fldCharType="end"/>
      </w:r>
      <w:r w:rsidR="00BF64A1" w:rsidRPr="004F0B3F">
        <w:rPr>
          <w:rFonts w:ascii="Arial" w:hAnsi="Arial" w:cs="Arial"/>
        </w:rPr>
        <w:t>)</w:t>
      </w:r>
      <w:r w:rsidR="00A36339" w:rsidRPr="004F0B3F">
        <w:rPr>
          <w:rFonts w:ascii="Arial" w:hAnsi="Arial" w:cs="Arial"/>
        </w:rPr>
        <w:t xml:space="preserve"> and reporting (</w:t>
      </w:r>
      <w:r w:rsidR="00486345" w:rsidRPr="004F0B3F">
        <w:rPr>
          <w:rFonts w:ascii="Arial" w:hAnsi="Arial" w:cs="Arial"/>
        </w:rPr>
        <w:t>S</w:t>
      </w:r>
      <w:r w:rsidR="00A36339" w:rsidRPr="004F0B3F">
        <w:rPr>
          <w:rFonts w:ascii="Arial" w:hAnsi="Arial" w:cs="Arial"/>
        </w:rPr>
        <w:t xml:space="preserve">ection </w:t>
      </w:r>
      <w:r w:rsidR="009E25AF">
        <w:rPr>
          <w:rFonts w:ascii="Arial" w:hAnsi="Arial" w:cs="Arial"/>
        </w:rPr>
        <w:fldChar w:fldCharType="begin"/>
      </w:r>
      <w:r w:rsidR="009E25AF">
        <w:rPr>
          <w:rFonts w:ascii="Arial" w:hAnsi="Arial" w:cs="Arial"/>
        </w:rPr>
        <w:instrText xml:space="preserve"> REF _Ref100146825 \r \h </w:instrText>
      </w:r>
      <w:r w:rsidR="009E25AF">
        <w:rPr>
          <w:rFonts w:ascii="Arial" w:hAnsi="Arial" w:cs="Arial"/>
        </w:rPr>
      </w:r>
      <w:r w:rsidR="009E25AF">
        <w:rPr>
          <w:rFonts w:ascii="Arial" w:hAnsi="Arial" w:cs="Arial"/>
        </w:rPr>
        <w:fldChar w:fldCharType="separate"/>
      </w:r>
      <w:r w:rsidR="00CF19E2">
        <w:rPr>
          <w:rFonts w:ascii="Arial" w:hAnsi="Arial" w:cs="Arial"/>
        </w:rPr>
        <w:t>3</w:t>
      </w:r>
      <w:r w:rsidR="009E25AF">
        <w:rPr>
          <w:rFonts w:ascii="Arial" w:hAnsi="Arial" w:cs="Arial"/>
        </w:rPr>
        <w:fldChar w:fldCharType="end"/>
      </w:r>
      <w:r w:rsidR="00A36339" w:rsidRPr="004F0B3F">
        <w:rPr>
          <w:rFonts w:ascii="Arial" w:hAnsi="Arial" w:cs="Arial"/>
        </w:rPr>
        <w:t xml:space="preserve">). </w:t>
      </w:r>
    </w:p>
    <w:p w14:paraId="402F4941" w14:textId="0A3EAA53" w:rsidR="007244AD" w:rsidRDefault="007244AD" w:rsidP="00ED2B74">
      <w:pPr>
        <w:pStyle w:val="Caption"/>
      </w:pPr>
      <w:bookmarkStart w:id="9" w:name="_Ref88045269"/>
      <w:r>
        <w:lastRenderedPageBreak/>
        <w:t xml:space="preserve">Figure </w:t>
      </w:r>
      <w:r w:rsidR="005A3A31">
        <w:fldChar w:fldCharType="begin"/>
      </w:r>
      <w:r w:rsidR="005A3A31">
        <w:instrText xml:space="preserve"> SEQ Figure \* ARABIC </w:instrText>
      </w:r>
      <w:r w:rsidR="005A3A31">
        <w:fldChar w:fldCharType="separate"/>
      </w:r>
      <w:r w:rsidR="00CF19E2">
        <w:rPr>
          <w:noProof/>
        </w:rPr>
        <w:t>4</w:t>
      </w:r>
      <w:r w:rsidR="005A3A31">
        <w:fldChar w:fldCharType="end"/>
      </w:r>
      <w:bookmarkEnd w:id="9"/>
      <w:r>
        <w:t xml:space="preserve"> | Overview of the monitoring and evaluation approach for the Plan </w:t>
      </w:r>
    </w:p>
    <w:p w14:paraId="0E74AE61" w14:textId="720330AA" w:rsidR="007244AD" w:rsidRDefault="00866482" w:rsidP="00ED2B74">
      <w:r>
        <w:rPr>
          <w:noProof/>
        </w:rPr>
        <w:drawing>
          <wp:inline distT="0" distB="0" distL="0" distR="0" wp14:anchorId="096C79C1" wp14:editId="7A037BA9">
            <wp:extent cx="6074244" cy="6251945"/>
            <wp:effectExtent l="0" t="0" r="3175" b="0"/>
            <wp:docPr id="8" name="Picture 8" descr="This figure provides an overview of the monitoring and evaluation approach. First it identifies the monitoring and evaluation objectives and indicates that the approach will be based on a theory of change, a program logic and key monitoring and evaluation questions. The figure then identifies the five key data sources- desktop and evidence review, the Annual Implementers Progress Update, existing datasets, new datasets and consultations. Data will be analysed and report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provides an overview of the monitoring and evaluation approach. First it identifies the monitoring and evaluation objectives and indicates that the approach will be based on a theory of change, a program logic and key monitoring and evaluation questions. The figure then identifies the five key data sources- desktop and evidence review, the Annual Implementers Progress Update, existing datasets, new datasets and consultations. Data will be analysed and reported o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3153" cy="6261114"/>
                    </a:xfrm>
                    <a:prstGeom prst="rect">
                      <a:avLst/>
                    </a:prstGeom>
                    <a:noFill/>
                  </pic:spPr>
                </pic:pic>
              </a:graphicData>
            </a:graphic>
          </wp:inline>
        </w:drawing>
      </w:r>
    </w:p>
    <w:p w14:paraId="1EABEF20" w14:textId="033F1C05" w:rsidR="00822595" w:rsidRPr="00342594" w:rsidRDefault="00D67BE9" w:rsidP="00ED2B74">
      <w:pPr>
        <w:pStyle w:val="Heading3"/>
      </w:pPr>
      <w:r w:rsidRPr="00342594">
        <w:t>The scope of the Monitoring and Evaluation Framework is limited</w:t>
      </w:r>
      <w:r w:rsidR="00C10162" w:rsidRPr="00342594">
        <w:t xml:space="preserve"> </w:t>
      </w:r>
      <w:r w:rsidR="00DC6365" w:rsidRPr="00342594">
        <w:t>specifically</w:t>
      </w:r>
      <w:r w:rsidRPr="00342594">
        <w:t xml:space="preserve"> to the Plan. </w:t>
      </w:r>
    </w:p>
    <w:p w14:paraId="1672B02C" w14:textId="3451BE83" w:rsidR="002A639D" w:rsidRDefault="00D67BE9" w:rsidP="002A639D">
      <w:pPr>
        <w:rPr>
          <w:rFonts w:ascii="Arial" w:hAnsi="Arial" w:cs="Arial"/>
          <w:lang w:eastAsia="en-AU"/>
        </w:rPr>
      </w:pPr>
      <w:r w:rsidRPr="00342594">
        <w:rPr>
          <w:rFonts w:ascii="Arial" w:hAnsi="Arial" w:cs="Arial"/>
          <w:lang w:eastAsia="en-AU"/>
        </w:rPr>
        <w:t xml:space="preserve">Evaluation of the Plan </w:t>
      </w:r>
      <w:r w:rsidR="006C07C8" w:rsidRPr="00342594">
        <w:rPr>
          <w:rFonts w:ascii="Arial" w:hAnsi="Arial" w:cs="Arial"/>
          <w:lang w:eastAsia="en-AU"/>
        </w:rPr>
        <w:t xml:space="preserve">is </w:t>
      </w:r>
      <w:r w:rsidR="00FA4342">
        <w:rPr>
          <w:rFonts w:ascii="Arial" w:hAnsi="Arial" w:cs="Arial"/>
          <w:lang w:eastAsia="en-AU"/>
        </w:rPr>
        <w:t>focus</w:t>
      </w:r>
      <w:r w:rsidR="002A639D">
        <w:rPr>
          <w:rFonts w:ascii="Arial" w:hAnsi="Arial" w:cs="Arial"/>
          <w:lang w:eastAsia="en-AU"/>
        </w:rPr>
        <w:t>ed</w:t>
      </w:r>
      <w:r w:rsidR="00FA4342">
        <w:rPr>
          <w:rFonts w:ascii="Arial" w:hAnsi="Arial" w:cs="Arial"/>
          <w:lang w:eastAsia="en-AU"/>
        </w:rPr>
        <w:t xml:space="preserve"> on </w:t>
      </w:r>
      <w:r w:rsidR="00072855">
        <w:rPr>
          <w:rFonts w:ascii="Arial" w:hAnsi="Arial" w:cs="Arial"/>
          <w:lang w:eastAsia="en-AU"/>
        </w:rPr>
        <w:t xml:space="preserve">assessing the impact, </w:t>
      </w:r>
      <w:proofErr w:type="gramStart"/>
      <w:r w:rsidR="00072855">
        <w:rPr>
          <w:rFonts w:ascii="Arial" w:hAnsi="Arial" w:cs="Arial"/>
          <w:lang w:eastAsia="en-AU"/>
        </w:rPr>
        <w:t>effectiveness</w:t>
      </w:r>
      <w:proofErr w:type="gramEnd"/>
      <w:r w:rsidR="00072855">
        <w:rPr>
          <w:rFonts w:ascii="Arial" w:hAnsi="Arial" w:cs="Arial"/>
          <w:lang w:eastAsia="en-AU"/>
        </w:rPr>
        <w:t xml:space="preserve"> and outcome of the Plan as a whole, rather than assessing the outcome or appropriateness of specific tasks. </w:t>
      </w:r>
      <w:r w:rsidR="002740C5" w:rsidRPr="00342594">
        <w:rPr>
          <w:rFonts w:ascii="Arial" w:hAnsi="Arial" w:cs="Arial"/>
          <w:lang w:eastAsia="en-AU"/>
        </w:rPr>
        <w:t>T</w:t>
      </w:r>
      <w:r w:rsidR="002740C5">
        <w:rPr>
          <w:rFonts w:ascii="Arial" w:hAnsi="Arial" w:cs="Arial"/>
          <w:lang w:eastAsia="en-AU"/>
        </w:rPr>
        <w:t xml:space="preserve">he evaluation considers </w:t>
      </w:r>
      <w:r w:rsidR="00E06CD5">
        <w:rPr>
          <w:rFonts w:ascii="Arial" w:hAnsi="Arial" w:cs="Arial"/>
          <w:lang w:eastAsia="en-AU"/>
        </w:rPr>
        <w:t xml:space="preserve">the appropriateness of </w:t>
      </w:r>
      <w:r w:rsidRPr="00342594">
        <w:rPr>
          <w:rFonts w:ascii="Arial" w:hAnsi="Arial" w:cs="Arial"/>
          <w:lang w:eastAsia="en-AU"/>
        </w:rPr>
        <w:t xml:space="preserve">approaches used to implement </w:t>
      </w:r>
      <w:r w:rsidR="008B5570">
        <w:rPr>
          <w:rFonts w:ascii="Arial" w:hAnsi="Arial" w:cs="Arial"/>
          <w:lang w:eastAsia="en-AU"/>
        </w:rPr>
        <w:t>tasks</w:t>
      </w:r>
      <w:r w:rsidR="00E06CD5">
        <w:rPr>
          <w:rFonts w:ascii="Arial" w:hAnsi="Arial" w:cs="Arial"/>
          <w:lang w:eastAsia="en-AU"/>
        </w:rPr>
        <w:t xml:space="preserve"> </w:t>
      </w:r>
      <w:r w:rsidRPr="00342594">
        <w:rPr>
          <w:rFonts w:ascii="Arial" w:hAnsi="Arial" w:cs="Arial"/>
          <w:lang w:eastAsia="en-AU"/>
        </w:rPr>
        <w:t xml:space="preserve">and outcomes achieved. </w:t>
      </w:r>
      <w:r w:rsidR="002A639D">
        <w:rPr>
          <w:rFonts w:ascii="Arial" w:hAnsi="Arial" w:cs="Arial"/>
          <w:lang w:eastAsia="en-AU"/>
        </w:rPr>
        <w:t xml:space="preserve">Monitoring of the Plan </w:t>
      </w:r>
      <w:r w:rsidR="00F12E04">
        <w:rPr>
          <w:rFonts w:ascii="Arial" w:hAnsi="Arial" w:cs="Arial"/>
          <w:lang w:eastAsia="en-AU"/>
        </w:rPr>
        <w:t xml:space="preserve">focuses on assessing the progress of the Plan towards </w:t>
      </w:r>
      <w:r w:rsidR="00E06CD5">
        <w:rPr>
          <w:rFonts w:ascii="Arial" w:hAnsi="Arial" w:cs="Arial"/>
          <w:lang w:eastAsia="en-AU"/>
        </w:rPr>
        <w:t xml:space="preserve">implementation and identifies key barriers or enablers to implementation. </w:t>
      </w:r>
    </w:p>
    <w:p w14:paraId="06FE9994" w14:textId="6690A864" w:rsidR="006C07C8" w:rsidRPr="00342594" w:rsidRDefault="00E06CD5" w:rsidP="00133B7C">
      <w:pPr>
        <w:keepNext/>
        <w:rPr>
          <w:rFonts w:ascii="Arial" w:hAnsi="Arial" w:cs="Arial"/>
        </w:rPr>
      </w:pPr>
      <w:r>
        <w:rPr>
          <w:rFonts w:ascii="Arial" w:hAnsi="Arial" w:cs="Arial"/>
          <w:lang w:eastAsia="en-AU"/>
        </w:rPr>
        <w:t>As such, the m</w:t>
      </w:r>
      <w:r w:rsidR="00D67BE9" w:rsidRPr="00342594">
        <w:rPr>
          <w:rFonts w:ascii="Arial" w:hAnsi="Arial" w:cs="Arial"/>
          <w:lang w:eastAsia="en-AU"/>
        </w:rPr>
        <w:t>onitoring and evaluation</w:t>
      </w:r>
      <w:r>
        <w:rPr>
          <w:rFonts w:ascii="Arial" w:hAnsi="Arial" w:cs="Arial"/>
          <w:lang w:eastAsia="en-AU"/>
        </w:rPr>
        <w:t xml:space="preserve"> of the Plan</w:t>
      </w:r>
      <w:r w:rsidR="00D67BE9" w:rsidRPr="00342594">
        <w:rPr>
          <w:rFonts w:ascii="Arial" w:hAnsi="Arial" w:cs="Arial"/>
          <w:lang w:eastAsia="en-AU"/>
        </w:rPr>
        <w:t xml:space="preserve"> will not</w:t>
      </w:r>
      <w:r w:rsidR="00717BFE" w:rsidRPr="00342594">
        <w:rPr>
          <w:rFonts w:ascii="Arial" w:hAnsi="Arial" w:cs="Arial"/>
          <w:lang w:eastAsia="en-AU"/>
        </w:rPr>
        <w:t xml:space="preserve"> include: </w:t>
      </w:r>
    </w:p>
    <w:p w14:paraId="308CFA1F" w14:textId="4153EDBB" w:rsidR="00A71D7E" w:rsidRPr="00A71D7E" w:rsidRDefault="00A71D7E" w:rsidP="00A71D7E">
      <w:pPr>
        <w:pStyle w:val="ListBullet"/>
        <w:rPr>
          <w:rFonts w:cs="Arial"/>
        </w:rPr>
      </w:pPr>
      <w:r w:rsidRPr="008640BC">
        <w:rPr>
          <w:rFonts w:cs="Arial"/>
          <w:b/>
        </w:rPr>
        <w:t>Evaluation of individual tasks</w:t>
      </w:r>
      <w:r w:rsidRPr="00342594">
        <w:rPr>
          <w:rFonts w:cs="Arial"/>
        </w:rPr>
        <w:t xml:space="preserve">. Jurisdictional-level or task-level outcome evaluations are out of scope. The national evaluation will assess the extent to which each task was implemented, and the national outcomes observed (using the national evaluation indicators in Section </w:t>
      </w:r>
      <w:r w:rsidRPr="00342594">
        <w:rPr>
          <w:rFonts w:cs="Arial"/>
          <w:highlight w:val="yellow"/>
        </w:rPr>
        <w:fldChar w:fldCharType="begin"/>
      </w:r>
      <w:r w:rsidRPr="00342594">
        <w:rPr>
          <w:rFonts w:cs="Arial"/>
        </w:rPr>
        <w:instrText xml:space="preserve"> REF _Ref88659891 \r \h </w:instrText>
      </w:r>
      <w:r>
        <w:rPr>
          <w:rFonts w:cs="Arial"/>
          <w:highlight w:val="yellow"/>
        </w:rPr>
        <w:instrText xml:space="preserve"> \* MERGEFORMAT </w:instrText>
      </w:r>
      <w:r w:rsidRPr="00342594">
        <w:rPr>
          <w:rFonts w:cs="Arial"/>
          <w:highlight w:val="yellow"/>
        </w:rPr>
      </w:r>
      <w:r w:rsidRPr="00342594">
        <w:rPr>
          <w:rFonts w:cs="Arial"/>
          <w:highlight w:val="yellow"/>
        </w:rPr>
        <w:fldChar w:fldCharType="separate"/>
      </w:r>
      <w:r w:rsidR="00CF19E2">
        <w:rPr>
          <w:rFonts w:cs="Arial"/>
        </w:rPr>
        <w:t>2.4</w:t>
      </w:r>
      <w:r w:rsidRPr="00342594">
        <w:rPr>
          <w:rFonts w:cs="Arial"/>
          <w:highlight w:val="yellow"/>
        </w:rPr>
        <w:fldChar w:fldCharType="end"/>
      </w:r>
      <w:r w:rsidRPr="00342594">
        <w:rPr>
          <w:rFonts w:cs="Arial"/>
        </w:rPr>
        <w:t>).</w:t>
      </w:r>
    </w:p>
    <w:p w14:paraId="6178189D" w14:textId="4DA43B8A" w:rsidR="00D67BE9" w:rsidRPr="00342594" w:rsidRDefault="00D67BE9" w:rsidP="005D20A8">
      <w:pPr>
        <w:pStyle w:val="ListBullet"/>
        <w:rPr>
          <w:rFonts w:cs="Arial"/>
        </w:rPr>
      </w:pPr>
      <w:r w:rsidRPr="008640BC">
        <w:rPr>
          <w:rFonts w:cs="Arial"/>
          <w:b/>
        </w:rPr>
        <w:lastRenderedPageBreak/>
        <w:t>Evaluation of maternity services or specific models of care.</w:t>
      </w:r>
      <w:r w:rsidRPr="00342594">
        <w:rPr>
          <w:rFonts w:cs="Arial"/>
        </w:rPr>
        <w:t xml:space="preserve"> </w:t>
      </w:r>
      <w:r w:rsidR="00717BFE" w:rsidRPr="00342594">
        <w:rPr>
          <w:rFonts w:cs="Arial"/>
        </w:rPr>
        <w:t xml:space="preserve">It is out of scope to assess the </w:t>
      </w:r>
      <w:r w:rsidR="00C36741">
        <w:rPr>
          <w:rFonts w:cs="Arial"/>
        </w:rPr>
        <w:t xml:space="preserve">performance or </w:t>
      </w:r>
      <w:r w:rsidR="00717BFE" w:rsidRPr="00342594">
        <w:rPr>
          <w:rFonts w:cs="Arial"/>
        </w:rPr>
        <w:t xml:space="preserve">delivery of public or private maternity services more broadly. </w:t>
      </w:r>
    </w:p>
    <w:p w14:paraId="51601E82" w14:textId="5B2E8B20" w:rsidR="00000298" w:rsidRPr="00342594" w:rsidRDefault="00B20353" w:rsidP="005D20A8">
      <w:pPr>
        <w:pStyle w:val="ListBullet"/>
        <w:rPr>
          <w:rFonts w:cs="Arial"/>
        </w:rPr>
      </w:pPr>
      <w:r w:rsidRPr="00D66513">
        <w:rPr>
          <w:rFonts w:cs="Arial"/>
          <w:b/>
        </w:rPr>
        <w:t xml:space="preserve">Consultations with </w:t>
      </w:r>
      <w:r w:rsidR="00F449B2" w:rsidRPr="00D66513">
        <w:rPr>
          <w:rFonts w:cs="Arial"/>
          <w:b/>
        </w:rPr>
        <w:t xml:space="preserve">bereaved </w:t>
      </w:r>
      <w:r w:rsidRPr="00D66513">
        <w:rPr>
          <w:rFonts w:cs="Arial"/>
          <w:b/>
        </w:rPr>
        <w:t>women and their families</w:t>
      </w:r>
      <w:r w:rsidR="00000298" w:rsidRPr="00D66513">
        <w:rPr>
          <w:rFonts w:cs="Arial"/>
          <w:b/>
        </w:rPr>
        <w:t>.</w:t>
      </w:r>
      <w:r w:rsidR="00000298" w:rsidRPr="00342594">
        <w:rPr>
          <w:rFonts w:cs="Arial"/>
        </w:rPr>
        <w:t xml:space="preserve"> </w:t>
      </w:r>
      <w:r w:rsidR="00382954">
        <w:rPr>
          <w:rFonts w:cs="Arial"/>
        </w:rPr>
        <w:t xml:space="preserve">Bereaved women and their families will not be </w:t>
      </w:r>
      <w:r w:rsidR="00000298" w:rsidRPr="00342594">
        <w:rPr>
          <w:rFonts w:cs="Arial"/>
        </w:rPr>
        <w:t>consult</w:t>
      </w:r>
      <w:r w:rsidR="00382954">
        <w:rPr>
          <w:rFonts w:cs="Arial"/>
        </w:rPr>
        <w:t>ed</w:t>
      </w:r>
      <w:r w:rsidR="00000298" w:rsidRPr="00342594">
        <w:rPr>
          <w:rFonts w:cs="Arial"/>
        </w:rPr>
        <w:t xml:space="preserve"> </w:t>
      </w:r>
      <w:r w:rsidR="007571F1">
        <w:rPr>
          <w:rFonts w:cs="Arial"/>
        </w:rPr>
        <w:t xml:space="preserve">directly </w:t>
      </w:r>
      <w:r w:rsidR="00EC6390" w:rsidRPr="00342594">
        <w:rPr>
          <w:rFonts w:cs="Arial"/>
        </w:rPr>
        <w:t>to</w:t>
      </w:r>
      <w:r w:rsidR="00382954">
        <w:rPr>
          <w:rFonts w:cs="Arial"/>
        </w:rPr>
        <w:t xml:space="preserve"> avoid creating</w:t>
      </w:r>
      <w:r w:rsidR="00EC6390" w:rsidRPr="00342594">
        <w:rPr>
          <w:rFonts w:cs="Arial"/>
        </w:rPr>
        <w:t xml:space="preserve"> </w:t>
      </w:r>
      <w:r w:rsidR="00000298" w:rsidRPr="00342594">
        <w:rPr>
          <w:rFonts w:cs="Arial"/>
        </w:rPr>
        <w:t>additional distres</w:t>
      </w:r>
      <w:r w:rsidR="00DE493F" w:rsidRPr="00342594">
        <w:rPr>
          <w:rFonts w:cs="Arial"/>
        </w:rPr>
        <w:t>s and traumatisation</w:t>
      </w:r>
      <w:r w:rsidR="00000298" w:rsidRPr="00342594">
        <w:rPr>
          <w:rFonts w:cs="Arial"/>
        </w:rPr>
        <w:t>.</w:t>
      </w:r>
      <w:r w:rsidR="00DE493F" w:rsidRPr="00342594">
        <w:rPr>
          <w:rFonts w:cs="Arial"/>
        </w:rPr>
        <w:t xml:space="preserve"> </w:t>
      </w:r>
    </w:p>
    <w:p w14:paraId="13D4B7C9" w14:textId="68C4E710" w:rsidR="00B20353" w:rsidRPr="00342594" w:rsidRDefault="00000298" w:rsidP="005D20A8">
      <w:pPr>
        <w:pStyle w:val="ListBullet"/>
        <w:rPr>
          <w:rFonts w:cs="Arial"/>
        </w:rPr>
      </w:pPr>
      <w:r w:rsidRPr="00D66513">
        <w:rPr>
          <w:rFonts w:cs="Arial"/>
          <w:b/>
        </w:rPr>
        <w:t>Consultation</w:t>
      </w:r>
      <w:r w:rsidR="009564C5" w:rsidRPr="00D66513">
        <w:rPr>
          <w:rFonts w:cs="Arial"/>
          <w:b/>
        </w:rPr>
        <w:t>s</w:t>
      </w:r>
      <w:r w:rsidR="00B20353" w:rsidRPr="00D66513">
        <w:rPr>
          <w:rFonts w:cs="Arial"/>
          <w:b/>
        </w:rPr>
        <w:t xml:space="preserve"> with pregnant women</w:t>
      </w:r>
      <w:r w:rsidRPr="00D66513">
        <w:rPr>
          <w:rFonts w:cs="Arial"/>
          <w:b/>
        </w:rPr>
        <w:t>.</w:t>
      </w:r>
      <w:r w:rsidRPr="00342594">
        <w:rPr>
          <w:rFonts w:cs="Arial"/>
        </w:rPr>
        <w:t xml:space="preserve"> </w:t>
      </w:r>
      <w:r w:rsidR="00F449B2" w:rsidRPr="00342594">
        <w:rPr>
          <w:rFonts w:cs="Arial"/>
        </w:rPr>
        <w:t xml:space="preserve">The evaluation will not engage pregnant women due to </w:t>
      </w:r>
      <w:r w:rsidR="00622782" w:rsidRPr="00342594">
        <w:rPr>
          <w:rFonts w:cs="Arial"/>
        </w:rPr>
        <w:t xml:space="preserve">the </w:t>
      </w:r>
      <w:r w:rsidR="00F449B2" w:rsidRPr="00342594">
        <w:rPr>
          <w:rFonts w:cs="Arial"/>
        </w:rPr>
        <w:t>sensitivit</w:t>
      </w:r>
      <w:r w:rsidR="00125DAA" w:rsidRPr="00342594">
        <w:rPr>
          <w:rFonts w:cs="Arial"/>
        </w:rPr>
        <w:t>ies and risks of distress</w:t>
      </w:r>
      <w:r w:rsidR="00724067" w:rsidRPr="00342594">
        <w:rPr>
          <w:rFonts w:cs="Arial"/>
        </w:rPr>
        <w:t xml:space="preserve">. </w:t>
      </w:r>
    </w:p>
    <w:p w14:paraId="49DCDC99" w14:textId="18E8EF9B" w:rsidR="00B20353" w:rsidRPr="00B20353" w:rsidRDefault="007B755D" w:rsidP="005D20A8">
      <w:pPr>
        <w:pStyle w:val="ListBullet"/>
      </w:pPr>
      <w:r w:rsidRPr="00B87FA8">
        <w:rPr>
          <w:rFonts w:cs="Arial"/>
          <w:b/>
        </w:rPr>
        <w:t>E</w:t>
      </w:r>
      <w:r w:rsidR="00B20353" w:rsidRPr="00B87FA8">
        <w:rPr>
          <w:rFonts w:cs="Arial"/>
          <w:b/>
        </w:rPr>
        <w:t xml:space="preserve">ngagement with Aboriginal or Torres Strait Islander </w:t>
      </w:r>
      <w:r w:rsidR="00847A29" w:rsidRPr="00B87FA8">
        <w:rPr>
          <w:rFonts w:cs="Arial"/>
          <w:b/>
        </w:rPr>
        <w:t>communities and individuals.</w:t>
      </w:r>
      <w:r w:rsidR="00B20353" w:rsidRPr="00B87FA8">
        <w:rPr>
          <w:rFonts w:cs="Arial"/>
          <w:b/>
        </w:rPr>
        <w:t xml:space="preserve"> </w:t>
      </w:r>
      <w:r w:rsidR="00A86EDF" w:rsidRPr="00342594">
        <w:rPr>
          <w:rFonts w:cs="Arial"/>
        </w:rPr>
        <w:t>T</w:t>
      </w:r>
      <w:r w:rsidR="00FC692C" w:rsidRPr="00342594">
        <w:rPr>
          <w:rFonts w:cs="Arial"/>
        </w:rPr>
        <w:t xml:space="preserve">he evaluation will not directly consult </w:t>
      </w:r>
      <w:r w:rsidR="000F5AA8" w:rsidRPr="00342594">
        <w:rPr>
          <w:rFonts w:cs="Arial"/>
        </w:rPr>
        <w:t xml:space="preserve">with </w:t>
      </w:r>
      <w:r w:rsidR="00FC692C" w:rsidRPr="00342594">
        <w:rPr>
          <w:rFonts w:cs="Arial"/>
        </w:rPr>
        <w:t>Aboriginal and Torres Strait Islander communities</w:t>
      </w:r>
      <w:r w:rsidR="002D001C" w:rsidRPr="00342594">
        <w:rPr>
          <w:rFonts w:cs="Arial"/>
        </w:rPr>
        <w:t>, in part</w:t>
      </w:r>
      <w:r w:rsidR="00FC692C" w:rsidRPr="00342594">
        <w:rPr>
          <w:rFonts w:cs="Arial"/>
        </w:rPr>
        <w:t xml:space="preserve"> </w:t>
      </w:r>
      <w:r w:rsidR="00A86EDF" w:rsidRPr="00342594">
        <w:rPr>
          <w:rFonts w:cs="Arial"/>
        </w:rPr>
        <w:t xml:space="preserve">given the significant cultural taboos around stillbirth and the sensitivity of the subject matter. </w:t>
      </w:r>
      <w:r w:rsidR="00A86EDF">
        <w:t xml:space="preserve"> Rather, the evaluation will work</w:t>
      </w:r>
      <w:r w:rsidR="00FC692C">
        <w:t xml:space="preserve"> with </w:t>
      </w:r>
      <w:r w:rsidR="00A86EDF">
        <w:t xml:space="preserve">jurisdictional governments, Stillbirth CRE and its Indigenous Advisory Group, </w:t>
      </w:r>
      <w:r w:rsidR="00BB6805">
        <w:t>Congress of Aboriginal and Torres Strait Islander</w:t>
      </w:r>
      <w:r w:rsidR="00290D52">
        <w:t xml:space="preserve"> Nurses and Midwives (</w:t>
      </w:r>
      <w:proofErr w:type="spellStart"/>
      <w:r w:rsidR="006E7870">
        <w:t>CATSINaM</w:t>
      </w:r>
      <w:proofErr w:type="spellEnd"/>
      <w:r w:rsidR="00290D52">
        <w:t>)</w:t>
      </w:r>
      <w:r w:rsidR="00BB75BE">
        <w:t>,</w:t>
      </w:r>
      <w:r w:rsidR="006603E2">
        <w:t xml:space="preserve"> National Aboriginal Community Controlled Health Organisation</w:t>
      </w:r>
      <w:r w:rsidR="00CF00BE">
        <w:t xml:space="preserve"> (NACCHO)</w:t>
      </w:r>
      <w:r w:rsidR="00A86EDF">
        <w:t xml:space="preserve"> and others to leverage existing relationships and </w:t>
      </w:r>
      <w:r w:rsidR="001034D9">
        <w:t xml:space="preserve">task-level </w:t>
      </w:r>
      <w:r w:rsidR="00A86EDF">
        <w:t>evaluation</w:t>
      </w:r>
      <w:r w:rsidR="001034D9">
        <w:t>s</w:t>
      </w:r>
      <w:r w:rsidR="00A86EDF">
        <w:t xml:space="preserve"> to understand </w:t>
      </w:r>
      <w:r w:rsidR="001034D9">
        <w:t>changes in</w:t>
      </w:r>
      <w:r w:rsidR="00A86EDF">
        <w:t xml:space="preserve"> stillbirth awareness, rates and bereavement care for </w:t>
      </w:r>
      <w:r w:rsidR="00FC692C">
        <w:t xml:space="preserve">Aboriginal and Torres Strait Islander </w:t>
      </w:r>
      <w:r w:rsidR="00A86EDF">
        <w:t xml:space="preserve">women, </w:t>
      </w:r>
      <w:proofErr w:type="gramStart"/>
      <w:r w:rsidR="00A86EDF">
        <w:t>families</w:t>
      </w:r>
      <w:proofErr w:type="gramEnd"/>
      <w:r w:rsidR="00A86EDF">
        <w:t xml:space="preserve"> and communities. </w:t>
      </w:r>
    </w:p>
    <w:p w14:paraId="0C05CA55" w14:textId="4F667031" w:rsidR="009510D0" w:rsidRDefault="00FF56D9" w:rsidP="007B72FB">
      <w:pPr>
        <w:pStyle w:val="Heading2"/>
      </w:pPr>
      <w:bookmarkStart w:id="10" w:name="_Ref88478907"/>
      <w:r>
        <w:t>Program theory</w:t>
      </w:r>
      <w:bookmarkEnd w:id="10"/>
    </w:p>
    <w:p w14:paraId="0EDF3406" w14:textId="541D6631" w:rsidR="00EE0C99" w:rsidRPr="001444B6" w:rsidRDefault="0062516D" w:rsidP="00ED2B74">
      <w:pPr>
        <w:pStyle w:val="Heading3"/>
        <w:rPr>
          <w:rFonts w:cs="Arial"/>
        </w:rPr>
      </w:pPr>
      <w:r w:rsidRPr="001444B6">
        <w:rPr>
          <w:rFonts w:cs="Arial"/>
        </w:rPr>
        <w:t xml:space="preserve">A program theory articulates how the Plan </w:t>
      </w:r>
      <w:r w:rsidR="00EE0C99" w:rsidRPr="001444B6">
        <w:rPr>
          <w:rFonts w:cs="Arial"/>
        </w:rPr>
        <w:t>intends</w:t>
      </w:r>
      <w:r w:rsidRPr="001444B6">
        <w:rPr>
          <w:rFonts w:cs="Arial"/>
        </w:rPr>
        <w:t xml:space="preserve"> to achieve its goals</w:t>
      </w:r>
      <w:r w:rsidR="00B0529C" w:rsidRPr="001444B6">
        <w:rPr>
          <w:rFonts w:cs="Arial"/>
        </w:rPr>
        <w:t>.</w:t>
      </w:r>
    </w:p>
    <w:p w14:paraId="0B513D32" w14:textId="408BF5EC" w:rsidR="0062516D" w:rsidRPr="001444B6" w:rsidRDefault="0000495C" w:rsidP="0062516D">
      <w:pPr>
        <w:rPr>
          <w:rFonts w:ascii="Arial" w:hAnsi="Arial" w:cs="Arial"/>
          <w:lang w:eastAsia="en-AU"/>
        </w:rPr>
      </w:pPr>
      <w:r>
        <w:rPr>
          <w:rFonts w:ascii="Arial" w:hAnsi="Arial" w:cs="Arial"/>
          <w:lang w:eastAsia="en-AU"/>
        </w:rPr>
        <w:t xml:space="preserve">In the evaluation the program theory provides </w:t>
      </w:r>
      <w:r w:rsidR="005E433B">
        <w:rPr>
          <w:rFonts w:ascii="Arial" w:hAnsi="Arial" w:cs="Arial"/>
          <w:lang w:eastAsia="en-AU"/>
        </w:rPr>
        <w:t xml:space="preserve">a </w:t>
      </w:r>
      <w:r>
        <w:rPr>
          <w:rFonts w:ascii="Arial" w:hAnsi="Arial" w:cs="Arial"/>
          <w:lang w:eastAsia="en-AU"/>
        </w:rPr>
        <w:t xml:space="preserve">summary of </w:t>
      </w:r>
      <w:r w:rsidR="00D144D5">
        <w:rPr>
          <w:rFonts w:ascii="Arial" w:hAnsi="Arial" w:cs="Arial"/>
          <w:lang w:eastAsia="en-AU"/>
        </w:rPr>
        <w:t xml:space="preserve">the reasoning </w:t>
      </w:r>
      <w:r w:rsidR="008F63E7">
        <w:rPr>
          <w:rFonts w:ascii="Arial" w:hAnsi="Arial" w:cs="Arial"/>
          <w:lang w:eastAsia="en-AU"/>
        </w:rPr>
        <w:t xml:space="preserve">behind the Plan, </w:t>
      </w:r>
      <w:r w:rsidR="00317D2F">
        <w:rPr>
          <w:rFonts w:ascii="Arial" w:hAnsi="Arial" w:cs="Arial"/>
          <w:lang w:eastAsia="en-AU"/>
        </w:rPr>
        <w:t xml:space="preserve">and outlines </w:t>
      </w:r>
      <w:r w:rsidR="00000146">
        <w:rPr>
          <w:rFonts w:ascii="Arial" w:hAnsi="Arial" w:cs="Arial"/>
          <w:lang w:eastAsia="en-AU"/>
        </w:rPr>
        <w:t xml:space="preserve">the logic behind why the Plan, through its design, will meets the </w:t>
      </w:r>
      <w:r w:rsidR="0068510B">
        <w:rPr>
          <w:rFonts w:ascii="Arial" w:hAnsi="Arial" w:cs="Arial"/>
          <w:lang w:eastAsia="en-AU"/>
        </w:rPr>
        <w:t>defined goals</w:t>
      </w:r>
      <w:r w:rsidR="00D144D5">
        <w:rPr>
          <w:rFonts w:ascii="Arial" w:hAnsi="Arial" w:cs="Arial"/>
          <w:lang w:eastAsia="en-AU"/>
        </w:rPr>
        <w:t xml:space="preserve">. </w:t>
      </w:r>
      <w:r w:rsidR="0062516D" w:rsidRPr="001444B6">
        <w:rPr>
          <w:rFonts w:ascii="Arial" w:hAnsi="Arial" w:cs="Arial"/>
          <w:lang w:eastAsia="en-AU"/>
        </w:rPr>
        <w:t xml:space="preserve">The program theory is comprised of two elements: </w:t>
      </w:r>
    </w:p>
    <w:p w14:paraId="46A54CB4" w14:textId="3C9DBD5B" w:rsidR="0062516D" w:rsidRPr="001444B6" w:rsidRDefault="0062516D" w:rsidP="00ED2B74">
      <w:pPr>
        <w:pStyle w:val="ListBullet"/>
      </w:pPr>
      <w:r w:rsidRPr="001444B6">
        <w:t>The theory of change explains how activities are understood to produce results that contribute towards achieving the goals of the Plan</w:t>
      </w:r>
      <w:r w:rsidR="00C61C9C" w:rsidRPr="001444B6">
        <w:t>, see</w:t>
      </w:r>
      <w:r w:rsidRPr="001444B6">
        <w:t xml:space="preserve"> </w:t>
      </w:r>
      <w:r w:rsidRPr="001444B6">
        <w:fldChar w:fldCharType="begin"/>
      </w:r>
      <w:r w:rsidRPr="001444B6">
        <w:instrText xml:space="preserve"> REF _Ref87002396 \h </w:instrText>
      </w:r>
      <w:r w:rsidR="001444B6">
        <w:instrText xml:space="preserve"> \* MERGEFORMAT </w:instrText>
      </w:r>
      <w:r w:rsidRPr="001444B6">
        <w:fldChar w:fldCharType="separate"/>
      </w:r>
      <w:r w:rsidR="00CF19E2" w:rsidRPr="00CF19E2">
        <w:t xml:space="preserve">Figure </w:t>
      </w:r>
      <w:r w:rsidR="00CF19E2" w:rsidRPr="00CF19E2">
        <w:rPr>
          <w:noProof/>
        </w:rPr>
        <w:t>5</w:t>
      </w:r>
      <w:r w:rsidRPr="001444B6">
        <w:fldChar w:fldCharType="end"/>
      </w:r>
      <w:r w:rsidR="00826460" w:rsidRPr="001444B6">
        <w:t>.</w:t>
      </w:r>
    </w:p>
    <w:p w14:paraId="75F808BF" w14:textId="39CD6E3D" w:rsidR="00322AAD" w:rsidRPr="001444B6" w:rsidRDefault="0062516D" w:rsidP="00ED2B74">
      <w:pPr>
        <w:pStyle w:val="ListBullet"/>
      </w:pPr>
      <w:r w:rsidRPr="001444B6">
        <w:t>The program logic visual</w:t>
      </w:r>
      <w:r w:rsidR="00213010" w:rsidRPr="001444B6">
        <w:t>ly</w:t>
      </w:r>
      <w:r w:rsidRPr="001444B6">
        <w:t xml:space="preserve"> </w:t>
      </w:r>
      <w:r w:rsidR="00213010" w:rsidRPr="001444B6">
        <w:t>depicts</w:t>
      </w:r>
      <w:r w:rsidRPr="001444B6">
        <w:t xml:space="preserve"> how the Plan intends to work. It articulates the relationship between desired outcomes of the Plan and the required inputs, </w:t>
      </w:r>
      <w:proofErr w:type="gramStart"/>
      <w:r w:rsidR="00EC7DC4" w:rsidRPr="001444B6">
        <w:t>activities</w:t>
      </w:r>
      <w:proofErr w:type="gramEnd"/>
      <w:r w:rsidR="00AD547D" w:rsidRPr="001444B6">
        <w:t xml:space="preserve"> and</w:t>
      </w:r>
      <w:r w:rsidRPr="001444B6">
        <w:t xml:space="preserve"> outputs</w:t>
      </w:r>
      <w:r w:rsidR="00FD5191" w:rsidRPr="001444B6">
        <w:t>, see</w:t>
      </w:r>
      <w:r w:rsidRPr="001444B6">
        <w:t xml:space="preserve"> </w:t>
      </w:r>
      <w:r w:rsidRPr="001444B6">
        <w:fldChar w:fldCharType="begin"/>
      </w:r>
      <w:r w:rsidRPr="001444B6">
        <w:instrText xml:space="preserve"> REF _Ref87002406 \h </w:instrText>
      </w:r>
      <w:r w:rsidR="001444B6">
        <w:instrText xml:space="preserve"> \* MERGEFORMAT </w:instrText>
      </w:r>
      <w:r w:rsidRPr="001444B6">
        <w:fldChar w:fldCharType="separate"/>
      </w:r>
      <w:r w:rsidR="00CF19E2" w:rsidRPr="00CF19E2">
        <w:t xml:space="preserve">Figure </w:t>
      </w:r>
      <w:r w:rsidR="00CF19E2" w:rsidRPr="00CF19E2">
        <w:rPr>
          <w:noProof/>
        </w:rPr>
        <w:t>6</w:t>
      </w:r>
      <w:r w:rsidRPr="001444B6">
        <w:fldChar w:fldCharType="end"/>
      </w:r>
      <w:r w:rsidRPr="001444B6">
        <w:t xml:space="preserve">. </w:t>
      </w:r>
    </w:p>
    <w:p w14:paraId="61DC0E21" w14:textId="2B1AE691" w:rsidR="00EC7DC4" w:rsidRPr="001444B6" w:rsidRDefault="00322AAD" w:rsidP="007C19A8">
      <w:pPr>
        <w:rPr>
          <w:rFonts w:ascii="Arial" w:hAnsi="Arial" w:cs="Arial"/>
        </w:rPr>
      </w:pPr>
      <w:r w:rsidRPr="001444B6">
        <w:rPr>
          <w:rFonts w:ascii="Arial" w:hAnsi="Arial" w:cs="Arial"/>
        </w:rPr>
        <w:t xml:space="preserve">The program </w:t>
      </w:r>
      <w:r w:rsidR="00327AA2" w:rsidRPr="001444B6">
        <w:rPr>
          <w:rFonts w:ascii="Arial" w:hAnsi="Arial" w:cs="Arial"/>
        </w:rPr>
        <w:t xml:space="preserve">theory </w:t>
      </w:r>
      <w:r w:rsidR="00347B9C" w:rsidRPr="001444B6">
        <w:rPr>
          <w:rFonts w:ascii="Arial" w:hAnsi="Arial" w:cs="Arial"/>
        </w:rPr>
        <w:t>shows</w:t>
      </w:r>
      <w:r w:rsidR="00327AA2" w:rsidRPr="001444B6">
        <w:rPr>
          <w:rFonts w:ascii="Arial" w:hAnsi="Arial" w:cs="Arial"/>
        </w:rPr>
        <w:t xml:space="preserve"> the collective impact the Plan will have on stillbirth prevention and bereavement care. While individual activities may </w:t>
      </w:r>
      <w:r w:rsidR="008F58D8" w:rsidRPr="001444B6">
        <w:rPr>
          <w:rFonts w:ascii="Arial" w:hAnsi="Arial" w:cs="Arial"/>
        </w:rPr>
        <w:t>change</w:t>
      </w:r>
      <w:r w:rsidR="007C19A8" w:rsidRPr="001444B6">
        <w:rPr>
          <w:rFonts w:ascii="Arial" w:hAnsi="Arial" w:cs="Arial"/>
        </w:rPr>
        <w:t xml:space="preserve"> a particular practice or area, it is the culmination of </w:t>
      </w:r>
      <w:r w:rsidR="008F58D8" w:rsidRPr="001444B6">
        <w:rPr>
          <w:rFonts w:ascii="Arial" w:hAnsi="Arial" w:cs="Arial"/>
        </w:rPr>
        <w:t xml:space="preserve">all </w:t>
      </w:r>
      <w:r w:rsidR="007C19A8" w:rsidRPr="001444B6">
        <w:rPr>
          <w:rFonts w:ascii="Arial" w:hAnsi="Arial" w:cs="Arial"/>
        </w:rPr>
        <w:t>change</w:t>
      </w:r>
      <w:r w:rsidR="008F58D8" w:rsidRPr="001444B6">
        <w:rPr>
          <w:rFonts w:ascii="Arial" w:hAnsi="Arial" w:cs="Arial"/>
        </w:rPr>
        <w:t xml:space="preserve">s made </w:t>
      </w:r>
      <w:r w:rsidR="007C19A8" w:rsidRPr="001444B6">
        <w:rPr>
          <w:rFonts w:ascii="Arial" w:hAnsi="Arial" w:cs="Arial"/>
        </w:rPr>
        <w:t xml:space="preserve">under the Plan that will influence stillbirth rates and the experience of bereaved families. </w:t>
      </w:r>
    </w:p>
    <w:p w14:paraId="16C6DBFB" w14:textId="0851DC9D" w:rsidR="00D8387B" w:rsidRPr="001444B6" w:rsidRDefault="00676822" w:rsidP="007C19A8">
      <w:pPr>
        <w:rPr>
          <w:rFonts w:ascii="Arial" w:hAnsi="Arial" w:cs="Arial"/>
        </w:rPr>
        <w:sectPr w:rsidR="00D8387B" w:rsidRPr="001444B6" w:rsidSect="00534A17">
          <w:footerReference w:type="default" r:id="rId25"/>
          <w:footerReference w:type="first" r:id="rId26"/>
          <w:type w:val="continuous"/>
          <w:pgSz w:w="11907" w:h="16839" w:code="9"/>
          <w:pgMar w:top="1560" w:right="1191" w:bottom="1134" w:left="1418" w:header="454" w:footer="720" w:gutter="0"/>
          <w:pgNumType w:start="1"/>
          <w:cols w:space="720"/>
          <w:titlePg/>
          <w:docGrid w:linePitch="360"/>
        </w:sectPr>
      </w:pPr>
      <w:r w:rsidRPr="001444B6">
        <w:rPr>
          <w:rFonts w:ascii="Arial" w:hAnsi="Arial" w:cs="Arial"/>
        </w:rPr>
        <w:t>The Plan’s</w:t>
      </w:r>
      <w:r w:rsidR="00EC7DC4" w:rsidRPr="001444B6">
        <w:rPr>
          <w:rFonts w:ascii="Arial" w:hAnsi="Arial" w:cs="Arial"/>
        </w:rPr>
        <w:t xml:space="preserve"> outcomes </w:t>
      </w:r>
      <w:r w:rsidR="007C19A8" w:rsidRPr="001444B6">
        <w:rPr>
          <w:rFonts w:ascii="Arial" w:hAnsi="Arial" w:cs="Arial"/>
        </w:rPr>
        <w:t xml:space="preserve">align to </w:t>
      </w:r>
      <w:r w:rsidR="007C19A8" w:rsidRPr="001444B6">
        <w:rPr>
          <w:rFonts w:ascii="Arial" w:hAnsi="Arial" w:cs="Arial"/>
          <w:i/>
        </w:rPr>
        <w:t xml:space="preserve">the </w:t>
      </w:r>
      <w:r w:rsidR="0062516D" w:rsidRPr="001444B6">
        <w:rPr>
          <w:rFonts w:ascii="Arial" w:hAnsi="Arial" w:cs="Arial"/>
          <w:i/>
        </w:rPr>
        <w:t xml:space="preserve">Women-Centred Care: Strategic Directions </w:t>
      </w:r>
      <w:r w:rsidR="007D6357" w:rsidRPr="001444B6">
        <w:rPr>
          <w:rFonts w:ascii="Arial" w:hAnsi="Arial" w:cs="Arial"/>
          <w:i/>
        </w:rPr>
        <w:t>for Australian maternity services</w:t>
      </w:r>
      <w:r w:rsidR="008C4329" w:rsidRPr="001444B6">
        <w:rPr>
          <w:rFonts w:ascii="Arial" w:hAnsi="Arial" w:cs="Arial"/>
        </w:rPr>
        <w:t>. The intended</w:t>
      </w:r>
      <w:r w:rsidR="007C19A8" w:rsidRPr="001444B6">
        <w:rPr>
          <w:rFonts w:ascii="Arial" w:hAnsi="Arial" w:cs="Arial"/>
        </w:rPr>
        <w:t xml:space="preserve"> collective impact of </w:t>
      </w:r>
      <w:r w:rsidR="00E140F0">
        <w:rPr>
          <w:rFonts w:ascii="Arial" w:hAnsi="Arial" w:cs="Arial"/>
        </w:rPr>
        <w:t xml:space="preserve">the </w:t>
      </w:r>
      <w:r w:rsidR="007C19A8" w:rsidRPr="001444B6">
        <w:rPr>
          <w:rFonts w:ascii="Arial" w:hAnsi="Arial" w:cs="Arial"/>
        </w:rPr>
        <w:t xml:space="preserve">Plan </w:t>
      </w:r>
      <w:r w:rsidR="00BD6723" w:rsidRPr="001444B6">
        <w:rPr>
          <w:rFonts w:ascii="Arial" w:hAnsi="Arial" w:cs="Arial"/>
        </w:rPr>
        <w:t>therefore</w:t>
      </w:r>
      <w:r w:rsidR="007C19A8" w:rsidRPr="001444B6">
        <w:rPr>
          <w:rFonts w:ascii="Arial" w:hAnsi="Arial" w:cs="Arial"/>
        </w:rPr>
        <w:t xml:space="preserve"> </w:t>
      </w:r>
      <w:r w:rsidR="008F58D8" w:rsidRPr="001444B6">
        <w:rPr>
          <w:rFonts w:ascii="Arial" w:hAnsi="Arial" w:cs="Arial"/>
        </w:rPr>
        <w:t>also supports</w:t>
      </w:r>
      <w:r w:rsidR="007C19A8" w:rsidRPr="001444B6">
        <w:rPr>
          <w:rFonts w:ascii="Arial" w:hAnsi="Arial" w:cs="Arial"/>
        </w:rPr>
        <w:t xml:space="preserve"> </w:t>
      </w:r>
      <w:r w:rsidR="00D8387B" w:rsidRPr="001444B6">
        <w:rPr>
          <w:rFonts w:ascii="Arial" w:hAnsi="Arial" w:cs="Arial"/>
        </w:rPr>
        <w:t>the continued</w:t>
      </w:r>
      <w:r w:rsidR="00D8387B" w:rsidRPr="001444B6">
        <w:rPr>
          <w:rFonts w:ascii="Arial" w:hAnsi="Arial" w:cs="Arial"/>
          <w:lang w:eastAsia="en-AU"/>
        </w:rPr>
        <w:t xml:space="preserve"> development of Australia’s high-quality maternity care system and facilitate improvements </w:t>
      </w:r>
      <w:r w:rsidR="008F58D8" w:rsidRPr="001444B6">
        <w:rPr>
          <w:rFonts w:ascii="Arial" w:hAnsi="Arial" w:cs="Arial"/>
          <w:lang w:eastAsia="en-AU"/>
        </w:rPr>
        <w:t>in line with</w:t>
      </w:r>
      <w:r w:rsidR="00D8387B" w:rsidRPr="001444B6">
        <w:rPr>
          <w:rFonts w:ascii="Arial" w:hAnsi="Arial" w:cs="Arial"/>
          <w:lang w:eastAsia="en-AU"/>
        </w:rPr>
        <w:t xml:space="preserve"> best practice </w:t>
      </w:r>
      <w:r w:rsidR="00D8387B" w:rsidRPr="001444B6">
        <w:rPr>
          <w:rFonts w:ascii="Arial" w:hAnsi="Arial" w:cs="Arial"/>
        </w:rPr>
        <w:t>(</w:t>
      </w:r>
      <w:r w:rsidR="002E1A90" w:rsidRPr="001444B6">
        <w:rPr>
          <w:rFonts w:ascii="Arial" w:hAnsi="Arial" w:cs="Arial"/>
        </w:rPr>
        <w:t xml:space="preserve">see </w:t>
      </w:r>
      <w:r w:rsidR="00D8387B" w:rsidRPr="001444B6">
        <w:rPr>
          <w:rFonts w:ascii="Arial" w:hAnsi="Arial" w:cs="Arial"/>
        </w:rPr>
        <w:fldChar w:fldCharType="begin"/>
      </w:r>
      <w:r w:rsidR="00D8387B" w:rsidRPr="001444B6">
        <w:rPr>
          <w:rFonts w:ascii="Arial" w:hAnsi="Arial" w:cs="Arial"/>
        </w:rPr>
        <w:instrText xml:space="preserve"> REF _Ref87002406 \h </w:instrText>
      </w:r>
      <w:r w:rsidR="001444B6">
        <w:rPr>
          <w:rFonts w:ascii="Arial" w:hAnsi="Arial" w:cs="Arial"/>
        </w:rPr>
        <w:instrText xml:space="preserve"> \* MERGEFORMAT </w:instrText>
      </w:r>
      <w:r w:rsidR="00D8387B" w:rsidRPr="001444B6">
        <w:rPr>
          <w:rFonts w:ascii="Arial" w:hAnsi="Arial" w:cs="Arial"/>
        </w:rPr>
      </w:r>
      <w:r w:rsidR="00D8387B" w:rsidRPr="001444B6">
        <w:rPr>
          <w:rFonts w:ascii="Arial" w:hAnsi="Arial" w:cs="Arial"/>
        </w:rPr>
        <w:fldChar w:fldCharType="separate"/>
      </w:r>
      <w:r w:rsidR="00CF19E2" w:rsidRPr="00CF19E2">
        <w:rPr>
          <w:rFonts w:ascii="Arial" w:hAnsi="Arial" w:cs="Arial"/>
        </w:rPr>
        <w:t xml:space="preserve">Figure </w:t>
      </w:r>
      <w:r w:rsidR="00CF19E2" w:rsidRPr="00CF19E2">
        <w:rPr>
          <w:rFonts w:ascii="Arial" w:hAnsi="Arial" w:cs="Arial"/>
          <w:noProof/>
        </w:rPr>
        <w:t>6</w:t>
      </w:r>
      <w:r w:rsidR="00D8387B" w:rsidRPr="001444B6">
        <w:rPr>
          <w:rFonts w:ascii="Arial" w:hAnsi="Arial" w:cs="Arial"/>
        </w:rPr>
        <w:fldChar w:fldCharType="end"/>
      </w:r>
      <w:r w:rsidR="00D8387B" w:rsidRPr="001444B6">
        <w:rPr>
          <w:rFonts w:ascii="Arial" w:hAnsi="Arial" w:cs="Arial"/>
        </w:rPr>
        <w:t xml:space="preserve">). </w:t>
      </w:r>
    </w:p>
    <w:p w14:paraId="177BEF58" w14:textId="78FAFB4C" w:rsidR="00B9742F" w:rsidRDefault="00B9742F" w:rsidP="00D76CD3">
      <w:pPr>
        <w:pStyle w:val="Caption"/>
        <w:spacing w:after="180" w:line="257" w:lineRule="auto"/>
      </w:pPr>
      <w:bookmarkStart w:id="11" w:name="_Ref87002396"/>
      <w:r>
        <w:lastRenderedPageBreak/>
        <w:t xml:space="preserve">Figure </w:t>
      </w:r>
      <w:r w:rsidR="005A3A31">
        <w:fldChar w:fldCharType="begin"/>
      </w:r>
      <w:r w:rsidR="005A3A31">
        <w:instrText xml:space="preserve"> SEQ Figure \* ARABIC </w:instrText>
      </w:r>
      <w:r w:rsidR="005A3A31">
        <w:fldChar w:fldCharType="separate"/>
      </w:r>
      <w:r w:rsidR="00CF19E2">
        <w:rPr>
          <w:noProof/>
        </w:rPr>
        <w:t>5</w:t>
      </w:r>
      <w:r w:rsidR="005A3A31">
        <w:fldChar w:fldCharType="end"/>
      </w:r>
      <w:bookmarkEnd w:id="11"/>
      <w:r>
        <w:t xml:space="preserve"> | Theory of change</w:t>
      </w:r>
      <w:r w:rsidR="006C4CBB">
        <w:rPr>
          <w:rStyle w:val="FootnoteReference"/>
        </w:rPr>
        <w:footnoteReference w:id="16"/>
      </w:r>
      <w:r>
        <w:t xml:space="preserve"> </w:t>
      </w:r>
    </w:p>
    <w:p w14:paraId="78CD3CE0" w14:textId="1FC2D9FF" w:rsidR="00D63C55" w:rsidRDefault="005F06A7" w:rsidP="005004D5">
      <w:r w:rsidRPr="005F06A7">
        <w:rPr>
          <w:noProof/>
        </w:rPr>
        <w:drawing>
          <wp:inline distT="0" distB="0" distL="0" distR="0" wp14:anchorId="38925FEA" wp14:editId="31F0D828">
            <wp:extent cx="6013671" cy="6407624"/>
            <wp:effectExtent l="0" t="0" r="6350" b="0"/>
            <wp:docPr id="13" name="Picture 13" descr="This figure presents the evaluation theory of change. It notes that IF the Plan's action areas are delivered THEN more women will receive high quality stillbirth prevention and care, access to quality of bereavement care and community supports will improve and data collection will be more timely SO that by 2025 there is a 20 per cent reduction in stillbirth and woman and families are better sup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presents the evaluation theory of change. It notes that IF the Plan's action areas are delivered THEN more women will receive high quality stillbirth prevention and care, access to quality of bereavement care and community supports will improve and data collection will be more timely SO that by 2025 there is a 20 per cent reduction in stillbirth and woman and families are better supported.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0456" cy="6414854"/>
                    </a:xfrm>
                    <a:prstGeom prst="rect">
                      <a:avLst/>
                    </a:prstGeom>
                    <a:noFill/>
                    <a:ln>
                      <a:noFill/>
                    </a:ln>
                  </pic:spPr>
                </pic:pic>
              </a:graphicData>
            </a:graphic>
          </wp:inline>
        </w:drawing>
      </w:r>
    </w:p>
    <w:p w14:paraId="696D6072" w14:textId="77777777" w:rsidR="00315C4B" w:rsidRDefault="00315C4B" w:rsidP="00CC74A0">
      <w:pPr>
        <w:pStyle w:val="ListBullet"/>
        <w:keepNext/>
        <w:numPr>
          <w:ilvl w:val="0"/>
          <w:numId w:val="0"/>
        </w:numPr>
        <w:sectPr w:rsidR="00315C4B" w:rsidSect="00DD093C">
          <w:pgSz w:w="11907" w:h="16839" w:code="9"/>
          <w:pgMar w:top="1418" w:right="1418" w:bottom="1701" w:left="1559" w:header="454" w:footer="720" w:gutter="0"/>
          <w:cols w:space="720"/>
          <w:docGrid w:linePitch="360"/>
        </w:sectPr>
      </w:pPr>
    </w:p>
    <w:p w14:paraId="75EA70A1" w14:textId="06FDA22C" w:rsidR="000F03EA" w:rsidRDefault="000F03EA" w:rsidP="000F03EA">
      <w:pPr>
        <w:pStyle w:val="Caption"/>
        <w:spacing w:before="0"/>
      </w:pPr>
      <w:bookmarkStart w:id="12" w:name="_Ref87002406"/>
      <w:r>
        <w:lastRenderedPageBreak/>
        <w:t xml:space="preserve">Figure </w:t>
      </w:r>
      <w:r w:rsidR="005A3A31">
        <w:fldChar w:fldCharType="begin"/>
      </w:r>
      <w:r w:rsidR="005A3A31">
        <w:instrText xml:space="preserve"> SEQ Figure \* ARABIC </w:instrText>
      </w:r>
      <w:r w:rsidR="005A3A31">
        <w:fldChar w:fldCharType="separate"/>
      </w:r>
      <w:r w:rsidR="00CF19E2">
        <w:rPr>
          <w:noProof/>
        </w:rPr>
        <w:t>6</w:t>
      </w:r>
      <w:r w:rsidR="005A3A31">
        <w:fldChar w:fldCharType="end"/>
      </w:r>
      <w:bookmarkEnd w:id="12"/>
      <w:r>
        <w:t xml:space="preserve"> | Program logic</w:t>
      </w:r>
    </w:p>
    <w:p w14:paraId="7E71153A" w14:textId="164E5A39" w:rsidR="00096D3E" w:rsidRPr="00096D3E" w:rsidRDefault="000C15C8" w:rsidP="00096D3E">
      <w:r>
        <w:rPr>
          <w:noProof/>
        </w:rPr>
        <w:drawing>
          <wp:inline distT="0" distB="0" distL="0" distR="0" wp14:anchorId="6307F6EB" wp14:editId="5EAF8F32">
            <wp:extent cx="8618164" cy="5784112"/>
            <wp:effectExtent l="0" t="0" r="0" b="7620"/>
            <wp:docPr id="11" name="Picture 11" descr="This figure presents the program logic and demonstrates how the vision of the Plan is align to the Plan's goals. It then links the program inputs and activities to the intended program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presents the program logic and demonstrates how the vision of the Plan is align to the Plan's goals. It then links the program inputs and activities to the intended program outcome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38695" cy="5797891"/>
                    </a:xfrm>
                    <a:prstGeom prst="rect">
                      <a:avLst/>
                    </a:prstGeom>
                    <a:noFill/>
                  </pic:spPr>
                </pic:pic>
              </a:graphicData>
            </a:graphic>
          </wp:inline>
        </w:drawing>
      </w:r>
    </w:p>
    <w:p w14:paraId="2024A57D" w14:textId="383740AD" w:rsidR="000F03EA" w:rsidRDefault="000F03EA">
      <w:pPr>
        <w:spacing w:after="160" w:line="259" w:lineRule="auto"/>
        <w:sectPr w:rsidR="000F03EA" w:rsidSect="00DD093C">
          <w:pgSz w:w="16839" w:h="11907" w:orient="landscape" w:code="9"/>
          <w:pgMar w:top="520" w:right="1418" w:bottom="1418" w:left="1701" w:header="454" w:footer="720" w:gutter="0"/>
          <w:cols w:space="720"/>
          <w:docGrid w:linePitch="360"/>
        </w:sectPr>
      </w:pPr>
    </w:p>
    <w:p w14:paraId="0FD676A0" w14:textId="468DB05B" w:rsidR="001A78CB" w:rsidRDefault="001A78CB" w:rsidP="007539EA">
      <w:pPr>
        <w:pStyle w:val="Heading2"/>
        <w:spacing w:before="0"/>
      </w:pPr>
      <w:bookmarkStart w:id="13" w:name="_Ref87963263"/>
      <w:bookmarkStart w:id="14" w:name="_Ref93395070"/>
      <w:r>
        <w:lastRenderedPageBreak/>
        <w:t>Key monitoring and evaluation questions</w:t>
      </w:r>
      <w:bookmarkEnd w:id="13"/>
      <w:bookmarkEnd w:id="14"/>
    </w:p>
    <w:p w14:paraId="5689A62A" w14:textId="4902A964" w:rsidR="00611209" w:rsidRPr="00402B1F" w:rsidRDefault="00611209" w:rsidP="00ED2B74">
      <w:pPr>
        <w:pStyle w:val="Heading3"/>
        <w:rPr>
          <w:rFonts w:cs="Arial"/>
        </w:rPr>
      </w:pPr>
      <w:r w:rsidRPr="00402B1F">
        <w:rPr>
          <w:rFonts w:cs="Arial"/>
        </w:rPr>
        <w:t xml:space="preserve">Five overarching questions provide the structure for monitoring and evaluation. </w:t>
      </w:r>
    </w:p>
    <w:p w14:paraId="6DA2A418" w14:textId="22F363FA" w:rsidR="00CD43F0" w:rsidRPr="00402B1F" w:rsidRDefault="00101752" w:rsidP="00E60CCA">
      <w:pPr>
        <w:rPr>
          <w:rFonts w:ascii="Arial" w:hAnsi="Arial" w:cs="Arial"/>
          <w:lang w:eastAsia="en-AU"/>
        </w:rPr>
      </w:pPr>
      <w:r w:rsidRPr="00402B1F">
        <w:rPr>
          <w:rFonts w:ascii="Arial" w:hAnsi="Arial" w:cs="Arial"/>
          <w:lang w:eastAsia="en-AU"/>
        </w:rPr>
        <w:t xml:space="preserve">Key monitoring and evaluation questions </w:t>
      </w:r>
      <w:r w:rsidR="002A4706" w:rsidRPr="00402B1F">
        <w:rPr>
          <w:rFonts w:ascii="Arial" w:hAnsi="Arial" w:cs="Arial"/>
          <w:lang w:eastAsia="en-AU"/>
        </w:rPr>
        <w:t xml:space="preserve">will guide data collection, analysis and reporting to </w:t>
      </w:r>
      <w:r w:rsidR="005465AA" w:rsidRPr="00402B1F">
        <w:rPr>
          <w:rFonts w:ascii="Arial" w:hAnsi="Arial" w:cs="Arial"/>
          <w:lang w:eastAsia="en-AU"/>
        </w:rPr>
        <w:t>monitor</w:t>
      </w:r>
      <w:r w:rsidR="002A4706" w:rsidRPr="00402B1F">
        <w:rPr>
          <w:rFonts w:ascii="Arial" w:hAnsi="Arial" w:cs="Arial"/>
          <w:lang w:eastAsia="en-AU"/>
        </w:rPr>
        <w:t xml:space="preserve"> and </w:t>
      </w:r>
      <w:r w:rsidR="005465AA" w:rsidRPr="00402B1F">
        <w:rPr>
          <w:rFonts w:ascii="Arial" w:hAnsi="Arial" w:cs="Arial"/>
          <w:lang w:eastAsia="en-AU"/>
        </w:rPr>
        <w:t>evaluate</w:t>
      </w:r>
      <w:r w:rsidR="002A4706" w:rsidRPr="00402B1F">
        <w:rPr>
          <w:rFonts w:ascii="Arial" w:hAnsi="Arial" w:cs="Arial"/>
          <w:lang w:eastAsia="en-AU"/>
        </w:rPr>
        <w:t xml:space="preserve"> the Plan. </w:t>
      </w:r>
      <w:r w:rsidR="000B6AC2" w:rsidRPr="00402B1F">
        <w:rPr>
          <w:rFonts w:ascii="Arial" w:hAnsi="Arial" w:cs="Arial"/>
          <w:lang w:eastAsia="en-AU"/>
        </w:rPr>
        <w:t>T</w:t>
      </w:r>
      <w:r w:rsidR="007E1C9A" w:rsidRPr="00402B1F">
        <w:rPr>
          <w:rFonts w:ascii="Arial" w:hAnsi="Arial" w:cs="Arial"/>
          <w:lang w:eastAsia="en-AU"/>
        </w:rPr>
        <w:t>he</w:t>
      </w:r>
      <w:r w:rsidR="007C0E4E" w:rsidRPr="00402B1F">
        <w:rPr>
          <w:rFonts w:ascii="Arial" w:hAnsi="Arial" w:cs="Arial"/>
          <w:lang w:eastAsia="en-AU"/>
        </w:rPr>
        <w:t xml:space="preserve"> </w:t>
      </w:r>
      <w:r w:rsidR="007E1C9A" w:rsidRPr="00402B1F">
        <w:rPr>
          <w:rFonts w:ascii="Arial" w:hAnsi="Arial" w:cs="Arial"/>
          <w:lang w:eastAsia="en-AU"/>
        </w:rPr>
        <w:t>program theory</w:t>
      </w:r>
      <w:r w:rsidR="000B6AC2" w:rsidRPr="00402B1F">
        <w:rPr>
          <w:rFonts w:ascii="Arial" w:hAnsi="Arial" w:cs="Arial"/>
          <w:lang w:eastAsia="en-AU"/>
        </w:rPr>
        <w:t xml:space="preserve"> </w:t>
      </w:r>
      <w:r w:rsidR="00710C28" w:rsidRPr="00402B1F">
        <w:rPr>
          <w:rFonts w:ascii="Arial" w:hAnsi="Arial" w:cs="Arial"/>
          <w:lang w:eastAsia="en-AU"/>
        </w:rPr>
        <w:t xml:space="preserve">(see </w:t>
      </w:r>
      <w:r w:rsidR="00D86F19" w:rsidRPr="00402B1F">
        <w:rPr>
          <w:rFonts w:ascii="Arial" w:hAnsi="Arial" w:cs="Arial"/>
          <w:lang w:eastAsia="en-AU"/>
        </w:rPr>
        <w:t>S</w:t>
      </w:r>
      <w:r w:rsidR="00710C28" w:rsidRPr="00402B1F">
        <w:rPr>
          <w:rFonts w:ascii="Arial" w:hAnsi="Arial" w:cs="Arial"/>
          <w:lang w:eastAsia="en-AU"/>
        </w:rPr>
        <w:t xml:space="preserve">ection </w:t>
      </w:r>
      <w:r w:rsidR="00C703D2" w:rsidRPr="00402B1F">
        <w:rPr>
          <w:rFonts w:ascii="Arial" w:hAnsi="Arial" w:cs="Arial"/>
          <w:lang w:eastAsia="en-AU"/>
        </w:rPr>
        <w:fldChar w:fldCharType="begin"/>
      </w:r>
      <w:r w:rsidR="00C703D2" w:rsidRPr="00402B1F">
        <w:rPr>
          <w:rFonts w:ascii="Arial" w:hAnsi="Arial" w:cs="Arial"/>
          <w:lang w:eastAsia="en-AU"/>
        </w:rPr>
        <w:instrText xml:space="preserve"> REF _Ref88478907 \w \h  \* MERGEFORMAT </w:instrText>
      </w:r>
      <w:r w:rsidR="00C703D2" w:rsidRPr="00402B1F">
        <w:rPr>
          <w:rFonts w:ascii="Arial" w:hAnsi="Arial" w:cs="Arial"/>
          <w:lang w:eastAsia="en-AU"/>
        </w:rPr>
      </w:r>
      <w:r w:rsidR="00C703D2" w:rsidRPr="00402B1F">
        <w:rPr>
          <w:rFonts w:ascii="Arial" w:hAnsi="Arial" w:cs="Arial"/>
          <w:lang w:eastAsia="en-AU"/>
        </w:rPr>
        <w:fldChar w:fldCharType="separate"/>
      </w:r>
      <w:r w:rsidR="00CF19E2">
        <w:rPr>
          <w:rFonts w:ascii="Arial" w:hAnsi="Arial" w:cs="Arial"/>
          <w:lang w:eastAsia="en-AU"/>
        </w:rPr>
        <w:t>2.2</w:t>
      </w:r>
      <w:r w:rsidR="00C703D2" w:rsidRPr="00402B1F">
        <w:rPr>
          <w:rFonts w:ascii="Arial" w:hAnsi="Arial" w:cs="Arial"/>
          <w:lang w:eastAsia="en-AU"/>
        </w:rPr>
        <w:fldChar w:fldCharType="end"/>
      </w:r>
      <w:r w:rsidR="00710C28" w:rsidRPr="00402B1F">
        <w:rPr>
          <w:rFonts w:ascii="Arial" w:hAnsi="Arial" w:cs="Arial"/>
          <w:lang w:eastAsia="en-AU"/>
        </w:rPr>
        <w:t xml:space="preserve">) </w:t>
      </w:r>
      <w:r w:rsidR="009874A3" w:rsidRPr="00402B1F">
        <w:rPr>
          <w:rFonts w:ascii="Arial" w:hAnsi="Arial" w:cs="Arial"/>
          <w:lang w:eastAsia="en-AU"/>
        </w:rPr>
        <w:t>informed</w:t>
      </w:r>
      <w:r w:rsidR="000B6AC2" w:rsidRPr="00402B1F">
        <w:rPr>
          <w:rFonts w:ascii="Arial" w:hAnsi="Arial" w:cs="Arial"/>
          <w:lang w:eastAsia="en-AU"/>
        </w:rPr>
        <w:t xml:space="preserve"> development of these key questions</w:t>
      </w:r>
      <w:r w:rsidR="007C0E4E" w:rsidRPr="00402B1F">
        <w:rPr>
          <w:rFonts w:ascii="Arial" w:hAnsi="Arial" w:cs="Arial"/>
          <w:lang w:eastAsia="en-AU"/>
        </w:rPr>
        <w:t>.</w:t>
      </w:r>
    </w:p>
    <w:p w14:paraId="4E614FC2" w14:textId="6FF06D6C" w:rsidR="00F84404" w:rsidRDefault="00C92441" w:rsidP="00C92441">
      <w:pPr>
        <w:rPr>
          <w:rFonts w:ascii="Arial" w:hAnsi="Arial" w:cs="Arial"/>
          <w:lang w:eastAsia="en-AU"/>
        </w:rPr>
      </w:pPr>
      <w:r w:rsidRPr="00402B1F">
        <w:rPr>
          <w:rFonts w:ascii="Arial" w:hAnsi="Arial" w:cs="Arial"/>
          <w:lang w:eastAsia="en-AU"/>
        </w:rPr>
        <w:t xml:space="preserve">The questions are informed by evaluation objectives and relate to impact, appropriateness, implementation, </w:t>
      </w:r>
      <w:proofErr w:type="gramStart"/>
      <w:r w:rsidRPr="00402B1F">
        <w:rPr>
          <w:rFonts w:ascii="Arial" w:hAnsi="Arial" w:cs="Arial"/>
          <w:lang w:eastAsia="en-AU"/>
        </w:rPr>
        <w:t>effectiveness</w:t>
      </w:r>
      <w:proofErr w:type="gramEnd"/>
      <w:r w:rsidRPr="00402B1F">
        <w:rPr>
          <w:rFonts w:ascii="Arial" w:hAnsi="Arial" w:cs="Arial"/>
          <w:lang w:eastAsia="en-AU"/>
        </w:rPr>
        <w:t xml:space="preserve"> and efficiency. It is expected that in 2024 upon completion of </w:t>
      </w:r>
      <w:r w:rsidR="00AB1FB0">
        <w:rPr>
          <w:rFonts w:ascii="Arial" w:hAnsi="Arial" w:cs="Arial"/>
          <w:lang w:eastAsia="en-AU"/>
        </w:rPr>
        <w:t>the first stage of the evaluation (see Section</w:t>
      </w:r>
      <w:r w:rsidR="00C01590">
        <w:rPr>
          <w:rFonts w:ascii="Arial" w:hAnsi="Arial" w:cs="Arial"/>
          <w:lang w:eastAsia="en-AU"/>
        </w:rPr>
        <w:t xml:space="preserve"> </w:t>
      </w:r>
      <w:r w:rsidR="00412256">
        <w:rPr>
          <w:rFonts w:ascii="Arial" w:hAnsi="Arial" w:cs="Arial"/>
          <w:lang w:eastAsia="en-AU"/>
        </w:rPr>
        <w:fldChar w:fldCharType="begin"/>
      </w:r>
      <w:r w:rsidR="00412256">
        <w:rPr>
          <w:rFonts w:ascii="Arial" w:hAnsi="Arial" w:cs="Arial"/>
          <w:lang w:eastAsia="en-AU"/>
        </w:rPr>
        <w:instrText xml:space="preserve"> REF _Ref93664305 \w \h </w:instrText>
      </w:r>
      <w:r w:rsidR="00412256">
        <w:rPr>
          <w:rFonts w:ascii="Arial" w:hAnsi="Arial" w:cs="Arial"/>
          <w:lang w:eastAsia="en-AU"/>
        </w:rPr>
      </w:r>
      <w:r w:rsidR="00412256">
        <w:rPr>
          <w:rFonts w:ascii="Arial" w:hAnsi="Arial" w:cs="Arial"/>
          <w:lang w:eastAsia="en-AU"/>
        </w:rPr>
        <w:fldChar w:fldCharType="separate"/>
      </w:r>
      <w:r w:rsidR="00CF19E2">
        <w:rPr>
          <w:rFonts w:ascii="Arial" w:hAnsi="Arial" w:cs="Arial"/>
          <w:lang w:eastAsia="en-AU"/>
        </w:rPr>
        <w:t>2.6</w:t>
      </w:r>
      <w:r w:rsidR="00412256">
        <w:rPr>
          <w:rFonts w:ascii="Arial" w:hAnsi="Arial" w:cs="Arial"/>
          <w:lang w:eastAsia="en-AU"/>
        </w:rPr>
        <w:fldChar w:fldCharType="end"/>
      </w:r>
      <w:r w:rsidR="00AB1FB0">
        <w:rPr>
          <w:rFonts w:ascii="Arial" w:hAnsi="Arial" w:cs="Arial"/>
          <w:lang w:eastAsia="en-AU"/>
        </w:rPr>
        <w:t>)</w:t>
      </w:r>
      <w:r w:rsidR="007371A7" w:rsidRPr="00402B1F">
        <w:rPr>
          <w:rFonts w:ascii="Arial" w:hAnsi="Arial" w:cs="Arial"/>
          <w:lang w:eastAsia="en-AU"/>
        </w:rPr>
        <w:t xml:space="preserve">, </w:t>
      </w:r>
      <w:r w:rsidRPr="00402B1F">
        <w:rPr>
          <w:rFonts w:ascii="Arial" w:hAnsi="Arial" w:cs="Arial"/>
          <w:lang w:eastAsia="en-AU"/>
        </w:rPr>
        <w:t>these questions may be revised to guide remaining</w:t>
      </w:r>
      <w:r w:rsidR="009213B2">
        <w:rPr>
          <w:rFonts w:ascii="Arial" w:hAnsi="Arial" w:cs="Arial"/>
          <w:lang w:eastAsia="en-AU"/>
        </w:rPr>
        <w:t xml:space="preserve"> evaluation</w:t>
      </w:r>
      <w:r w:rsidRPr="00402B1F">
        <w:rPr>
          <w:rFonts w:ascii="Arial" w:hAnsi="Arial" w:cs="Arial"/>
          <w:lang w:eastAsia="en-AU"/>
        </w:rPr>
        <w:t xml:space="preserve"> activities through to 20</w:t>
      </w:r>
      <w:r w:rsidR="00A8269E">
        <w:rPr>
          <w:rFonts w:ascii="Arial" w:hAnsi="Arial" w:cs="Arial"/>
          <w:lang w:eastAsia="en-AU"/>
        </w:rPr>
        <w:t>30</w:t>
      </w:r>
      <w:r w:rsidRPr="00402B1F">
        <w:rPr>
          <w:rFonts w:ascii="Arial" w:hAnsi="Arial" w:cs="Arial"/>
          <w:lang w:eastAsia="en-AU"/>
        </w:rPr>
        <w:t xml:space="preserve">. </w:t>
      </w:r>
    </w:p>
    <w:p w14:paraId="61EB2AFB" w14:textId="7D586BD1" w:rsidR="00C92441" w:rsidRPr="00402B1F" w:rsidRDefault="0040791C" w:rsidP="00C92441">
      <w:pPr>
        <w:rPr>
          <w:rFonts w:ascii="Arial" w:hAnsi="Arial" w:cs="Arial"/>
          <w:lang w:eastAsia="en-AU"/>
        </w:rPr>
      </w:pPr>
      <w:r w:rsidRPr="00402B1F">
        <w:rPr>
          <w:rFonts w:ascii="Arial" w:hAnsi="Arial" w:cs="Arial"/>
          <w:highlight w:val="yellow"/>
          <w:lang w:eastAsia="en-AU"/>
        </w:rPr>
        <w:fldChar w:fldCharType="begin"/>
      </w:r>
      <w:r w:rsidRPr="00402B1F">
        <w:rPr>
          <w:rFonts w:ascii="Arial" w:hAnsi="Arial" w:cs="Arial"/>
          <w:lang w:eastAsia="en-AU"/>
        </w:rPr>
        <w:instrText xml:space="preserve"> REF _Ref88659648 \r \h </w:instrText>
      </w:r>
      <w:r w:rsidR="00402B1F">
        <w:rPr>
          <w:rFonts w:ascii="Arial" w:hAnsi="Arial" w:cs="Arial"/>
          <w:highlight w:val="yellow"/>
          <w:lang w:eastAsia="en-AU"/>
        </w:rPr>
        <w:instrText xml:space="preserve"> \* MERGEFORMAT </w:instrText>
      </w:r>
      <w:r w:rsidRPr="00402B1F">
        <w:rPr>
          <w:rFonts w:ascii="Arial" w:hAnsi="Arial" w:cs="Arial"/>
          <w:highlight w:val="yellow"/>
          <w:lang w:eastAsia="en-AU"/>
        </w:rPr>
      </w:r>
      <w:r w:rsidRPr="00402B1F">
        <w:rPr>
          <w:rFonts w:ascii="Arial" w:hAnsi="Arial" w:cs="Arial"/>
          <w:highlight w:val="yellow"/>
          <w:lang w:eastAsia="en-AU"/>
        </w:rPr>
        <w:fldChar w:fldCharType="separate"/>
      </w:r>
      <w:r w:rsidR="00CF19E2">
        <w:rPr>
          <w:rFonts w:ascii="Arial" w:hAnsi="Arial" w:cs="Arial"/>
          <w:lang w:eastAsia="en-AU"/>
        </w:rPr>
        <w:t>Appendix C</w:t>
      </w:r>
      <w:r w:rsidRPr="00402B1F">
        <w:rPr>
          <w:rFonts w:ascii="Arial" w:hAnsi="Arial" w:cs="Arial"/>
          <w:highlight w:val="yellow"/>
          <w:lang w:eastAsia="en-AU"/>
        </w:rPr>
        <w:fldChar w:fldCharType="end"/>
      </w:r>
      <w:r w:rsidRPr="00402B1F">
        <w:rPr>
          <w:rFonts w:ascii="Arial" w:hAnsi="Arial" w:cs="Arial"/>
          <w:lang w:eastAsia="en-AU"/>
        </w:rPr>
        <w:t xml:space="preserve"> </w:t>
      </w:r>
      <w:r w:rsidR="00C92441" w:rsidRPr="00402B1F">
        <w:rPr>
          <w:rFonts w:ascii="Arial" w:hAnsi="Arial" w:cs="Arial"/>
          <w:lang w:eastAsia="en-AU"/>
        </w:rPr>
        <w:t xml:space="preserve">maps </w:t>
      </w:r>
      <w:r w:rsidR="00896BFA" w:rsidRPr="00402B1F">
        <w:rPr>
          <w:rFonts w:ascii="Arial" w:hAnsi="Arial" w:cs="Arial"/>
          <w:lang w:eastAsia="en-AU"/>
        </w:rPr>
        <w:t xml:space="preserve">the qualitative and </w:t>
      </w:r>
      <w:r w:rsidR="00505329" w:rsidRPr="00402B1F">
        <w:rPr>
          <w:rFonts w:ascii="Arial" w:hAnsi="Arial" w:cs="Arial"/>
          <w:lang w:eastAsia="en-AU"/>
        </w:rPr>
        <w:t>quantitative</w:t>
      </w:r>
      <w:r w:rsidR="00896BFA" w:rsidRPr="00402B1F">
        <w:rPr>
          <w:rFonts w:ascii="Arial" w:hAnsi="Arial" w:cs="Arial"/>
          <w:lang w:eastAsia="en-AU"/>
        </w:rPr>
        <w:t xml:space="preserve"> </w:t>
      </w:r>
      <w:r w:rsidR="00C92441" w:rsidRPr="00402B1F">
        <w:rPr>
          <w:rFonts w:ascii="Arial" w:hAnsi="Arial" w:cs="Arial"/>
          <w:lang w:eastAsia="en-AU"/>
        </w:rPr>
        <w:t>data sources</w:t>
      </w:r>
      <w:r w:rsidR="00896BFA" w:rsidRPr="00402B1F">
        <w:rPr>
          <w:rFonts w:ascii="Arial" w:hAnsi="Arial" w:cs="Arial"/>
          <w:lang w:eastAsia="en-AU"/>
        </w:rPr>
        <w:t xml:space="preserve"> proposed to be used to answer these questions. </w:t>
      </w:r>
      <w:r w:rsidR="00107576" w:rsidRPr="00402B1F">
        <w:rPr>
          <w:rFonts w:ascii="Arial" w:hAnsi="Arial" w:cs="Arial"/>
          <w:lang w:eastAsia="en-AU"/>
        </w:rPr>
        <w:t>The</w:t>
      </w:r>
      <w:r w:rsidR="009A01C6" w:rsidRPr="00402B1F">
        <w:rPr>
          <w:rFonts w:ascii="Arial" w:hAnsi="Arial" w:cs="Arial"/>
          <w:lang w:eastAsia="en-AU"/>
        </w:rPr>
        <w:t xml:space="preserve"> questions </w:t>
      </w:r>
      <w:r w:rsidR="008741F7" w:rsidRPr="00402B1F">
        <w:rPr>
          <w:rFonts w:ascii="Arial" w:hAnsi="Arial" w:cs="Arial"/>
          <w:lang w:eastAsia="en-AU"/>
        </w:rPr>
        <w:t xml:space="preserve">are </w:t>
      </w:r>
      <w:r w:rsidR="00CC6492" w:rsidRPr="00402B1F">
        <w:rPr>
          <w:rFonts w:ascii="Arial" w:hAnsi="Arial" w:cs="Arial"/>
          <w:lang w:eastAsia="en-AU"/>
        </w:rPr>
        <w:t>intend</w:t>
      </w:r>
      <w:r w:rsidR="008741F7" w:rsidRPr="00402B1F">
        <w:rPr>
          <w:rFonts w:ascii="Arial" w:hAnsi="Arial" w:cs="Arial"/>
          <w:lang w:eastAsia="en-AU"/>
        </w:rPr>
        <w:t>ed</w:t>
      </w:r>
      <w:r w:rsidR="00AA710B" w:rsidRPr="00402B1F">
        <w:rPr>
          <w:rFonts w:ascii="Arial" w:hAnsi="Arial" w:cs="Arial"/>
          <w:lang w:eastAsia="en-AU"/>
        </w:rPr>
        <w:t xml:space="preserve"> to draw </w:t>
      </w:r>
      <w:r w:rsidR="008741F7" w:rsidRPr="00402B1F">
        <w:rPr>
          <w:rFonts w:ascii="Arial" w:hAnsi="Arial" w:cs="Arial"/>
          <w:lang w:eastAsia="en-AU"/>
        </w:rPr>
        <w:t>in the main</w:t>
      </w:r>
      <w:r w:rsidR="009A01C6" w:rsidRPr="00402B1F">
        <w:rPr>
          <w:rFonts w:ascii="Arial" w:hAnsi="Arial" w:cs="Arial"/>
          <w:lang w:eastAsia="en-AU"/>
        </w:rPr>
        <w:t xml:space="preserve"> on </w:t>
      </w:r>
      <w:r w:rsidR="00AA710B" w:rsidRPr="00402B1F">
        <w:rPr>
          <w:rFonts w:ascii="Arial" w:hAnsi="Arial" w:cs="Arial"/>
          <w:lang w:eastAsia="en-AU"/>
        </w:rPr>
        <w:t>existing data and information</w:t>
      </w:r>
      <w:r w:rsidR="00CC6492" w:rsidRPr="00402B1F">
        <w:rPr>
          <w:rFonts w:ascii="Arial" w:hAnsi="Arial" w:cs="Arial"/>
          <w:lang w:eastAsia="en-AU"/>
        </w:rPr>
        <w:t xml:space="preserve"> collected by those implementing the Plan, </w:t>
      </w:r>
      <w:r w:rsidR="008741F7" w:rsidRPr="00402B1F">
        <w:rPr>
          <w:rFonts w:ascii="Arial" w:hAnsi="Arial" w:cs="Arial"/>
          <w:lang w:eastAsia="en-AU"/>
        </w:rPr>
        <w:t xml:space="preserve">thus </w:t>
      </w:r>
      <w:r w:rsidR="00CC6492" w:rsidRPr="00402B1F">
        <w:rPr>
          <w:rFonts w:ascii="Arial" w:hAnsi="Arial" w:cs="Arial"/>
          <w:lang w:eastAsia="en-AU"/>
        </w:rPr>
        <w:t xml:space="preserve">increasing </w:t>
      </w:r>
      <w:r w:rsidR="008741F7" w:rsidRPr="00402B1F">
        <w:rPr>
          <w:rFonts w:ascii="Arial" w:hAnsi="Arial" w:cs="Arial"/>
          <w:lang w:eastAsia="en-AU"/>
        </w:rPr>
        <w:t xml:space="preserve">the </w:t>
      </w:r>
      <w:r w:rsidR="00CC6492" w:rsidRPr="00402B1F">
        <w:rPr>
          <w:rFonts w:ascii="Arial" w:hAnsi="Arial" w:cs="Arial"/>
          <w:lang w:eastAsia="en-AU"/>
        </w:rPr>
        <w:t>feasibility</w:t>
      </w:r>
      <w:r w:rsidR="008741F7" w:rsidRPr="00402B1F">
        <w:rPr>
          <w:rFonts w:ascii="Arial" w:hAnsi="Arial" w:cs="Arial"/>
          <w:lang w:eastAsia="en-AU"/>
        </w:rPr>
        <w:t xml:space="preserve"> of the approach</w:t>
      </w:r>
      <w:r w:rsidR="00CC6492" w:rsidRPr="00402B1F">
        <w:rPr>
          <w:rFonts w:ascii="Arial" w:hAnsi="Arial" w:cs="Arial"/>
          <w:lang w:eastAsia="en-AU"/>
        </w:rPr>
        <w:t xml:space="preserve">. </w:t>
      </w:r>
    </w:p>
    <w:p w14:paraId="0D784AE8" w14:textId="74C1B417" w:rsidR="00A84846" w:rsidRDefault="00A84846" w:rsidP="00A84846">
      <w:pPr>
        <w:pStyle w:val="Caption"/>
        <w:rPr>
          <w:lang w:eastAsia="en-AU"/>
        </w:rPr>
      </w:pPr>
      <w:bookmarkStart w:id="15" w:name="_Ref86262155"/>
      <w:r>
        <w:t xml:space="preserve">Table </w:t>
      </w:r>
      <w:r>
        <w:fldChar w:fldCharType="begin"/>
      </w:r>
      <w:r>
        <w:instrText xml:space="preserve"> SEQ Table \* ARABIC </w:instrText>
      </w:r>
      <w:r>
        <w:fldChar w:fldCharType="separate"/>
      </w:r>
      <w:r w:rsidR="00CF19E2">
        <w:rPr>
          <w:noProof/>
        </w:rPr>
        <w:t>2</w:t>
      </w:r>
      <w:r>
        <w:fldChar w:fldCharType="end"/>
      </w:r>
      <w:bookmarkEnd w:id="15"/>
      <w:r>
        <w:t xml:space="preserve"> | Key monitoring and evaluation questions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5"/>
        <w:gridCol w:w="3882"/>
        <w:gridCol w:w="3351"/>
      </w:tblGrid>
      <w:tr w:rsidR="00566963" w:rsidRPr="00852F0E" w14:paraId="5D68A150" w14:textId="77777777" w:rsidTr="00852F0E">
        <w:trPr>
          <w:cnfStyle w:val="100000000000" w:firstRow="1" w:lastRow="0" w:firstColumn="0" w:lastColumn="0" w:oddVBand="0" w:evenVBand="0" w:oddHBand="0" w:evenHBand="0" w:firstRowFirstColumn="0" w:firstRowLastColumn="0" w:lastRowFirstColumn="0" w:lastRowLastColumn="0"/>
          <w:trHeight w:val="510"/>
          <w:tblHeader/>
        </w:trPr>
        <w:tc>
          <w:tcPr>
            <w:tcW w:w="1086" w:type="pct"/>
            <w:shd w:val="clear" w:color="auto" w:fill="3F4A75"/>
          </w:tcPr>
          <w:p w14:paraId="53A01314" w14:textId="49D5C8E1" w:rsidR="00566963" w:rsidRPr="00852F0E" w:rsidRDefault="000A4ABE" w:rsidP="00852F0E">
            <w:pPr>
              <w:pStyle w:val="TableNheader"/>
            </w:pPr>
            <w:r w:rsidRPr="00852F0E">
              <w:t>Key question</w:t>
            </w:r>
          </w:p>
        </w:tc>
        <w:tc>
          <w:tcPr>
            <w:tcW w:w="2100" w:type="pct"/>
            <w:shd w:val="clear" w:color="auto" w:fill="3F4A75"/>
          </w:tcPr>
          <w:p w14:paraId="3F08CF04" w14:textId="501BDCB9" w:rsidR="00566963" w:rsidRPr="00852F0E" w:rsidRDefault="00A84846" w:rsidP="00852F0E">
            <w:pPr>
              <w:pStyle w:val="TableNheader"/>
            </w:pPr>
            <w:r w:rsidRPr="00852F0E">
              <w:t>Research questions</w:t>
            </w:r>
          </w:p>
        </w:tc>
        <w:tc>
          <w:tcPr>
            <w:tcW w:w="1814" w:type="pct"/>
            <w:shd w:val="clear" w:color="auto" w:fill="3F4A75"/>
          </w:tcPr>
          <w:p w14:paraId="7EBD7A8E" w14:textId="60F92178" w:rsidR="00840012" w:rsidRPr="00852F0E" w:rsidRDefault="00840012" w:rsidP="00852F0E">
            <w:pPr>
              <w:pStyle w:val="TableNheader"/>
            </w:pPr>
            <w:r w:rsidRPr="00852F0E">
              <w:t xml:space="preserve">Intent </w:t>
            </w:r>
          </w:p>
        </w:tc>
      </w:tr>
      <w:tr w:rsidR="00AA1805" w14:paraId="6EEC199E" w14:textId="77777777" w:rsidTr="00852F0E">
        <w:trPr>
          <w:trHeight w:val="967"/>
        </w:trPr>
        <w:tc>
          <w:tcPr>
            <w:tcW w:w="1086" w:type="pct"/>
            <w:vMerge w:val="restart"/>
            <w:shd w:val="clear" w:color="auto" w:fill="E6E6E6"/>
          </w:tcPr>
          <w:p w14:paraId="48A85CE7" w14:textId="7E00EEEB" w:rsidR="00F85E8F" w:rsidRDefault="00F85E8F" w:rsidP="00852F0E">
            <w:pPr>
              <w:pStyle w:val="TableNtextstrong"/>
            </w:pPr>
            <w:r w:rsidRPr="00721862">
              <w:t>IMPACT</w:t>
            </w:r>
          </w:p>
          <w:p w14:paraId="12016C7B" w14:textId="10155A97" w:rsidR="00AA1805" w:rsidRPr="00133B7C" w:rsidRDefault="00AA1805" w:rsidP="00852F0E">
            <w:pPr>
              <w:pStyle w:val="TableNText"/>
            </w:pPr>
            <w:r w:rsidRPr="00F85E8F">
              <w:t>1. To what extent has the overarching goal of the Plan been achieved?</w:t>
            </w:r>
          </w:p>
        </w:tc>
        <w:tc>
          <w:tcPr>
            <w:tcW w:w="2100" w:type="pct"/>
            <w:shd w:val="clear" w:color="auto" w:fill="F5F5F5"/>
          </w:tcPr>
          <w:p w14:paraId="5BAB6C2B" w14:textId="4110BFF8" w:rsidR="00AA1805" w:rsidRPr="00721862" w:rsidRDefault="00AA1805" w:rsidP="00852F0E">
            <w:pPr>
              <w:pStyle w:val="TableNText"/>
            </w:pPr>
            <w:r w:rsidRPr="00721862">
              <w:t>1.1 What progress has been made against the goal of reducing the rates of preventable</w:t>
            </w:r>
            <w:r w:rsidR="00C703D2" w:rsidRPr="00721862">
              <w:rPr>
                <w:rStyle w:val="FootnoteReference"/>
                <w:rFonts w:ascii="Arial" w:hAnsi="Arial" w:cs="Arial"/>
                <w:sz w:val="17"/>
                <w:szCs w:val="17"/>
              </w:rPr>
              <w:footnoteReference w:id="17"/>
            </w:r>
            <w:r w:rsidRPr="00721862">
              <w:t xml:space="preserve"> stillbirths after 28 weeks by 20 per cent?</w:t>
            </w:r>
          </w:p>
        </w:tc>
        <w:tc>
          <w:tcPr>
            <w:tcW w:w="1814" w:type="pct"/>
            <w:vMerge w:val="restart"/>
            <w:shd w:val="clear" w:color="auto" w:fill="F5F5F5"/>
          </w:tcPr>
          <w:p w14:paraId="277C220C" w14:textId="0F1598C9" w:rsidR="00251557" w:rsidRPr="00721862" w:rsidRDefault="00251557" w:rsidP="00A30405">
            <w:pPr>
              <w:pStyle w:val="TableNText"/>
              <w:spacing w:before="240" w:after="120"/>
              <w:rPr>
                <w:rFonts w:cs="Arial"/>
                <w:szCs w:val="17"/>
              </w:rPr>
            </w:pPr>
            <w:r w:rsidRPr="00721862">
              <w:rPr>
                <w:rFonts w:cs="Arial"/>
                <w:szCs w:val="17"/>
              </w:rPr>
              <w:t xml:space="preserve">This question focuses on understanding the extent to which the two overarching goals of the Plan are being or have been achieved. </w:t>
            </w:r>
            <w:r w:rsidR="00496FCE" w:rsidRPr="00721862">
              <w:rPr>
                <w:rFonts w:cs="Arial"/>
                <w:szCs w:val="17"/>
              </w:rPr>
              <w:t>It</w:t>
            </w:r>
            <w:r w:rsidR="000127E7" w:rsidRPr="00721862">
              <w:rPr>
                <w:rFonts w:cs="Arial"/>
                <w:szCs w:val="17"/>
              </w:rPr>
              <w:t xml:space="preserve"> </w:t>
            </w:r>
            <w:r w:rsidR="007E4B9A" w:rsidRPr="00721862">
              <w:rPr>
                <w:rFonts w:cs="Arial"/>
                <w:szCs w:val="17"/>
              </w:rPr>
              <w:t xml:space="preserve">will rely on </w:t>
            </w:r>
            <w:r w:rsidR="00496FCE" w:rsidRPr="00721862">
              <w:rPr>
                <w:rFonts w:cs="Arial"/>
                <w:szCs w:val="17"/>
              </w:rPr>
              <w:t xml:space="preserve">quantitative data captured in the national indicators (see section </w:t>
            </w:r>
            <w:r w:rsidR="00C62F06" w:rsidRPr="00721862">
              <w:rPr>
                <w:rFonts w:cs="Arial"/>
                <w:szCs w:val="17"/>
              </w:rPr>
              <w:fldChar w:fldCharType="begin"/>
            </w:r>
            <w:r w:rsidR="00C62F06" w:rsidRPr="00721862">
              <w:rPr>
                <w:rFonts w:cs="Arial"/>
                <w:szCs w:val="17"/>
              </w:rPr>
              <w:instrText xml:space="preserve"> REF _Ref88659891 \n \h </w:instrText>
            </w:r>
            <w:r w:rsidR="00721862">
              <w:rPr>
                <w:rFonts w:cs="Arial"/>
                <w:szCs w:val="17"/>
              </w:rPr>
              <w:instrText xml:space="preserve"> \* MERGEFORMAT </w:instrText>
            </w:r>
            <w:r w:rsidR="00C62F06" w:rsidRPr="00721862">
              <w:rPr>
                <w:rFonts w:cs="Arial"/>
                <w:szCs w:val="17"/>
              </w:rPr>
            </w:r>
            <w:r w:rsidR="00C62F06" w:rsidRPr="00721862">
              <w:rPr>
                <w:rFonts w:cs="Arial"/>
                <w:szCs w:val="17"/>
              </w:rPr>
              <w:fldChar w:fldCharType="separate"/>
            </w:r>
            <w:r w:rsidR="00CF19E2">
              <w:rPr>
                <w:rFonts w:cs="Arial"/>
                <w:szCs w:val="17"/>
              </w:rPr>
              <w:t>2.4</w:t>
            </w:r>
            <w:r w:rsidR="00C62F06" w:rsidRPr="00721862">
              <w:rPr>
                <w:rFonts w:cs="Arial"/>
                <w:szCs w:val="17"/>
              </w:rPr>
              <w:fldChar w:fldCharType="end"/>
            </w:r>
            <w:r w:rsidR="00496FCE" w:rsidRPr="00721862">
              <w:rPr>
                <w:rFonts w:cs="Arial"/>
                <w:szCs w:val="17"/>
              </w:rPr>
              <w:t>) and some</w:t>
            </w:r>
            <w:r w:rsidR="007E4B9A" w:rsidRPr="00721862">
              <w:rPr>
                <w:rFonts w:cs="Arial"/>
                <w:szCs w:val="17"/>
              </w:rPr>
              <w:t xml:space="preserve"> qualitative data sources, particularly for bereavement care. </w:t>
            </w:r>
          </w:p>
        </w:tc>
      </w:tr>
      <w:tr w:rsidR="00AA1805" w14:paraId="39D20FD2" w14:textId="77777777" w:rsidTr="00852F0E">
        <w:trPr>
          <w:trHeight w:val="848"/>
        </w:trPr>
        <w:tc>
          <w:tcPr>
            <w:tcW w:w="1086" w:type="pct"/>
            <w:vMerge/>
            <w:shd w:val="clear" w:color="auto" w:fill="E6E6E6"/>
          </w:tcPr>
          <w:p w14:paraId="78EE0E54" w14:textId="77777777" w:rsidR="00AA1805" w:rsidRPr="00721862" w:rsidRDefault="00AA1805" w:rsidP="00852F0E">
            <w:pPr>
              <w:pStyle w:val="TableNText"/>
            </w:pPr>
          </w:p>
        </w:tc>
        <w:tc>
          <w:tcPr>
            <w:tcW w:w="2100" w:type="pct"/>
            <w:shd w:val="clear" w:color="auto" w:fill="F5F5F5"/>
          </w:tcPr>
          <w:p w14:paraId="5FA8A29A" w14:textId="0BF0A9DE" w:rsidR="00AA1805" w:rsidRPr="00721862" w:rsidRDefault="00AA1805" w:rsidP="00852F0E">
            <w:pPr>
              <w:pStyle w:val="TableNText"/>
            </w:pPr>
            <w:r w:rsidRPr="00721862">
              <w:t>1.2 What progress has been made in improving the quality and availability of respectful and supportive bereavement care</w:t>
            </w:r>
            <w:r w:rsidR="00806283" w:rsidRPr="00721862">
              <w:t>, including for target cohorts</w:t>
            </w:r>
            <w:r w:rsidRPr="00721862">
              <w:t>?</w:t>
            </w:r>
          </w:p>
        </w:tc>
        <w:tc>
          <w:tcPr>
            <w:tcW w:w="1814" w:type="pct"/>
            <w:vMerge/>
            <w:shd w:val="clear" w:color="auto" w:fill="F5F5F5"/>
          </w:tcPr>
          <w:p w14:paraId="4366A0A2" w14:textId="77777777" w:rsidR="00E730F1" w:rsidRPr="00721862" w:rsidRDefault="00E730F1" w:rsidP="00A30405">
            <w:pPr>
              <w:pStyle w:val="TableNText"/>
              <w:spacing w:before="240" w:after="120"/>
              <w:rPr>
                <w:rFonts w:cs="Arial"/>
                <w:szCs w:val="17"/>
              </w:rPr>
            </w:pPr>
          </w:p>
        </w:tc>
      </w:tr>
      <w:tr w:rsidR="00236660" w14:paraId="49CF30F8" w14:textId="77777777" w:rsidTr="00852F0E">
        <w:tc>
          <w:tcPr>
            <w:tcW w:w="1086" w:type="pct"/>
            <w:vMerge w:val="restart"/>
            <w:shd w:val="clear" w:color="auto" w:fill="E6E6E6"/>
          </w:tcPr>
          <w:p w14:paraId="48759493" w14:textId="61D1A2C4" w:rsidR="00F85E8F" w:rsidRDefault="00F85E8F" w:rsidP="00852F0E">
            <w:pPr>
              <w:pStyle w:val="TableNtextstrong"/>
            </w:pPr>
            <w:r w:rsidRPr="00721862">
              <w:t>APPROPRIATENESS</w:t>
            </w:r>
          </w:p>
          <w:p w14:paraId="729FB051" w14:textId="1E411C23" w:rsidR="00236660" w:rsidRPr="00133B7C" w:rsidRDefault="00236660" w:rsidP="00852F0E">
            <w:pPr>
              <w:pStyle w:val="TableNText"/>
            </w:pPr>
            <w:r w:rsidRPr="00F85E8F">
              <w:t>2. How appropriate was the Plan’s design to deliver the Plan’s outcomes?</w:t>
            </w:r>
          </w:p>
        </w:tc>
        <w:tc>
          <w:tcPr>
            <w:tcW w:w="2100" w:type="pct"/>
            <w:shd w:val="clear" w:color="auto" w:fill="F5F5F5"/>
          </w:tcPr>
          <w:p w14:paraId="733BFF3F" w14:textId="51B066FA" w:rsidR="00236660" w:rsidRPr="00721862" w:rsidRDefault="00236660" w:rsidP="00852F0E">
            <w:pPr>
              <w:pStyle w:val="TableNText"/>
            </w:pPr>
            <w:r w:rsidRPr="00721862">
              <w:t>2.1 What goals and outcomes does the Plan aim to achieve?</w:t>
            </w:r>
          </w:p>
        </w:tc>
        <w:tc>
          <w:tcPr>
            <w:tcW w:w="1814" w:type="pct"/>
            <w:vMerge w:val="restart"/>
            <w:shd w:val="clear" w:color="auto" w:fill="F5F5F5"/>
          </w:tcPr>
          <w:p w14:paraId="1B33E887" w14:textId="6DCCA663" w:rsidR="000B4CE6" w:rsidRPr="00721862" w:rsidRDefault="00B3677B" w:rsidP="00A30405">
            <w:pPr>
              <w:pStyle w:val="TableNText"/>
              <w:spacing w:before="240" w:after="120"/>
              <w:rPr>
                <w:rFonts w:cs="Arial"/>
                <w:szCs w:val="17"/>
              </w:rPr>
            </w:pPr>
            <w:r w:rsidRPr="00721862">
              <w:rPr>
                <w:rFonts w:cs="Arial"/>
                <w:szCs w:val="17"/>
              </w:rPr>
              <w:t xml:space="preserve">This question </w:t>
            </w:r>
            <w:r w:rsidR="00A83BFB" w:rsidRPr="00721862">
              <w:rPr>
                <w:rFonts w:cs="Arial"/>
                <w:szCs w:val="17"/>
              </w:rPr>
              <w:t xml:space="preserve">seeks to understand </w:t>
            </w:r>
            <w:r w:rsidR="00F110D3" w:rsidRPr="00721862">
              <w:rPr>
                <w:rFonts w:cs="Arial"/>
                <w:szCs w:val="17"/>
              </w:rPr>
              <w:t xml:space="preserve">the appropriateness of the Plan’s design and delivery approaches (including in different </w:t>
            </w:r>
            <w:r w:rsidR="002F76B9" w:rsidRPr="00721862">
              <w:rPr>
                <w:rFonts w:cs="Arial"/>
                <w:szCs w:val="17"/>
              </w:rPr>
              <w:t>jurisdictions</w:t>
            </w:r>
            <w:r w:rsidR="00F110D3" w:rsidRPr="00721862">
              <w:rPr>
                <w:rFonts w:cs="Arial"/>
                <w:szCs w:val="17"/>
              </w:rPr>
              <w:t xml:space="preserve">) </w:t>
            </w:r>
            <w:r w:rsidR="002F76B9" w:rsidRPr="00721862">
              <w:rPr>
                <w:rFonts w:cs="Arial"/>
                <w:szCs w:val="17"/>
              </w:rPr>
              <w:t xml:space="preserve">to deliver the desired outcomes. </w:t>
            </w:r>
          </w:p>
          <w:p w14:paraId="20475902" w14:textId="77777777" w:rsidR="00B3677B" w:rsidRPr="00721862" w:rsidRDefault="002F76B9" w:rsidP="00A30405">
            <w:pPr>
              <w:pStyle w:val="TableNText"/>
              <w:spacing w:before="240" w:after="120"/>
              <w:rPr>
                <w:rFonts w:cs="Arial"/>
                <w:szCs w:val="17"/>
              </w:rPr>
            </w:pPr>
            <w:r w:rsidRPr="00721862">
              <w:rPr>
                <w:rFonts w:cs="Arial"/>
                <w:szCs w:val="17"/>
              </w:rPr>
              <w:t>Insights against this</w:t>
            </w:r>
            <w:r w:rsidR="005B2836" w:rsidRPr="00721862">
              <w:rPr>
                <w:rFonts w:cs="Arial"/>
                <w:szCs w:val="17"/>
              </w:rPr>
              <w:t xml:space="preserve"> question may </w:t>
            </w:r>
            <w:r w:rsidR="008A0011" w:rsidRPr="00721862">
              <w:rPr>
                <w:rFonts w:cs="Arial"/>
                <w:szCs w:val="17"/>
              </w:rPr>
              <w:t xml:space="preserve">inform </w:t>
            </w:r>
            <w:r w:rsidR="005B2836" w:rsidRPr="00721862">
              <w:rPr>
                <w:rFonts w:cs="Arial"/>
                <w:szCs w:val="17"/>
              </w:rPr>
              <w:t>changes to the Plan’s focus</w:t>
            </w:r>
            <w:r w:rsidR="008A0011" w:rsidRPr="00721862">
              <w:rPr>
                <w:rFonts w:cs="Arial"/>
                <w:szCs w:val="17"/>
              </w:rPr>
              <w:t xml:space="preserve"> as it is </w:t>
            </w:r>
            <w:r w:rsidR="00635551" w:rsidRPr="00721862">
              <w:rPr>
                <w:rFonts w:cs="Arial"/>
                <w:szCs w:val="17"/>
              </w:rPr>
              <w:t>implemented</w:t>
            </w:r>
            <w:r w:rsidR="008A0011" w:rsidRPr="00721862">
              <w:rPr>
                <w:rFonts w:cs="Arial"/>
                <w:szCs w:val="17"/>
              </w:rPr>
              <w:t xml:space="preserve"> and </w:t>
            </w:r>
            <w:r w:rsidR="00635551" w:rsidRPr="00721862">
              <w:rPr>
                <w:rFonts w:cs="Arial"/>
                <w:szCs w:val="17"/>
              </w:rPr>
              <w:t>newer evidence or feedback on its appropriateness emerges</w:t>
            </w:r>
            <w:r w:rsidR="005B2836" w:rsidRPr="00721862">
              <w:rPr>
                <w:rFonts w:cs="Arial"/>
                <w:szCs w:val="17"/>
              </w:rPr>
              <w:t>.</w:t>
            </w:r>
          </w:p>
          <w:p w14:paraId="327EEB80" w14:textId="2677B3BF" w:rsidR="00B3677B" w:rsidRPr="00721862" w:rsidRDefault="00945D2C" w:rsidP="00A30405">
            <w:pPr>
              <w:pStyle w:val="TableNText"/>
              <w:spacing w:before="240" w:after="120"/>
              <w:rPr>
                <w:rFonts w:cs="Arial"/>
                <w:szCs w:val="17"/>
              </w:rPr>
            </w:pPr>
            <w:r w:rsidRPr="00721862">
              <w:rPr>
                <w:rFonts w:cs="Arial"/>
                <w:szCs w:val="17"/>
              </w:rPr>
              <w:lastRenderedPageBreak/>
              <w:t xml:space="preserve">These questions will largely be answered through desktop review and consultations. </w:t>
            </w:r>
          </w:p>
        </w:tc>
      </w:tr>
      <w:tr w:rsidR="00236660" w14:paraId="773B2DBA" w14:textId="77777777" w:rsidTr="00852F0E">
        <w:tc>
          <w:tcPr>
            <w:tcW w:w="1086" w:type="pct"/>
            <w:vMerge/>
            <w:shd w:val="clear" w:color="auto" w:fill="E6E6E6"/>
          </w:tcPr>
          <w:p w14:paraId="63353F74" w14:textId="77777777" w:rsidR="00236660" w:rsidRPr="00721862" w:rsidRDefault="00236660" w:rsidP="00A30405">
            <w:pPr>
              <w:spacing w:before="240" w:line="240" w:lineRule="auto"/>
              <w:rPr>
                <w:rFonts w:ascii="Arial" w:hAnsi="Arial" w:cs="Arial"/>
                <w:b/>
                <w:sz w:val="17"/>
                <w:szCs w:val="17"/>
              </w:rPr>
            </w:pPr>
          </w:p>
        </w:tc>
        <w:tc>
          <w:tcPr>
            <w:tcW w:w="2100" w:type="pct"/>
            <w:shd w:val="clear" w:color="auto" w:fill="F5F5F5"/>
          </w:tcPr>
          <w:p w14:paraId="0CD02A86" w14:textId="776B57C3" w:rsidR="00236660" w:rsidRPr="00721862" w:rsidRDefault="00DA6FE9" w:rsidP="00852F0E">
            <w:pPr>
              <w:pStyle w:val="TableNText"/>
            </w:pPr>
            <w:r w:rsidRPr="00721862">
              <w:t>2.2 What are the key features of the Plan's design?</w:t>
            </w:r>
          </w:p>
        </w:tc>
        <w:tc>
          <w:tcPr>
            <w:tcW w:w="1814" w:type="pct"/>
            <w:vMerge/>
            <w:shd w:val="clear" w:color="auto" w:fill="F5F5F5"/>
          </w:tcPr>
          <w:p w14:paraId="1E9F9A50" w14:textId="77777777" w:rsidR="00E730F1" w:rsidRPr="00721862" w:rsidRDefault="00E730F1" w:rsidP="00A30405">
            <w:pPr>
              <w:pStyle w:val="TableNText"/>
              <w:spacing w:before="240" w:after="120"/>
              <w:rPr>
                <w:rFonts w:cs="Arial"/>
                <w:szCs w:val="17"/>
              </w:rPr>
            </w:pPr>
          </w:p>
        </w:tc>
      </w:tr>
      <w:tr w:rsidR="00236660" w14:paraId="7AB807EB" w14:textId="77777777" w:rsidTr="00852F0E">
        <w:tc>
          <w:tcPr>
            <w:tcW w:w="1086" w:type="pct"/>
            <w:vMerge/>
            <w:shd w:val="clear" w:color="auto" w:fill="E6E6E6"/>
          </w:tcPr>
          <w:p w14:paraId="6C839559" w14:textId="77777777" w:rsidR="00236660" w:rsidRPr="00721862" w:rsidRDefault="00236660" w:rsidP="00A30405">
            <w:pPr>
              <w:spacing w:before="240" w:line="240" w:lineRule="auto"/>
              <w:rPr>
                <w:rFonts w:ascii="Arial" w:hAnsi="Arial" w:cs="Arial"/>
                <w:b/>
                <w:sz w:val="17"/>
                <w:szCs w:val="17"/>
              </w:rPr>
            </w:pPr>
          </w:p>
        </w:tc>
        <w:tc>
          <w:tcPr>
            <w:tcW w:w="2100" w:type="pct"/>
            <w:shd w:val="clear" w:color="auto" w:fill="F5F5F5"/>
          </w:tcPr>
          <w:p w14:paraId="0F0555D2" w14:textId="09FD77C2" w:rsidR="00236660" w:rsidRPr="00721862" w:rsidRDefault="00DA6FE9" w:rsidP="00852F0E">
            <w:pPr>
              <w:pStyle w:val="TableNText"/>
            </w:pPr>
            <w:r w:rsidRPr="00721862">
              <w:t>2.3 To what extent do the objectives of the Plan contribute to the Women-centred care: strategic directions for Australian maternity services?</w:t>
            </w:r>
          </w:p>
        </w:tc>
        <w:tc>
          <w:tcPr>
            <w:tcW w:w="1814" w:type="pct"/>
            <w:vMerge/>
            <w:shd w:val="clear" w:color="auto" w:fill="F5F5F5"/>
          </w:tcPr>
          <w:p w14:paraId="6086C4B8" w14:textId="77777777" w:rsidR="00E730F1" w:rsidRPr="00721862" w:rsidRDefault="00E730F1" w:rsidP="00A30405">
            <w:pPr>
              <w:pStyle w:val="TableNText"/>
              <w:spacing w:before="240" w:after="120"/>
              <w:rPr>
                <w:rFonts w:cs="Arial"/>
                <w:szCs w:val="17"/>
              </w:rPr>
            </w:pPr>
          </w:p>
        </w:tc>
      </w:tr>
      <w:tr w:rsidR="00236660" w14:paraId="340E9D99" w14:textId="77777777" w:rsidTr="00852F0E">
        <w:tc>
          <w:tcPr>
            <w:tcW w:w="1086" w:type="pct"/>
            <w:vMerge/>
            <w:shd w:val="clear" w:color="auto" w:fill="E6E6E6"/>
          </w:tcPr>
          <w:p w14:paraId="230D2214" w14:textId="77777777" w:rsidR="00236660" w:rsidRPr="00721862" w:rsidRDefault="00236660" w:rsidP="00A30405">
            <w:pPr>
              <w:spacing w:before="240" w:line="240" w:lineRule="auto"/>
              <w:rPr>
                <w:rFonts w:ascii="Arial" w:hAnsi="Arial" w:cs="Arial"/>
                <w:b/>
                <w:sz w:val="17"/>
                <w:szCs w:val="17"/>
              </w:rPr>
            </w:pPr>
          </w:p>
        </w:tc>
        <w:tc>
          <w:tcPr>
            <w:tcW w:w="2100" w:type="pct"/>
            <w:shd w:val="clear" w:color="auto" w:fill="F5F5F5"/>
          </w:tcPr>
          <w:p w14:paraId="49E11F53" w14:textId="014364E6" w:rsidR="00236660" w:rsidRPr="00721862" w:rsidRDefault="00DA6FE9" w:rsidP="00852F0E">
            <w:pPr>
              <w:pStyle w:val="TableNText"/>
            </w:pPr>
            <w:r w:rsidRPr="00721862">
              <w:t>2.4 To what extent is the Plan’s design supported by stakeholders?</w:t>
            </w:r>
          </w:p>
        </w:tc>
        <w:tc>
          <w:tcPr>
            <w:tcW w:w="1814" w:type="pct"/>
            <w:vMerge/>
            <w:shd w:val="clear" w:color="auto" w:fill="F5F5F5"/>
          </w:tcPr>
          <w:p w14:paraId="531CE004" w14:textId="77777777" w:rsidR="00E730F1" w:rsidRPr="00721862" w:rsidRDefault="00E730F1" w:rsidP="00A30405">
            <w:pPr>
              <w:pStyle w:val="TableNText"/>
              <w:spacing w:before="240" w:after="120"/>
              <w:rPr>
                <w:rFonts w:cs="Arial"/>
                <w:szCs w:val="17"/>
              </w:rPr>
            </w:pPr>
          </w:p>
        </w:tc>
      </w:tr>
      <w:tr w:rsidR="00236660" w14:paraId="3707EE18" w14:textId="77777777" w:rsidTr="00852F0E">
        <w:tc>
          <w:tcPr>
            <w:tcW w:w="1086" w:type="pct"/>
            <w:vMerge/>
            <w:shd w:val="clear" w:color="auto" w:fill="E6E6E6"/>
          </w:tcPr>
          <w:p w14:paraId="5160B5C7" w14:textId="77777777" w:rsidR="00236660" w:rsidRPr="00721862" w:rsidRDefault="00236660" w:rsidP="00A30405">
            <w:pPr>
              <w:spacing w:before="240" w:line="240" w:lineRule="auto"/>
              <w:rPr>
                <w:rFonts w:ascii="Arial" w:hAnsi="Arial" w:cs="Arial"/>
                <w:b/>
                <w:sz w:val="17"/>
                <w:szCs w:val="17"/>
              </w:rPr>
            </w:pPr>
          </w:p>
        </w:tc>
        <w:tc>
          <w:tcPr>
            <w:tcW w:w="2100" w:type="pct"/>
            <w:shd w:val="clear" w:color="auto" w:fill="F5F5F5"/>
          </w:tcPr>
          <w:p w14:paraId="062A735B" w14:textId="56BD9DB2" w:rsidR="00236660" w:rsidRPr="00721862" w:rsidRDefault="00DA6FE9" w:rsidP="00852F0E">
            <w:pPr>
              <w:pStyle w:val="TableNText"/>
            </w:pPr>
            <w:r w:rsidRPr="00721862">
              <w:t xml:space="preserve">2.5 To what extent does the Plan's design align to the best available </w:t>
            </w:r>
            <w:r w:rsidRPr="00721862">
              <w:lastRenderedPageBreak/>
              <w:t>practice/evidence</w:t>
            </w:r>
            <w:r w:rsidR="00806283" w:rsidRPr="00721862">
              <w:t>, including best practice relevant to target cohorts</w:t>
            </w:r>
            <w:r w:rsidRPr="00721862">
              <w:t xml:space="preserve">? </w:t>
            </w:r>
          </w:p>
        </w:tc>
        <w:tc>
          <w:tcPr>
            <w:tcW w:w="1814" w:type="pct"/>
            <w:vMerge/>
            <w:shd w:val="clear" w:color="auto" w:fill="F5F5F5"/>
          </w:tcPr>
          <w:p w14:paraId="67BEECBF" w14:textId="77777777" w:rsidR="00E730F1" w:rsidRPr="00721862" w:rsidRDefault="00E730F1" w:rsidP="00A30405">
            <w:pPr>
              <w:pStyle w:val="TableNText"/>
              <w:spacing w:before="240" w:after="120"/>
              <w:rPr>
                <w:rFonts w:cs="Arial"/>
                <w:szCs w:val="17"/>
              </w:rPr>
            </w:pPr>
          </w:p>
        </w:tc>
      </w:tr>
      <w:tr w:rsidR="00236660" w14:paraId="645E3D39" w14:textId="77777777" w:rsidTr="00852F0E">
        <w:tc>
          <w:tcPr>
            <w:tcW w:w="1086" w:type="pct"/>
            <w:vMerge/>
            <w:shd w:val="clear" w:color="auto" w:fill="E6E6E6"/>
          </w:tcPr>
          <w:p w14:paraId="0FBEAF08" w14:textId="77777777" w:rsidR="00236660" w:rsidRPr="00721862" w:rsidRDefault="00236660" w:rsidP="00A30405">
            <w:pPr>
              <w:spacing w:before="240" w:line="240" w:lineRule="auto"/>
              <w:rPr>
                <w:rFonts w:ascii="Arial" w:hAnsi="Arial" w:cs="Arial"/>
                <w:b/>
                <w:sz w:val="17"/>
                <w:szCs w:val="17"/>
              </w:rPr>
            </w:pPr>
          </w:p>
        </w:tc>
        <w:tc>
          <w:tcPr>
            <w:tcW w:w="2100" w:type="pct"/>
            <w:shd w:val="clear" w:color="auto" w:fill="F5F5F5"/>
          </w:tcPr>
          <w:p w14:paraId="214D9209" w14:textId="664EC82D" w:rsidR="00236660" w:rsidRPr="00721862" w:rsidRDefault="00236660" w:rsidP="00852F0E">
            <w:pPr>
              <w:pStyle w:val="TableNText"/>
            </w:pPr>
            <w:r w:rsidRPr="00721862">
              <w:t>2.6 To what extent does the Plan align to national and jurisdictional priorities?</w:t>
            </w:r>
          </w:p>
        </w:tc>
        <w:tc>
          <w:tcPr>
            <w:tcW w:w="1814" w:type="pct"/>
            <w:vMerge/>
            <w:shd w:val="clear" w:color="auto" w:fill="F5F5F5"/>
          </w:tcPr>
          <w:p w14:paraId="2B3CF967" w14:textId="77777777" w:rsidR="00E730F1" w:rsidRPr="00721862" w:rsidRDefault="00E730F1" w:rsidP="00A30405">
            <w:pPr>
              <w:pStyle w:val="TableNText"/>
              <w:spacing w:before="240" w:after="120"/>
              <w:rPr>
                <w:rFonts w:cs="Arial"/>
                <w:szCs w:val="17"/>
              </w:rPr>
            </w:pPr>
          </w:p>
        </w:tc>
      </w:tr>
      <w:tr w:rsidR="004C36F6" w14:paraId="4443B33B" w14:textId="77777777" w:rsidTr="00852F0E">
        <w:trPr>
          <w:trHeight w:val="464"/>
        </w:trPr>
        <w:tc>
          <w:tcPr>
            <w:tcW w:w="1086" w:type="pct"/>
            <w:vMerge w:val="restart"/>
            <w:shd w:val="clear" w:color="auto" w:fill="E6E6E6"/>
          </w:tcPr>
          <w:p w14:paraId="1AC0D77E" w14:textId="7317C633" w:rsidR="00F85E8F" w:rsidRDefault="00F85E8F" w:rsidP="00852F0E">
            <w:pPr>
              <w:pStyle w:val="TableNtextstrong"/>
            </w:pPr>
            <w:r w:rsidRPr="00721862">
              <w:t>IMPLEMENTATION</w:t>
            </w:r>
          </w:p>
          <w:p w14:paraId="2C96785B" w14:textId="42E136EB" w:rsidR="004C36F6" w:rsidRPr="00133B7C" w:rsidRDefault="004C36F6" w:rsidP="00852F0E">
            <w:pPr>
              <w:pStyle w:val="TableNText"/>
            </w:pPr>
            <w:r w:rsidRPr="00F85E8F">
              <w:t>3. How has the Plan been implemented to date and what can we learn from it?</w:t>
            </w:r>
          </w:p>
        </w:tc>
        <w:tc>
          <w:tcPr>
            <w:tcW w:w="2100" w:type="pct"/>
            <w:shd w:val="clear" w:color="auto" w:fill="F5F5F5"/>
          </w:tcPr>
          <w:p w14:paraId="239401DE" w14:textId="6B12107C" w:rsidR="004C36F6" w:rsidRPr="00721862" w:rsidRDefault="004C36F6" w:rsidP="00852F0E">
            <w:pPr>
              <w:pStyle w:val="TableNText"/>
            </w:pPr>
            <w:r w:rsidRPr="00721862">
              <w:t xml:space="preserve">3.1 What is critical to understand about the policy and operating context in which the Plan is being implemented? </w:t>
            </w:r>
          </w:p>
        </w:tc>
        <w:tc>
          <w:tcPr>
            <w:tcW w:w="1814" w:type="pct"/>
            <w:vMerge w:val="restart"/>
            <w:shd w:val="clear" w:color="auto" w:fill="F5F5F5"/>
          </w:tcPr>
          <w:p w14:paraId="657279CD" w14:textId="05C17EEB" w:rsidR="00D95949" w:rsidRPr="00721862" w:rsidRDefault="007939E3" w:rsidP="00A30405">
            <w:pPr>
              <w:pStyle w:val="TableNText"/>
              <w:spacing w:before="240" w:after="120"/>
              <w:rPr>
                <w:rFonts w:cs="Arial"/>
                <w:szCs w:val="17"/>
              </w:rPr>
            </w:pPr>
            <w:r w:rsidRPr="00721862">
              <w:rPr>
                <w:rFonts w:cs="Arial"/>
                <w:szCs w:val="17"/>
              </w:rPr>
              <w:t>This question</w:t>
            </w:r>
            <w:r w:rsidR="00D47EEA" w:rsidRPr="00721862">
              <w:rPr>
                <w:rFonts w:cs="Arial"/>
                <w:szCs w:val="17"/>
              </w:rPr>
              <w:t xml:space="preserve"> largely relates to the monitoring objectives. It </w:t>
            </w:r>
            <w:r w:rsidR="008938F6" w:rsidRPr="00721862">
              <w:rPr>
                <w:rFonts w:cs="Arial"/>
                <w:szCs w:val="17"/>
              </w:rPr>
              <w:t xml:space="preserve">will support monitoring of implementation of the individual tasks under the Plan. </w:t>
            </w:r>
            <w:r w:rsidR="00F20A01" w:rsidRPr="00721862">
              <w:rPr>
                <w:rFonts w:cs="Arial"/>
                <w:szCs w:val="17"/>
              </w:rPr>
              <w:t xml:space="preserve">The </w:t>
            </w:r>
            <w:r w:rsidR="00B6628A" w:rsidRPr="00721862">
              <w:rPr>
                <w:rFonts w:cs="Arial"/>
                <w:szCs w:val="17"/>
              </w:rPr>
              <w:t xml:space="preserve">Annual </w:t>
            </w:r>
            <w:r w:rsidR="00F20A01" w:rsidRPr="00721862">
              <w:rPr>
                <w:rFonts w:cs="Arial"/>
                <w:szCs w:val="17"/>
              </w:rPr>
              <w:t>Monitoring Report Card (</w:t>
            </w:r>
            <w:r w:rsidR="00B32746" w:rsidRPr="00721862">
              <w:rPr>
                <w:rFonts w:cs="Arial"/>
                <w:szCs w:val="17"/>
              </w:rPr>
              <w:fldChar w:fldCharType="begin"/>
            </w:r>
            <w:r w:rsidR="00B32746" w:rsidRPr="00721862">
              <w:rPr>
                <w:rFonts w:cs="Arial"/>
                <w:szCs w:val="17"/>
              </w:rPr>
              <w:instrText xml:space="preserve"> REF _Ref86911526 \n \h </w:instrText>
            </w:r>
            <w:r w:rsidR="00721862">
              <w:rPr>
                <w:rFonts w:cs="Arial"/>
                <w:szCs w:val="17"/>
              </w:rPr>
              <w:instrText xml:space="preserve"> \* MERGEFORMAT </w:instrText>
            </w:r>
            <w:r w:rsidR="00B32746" w:rsidRPr="00721862">
              <w:rPr>
                <w:rFonts w:cs="Arial"/>
                <w:szCs w:val="17"/>
              </w:rPr>
            </w:r>
            <w:r w:rsidR="00B32746" w:rsidRPr="00721862">
              <w:rPr>
                <w:rFonts w:cs="Arial"/>
                <w:szCs w:val="17"/>
              </w:rPr>
              <w:fldChar w:fldCharType="separate"/>
            </w:r>
            <w:r w:rsidR="00CF19E2">
              <w:rPr>
                <w:rFonts w:cs="Arial"/>
                <w:szCs w:val="17"/>
              </w:rPr>
              <w:t>Appendix C</w:t>
            </w:r>
            <w:r w:rsidR="00B32746" w:rsidRPr="00721862">
              <w:rPr>
                <w:rFonts w:cs="Arial"/>
                <w:szCs w:val="17"/>
              </w:rPr>
              <w:fldChar w:fldCharType="end"/>
            </w:r>
            <w:r w:rsidR="00F20A01" w:rsidRPr="00721862">
              <w:rPr>
                <w:rFonts w:cs="Arial"/>
                <w:szCs w:val="17"/>
              </w:rPr>
              <w:t xml:space="preserve">) provides the structure to report on implementation of individual tasks. </w:t>
            </w:r>
          </w:p>
          <w:p w14:paraId="463CD516" w14:textId="77777777" w:rsidR="00945D2C" w:rsidRPr="00721862" w:rsidRDefault="008938F6" w:rsidP="00A30405">
            <w:pPr>
              <w:pStyle w:val="TableNText"/>
              <w:spacing w:before="240" w:after="120"/>
              <w:rPr>
                <w:rFonts w:cs="Arial"/>
                <w:szCs w:val="17"/>
              </w:rPr>
            </w:pPr>
            <w:r w:rsidRPr="00721862">
              <w:rPr>
                <w:rFonts w:cs="Arial"/>
                <w:szCs w:val="17"/>
              </w:rPr>
              <w:t xml:space="preserve">Insights against this question </w:t>
            </w:r>
            <w:r w:rsidR="00C856EE" w:rsidRPr="00721862">
              <w:rPr>
                <w:rFonts w:cs="Arial"/>
                <w:szCs w:val="17"/>
              </w:rPr>
              <w:t xml:space="preserve">are intended to support ongoing adjustments in delivery as stakeholders learn about what works well or less well. </w:t>
            </w:r>
          </w:p>
          <w:p w14:paraId="1AE2F6B5" w14:textId="653F3E10" w:rsidR="007939E3" w:rsidRPr="00721862" w:rsidRDefault="00945D2C" w:rsidP="00A30405">
            <w:pPr>
              <w:pStyle w:val="TableNText"/>
              <w:spacing w:before="240" w:after="120"/>
              <w:rPr>
                <w:rFonts w:cs="Arial"/>
                <w:szCs w:val="17"/>
              </w:rPr>
            </w:pPr>
            <w:r w:rsidRPr="00721862">
              <w:rPr>
                <w:rFonts w:cs="Arial"/>
                <w:szCs w:val="17"/>
              </w:rPr>
              <w:t xml:space="preserve">These questions will largely be answered through the information provided by and consultations with key implementers. </w:t>
            </w:r>
          </w:p>
        </w:tc>
      </w:tr>
      <w:tr w:rsidR="004C36F6" w14:paraId="7C002127" w14:textId="77777777" w:rsidTr="00852F0E">
        <w:trPr>
          <w:trHeight w:val="362"/>
        </w:trPr>
        <w:tc>
          <w:tcPr>
            <w:tcW w:w="1086" w:type="pct"/>
            <w:vMerge/>
            <w:shd w:val="clear" w:color="auto" w:fill="E6E6E6"/>
          </w:tcPr>
          <w:p w14:paraId="22EE930E" w14:textId="77777777" w:rsidR="004C36F6" w:rsidRPr="00721862" w:rsidRDefault="004C36F6" w:rsidP="00852F0E">
            <w:pPr>
              <w:pStyle w:val="TableNText"/>
            </w:pPr>
          </w:p>
        </w:tc>
        <w:tc>
          <w:tcPr>
            <w:tcW w:w="2100" w:type="pct"/>
            <w:shd w:val="clear" w:color="auto" w:fill="F5F5F5"/>
          </w:tcPr>
          <w:p w14:paraId="358C5282" w14:textId="4347B077" w:rsidR="004C36F6" w:rsidRPr="00721862" w:rsidRDefault="004C36F6" w:rsidP="00852F0E">
            <w:pPr>
              <w:pStyle w:val="TableNText"/>
            </w:pPr>
            <w:r w:rsidRPr="00721862">
              <w:t>3.2 What progress has been made in implementing the Plan?</w:t>
            </w:r>
          </w:p>
        </w:tc>
        <w:tc>
          <w:tcPr>
            <w:tcW w:w="1814" w:type="pct"/>
            <w:vMerge/>
            <w:shd w:val="clear" w:color="auto" w:fill="F5F5F5"/>
          </w:tcPr>
          <w:p w14:paraId="73CB4281" w14:textId="77777777" w:rsidR="00E730F1" w:rsidRPr="00721862" w:rsidRDefault="00E730F1" w:rsidP="00A30405">
            <w:pPr>
              <w:pStyle w:val="TableNText"/>
              <w:spacing w:before="240" w:after="120"/>
              <w:rPr>
                <w:rFonts w:cs="Arial"/>
                <w:szCs w:val="17"/>
              </w:rPr>
            </w:pPr>
          </w:p>
        </w:tc>
      </w:tr>
      <w:tr w:rsidR="004C36F6" w14:paraId="443FC015" w14:textId="77777777" w:rsidTr="00852F0E">
        <w:tc>
          <w:tcPr>
            <w:tcW w:w="1086" w:type="pct"/>
            <w:vMerge/>
            <w:shd w:val="clear" w:color="auto" w:fill="E6E6E6"/>
          </w:tcPr>
          <w:p w14:paraId="11A76C7E" w14:textId="77777777" w:rsidR="004C36F6" w:rsidRPr="00721862" w:rsidRDefault="004C36F6" w:rsidP="00852F0E">
            <w:pPr>
              <w:pStyle w:val="TableNText"/>
            </w:pPr>
          </w:p>
        </w:tc>
        <w:tc>
          <w:tcPr>
            <w:tcW w:w="2100" w:type="pct"/>
            <w:shd w:val="clear" w:color="auto" w:fill="F5F5F5"/>
          </w:tcPr>
          <w:p w14:paraId="5EF9E255" w14:textId="5DE2F639" w:rsidR="004C36F6" w:rsidRPr="00721862" w:rsidRDefault="004C36F6" w:rsidP="00852F0E">
            <w:pPr>
              <w:pStyle w:val="TableNText"/>
            </w:pPr>
            <w:r w:rsidRPr="00721862">
              <w:t>3.3 What are the lessons learned from implementation to date?</w:t>
            </w:r>
          </w:p>
        </w:tc>
        <w:tc>
          <w:tcPr>
            <w:tcW w:w="1814" w:type="pct"/>
            <w:vMerge/>
            <w:shd w:val="clear" w:color="auto" w:fill="F5F5F5"/>
          </w:tcPr>
          <w:p w14:paraId="3E11EBE2" w14:textId="77777777" w:rsidR="00E730F1" w:rsidRPr="00721862" w:rsidRDefault="00E730F1" w:rsidP="00A30405">
            <w:pPr>
              <w:pStyle w:val="TableNText"/>
              <w:spacing w:before="240" w:after="120"/>
              <w:rPr>
                <w:rFonts w:cs="Arial"/>
                <w:szCs w:val="17"/>
              </w:rPr>
            </w:pPr>
          </w:p>
        </w:tc>
      </w:tr>
      <w:tr w:rsidR="004C36F6" w14:paraId="613D7372" w14:textId="77777777" w:rsidTr="00852F0E">
        <w:tc>
          <w:tcPr>
            <w:tcW w:w="1086" w:type="pct"/>
            <w:vMerge w:val="restart"/>
            <w:shd w:val="clear" w:color="auto" w:fill="E6E6E6"/>
          </w:tcPr>
          <w:p w14:paraId="29D66DF0" w14:textId="22445353" w:rsidR="00F85E8F" w:rsidRDefault="00F85E8F" w:rsidP="00852F0E">
            <w:pPr>
              <w:pStyle w:val="TableNtextstrong"/>
            </w:pPr>
            <w:r w:rsidRPr="00721862">
              <w:t>EFFECTIVENESS</w:t>
            </w:r>
          </w:p>
          <w:p w14:paraId="743FC097" w14:textId="5504A4CB" w:rsidR="004C36F6" w:rsidRPr="00133B7C" w:rsidRDefault="004C36F6" w:rsidP="00852F0E">
            <w:pPr>
              <w:pStyle w:val="TableNText"/>
            </w:pPr>
            <w:r w:rsidRPr="00F85E8F">
              <w:t>4. How effective is the Plan in addressing its priority areas?</w:t>
            </w:r>
          </w:p>
        </w:tc>
        <w:tc>
          <w:tcPr>
            <w:tcW w:w="2100" w:type="pct"/>
            <w:shd w:val="clear" w:color="auto" w:fill="F5F5F5"/>
          </w:tcPr>
          <w:p w14:paraId="4CCC4662" w14:textId="718413FA" w:rsidR="004C36F6" w:rsidRPr="00721862" w:rsidRDefault="004C36F6" w:rsidP="00852F0E">
            <w:pPr>
              <w:pStyle w:val="TableNText"/>
            </w:pPr>
            <w:r w:rsidRPr="00721862">
              <w:t>4.1 To what extent have the Plan's priorities been achieved?</w:t>
            </w:r>
          </w:p>
        </w:tc>
        <w:tc>
          <w:tcPr>
            <w:tcW w:w="1814" w:type="pct"/>
            <w:vMerge w:val="restart"/>
            <w:shd w:val="clear" w:color="auto" w:fill="F5F5F5"/>
          </w:tcPr>
          <w:p w14:paraId="0662E141" w14:textId="76C52336" w:rsidR="00F65FE9" w:rsidRPr="00721862" w:rsidRDefault="00CC6492" w:rsidP="00A30405">
            <w:pPr>
              <w:pStyle w:val="TableNText"/>
              <w:spacing w:before="240"/>
              <w:rPr>
                <w:rFonts w:cs="Arial"/>
                <w:szCs w:val="17"/>
              </w:rPr>
            </w:pPr>
            <w:r w:rsidRPr="00721862">
              <w:rPr>
                <w:rFonts w:cs="Arial"/>
                <w:szCs w:val="17"/>
              </w:rPr>
              <w:t xml:space="preserve">This question focuses on understanding </w:t>
            </w:r>
            <w:r w:rsidR="00B94BF6" w:rsidRPr="00721862">
              <w:rPr>
                <w:rFonts w:cs="Arial"/>
                <w:szCs w:val="17"/>
              </w:rPr>
              <w:t xml:space="preserve">how effective the Plan is as a tool to achieved desired outcomes. </w:t>
            </w:r>
            <w:r w:rsidR="00736DC9" w:rsidRPr="00721862">
              <w:rPr>
                <w:rFonts w:cs="Arial"/>
                <w:szCs w:val="17"/>
              </w:rPr>
              <w:t xml:space="preserve">Many of the </w:t>
            </w:r>
            <w:r w:rsidR="00591746" w:rsidRPr="00721862">
              <w:rPr>
                <w:rFonts w:cs="Arial"/>
                <w:szCs w:val="17"/>
              </w:rPr>
              <w:t>national evaluation indicators</w:t>
            </w:r>
            <w:r w:rsidR="00736DC9" w:rsidRPr="00721862">
              <w:rPr>
                <w:rFonts w:cs="Arial"/>
                <w:szCs w:val="17"/>
              </w:rPr>
              <w:t xml:space="preserve"> (see </w:t>
            </w:r>
            <w:r w:rsidR="00D86F19" w:rsidRPr="00721862">
              <w:rPr>
                <w:rFonts w:cs="Arial"/>
                <w:szCs w:val="17"/>
              </w:rPr>
              <w:t>S</w:t>
            </w:r>
            <w:r w:rsidR="00736DC9" w:rsidRPr="00721862">
              <w:rPr>
                <w:rFonts w:cs="Arial"/>
                <w:szCs w:val="17"/>
              </w:rPr>
              <w:t xml:space="preserve">ection </w:t>
            </w:r>
            <w:r w:rsidR="00B32746" w:rsidRPr="00721862">
              <w:rPr>
                <w:rFonts w:cs="Arial"/>
                <w:szCs w:val="17"/>
              </w:rPr>
              <w:fldChar w:fldCharType="begin"/>
            </w:r>
            <w:r w:rsidR="00B32746" w:rsidRPr="00721862">
              <w:rPr>
                <w:rFonts w:cs="Arial"/>
                <w:szCs w:val="17"/>
              </w:rPr>
              <w:instrText xml:space="preserve"> REF _Ref88659891 \n \h </w:instrText>
            </w:r>
            <w:r w:rsidR="00721862">
              <w:rPr>
                <w:rFonts w:cs="Arial"/>
                <w:szCs w:val="17"/>
              </w:rPr>
              <w:instrText xml:space="preserve"> \* MERGEFORMAT </w:instrText>
            </w:r>
            <w:r w:rsidR="00B32746" w:rsidRPr="00721862">
              <w:rPr>
                <w:rFonts w:cs="Arial"/>
                <w:szCs w:val="17"/>
              </w:rPr>
            </w:r>
            <w:r w:rsidR="00B32746" w:rsidRPr="00721862">
              <w:rPr>
                <w:rFonts w:cs="Arial"/>
                <w:szCs w:val="17"/>
              </w:rPr>
              <w:fldChar w:fldCharType="separate"/>
            </w:r>
            <w:r w:rsidR="00CF19E2">
              <w:rPr>
                <w:rFonts w:cs="Arial"/>
                <w:szCs w:val="17"/>
              </w:rPr>
              <w:t>2.4</w:t>
            </w:r>
            <w:r w:rsidR="00B32746" w:rsidRPr="00721862">
              <w:rPr>
                <w:rFonts w:cs="Arial"/>
                <w:szCs w:val="17"/>
              </w:rPr>
              <w:fldChar w:fldCharType="end"/>
            </w:r>
            <w:r w:rsidR="00B62B53">
              <w:rPr>
                <w:rFonts w:cs="Arial"/>
                <w:szCs w:val="17"/>
              </w:rPr>
              <w:t>)</w:t>
            </w:r>
            <w:r w:rsidR="00736DC9" w:rsidRPr="00721862">
              <w:rPr>
                <w:rFonts w:cs="Arial"/>
                <w:szCs w:val="17"/>
              </w:rPr>
              <w:t xml:space="preserve"> </w:t>
            </w:r>
            <w:r w:rsidR="006C3A72" w:rsidRPr="00721862">
              <w:rPr>
                <w:rFonts w:cs="Arial"/>
                <w:szCs w:val="17"/>
              </w:rPr>
              <w:t xml:space="preserve">will help to understand effectiveness. </w:t>
            </w:r>
            <w:r w:rsidR="0023748A" w:rsidRPr="00721862">
              <w:rPr>
                <w:rFonts w:cs="Arial"/>
                <w:szCs w:val="17"/>
              </w:rPr>
              <w:t xml:space="preserve">Attribution of observed changes to the Plan will be challenging (see </w:t>
            </w:r>
            <w:r w:rsidR="00D86F19" w:rsidRPr="00721862">
              <w:rPr>
                <w:rFonts w:cs="Arial"/>
                <w:szCs w:val="17"/>
              </w:rPr>
              <w:t>S</w:t>
            </w:r>
            <w:r w:rsidR="0023748A" w:rsidRPr="00721862">
              <w:rPr>
                <w:rFonts w:cs="Arial"/>
                <w:szCs w:val="17"/>
              </w:rPr>
              <w:t xml:space="preserve">ection 6). </w:t>
            </w:r>
          </w:p>
          <w:p w14:paraId="1EB227BB" w14:textId="1E91B4AB" w:rsidR="00CC6492" w:rsidRPr="00721862" w:rsidRDefault="00945D2C" w:rsidP="00A30405">
            <w:pPr>
              <w:pStyle w:val="TableNText"/>
              <w:spacing w:before="240"/>
              <w:rPr>
                <w:rFonts w:cs="Arial"/>
                <w:szCs w:val="17"/>
              </w:rPr>
            </w:pPr>
            <w:r w:rsidRPr="00721862">
              <w:rPr>
                <w:rFonts w:cs="Arial"/>
                <w:szCs w:val="17"/>
              </w:rPr>
              <w:t xml:space="preserve">A range of qualitative and quantitative data sources will be used to report against these questions. </w:t>
            </w:r>
          </w:p>
        </w:tc>
      </w:tr>
      <w:tr w:rsidR="004C36F6" w14:paraId="44AA0D91" w14:textId="77777777" w:rsidTr="00852F0E">
        <w:tc>
          <w:tcPr>
            <w:tcW w:w="1086" w:type="pct"/>
            <w:vMerge/>
            <w:shd w:val="clear" w:color="auto" w:fill="E6E6E6"/>
          </w:tcPr>
          <w:p w14:paraId="23B20795" w14:textId="77777777" w:rsidR="004C36F6" w:rsidRPr="00721862" w:rsidRDefault="004C36F6" w:rsidP="00852F0E">
            <w:pPr>
              <w:pStyle w:val="TableNText"/>
            </w:pPr>
          </w:p>
        </w:tc>
        <w:tc>
          <w:tcPr>
            <w:tcW w:w="2100" w:type="pct"/>
            <w:shd w:val="clear" w:color="auto" w:fill="F5F5F5"/>
          </w:tcPr>
          <w:p w14:paraId="7FD99D64" w14:textId="72FF45D1" w:rsidR="004C36F6" w:rsidRPr="00721862" w:rsidRDefault="004C36F6" w:rsidP="00852F0E">
            <w:pPr>
              <w:pStyle w:val="TableNText"/>
            </w:pPr>
            <w:r w:rsidRPr="00721862">
              <w:t>4.2 To what extent did the Plan contribute to observed changes in desired outcomes?</w:t>
            </w:r>
          </w:p>
        </w:tc>
        <w:tc>
          <w:tcPr>
            <w:tcW w:w="1814" w:type="pct"/>
            <w:vMerge/>
            <w:shd w:val="clear" w:color="auto" w:fill="F5F5F5"/>
          </w:tcPr>
          <w:p w14:paraId="790328A2" w14:textId="77777777" w:rsidR="00E730F1" w:rsidRPr="00721862" w:rsidRDefault="00E730F1" w:rsidP="00A30405">
            <w:pPr>
              <w:pStyle w:val="TableNText"/>
              <w:spacing w:before="240"/>
              <w:rPr>
                <w:rFonts w:cs="Arial"/>
                <w:szCs w:val="17"/>
              </w:rPr>
            </w:pPr>
          </w:p>
        </w:tc>
      </w:tr>
      <w:tr w:rsidR="00E12691" w14:paraId="235FAFE1" w14:textId="77777777" w:rsidTr="00852F0E">
        <w:tc>
          <w:tcPr>
            <w:tcW w:w="1086" w:type="pct"/>
            <w:vMerge/>
            <w:shd w:val="clear" w:color="auto" w:fill="E6E6E6"/>
          </w:tcPr>
          <w:p w14:paraId="196ADC61" w14:textId="77777777" w:rsidR="00E12691" w:rsidRPr="00721862" w:rsidRDefault="00E12691" w:rsidP="00852F0E">
            <w:pPr>
              <w:pStyle w:val="TableNText"/>
            </w:pPr>
          </w:p>
        </w:tc>
        <w:tc>
          <w:tcPr>
            <w:tcW w:w="2100" w:type="pct"/>
            <w:shd w:val="clear" w:color="auto" w:fill="F5F5F5"/>
          </w:tcPr>
          <w:p w14:paraId="33954689" w14:textId="51C2441B" w:rsidR="00E12691" w:rsidRPr="00721862" w:rsidRDefault="00E12691" w:rsidP="00852F0E">
            <w:pPr>
              <w:pStyle w:val="TableNText"/>
            </w:pPr>
            <w:r w:rsidRPr="00721862">
              <w:t xml:space="preserve">4.3 </w:t>
            </w:r>
            <w:r w:rsidR="00B3101E" w:rsidRPr="00721862">
              <w:t>What unintended consequences, if any, have</w:t>
            </w:r>
            <w:r w:rsidR="00840ACF">
              <w:t xml:space="preserve"> </w:t>
            </w:r>
            <w:r w:rsidR="00B3101E" w:rsidRPr="00721862">
              <w:t>resulted from the Plan?</w:t>
            </w:r>
          </w:p>
        </w:tc>
        <w:tc>
          <w:tcPr>
            <w:tcW w:w="1814" w:type="pct"/>
            <w:vMerge/>
            <w:shd w:val="clear" w:color="auto" w:fill="F5F5F5"/>
          </w:tcPr>
          <w:p w14:paraId="3E2FC42F" w14:textId="77777777" w:rsidR="00E730F1" w:rsidRPr="00721862" w:rsidRDefault="00E730F1" w:rsidP="00A30405">
            <w:pPr>
              <w:pStyle w:val="TableNText"/>
              <w:spacing w:before="240"/>
              <w:rPr>
                <w:rFonts w:cs="Arial"/>
                <w:szCs w:val="17"/>
              </w:rPr>
            </w:pPr>
          </w:p>
        </w:tc>
      </w:tr>
      <w:tr w:rsidR="004C36F6" w14:paraId="3AFABEB5" w14:textId="77777777" w:rsidTr="00852F0E">
        <w:trPr>
          <w:trHeight w:val="1198"/>
        </w:trPr>
        <w:tc>
          <w:tcPr>
            <w:tcW w:w="1086" w:type="pct"/>
            <w:vMerge w:val="restart"/>
            <w:shd w:val="clear" w:color="auto" w:fill="E6E6E6"/>
          </w:tcPr>
          <w:p w14:paraId="7B4AF0B3" w14:textId="05010E06" w:rsidR="00F85E8F" w:rsidRPr="00F85E8F" w:rsidRDefault="00F85E8F" w:rsidP="00852F0E">
            <w:pPr>
              <w:pStyle w:val="TableNtextstrong"/>
              <w:rPr>
                <w:bCs/>
              </w:rPr>
            </w:pPr>
            <w:r w:rsidRPr="00721862">
              <w:t>EFFICIENCY</w:t>
            </w:r>
          </w:p>
          <w:p w14:paraId="0D82BA9A" w14:textId="2E32EE44" w:rsidR="004C36F6" w:rsidRPr="00133B7C" w:rsidRDefault="004C36F6" w:rsidP="00852F0E">
            <w:pPr>
              <w:pStyle w:val="TableNText"/>
            </w:pPr>
            <w:r w:rsidRPr="00F85E8F">
              <w:lastRenderedPageBreak/>
              <w:t>5. How efficient and cost-effective is the Plan?</w:t>
            </w:r>
          </w:p>
        </w:tc>
        <w:tc>
          <w:tcPr>
            <w:tcW w:w="2100" w:type="pct"/>
            <w:shd w:val="clear" w:color="auto" w:fill="F5F5F5"/>
          </w:tcPr>
          <w:p w14:paraId="6B3D65C8" w14:textId="08C7D3C9" w:rsidR="004C36F6" w:rsidRPr="00721862" w:rsidRDefault="004C36F6" w:rsidP="00852F0E">
            <w:pPr>
              <w:pStyle w:val="TableNText"/>
            </w:pPr>
            <w:r w:rsidRPr="00721862">
              <w:lastRenderedPageBreak/>
              <w:t>5.1 How have the Plan's resources been allocated across its priority areas</w:t>
            </w:r>
            <w:r w:rsidR="00806283" w:rsidRPr="00721862">
              <w:t>, target cohorts</w:t>
            </w:r>
            <w:r w:rsidRPr="00721862">
              <w:t xml:space="preserve"> and activities?</w:t>
            </w:r>
          </w:p>
        </w:tc>
        <w:tc>
          <w:tcPr>
            <w:tcW w:w="1814" w:type="pct"/>
            <w:vMerge w:val="restart"/>
            <w:shd w:val="clear" w:color="auto" w:fill="F5F5F5"/>
          </w:tcPr>
          <w:p w14:paraId="4DBCCAD9" w14:textId="59E91971" w:rsidR="00314DF6" w:rsidRPr="00721862" w:rsidRDefault="0058401A" w:rsidP="00A30405">
            <w:pPr>
              <w:pStyle w:val="TableNText"/>
              <w:spacing w:before="240"/>
              <w:rPr>
                <w:rFonts w:cs="Arial"/>
                <w:szCs w:val="17"/>
              </w:rPr>
            </w:pPr>
            <w:r w:rsidRPr="00721862">
              <w:rPr>
                <w:rFonts w:cs="Arial"/>
                <w:szCs w:val="17"/>
              </w:rPr>
              <w:t>This question will consider</w:t>
            </w:r>
            <w:r w:rsidR="00171619" w:rsidRPr="00721862">
              <w:rPr>
                <w:rFonts w:cs="Arial"/>
                <w:szCs w:val="17"/>
              </w:rPr>
              <w:t xml:space="preserve"> whether </w:t>
            </w:r>
            <w:r w:rsidR="00314DF6" w:rsidRPr="00721862">
              <w:rPr>
                <w:rFonts w:cs="Arial"/>
                <w:szCs w:val="17"/>
              </w:rPr>
              <w:t>investment</w:t>
            </w:r>
            <w:r w:rsidR="004C6F6E" w:rsidRPr="00721862">
              <w:rPr>
                <w:rFonts w:cs="Arial"/>
                <w:szCs w:val="17"/>
              </w:rPr>
              <w:t xml:space="preserve">s </w:t>
            </w:r>
            <w:r w:rsidR="00314DF6" w:rsidRPr="00721862">
              <w:rPr>
                <w:rFonts w:cs="Arial"/>
                <w:szCs w:val="17"/>
              </w:rPr>
              <w:t xml:space="preserve">in the Plan </w:t>
            </w:r>
            <w:r w:rsidR="004C6F6E" w:rsidRPr="00721862">
              <w:rPr>
                <w:rFonts w:cs="Arial"/>
                <w:szCs w:val="17"/>
              </w:rPr>
              <w:t xml:space="preserve">were </w:t>
            </w:r>
            <w:r w:rsidR="00314DF6" w:rsidRPr="00721862">
              <w:rPr>
                <w:rFonts w:cs="Arial"/>
                <w:szCs w:val="17"/>
              </w:rPr>
              <w:t>cost-</w:t>
            </w:r>
            <w:r w:rsidR="00314DF6" w:rsidRPr="00721862">
              <w:rPr>
                <w:rFonts w:cs="Arial"/>
                <w:szCs w:val="17"/>
              </w:rPr>
              <w:lastRenderedPageBreak/>
              <w:t xml:space="preserve">effective </w:t>
            </w:r>
            <w:r w:rsidR="004C6F6E" w:rsidRPr="00721862">
              <w:rPr>
                <w:rFonts w:cs="Arial"/>
                <w:szCs w:val="17"/>
              </w:rPr>
              <w:t xml:space="preserve">in achieving </w:t>
            </w:r>
            <w:r w:rsidR="00314DF6" w:rsidRPr="00721862">
              <w:rPr>
                <w:rFonts w:cs="Arial"/>
                <w:szCs w:val="17"/>
              </w:rPr>
              <w:t>the Plan’s desired outcomes.</w:t>
            </w:r>
          </w:p>
          <w:p w14:paraId="071F3516" w14:textId="6D911728" w:rsidR="0058401A" w:rsidRPr="00721862" w:rsidRDefault="00754EF3" w:rsidP="00A30405">
            <w:pPr>
              <w:pStyle w:val="TableNText"/>
              <w:spacing w:before="240"/>
              <w:rPr>
                <w:rFonts w:cs="Arial"/>
                <w:szCs w:val="17"/>
              </w:rPr>
            </w:pPr>
            <w:r w:rsidRPr="00721862">
              <w:rPr>
                <w:rFonts w:cs="Arial"/>
                <w:szCs w:val="17"/>
              </w:rPr>
              <w:t xml:space="preserve">Monitoring and evaluation to 2024 will record funding and resources allocated </w:t>
            </w:r>
            <w:r w:rsidR="0058401A" w:rsidRPr="00721862">
              <w:rPr>
                <w:rFonts w:cs="Arial"/>
                <w:szCs w:val="17"/>
              </w:rPr>
              <w:t xml:space="preserve">based on information provided by implementers or </w:t>
            </w:r>
            <w:r w:rsidR="00945D2C" w:rsidRPr="00721862">
              <w:rPr>
                <w:rFonts w:cs="Arial"/>
                <w:szCs w:val="17"/>
              </w:rPr>
              <w:t>funded</w:t>
            </w:r>
            <w:r w:rsidRPr="00721862">
              <w:rPr>
                <w:rFonts w:cs="Arial"/>
                <w:szCs w:val="17"/>
              </w:rPr>
              <w:t xml:space="preserve">. </w:t>
            </w:r>
            <w:r w:rsidR="00DA35DF" w:rsidRPr="00721862">
              <w:rPr>
                <w:rFonts w:cs="Arial"/>
                <w:szCs w:val="17"/>
              </w:rPr>
              <w:t xml:space="preserve">Detailed cost </w:t>
            </w:r>
            <w:r w:rsidR="00945D2C" w:rsidRPr="00721862">
              <w:rPr>
                <w:rFonts w:cs="Arial"/>
                <w:szCs w:val="17"/>
              </w:rPr>
              <w:t>effectiveness analysis is intended to take place during the final evaluation reporting period in 20</w:t>
            </w:r>
            <w:r w:rsidR="00E3299A" w:rsidRPr="00721862">
              <w:rPr>
                <w:rFonts w:cs="Arial"/>
                <w:szCs w:val="17"/>
              </w:rPr>
              <w:t>29</w:t>
            </w:r>
            <w:r w:rsidR="00945D2C" w:rsidRPr="00721862">
              <w:rPr>
                <w:rFonts w:cs="Arial"/>
                <w:szCs w:val="17"/>
              </w:rPr>
              <w:t xml:space="preserve">. </w:t>
            </w:r>
          </w:p>
          <w:p w14:paraId="79822641" w14:textId="1AD297C5" w:rsidR="0058401A" w:rsidRPr="00721862" w:rsidRDefault="00945D2C" w:rsidP="00A30405">
            <w:pPr>
              <w:pStyle w:val="TableNText"/>
              <w:spacing w:before="240"/>
              <w:rPr>
                <w:rFonts w:cs="Arial"/>
                <w:szCs w:val="17"/>
              </w:rPr>
            </w:pPr>
            <w:r w:rsidRPr="00721862">
              <w:rPr>
                <w:rFonts w:cs="Arial"/>
                <w:szCs w:val="17"/>
              </w:rPr>
              <w:t xml:space="preserve">Cost data and consultations will be used to report against these questions. </w:t>
            </w:r>
          </w:p>
        </w:tc>
      </w:tr>
      <w:tr w:rsidR="004C36F6" w14:paraId="4CC173D1" w14:textId="77777777" w:rsidTr="00852F0E">
        <w:tc>
          <w:tcPr>
            <w:tcW w:w="1086" w:type="pct"/>
            <w:vMerge/>
            <w:shd w:val="clear" w:color="auto" w:fill="E6E6E6"/>
          </w:tcPr>
          <w:p w14:paraId="50E0831A" w14:textId="77777777" w:rsidR="004C36F6" w:rsidRPr="00721862" w:rsidRDefault="004C36F6" w:rsidP="00852F0E">
            <w:pPr>
              <w:pStyle w:val="TableNText"/>
            </w:pPr>
          </w:p>
        </w:tc>
        <w:tc>
          <w:tcPr>
            <w:tcW w:w="2100" w:type="pct"/>
            <w:shd w:val="clear" w:color="auto" w:fill="F5F5F5"/>
          </w:tcPr>
          <w:p w14:paraId="501250AA" w14:textId="2385D2B8" w:rsidR="004C36F6" w:rsidRPr="00721862" w:rsidRDefault="004C36F6" w:rsidP="00852F0E">
            <w:pPr>
              <w:pStyle w:val="TableNText"/>
            </w:pPr>
            <w:r w:rsidRPr="00721862">
              <w:t>5.2 To what extent has the allocation of resources supported the delivery of the best possible outcomes?</w:t>
            </w:r>
          </w:p>
        </w:tc>
        <w:tc>
          <w:tcPr>
            <w:tcW w:w="1814" w:type="pct"/>
            <w:vMerge/>
          </w:tcPr>
          <w:p w14:paraId="3BC867F4" w14:textId="77777777" w:rsidR="00E730F1" w:rsidRPr="00721862" w:rsidRDefault="00E730F1" w:rsidP="00A30405">
            <w:pPr>
              <w:pStyle w:val="Tableexpheader"/>
              <w:spacing w:before="240" w:after="0"/>
              <w:rPr>
                <w:rFonts w:cs="Arial"/>
                <w:szCs w:val="17"/>
              </w:rPr>
            </w:pPr>
          </w:p>
        </w:tc>
      </w:tr>
    </w:tbl>
    <w:p w14:paraId="0DE4650C" w14:textId="77777777" w:rsidR="00133B7C" w:rsidRPr="00F21D30" w:rsidRDefault="00133B7C" w:rsidP="00F21D30">
      <w:r>
        <w:br w:type="page"/>
      </w:r>
    </w:p>
    <w:p w14:paraId="799C4B29" w14:textId="77777777" w:rsidR="00133B7C" w:rsidRPr="00BF5DA7" w:rsidRDefault="00133B7C" w:rsidP="00133B7C">
      <w:pPr>
        <w:pStyle w:val="PolicyStatement"/>
      </w:pPr>
      <w:r w:rsidRPr="00BF5DA7">
        <w:lastRenderedPageBreak/>
        <w:t>PROXY MEASURES AND CASE STUDIES WILL BE USED TO UNDERSTAND CHANGE IN TARGET C</w:t>
      </w:r>
      <w:r>
        <w:t>O</w:t>
      </w:r>
      <w:r w:rsidRPr="00BF5DA7">
        <w:t>HORTS</w:t>
      </w:r>
    </w:p>
    <w:p w14:paraId="7BFC5AA7" w14:textId="77777777" w:rsidR="00133B7C" w:rsidRPr="00133B7C" w:rsidRDefault="00133B7C" w:rsidP="00133B7C">
      <w:pPr>
        <w:pStyle w:val="PolicyStatement"/>
      </w:pPr>
      <w:r w:rsidRPr="00133B7C">
        <w:t>In Australia, stillbirth disproportionately impacts certain population groups. The Plan has a vision to reduce disparities in stillbirth rates between population groups and has a strong focus on equity of care. The Plan specifically highlights the need to reduce disparities in stillbirth rates for Aboriginal and Torres Strait Islander women, some migrant and refugee women, women in regional and remote locations and women younger than 20 years.</w:t>
      </w:r>
      <w:r w:rsidRPr="00133B7C">
        <w:rPr>
          <w:rStyle w:val="FootnoteReference"/>
          <w:vertAlign w:val="baseline"/>
        </w:rPr>
        <w:footnoteReference w:id="18"/>
      </w:r>
      <w:r w:rsidRPr="00133B7C">
        <w:t xml:space="preserve"> </w:t>
      </w:r>
    </w:p>
    <w:p w14:paraId="1B2EC0AA" w14:textId="5412349D" w:rsidR="00133B7C" w:rsidRPr="00BF5DA7" w:rsidRDefault="00133B7C" w:rsidP="00133B7C">
      <w:pPr>
        <w:pStyle w:val="PolicyStatement"/>
      </w:pPr>
      <w:r w:rsidRPr="00133B7C">
        <w:t>It is out of scope of this evaluation to assess the impact of specific tasks identified by the Plan on target groups. Instead, the evaluation will work to understand the collective overall impact of the Plan on stillbirth rates and bere</w:t>
      </w:r>
      <w:r w:rsidRPr="00BF5DA7">
        <w:t>avement care for target groups</w:t>
      </w:r>
      <w:r>
        <w:t>. The</w:t>
      </w:r>
      <w:r w:rsidRPr="00BF5DA7">
        <w:t xml:space="preserve"> evaluation uses several methods</w:t>
      </w:r>
      <w:r>
        <w:t>, including</w:t>
      </w:r>
      <w:r w:rsidRPr="00BF5DA7">
        <w:t>:</w:t>
      </w:r>
    </w:p>
    <w:p w14:paraId="6BA2074E" w14:textId="77777777" w:rsidR="00133B7C" w:rsidRDefault="00133B7C" w:rsidP="00133B7C">
      <w:pPr>
        <w:pStyle w:val="PolicyStatementbullet"/>
      </w:pPr>
      <w:r>
        <w:t>An indicator focused on the availability of culturally safe maternity care for Aboriginal and Torres Strait Islander women. This indicator will use quantitative and qualitative data sources to understand cultural safety from multiple angles including the view of women through maternity surveys, the view of providers through consultation and the availability of relevant supports such as cultural safety training.</w:t>
      </w:r>
    </w:p>
    <w:p w14:paraId="41FF3B77" w14:textId="051B236B" w:rsidR="00133B7C" w:rsidRPr="00BF5DA7" w:rsidRDefault="00133B7C" w:rsidP="00133B7C">
      <w:pPr>
        <w:pStyle w:val="PolicyStatementbullet"/>
      </w:pPr>
      <w:r w:rsidRPr="00BF5DA7">
        <w:t xml:space="preserve">Disaggregation of national and other datasets by target groups </w:t>
      </w:r>
      <w:r>
        <w:t>(</w:t>
      </w:r>
      <w:r w:rsidRPr="00BF5DA7">
        <w:t>where possible</w:t>
      </w:r>
      <w:r>
        <w:t>)</w:t>
      </w:r>
      <w:r w:rsidRPr="00BF5DA7">
        <w:t xml:space="preserve"> to understand variations in the overall trends in stillbirth rates and other key statistics.</w:t>
      </w:r>
    </w:p>
    <w:p w14:paraId="77990F15" w14:textId="77777777" w:rsidR="00133B7C" w:rsidRPr="00BF5DA7" w:rsidRDefault="00133B7C" w:rsidP="00133B7C">
      <w:pPr>
        <w:pStyle w:val="PolicyStatementbullet"/>
      </w:pPr>
      <w:r w:rsidRPr="00BF5DA7">
        <w:t xml:space="preserve">Consultations with stakeholders involved in delivery of stillbirth awareness/prevention activities or bereavement care </w:t>
      </w:r>
      <w:r>
        <w:t>for</w:t>
      </w:r>
      <w:r w:rsidRPr="00BF5DA7">
        <w:t xml:space="preserve"> target cohorts to understand good practice approaches and gather qualitative information on impact (e.g., NGOs, services that deliver services to target groups). This includes consultations with Stillbirth CRE Advisory Groups (see Section </w:t>
      </w:r>
      <w:r w:rsidRPr="00BF5DA7">
        <w:fldChar w:fldCharType="begin"/>
      </w:r>
      <w:r w:rsidRPr="00901EB5">
        <w:rPr>
          <w:sz w:val="21"/>
          <w:szCs w:val="21"/>
        </w:rPr>
        <w:instrText xml:space="preserve"> REF _Ref88489546 \w \h  \* MERGEFORMAT </w:instrText>
      </w:r>
      <w:r w:rsidRPr="00BF5DA7">
        <w:fldChar w:fldCharType="separate"/>
      </w:r>
      <w:r w:rsidRPr="00CF19E2">
        <w:t>4</w:t>
      </w:r>
      <w:r w:rsidRPr="00BF5DA7">
        <w:fldChar w:fldCharType="end"/>
      </w:r>
      <w:r w:rsidRPr="00BF5DA7">
        <w:t>)</w:t>
      </w:r>
      <w:r>
        <w:t>,</w:t>
      </w:r>
      <w:r w:rsidRPr="00BF5DA7">
        <w:t xml:space="preserve"> who may be able to provide commentary on overall </w:t>
      </w:r>
      <w:r>
        <w:t>impact and trends over time</w:t>
      </w:r>
      <w:r w:rsidRPr="00BF5DA7">
        <w:t xml:space="preserve">. </w:t>
      </w:r>
    </w:p>
    <w:p w14:paraId="45E48413" w14:textId="77777777" w:rsidR="00133B7C" w:rsidRPr="00BF5DA7" w:rsidRDefault="00133B7C" w:rsidP="00133B7C">
      <w:pPr>
        <w:pStyle w:val="PolicyStatementbullet"/>
      </w:pPr>
      <w:r w:rsidRPr="00BF5DA7">
        <w:t xml:space="preserve">Proxy measures to </w:t>
      </w:r>
      <w:r>
        <w:t xml:space="preserve">understand </w:t>
      </w:r>
      <w:r w:rsidRPr="00BF5DA7">
        <w:t xml:space="preserve">experiences of target cohorts </w:t>
      </w:r>
      <w:r>
        <w:t>and the</w:t>
      </w:r>
      <w:r w:rsidRPr="00BF5DA7">
        <w:t xml:space="preserve"> cultural safety of services </w:t>
      </w:r>
      <w:r>
        <w:t>specifically targeted to</w:t>
      </w:r>
      <w:r w:rsidRPr="00BF5DA7">
        <w:t xml:space="preserve"> target cohorts</w:t>
      </w:r>
      <w:r>
        <w:t xml:space="preserve"> (the evaluation is limited in the extent to which it can assess the cultural safety of mainstream services given currently available data)</w:t>
      </w:r>
      <w:r w:rsidRPr="00BF5DA7">
        <w:t xml:space="preserve">. Further explanation on the proxy measures is in Section </w:t>
      </w:r>
      <w:r w:rsidRPr="00BF5DA7">
        <w:fldChar w:fldCharType="begin"/>
      </w:r>
      <w:r w:rsidRPr="00BF5DA7">
        <w:instrText xml:space="preserve"> REF _Ref88659891 \w \h  \* MERGEFORMAT </w:instrText>
      </w:r>
      <w:r w:rsidRPr="00BF5DA7">
        <w:fldChar w:fldCharType="separate"/>
      </w:r>
      <w:r>
        <w:t>2.4</w:t>
      </w:r>
      <w:r w:rsidRPr="00BF5DA7">
        <w:fldChar w:fldCharType="end"/>
      </w:r>
      <w:r w:rsidRPr="00BF5DA7">
        <w:t>.</w:t>
      </w:r>
    </w:p>
    <w:p w14:paraId="6AABB906" w14:textId="77777777" w:rsidR="00133B7C" w:rsidRPr="00BF5DA7" w:rsidRDefault="00133B7C" w:rsidP="00133B7C">
      <w:pPr>
        <w:pStyle w:val="PolicyStatementbullet"/>
      </w:pPr>
      <w:r w:rsidRPr="00BF5DA7">
        <w:t xml:space="preserve">Desktop research to understand what evidence says about the activities that should be undertaken to impact stillbirth rates and improve bereavement care for target groups. The evaluation can then assess the extent to which activities delivered with target groups under the Plan align to what evidence says works to achieve outcomes. </w:t>
      </w:r>
    </w:p>
    <w:p w14:paraId="5AF6DF76" w14:textId="58E5F923" w:rsidR="00263D27" w:rsidRDefault="00133B7C" w:rsidP="00133B7C">
      <w:pPr>
        <w:pStyle w:val="PolicyStatementbullet"/>
      </w:pPr>
      <w:r w:rsidRPr="00BF5DA7">
        <w:t xml:space="preserve">Case studies that ‘deep dive’ into </w:t>
      </w:r>
      <w:r>
        <w:t>identified good practice</w:t>
      </w:r>
      <w:r w:rsidRPr="00BF5DA7">
        <w:t xml:space="preserve"> approaches or services that have demonstrated an impact on outcomes or experiences for one or more target groups.</w:t>
      </w:r>
      <w:r>
        <w:t xml:space="preserve"> These will also draw on grey literature where possible.</w:t>
      </w:r>
    </w:p>
    <w:p w14:paraId="5586AC0D" w14:textId="0A87FF45" w:rsidR="00095DF1" w:rsidRDefault="00805779" w:rsidP="00C94FA6">
      <w:pPr>
        <w:pStyle w:val="Heading2"/>
      </w:pPr>
      <w:bookmarkStart w:id="16" w:name="_Ref88659891"/>
      <w:r>
        <w:lastRenderedPageBreak/>
        <w:t xml:space="preserve">National </w:t>
      </w:r>
      <w:r w:rsidR="00591746">
        <w:t>evaluation</w:t>
      </w:r>
      <w:r>
        <w:t xml:space="preserve"> i</w:t>
      </w:r>
      <w:r w:rsidR="00095DF1">
        <w:t>ndicators</w:t>
      </w:r>
      <w:bookmarkEnd w:id="16"/>
    </w:p>
    <w:p w14:paraId="1388E597" w14:textId="4889DBBB" w:rsidR="00833AE3" w:rsidRPr="00EE2EB8" w:rsidRDefault="00853926" w:rsidP="00ED2B74">
      <w:pPr>
        <w:pStyle w:val="Heading3"/>
        <w:rPr>
          <w:rFonts w:cs="Arial"/>
        </w:rPr>
      </w:pPr>
      <w:r w:rsidRPr="00EE2EB8">
        <w:rPr>
          <w:rFonts w:cs="Arial"/>
        </w:rPr>
        <w:t xml:space="preserve">National </w:t>
      </w:r>
      <w:r w:rsidR="00591746" w:rsidRPr="00EE2EB8">
        <w:rPr>
          <w:rFonts w:cs="Arial"/>
        </w:rPr>
        <w:t xml:space="preserve">evaluation </w:t>
      </w:r>
      <w:r w:rsidRPr="00EE2EB8">
        <w:rPr>
          <w:rFonts w:cs="Arial"/>
        </w:rPr>
        <w:t xml:space="preserve">indicators provide a consistent basis to measure the progress and impact of the Plan. </w:t>
      </w:r>
    </w:p>
    <w:p w14:paraId="084D5789" w14:textId="21D4D237" w:rsidR="00E52C17" w:rsidRDefault="00EB16CE" w:rsidP="00ED2B74">
      <w:pPr>
        <w:rPr>
          <w:rFonts w:ascii="Arial" w:hAnsi="Arial" w:cs="Arial"/>
          <w:lang w:eastAsia="en-AU"/>
        </w:rPr>
      </w:pPr>
      <w:r w:rsidRPr="00EE2EB8">
        <w:rPr>
          <w:rFonts w:ascii="Arial" w:hAnsi="Arial" w:cs="Arial"/>
          <w:lang w:eastAsia="en-AU"/>
        </w:rPr>
        <w:t xml:space="preserve">The national </w:t>
      </w:r>
      <w:r w:rsidR="00591746" w:rsidRPr="00EE2EB8">
        <w:rPr>
          <w:rFonts w:ascii="Arial" w:hAnsi="Arial" w:cs="Arial"/>
          <w:lang w:eastAsia="en-AU"/>
        </w:rPr>
        <w:t>evaluation</w:t>
      </w:r>
      <w:r w:rsidR="000B1D1B" w:rsidRPr="00EE2EB8">
        <w:rPr>
          <w:rFonts w:ascii="Arial" w:hAnsi="Arial" w:cs="Arial"/>
          <w:lang w:eastAsia="en-AU"/>
        </w:rPr>
        <w:t xml:space="preserve"> indicators </w:t>
      </w:r>
      <w:r w:rsidRPr="00EE2EB8">
        <w:rPr>
          <w:rFonts w:ascii="Arial" w:hAnsi="Arial" w:cs="Arial"/>
          <w:lang w:eastAsia="en-AU"/>
        </w:rPr>
        <w:t>sit alongside the key monitoring and evaluation questions</w:t>
      </w:r>
      <w:r w:rsidR="00F62CA1" w:rsidRPr="00EE2EB8">
        <w:rPr>
          <w:rFonts w:ascii="Arial" w:hAnsi="Arial" w:cs="Arial"/>
          <w:lang w:eastAsia="en-AU"/>
        </w:rPr>
        <w:t>. They are intended to</w:t>
      </w:r>
      <w:r w:rsidR="000B1D1B" w:rsidRPr="00EE2EB8">
        <w:rPr>
          <w:rFonts w:ascii="Arial" w:hAnsi="Arial" w:cs="Arial"/>
          <w:lang w:eastAsia="en-AU"/>
        </w:rPr>
        <w:t xml:space="preserve"> </w:t>
      </w:r>
      <w:r w:rsidR="00BF242E" w:rsidRPr="00EE2EB8">
        <w:rPr>
          <w:rFonts w:ascii="Arial" w:hAnsi="Arial" w:cs="Arial"/>
          <w:lang w:eastAsia="en-AU"/>
        </w:rPr>
        <w:t xml:space="preserve">track </w:t>
      </w:r>
      <w:r w:rsidR="00A86E71" w:rsidRPr="00EE2EB8">
        <w:rPr>
          <w:rFonts w:ascii="Arial" w:hAnsi="Arial" w:cs="Arial"/>
          <w:lang w:eastAsia="en-AU"/>
        </w:rPr>
        <w:t xml:space="preserve">the </w:t>
      </w:r>
      <w:r w:rsidR="00BF242E" w:rsidRPr="00EE2EB8">
        <w:rPr>
          <w:rFonts w:ascii="Arial" w:hAnsi="Arial" w:cs="Arial"/>
          <w:lang w:eastAsia="en-AU"/>
        </w:rPr>
        <w:t xml:space="preserve">extent to which </w:t>
      </w:r>
      <w:r w:rsidR="00F62CA1" w:rsidRPr="00EE2EB8">
        <w:rPr>
          <w:rFonts w:ascii="Arial" w:hAnsi="Arial" w:cs="Arial"/>
          <w:lang w:eastAsia="en-AU"/>
        </w:rPr>
        <w:t xml:space="preserve">the Plan’s priorities and </w:t>
      </w:r>
      <w:r w:rsidR="00BF242E" w:rsidRPr="00EE2EB8">
        <w:rPr>
          <w:rFonts w:ascii="Arial" w:hAnsi="Arial" w:cs="Arial"/>
          <w:lang w:eastAsia="en-AU"/>
        </w:rPr>
        <w:t>outcomes are achieve</w:t>
      </w:r>
      <w:r w:rsidR="00E60539" w:rsidRPr="00EE2EB8">
        <w:rPr>
          <w:rFonts w:ascii="Arial" w:hAnsi="Arial" w:cs="Arial"/>
          <w:lang w:eastAsia="en-AU"/>
        </w:rPr>
        <w:t>d</w:t>
      </w:r>
      <w:r w:rsidR="00A3036A" w:rsidRPr="00EE2EB8">
        <w:rPr>
          <w:rFonts w:ascii="Arial" w:hAnsi="Arial" w:cs="Arial"/>
          <w:lang w:eastAsia="en-AU"/>
        </w:rPr>
        <w:t xml:space="preserve"> between 2022 and 2030. </w:t>
      </w:r>
      <w:r w:rsidR="002D57F5">
        <w:rPr>
          <w:rFonts w:ascii="Arial" w:hAnsi="Arial" w:cs="Arial"/>
          <w:lang w:eastAsia="en-AU"/>
        </w:rPr>
        <w:t>The</w:t>
      </w:r>
      <w:r w:rsidR="001C7998">
        <w:rPr>
          <w:rFonts w:ascii="Arial" w:hAnsi="Arial" w:cs="Arial"/>
          <w:lang w:eastAsia="en-AU"/>
        </w:rPr>
        <w:t xml:space="preserve"> national indicators </w:t>
      </w:r>
      <w:r w:rsidR="002D57F5">
        <w:rPr>
          <w:rFonts w:ascii="Arial" w:hAnsi="Arial" w:cs="Arial"/>
          <w:lang w:eastAsia="en-AU"/>
        </w:rPr>
        <w:t>are linked</w:t>
      </w:r>
      <w:r w:rsidR="00F44CFB">
        <w:rPr>
          <w:rFonts w:ascii="Arial" w:hAnsi="Arial" w:cs="Arial"/>
          <w:lang w:eastAsia="en-AU"/>
        </w:rPr>
        <w:t xml:space="preserve"> to the key evaluation questions, </w:t>
      </w:r>
      <w:r w:rsidR="002D57F5">
        <w:rPr>
          <w:rFonts w:ascii="Arial" w:hAnsi="Arial" w:cs="Arial"/>
          <w:lang w:eastAsia="en-AU"/>
        </w:rPr>
        <w:t>in that they contribute to answering</w:t>
      </w:r>
      <w:r w:rsidR="00F44CFB">
        <w:rPr>
          <w:rFonts w:ascii="Arial" w:hAnsi="Arial" w:cs="Arial"/>
          <w:lang w:eastAsia="en-AU"/>
        </w:rPr>
        <w:t xml:space="preserve"> question</w:t>
      </w:r>
      <w:r w:rsidR="00D4615B">
        <w:rPr>
          <w:rFonts w:ascii="Arial" w:hAnsi="Arial" w:cs="Arial"/>
          <w:lang w:eastAsia="en-AU"/>
        </w:rPr>
        <w:t>s one and four</w:t>
      </w:r>
      <w:r w:rsidR="00F44CFB" w:rsidDel="00D4615B">
        <w:rPr>
          <w:rFonts w:ascii="Arial" w:hAnsi="Arial" w:cs="Arial"/>
          <w:lang w:eastAsia="en-AU"/>
        </w:rPr>
        <w:t xml:space="preserve"> </w:t>
      </w:r>
      <w:r w:rsidR="002D57F5" w:rsidRPr="00423BCC">
        <w:rPr>
          <w:rFonts w:ascii="Arial" w:hAnsi="Arial" w:cs="Arial"/>
          <w:lang w:eastAsia="en-AU"/>
        </w:rPr>
        <w:t>(</w:t>
      </w:r>
      <w:r w:rsidR="00AB77AB" w:rsidRPr="00423BCC">
        <w:rPr>
          <w:rFonts w:ascii="Arial" w:hAnsi="Arial" w:cs="Arial"/>
          <w:lang w:eastAsia="en-AU"/>
        </w:rPr>
        <w:t xml:space="preserve">see </w:t>
      </w:r>
      <w:r w:rsidR="006C4CBF" w:rsidRPr="00423BCC">
        <w:rPr>
          <w:rFonts w:ascii="Arial" w:hAnsi="Arial" w:cs="Arial"/>
          <w:lang w:eastAsia="en-AU"/>
        </w:rPr>
        <w:fldChar w:fldCharType="begin"/>
      </w:r>
      <w:r w:rsidR="006C4CBF" w:rsidRPr="00423BCC">
        <w:rPr>
          <w:rFonts w:ascii="Arial" w:hAnsi="Arial" w:cs="Arial"/>
          <w:lang w:eastAsia="en-AU"/>
        </w:rPr>
        <w:instrText xml:space="preserve"> REF _Ref86262155 \h </w:instrText>
      </w:r>
      <w:r w:rsidR="00423BCC">
        <w:rPr>
          <w:rFonts w:ascii="Arial" w:hAnsi="Arial" w:cs="Arial"/>
          <w:lang w:eastAsia="en-AU"/>
        </w:rPr>
        <w:instrText xml:space="preserve"> \* MERGEFORMAT </w:instrText>
      </w:r>
      <w:r w:rsidR="006C4CBF" w:rsidRPr="00423BCC">
        <w:rPr>
          <w:rFonts w:ascii="Arial" w:hAnsi="Arial" w:cs="Arial"/>
          <w:lang w:eastAsia="en-AU"/>
        </w:rPr>
      </w:r>
      <w:r w:rsidR="006C4CBF" w:rsidRPr="00423BCC">
        <w:rPr>
          <w:rFonts w:ascii="Arial" w:hAnsi="Arial" w:cs="Arial"/>
          <w:lang w:eastAsia="en-AU"/>
        </w:rPr>
        <w:fldChar w:fldCharType="separate"/>
      </w:r>
      <w:r w:rsidR="00CF19E2" w:rsidRPr="00CF19E2">
        <w:rPr>
          <w:rFonts w:ascii="Arial" w:hAnsi="Arial" w:cs="Arial"/>
        </w:rPr>
        <w:t xml:space="preserve">Table </w:t>
      </w:r>
      <w:r w:rsidR="00CF19E2" w:rsidRPr="00CF19E2">
        <w:rPr>
          <w:rFonts w:ascii="Arial" w:hAnsi="Arial" w:cs="Arial"/>
          <w:noProof/>
        </w:rPr>
        <w:t>2</w:t>
      </w:r>
      <w:r w:rsidR="006C4CBF" w:rsidRPr="00423BCC">
        <w:rPr>
          <w:rFonts w:ascii="Arial" w:hAnsi="Arial" w:cs="Arial"/>
          <w:lang w:eastAsia="en-AU"/>
        </w:rPr>
        <w:fldChar w:fldCharType="end"/>
      </w:r>
      <w:r w:rsidR="00AB77AB">
        <w:rPr>
          <w:rFonts w:ascii="Arial" w:hAnsi="Arial" w:cs="Arial"/>
          <w:lang w:eastAsia="en-AU"/>
        </w:rPr>
        <w:t>).</w:t>
      </w:r>
    </w:p>
    <w:p w14:paraId="5C948418" w14:textId="5E79F8DE" w:rsidR="00F24375" w:rsidRPr="00EE2EB8" w:rsidRDefault="00A97551" w:rsidP="00ED2B74">
      <w:pPr>
        <w:rPr>
          <w:rFonts w:ascii="Arial" w:hAnsi="Arial" w:cs="Arial"/>
        </w:rPr>
      </w:pPr>
      <w:r w:rsidRPr="00EE2EB8">
        <w:rPr>
          <w:rFonts w:ascii="Arial" w:hAnsi="Arial" w:cs="Arial"/>
        </w:rPr>
        <w:t xml:space="preserve">Seven principles informed development of the national </w:t>
      </w:r>
      <w:r w:rsidR="00591746" w:rsidRPr="00EE2EB8">
        <w:rPr>
          <w:rFonts w:ascii="Arial" w:hAnsi="Arial" w:cs="Arial"/>
        </w:rPr>
        <w:t xml:space="preserve">evaluation </w:t>
      </w:r>
      <w:r w:rsidRPr="00EE2EB8">
        <w:rPr>
          <w:rFonts w:ascii="Arial" w:hAnsi="Arial" w:cs="Arial"/>
        </w:rPr>
        <w:t>indicators.</w:t>
      </w:r>
      <w:r w:rsidR="00A3036A" w:rsidRPr="00EE2EB8">
        <w:rPr>
          <w:rFonts w:ascii="Arial" w:hAnsi="Arial" w:cs="Arial"/>
        </w:rPr>
        <w:t xml:space="preserve"> These were: </w:t>
      </w:r>
    </w:p>
    <w:p w14:paraId="204EBA87" w14:textId="1FEA64A5" w:rsidR="00080ED4" w:rsidRPr="00EE2EB8" w:rsidRDefault="00432BC5" w:rsidP="00ED2B74">
      <w:pPr>
        <w:pStyle w:val="Listnumbered"/>
        <w:numPr>
          <w:ilvl w:val="0"/>
          <w:numId w:val="3"/>
        </w:numPr>
        <w:rPr>
          <w:rFonts w:cs="Arial"/>
          <w:lang w:eastAsia="en-AU"/>
        </w:rPr>
      </w:pPr>
      <w:r w:rsidRPr="00BC0D7A">
        <w:rPr>
          <w:rFonts w:cs="Arial"/>
          <w:b/>
          <w:lang w:eastAsia="en-AU"/>
        </w:rPr>
        <w:t>Alignment</w:t>
      </w:r>
      <w:r w:rsidR="0052766F" w:rsidRPr="00EE2EB8">
        <w:rPr>
          <w:rFonts w:cs="Arial"/>
          <w:lang w:eastAsia="en-AU"/>
        </w:rPr>
        <w:t xml:space="preserve"> </w:t>
      </w:r>
      <w:r w:rsidR="00132ED7" w:rsidRPr="00EE2EB8">
        <w:rPr>
          <w:rFonts w:cs="Arial"/>
          <w:lang w:eastAsia="en-AU"/>
        </w:rPr>
        <w:t>–</w:t>
      </w:r>
      <w:r w:rsidR="0052766F" w:rsidRPr="00EE2EB8">
        <w:rPr>
          <w:rFonts w:cs="Arial"/>
          <w:lang w:eastAsia="en-AU"/>
        </w:rPr>
        <w:t xml:space="preserve"> </w:t>
      </w:r>
      <w:r w:rsidRPr="00EE2EB8">
        <w:rPr>
          <w:rFonts w:cs="Arial"/>
          <w:lang w:eastAsia="en-AU"/>
        </w:rPr>
        <w:t xml:space="preserve">alignment to the Plan’s priority areas to </w:t>
      </w:r>
      <w:r w:rsidR="00132ED7" w:rsidRPr="00EE2EB8">
        <w:rPr>
          <w:rFonts w:cs="Arial"/>
          <w:lang w:eastAsia="en-AU"/>
        </w:rPr>
        <w:t xml:space="preserve">ensure coverage of the </w:t>
      </w:r>
      <w:r w:rsidRPr="00EE2EB8">
        <w:rPr>
          <w:rFonts w:cs="Arial"/>
          <w:lang w:eastAsia="en-AU"/>
        </w:rPr>
        <w:t>Plan</w:t>
      </w:r>
      <w:r w:rsidR="00132ED7" w:rsidRPr="00EE2EB8">
        <w:rPr>
          <w:rFonts w:cs="Arial"/>
          <w:lang w:eastAsia="en-AU"/>
        </w:rPr>
        <w:t xml:space="preserve"> and </w:t>
      </w:r>
      <w:r w:rsidRPr="00EE2EB8">
        <w:rPr>
          <w:rFonts w:cs="Arial"/>
          <w:lang w:eastAsia="en-AU"/>
        </w:rPr>
        <w:t>relevance</w:t>
      </w:r>
      <w:r w:rsidR="00FA2775" w:rsidRPr="00EE2EB8">
        <w:rPr>
          <w:rFonts w:cs="Arial"/>
          <w:lang w:eastAsia="en-AU"/>
        </w:rPr>
        <w:t xml:space="preserve"> to the Plan specifically, as opposed to maternity care in general</w:t>
      </w:r>
      <w:r w:rsidR="00F21CA2" w:rsidRPr="00EE2EB8">
        <w:rPr>
          <w:rFonts w:cs="Arial"/>
          <w:lang w:eastAsia="en-AU"/>
        </w:rPr>
        <w:t>.</w:t>
      </w:r>
    </w:p>
    <w:p w14:paraId="0EA1C9AF" w14:textId="0AF2CE8B" w:rsidR="00E96FD0" w:rsidRPr="00EE2EB8" w:rsidRDefault="00E96FD0" w:rsidP="00ED2B74">
      <w:pPr>
        <w:pStyle w:val="Listnumbered"/>
        <w:numPr>
          <w:ilvl w:val="0"/>
          <w:numId w:val="3"/>
        </w:numPr>
        <w:rPr>
          <w:rFonts w:cs="Arial"/>
          <w:lang w:eastAsia="en-AU"/>
        </w:rPr>
      </w:pPr>
      <w:r w:rsidRPr="00BC0D7A">
        <w:rPr>
          <w:rFonts w:cs="Arial"/>
          <w:b/>
          <w:lang w:eastAsia="en-AU"/>
        </w:rPr>
        <w:t>Overarching</w:t>
      </w:r>
      <w:r w:rsidRPr="00EE2EB8">
        <w:rPr>
          <w:rFonts w:cs="Arial"/>
          <w:lang w:eastAsia="en-AU"/>
        </w:rPr>
        <w:t xml:space="preserve"> - sit above </w:t>
      </w:r>
      <w:r w:rsidR="005C04E0" w:rsidRPr="00EE2EB8">
        <w:rPr>
          <w:rFonts w:cs="Arial"/>
          <w:lang w:eastAsia="en-AU"/>
        </w:rPr>
        <w:t>specific actions and tasks in the Plan with a focus on measuring overall progress and impact</w:t>
      </w:r>
      <w:r w:rsidR="00F21CA2" w:rsidRPr="00EE2EB8">
        <w:rPr>
          <w:rFonts w:cs="Arial"/>
          <w:lang w:eastAsia="en-AU"/>
        </w:rPr>
        <w:t>.</w:t>
      </w:r>
    </w:p>
    <w:p w14:paraId="5C84C4C3" w14:textId="7E23BF9E" w:rsidR="00A907B7" w:rsidRPr="00EE2EB8" w:rsidRDefault="00541178" w:rsidP="00ED2B74">
      <w:pPr>
        <w:pStyle w:val="Listnumbered"/>
        <w:numPr>
          <w:ilvl w:val="0"/>
          <w:numId w:val="3"/>
        </w:numPr>
        <w:rPr>
          <w:rFonts w:cs="Arial"/>
          <w:lang w:eastAsia="en-AU"/>
        </w:rPr>
      </w:pPr>
      <w:r w:rsidRPr="00BC0D7A">
        <w:rPr>
          <w:rFonts w:cs="Arial"/>
          <w:b/>
          <w:lang w:eastAsia="en-AU"/>
        </w:rPr>
        <w:t>Practical</w:t>
      </w:r>
      <w:r w:rsidR="00E173C1" w:rsidRPr="00EE2EB8">
        <w:rPr>
          <w:rFonts w:cs="Arial"/>
          <w:lang w:eastAsia="en-AU"/>
        </w:rPr>
        <w:t xml:space="preserve"> </w:t>
      </w:r>
      <w:r w:rsidR="006B6231" w:rsidRPr="00EE2EB8">
        <w:rPr>
          <w:rFonts w:cs="Arial"/>
          <w:lang w:eastAsia="en-AU"/>
        </w:rPr>
        <w:t>–</w:t>
      </w:r>
      <w:r w:rsidR="0073478E" w:rsidRPr="00EE2EB8">
        <w:rPr>
          <w:rFonts w:cs="Arial"/>
          <w:lang w:eastAsia="en-AU"/>
        </w:rPr>
        <w:t xml:space="preserve"> aligned to existing data sources</w:t>
      </w:r>
      <w:r w:rsidRPr="00EE2EB8">
        <w:rPr>
          <w:rFonts w:cs="Arial"/>
          <w:lang w:eastAsia="en-AU"/>
        </w:rPr>
        <w:t>, where possible,</w:t>
      </w:r>
      <w:r w:rsidR="0073478E" w:rsidRPr="00EE2EB8">
        <w:rPr>
          <w:rFonts w:cs="Arial"/>
          <w:lang w:eastAsia="en-AU"/>
        </w:rPr>
        <w:t xml:space="preserve"> to </w:t>
      </w:r>
      <w:r w:rsidR="00855366" w:rsidRPr="00EE2EB8">
        <w:rPr>
          <w:rFonts w:cs="Arial"/>
          <w:lang w:eastAsia="en-AU"/>
        </w:rPr>
        <w:t>minimise</w:t>
      </w:r>
      <w:r w:rsidR="0073478E" w:rsidRPr="00EE2EB8">
        <w:rPr>
          <w:rFonts w:cs="Arial"/>
          <w:lang w:eastAsia="en-AU"/>
        </w:rPr>
        <w:t xml:space="preserve"> the burden on stakeholders</w:t>
      </w:r>
      <w:r w:rsidR="00F21CA2" w:rsidRPr="00EE2EB8">
        <w:rPr>
          <w:rFonts w:cs="Arial"/>
          <w:lang w:eastAsia="en-AU"/>
        </w:rPr>
        <w:t>.</w:t>
      </w:r>
    </w:p>
    <w:p w14:paraId="00CCA8E9" w14:textId="68150F24" w:rsidR="00A907B7" w:rsidRPr="00EE2EB8" w:rsidRDefault="006D202F" w:rsidP="00ED2B74">
      <w:pPr>
        <w:pStyle w:val="Listnumbered"/>
        <w:numPr>
          <w:ilvl w:val="0"/>
          <w:numId w:val="3"/>
        </w:numPr>
        <w:rPr>
          <w:rFonts w:cs="Arial"/>
          <w:lang w:eastAsia="en-AU"/>
        </w:rPr>
      </w:pPr>
      <w:r w:rsidRPr="00BC0D7A">
        <w:rPr>
          <w:rFonts w:cs="Arial"/>
          <w:b/>
          <w:lang w:eastAsia="en-AU"/>
        </w:rPr>
        <w:t>Specific</w:t>
      </w:r>
      <w:r w:rsidR="005533FF" w:rsidRPr="00EE2EB8">
        <w:rPr>
          <w:rFonts w:cs="Arial"/>
          <w:lang w:eastAsia="en-AU"/>
        </w:rPr>
        <w:t xml:space="preserve"> </w:t>
      </w:r>
      <w:r w:rsidR="007C1F52" w:rsidRPr="00EE2EB8">
        <w:rPr>
          <w:rFonts w:cs="Arial"/>
          <w:lang w:eastAsia="en-AU"/>
        </w:rPr>
        <w:t>–</w:t>
      </w:r>
      <w:r w:rsidR="005533FF" w:rsidRPr="00EE2EB8">
        <w:rPr>
          <w:rFonts w:cs="Arial"/>
          <w:lang w:eastAsia="en-AU"/>
        </w:rPr>
        <w:t xml:space="preserve"> </w:t>
      </w:r>
      <w:r w:rsidR="007C1F52" w:rsidRPr="00EE2EB8">
        <w:rPr>
          <w:rFonts w:cs="Arial"/>
          <w:lang w:eastAsia="en-AU"/>
        </w:rPr>
        <w:t xml:space="preserve">simple to </w:t>
      </w:r>
      <w:r w:rsidR="004C14AF" w:rsidRPr="00EE2EB8">
        <w:rPr>
          <w:rFonts w:cs="Arial"/>
          <w:lang w:eastAsia="en-AU"/>
        </w:rPr>
        <w:t xml:space="preserve">ensure clarity </w:t>
      </w:r>
      <w:r w:rsidR="0052766F" w:rsidRPr="00EE2EB8">
        <w:rPr>
          <w:rFonts w:cs="Arial"/>
          <w:lang w:eastAsia="en-AU"/>
        </w:rPr>
        <w:t xml:space="preserve">on what will be measured </w:t>
      </w:r>
      <w:r w:rsidR="004C14AF" w:rsidRPr="00EE2EB8">
        <w:rPr>
          <w:rFonts w:cs="Arial"/>
          <w:lang w:eastAsia="en-AU"/>
        </w:rPr>
        <w:t xml:space="preserve">and </w:t>
      </w:r>
      <w:r w:rsidR="00AD0E40" w:rsidRPr="00EE2EB8">
        <w:rPr>
          <w:rFonts w:cs="Arial"/>
          <w:lang w:eastAsia="en-AU"/>
        </w:rPr>
        <w:t>focused</w:t>
      </w:r>
      <w:r w:rsidR="00636916" w:rsidRPr="00EE2EB8">
        <w:rPr>
          <w:rFonts w:cs="Arial"/>
          <w:lang w:eastAsia="en-AU"/>
        </w:rPr>
        <w:t xml:space="preserve"> on the </w:t>
      </w:r>
      <w:r w:rsidR="00AD0E40" w:rsidRPr="00EE2EB8">
        <w:rPr>
          <w:rFonts w:cs="Arial"/>
          <w:lang w:eastAsia="en-AU"/>
        </w:rPr>
        <w:t xml:space="preserve">most critical </w:t>
      </w:r>
      <w:r w:rsidR="00636916" w:rsidRPr="00EE2EB8">
        <w:rPr>
          <w:rFonts w:cs="Arial"/>
          <w:lang w:eastAsia="en-AU"/>
        </w:rPr>
        <w:t xml:space="preserve">indicators needed </w:t>
      </w:r>
      <w:r w:rsidR="00AD0E40" w:rsidRPr="00EE2EB8">
        <w:rPr>
          <w:rFonts w:cs="Arial"/>
          <w:lang w:eastAsia="en-AU"/>
        </w:rPr>
        <w:t>to the understand</w:t>
      </w:r>
      <w:r w:rsidR="004C14AF" w:rsidRPr="00EE2EB8">
        <w:rPr>
          <w:rFonts w:cs="Arial"/>
          <w:lang w:eastAsia="en-AU"/>
        </w:rPr>
        <w:t xml:space="preserve"> the Plan’s</w:t>
      </w:r>
      <w:r w:rsidR="00AD0E40" w:rsidRPr="00EE2EB8">
        <w:rPr>
          <w:rFonts w:cs="Arial"/>
          <w:lang w:eastAsia="en-AU"/>
        </w:rPr>
        <w:t xml:space="preserve"> overall</w:t>
      </w:r>
      <w:r w:rsidR="004C14AF" w:rsidRPr="00EE2EB8">
        <w:rPr>
          <w:rFonts w:cs="Arial"/>
          <w:lang w:eastAsia="en-AU"/>
        </w:rPr>
        <w:t xml:space="preserve"> implementation and impact</w:t>
      </w:r>
      <w:r w:rsidR="00F21CA2" w:rsidRPr="00EE2EB8">
        <w:rPr>
          <w:rFonts w:cs="Arial"/>
          <w:lang w:eastAsia="en-AU"/>
        </w:rPr>
        <w:t>.</w:t>
      </w:r>
    </w:p>
    <w:p w14:paraId="078DD963" w14:textId="659CE4A5" w:rsidR="006D202F" w:rsidRPr="00EE2EB8" w:rsidRDefault="006D202F" w:rsidP="00ED2B74">
      <w:pPr>
        <w:pStyle w:val="Listnumbered"/>
        <w:numPr>
          <w:ilvl w:val="0"/>
          <w:numId w:val="3"/>
        </w:numPr>
        <w:rPr>
          <w:rFonts w:cs="Arial"/>
          <w:lang w:eastAsia="en-AU"/>
        </w:rPr>
      </w:pPr>
      <w:r w:rsidRPr="00BC0D7A">
        <w:rPr>
          <w:rFonts w:cs="Arial"/>
          <w:b/>
          <w:lang w:eastAsia="en-AU"/>
        </w:rPr>
        <w:t>Measurable</w:t>
      </w:r>
      <w:r w:rsidR="00811D6B" w:rsidRPr="00EE2EB8">
        <w:rPr>
          <w:rFonts w:cs="Arial"/>
          <w:lang w:eastAsia="en-AU"/>
        </w:rPr>
        <w:t xml:space="preserve"> - based on data</w:t>
      </w:r>
      <w:r w:rsidR="005533FF" w:rsidRPr="00EE2EB8">
        <w:rPr>
          <w:rFonts w:cs="Arial"/>
          <w:lang w:eastAsia="en-AU"/>
        </w:rPr>
        <w:t xml:space="preserve"> that can be collected and</w:t>
      </w:r>
      <w:r w:rsidR="001C2E85" w:rsidRPr="00EE2EB8">
        <w:rPr>
          <w:rFonts w:cs="Arial"/>
          <w:lang w:eastAsia="en-AU"/>
        </w:rPr>
        <w:t>, as much as possible,</w:t>
      </w:r>
      <w:r w:rsidR="005533FF" w:rsidRPr="00EE2EB8">
        <w:rPr>
          <w:rFonts w:cs="Arial"/>
          <w:lang w:eastAsia="en-AU"/>
        </w:rPr>
        <w:t xml:space="preserve"> </w:t>
      </w:r>
      <w:r w:rsidR="0052766F" w:rsidRPr="00EE2EB8">
        <w:rPr>
          <w:rFonts w:cs="Arial"/>
          <w:lang w:eastAsia="en-AU"/>
        </w:rPr>
        <w:t xml:space="preserve">objectively </w:t>
      </w:r>
      <w:r w:rsidR="005533FF" w:rsidRPr="00EE2EB8">
        <w:rPr>
          <w:rFonts w:cs="Arial"/>
          <w:lang w:eastAsia="en-AU"/>
        </w:rPr>
        <w:t>measured</w:t>
      </w:r>
      <w:r w:rsidR="00811D6B" w:rsidRPr="00EE2EB8">
        <w:rPr>
          <w:rFonts w:cs="Arial"/>
          <w:lang w:eastAsia="en-AU"/>
        </w:rPr>
        <w:t xml:space="preserve"> </w:t>
      </w:r>
      <w:r w:rsidR="00A101DA" w:rsidRPr="00EE2EB8">
        <w:rPr>
          <w:rFonts w:cs="Arial"/>
          <w:lang w:eastAsia="en-AU"/>
        </w:rPr>
        <w:t>and analysed to provide insights</w:t>
      </w:r>
      <w:r w:rsidR="00F21CA2" w:rsidRPr="00EE2EB8">
        <w:rPr>
          <w:rFonts w:cs="Arial"/>
          <w:lang w:eastAsia="en-AU"/>
        </w:rPr>
        <w:t>.</w:t>
      </w:r>
      <w:r w:rsidR="003F2033">
        <w:rPr>
          <w:rFonts w:cs="Arial"/>
          <w:lang w:eastAsia="en-AU"/>
        </w:rPr>
        <w:t xml:space="preserve"> </w:t>
      </w:r>
      <w:r w:rsidR="00DF3854" w:rsidRPr="0066435C">
        <w:rPr>
          <w:rFonts w:cs="Arial"/>
          <w:lang w:eastAsia="en-AU"/>
        </w:rPr>
        <w:t>Indicators have been developed to balance the objectives of monitoring with the limitations of data available and the practicality of measurement</w:t>
      </w:r>
      <w:r w:rsidR="00DF3854">
        <w:rPr>
          <w:rFonts w:cs="Arial"/>
          <w:lang w:eastAsia="en-AU"/>
        </w:rPr>
        <w:t>.</w:t>
      </w:r>
      <w:r w:rsidR="00DF3854" w:rsidRPr="0066435C">
        <w:rPr>
          <w:rFonts w:cs="Arial"/>
          <w:lang w:eastAsia="en-AU"/>
        </w:rPr>
        <w:t xml:space="preserve"> </w:t>
      </w:r>
    </w:p>
    <w:p w14:paraId="069EB919" w14:textId="584FFF28" w:rsidR="006D202F" w:rsidRPr="00EE2EB8" w:rsidRDefault="006D202F" w:rsidP="00ED2B74">
      <w:pPr>
        <w:pStyle w:val="Listnumbered"/>
        <w:numPr>
          <w:ilvl w:val="0"/>
          <w:numId w:val="3"/>
        </w:numPr>
        <w:rPr>
          <w:rFonts w:cs="Arial"/>
          <w:lang w:eastAsia="en-AU"/>
        </w:rPr>
      </w:pPr>
      <w:r w:rsidRPr="00BC0D7A">
        <w:rPr>
          <w:rFonts w:cs="Arial"/>
          <w:b/>
          <w:lang w:eastAsia="en-AU"/>
        </w:rPr>
        <w:t>Lasting</w:t>
      </w:r>
      <w:r w:rsidR="00A101DA" w:rsidRPr="00EE2EB8">
        <w:rPr>
          <w:rFonts w:cs="Arial"/>
          <w:lang w:eastAsia="en-AU"/>
        </w:rPr>
        <w:t xml:space="preserve"> - </w:t>
      </w:r>
      <w:r w:rsidR="00D51544" w:rsidRPr="00EE2EB8">
        <w:rPr>
          <w:rFonts w:cs="Arial"/>
          <w:lang w:eastAsia="en-AU"/>
        </w:rPr>
        <w:t xml:space="preserve">cover the entire </w:t>
      </w:r>
      <w:r w:rsidR="00CD207E" w:rsidRPr="00EE2EB8">
        <w:rPr>
          <w:rFonts w:cs="Arial"/>
          <w:lang w:eastAsia="en-AU"/>
        </w:rPr>
        <w:t>ten</w:t>
      </w:r>
      <w:r w:rsidR="00D51544" w:rsidRPr="00EE2EB8">
        <w:rPr>
          <w:rFonts w:cs="Arial"/>
          <w:lang w:eastAsia="en-AU"/>
        </w:rPr>
        <w:t xml:space="preserve"> years of the Plan and allow scope for ongoing data collection</w:t>
      </w:r>
      <w:r w:rsidR="00F21CA2" w:rsidRPr="00EE2EB8">
        <w:rPr>
          <w:rFonts w:cs="Arial"/>
          <w:lang w:eastAsia="en-AU"/>
        </w:rPr>
        <w:t>.</w:t>
      </w:r>
    </w:p>
    <w:p w14:paraId="46EB6230" w14:textId="74CB5C64" w:rsidR="008612B7" w:rsidRPr="00EE2EB8" w:rsidRDefault="006D202F" w:rsidP="00ED2B74">
      <w:pPr>
        <w:pStyle w:val="Listnumbered"/>
        <w:numPr>
          <w:ilvl w:val="0"/>
          <w:numId w:val="3"/>
        </w:numPr>
        <w:rPr>
          <w:rFonts w:cs="Arial"/>
          <w:lang w:eastAsia="en-AU"/>
        </w:rPr>
      </w:pPr>
      <w:r w:rsidRPr="00BC0D7A">
        <w:rPr>
          <w:rFonts w:cs="Arial"/>
          <w:b/>
          <w:lang w:eastAsia="en-AU"/>
        </w:rPr>
        <w:t>Broadly</w:t>
      </w:r>
      <w:r w:rsidRPr="00EE2EB8">
        <w:rPr>
          <w:rFonts w:cs="Arial"/>
          <w:lang w:eastAsia="en-AU"/>
        </w:rPr>
        <w:t xml:space="preserve"> </w:t>
      </w:r>
      <w:r w:rsidRPr="00BC0D7A">
        <w:rPr>
          <w:rFonts w:cs="Arial"/>
          <w:b/>
          <w:lang w:eastAsia="en-AU"/>
        </w:rPr>
        <w:t>acceptable</w:t>
      </w:r>
      <w:r w:rsidR="00481EDD" w:rsidRPr="00EE2EB8">
        <w:rPr>
          <w:rFonts w:cs="Arial"/>
          <w:lang w:eastAsia="en-AU"/>
        </w:rPr>
        <w:t xml:space="preserve"> </w:t>
      </w:r>
      <w:r w:rsidR="0063753D" w:rsidRPr="00EE2EB8">
        <w:rPr>
          <w:rFonts w:cs="Arial"/>
          <w:lang w:eastAsia="en-AU"/>
        </w:rPr>
        <w:t>–</w:t>
      </w:r>
      <w:r w:rsidR="00481EDD" w:rsidRPr="00EE2EB8">
        <w:rPr>
          <w:rFonts w:cs="Arial"/>
          <w:lang w:eastAsia="en-AU"/>
        </w:rPr>
        <w:t xml:space="preserve"> </w:t>
      </w:r>
      <w:r w:rsidR="0063753D" w:rsidRPr="00EE2EB8">
        <w:rPr>
          <w:rFonts w:cs="Arial"/>
          <w:lang w:eastAsia="en-AU"/>
        </w:rPr>
        <w:t xml:space="preserve">underpinned by clear rationale and based on engagement with a </w:t>
      </w:r>
      <w:r w:rsidR="00DE3497">
        <w:rPr>
          <w:rFonts w:cs="Arial"/>
          <w:lang w:eastAsia="en-AU"/>
        </w:rPr>
        <w:t xml:space="preserve">wide </w:t>
      </w:r>
      <w:r w:rsidR="0063753D" w:rsidRPr="00EE2EB8">
        <w:rPr>
          <w:rFonts w:cs="Arial"/>
          <w:lang w:eastAsia="en-AU"/>
        </w:rPr>
        <w:t>range of stakeholders</w:t>
      </w:r>
      <w:r w:rsidR="00F21CA2" w:rsidRPr="00EE2EB8">
        <w:rPr>
          <w:rFonts w:cs="Arial"/>
          <w:lang w:eastAsia="en-AU"/>
        </w:rPr>
        <w:t>.</w:t>
      </w:r>
      <w:r w:rsidR="0011089F">
        <w:rPr>
          <w:rFonts w:cs="Arial"/>
          <w:lang w:eastAsia="en-AU"/>
        </w:rPr>
        <w:t xml:space="preserve"> </w:t>
      </w:r>
      <w:r w:rsidR="006A44B4">
        <w:rPr>
          <w:rFonts w:cs="Arial"/>
          <w:lang w:eastAsia="en-AU"/>
        </w:rPr>
        <w:t xml:space="preserve">Indicators were widely consulted on in the development of the Monitoring and Evaluation Framework, including with jurisdictional governments, </w:t>
      </w:r>
      <w:r w:rsidR="007B0CAE">
        <w:rPr>
          <w:rFonts w:cs="Arial"/>
          <w:lang w:eastAsia="en-AU"/>
        </w:rPr>
        <w:t>A</w:t>
      </w:r>
      <w:r w:rsidR="00736708">
        <w:rPr>
          <w:rFonts w:cs="Arial"/>
          <w:lang w:eastAsia="en-AU"/>
        </w:rPr>
        <w:t>ustralian Institute of Health and Welfare (</w:t>
      </w:r>
      <w:r w:rsidR="006A44B4">
        <w:rPr>
          <w:rFonts w:cs="Arial"/>
          <w:lang w:eastAsia="en-AU"/>
        </w:rPr>
        <w:t>AIHW</w:t>
      </w:r>
      <w:r w:rsidR="00736708">
        <w:rPr>
          <w:rFonts w:cs="Arial"/>
          <w:lang w:eastAsia="en-AU"/>
        </w:rPr>
        <w:t>)</w:t>
      </w:r>
      <w:r w:rsidR="006A44B4">
        <w:rPr>
          <w:rFonts w:cs="Arial"/>
          <w:lang w:eastAsia="en-AU"/>
        </w:rPr>
        <w:t>, Stillbirth CRE, NACCHO, health professional bodies</w:t>
      </w:r>
      <w:r w:rsidR="00501672">
        <w:rPr>
          <w:rFonts w:cs="Arial"/>
          <w:lang w:eastAsia="en-AU"/>
        </w:rPr>
        <w:t xml:space="preserve">, </w:t>
      </w:r>
      <w:proofErr w:type="spellStart"/>
      <w:r w:rsidR="00501672">
        <w:rPr>
          <w:rFonts w:cs="Arial"/>
          <w:lang w:eastAsia="en-AU"/>
        </w:rPr>
        <w:t>CATSINaM</w:t>
      </w:r>
      <w:proofErr w:type="spellEnd"/>
      <w:r w:rsidR="006A44B4">
        <w:rPr>
          <w:rFonts w:cs="Arial"/>
          <w:lang w:eastAsia="en-AU"/>
        </w:rPr>
        <w:t xml:space="preserve"> and key advocacy groups.</w:t>
      </w:r>
    </w:p>
    <w:p w14:paraId="5C92B46B" w14:textId="2C940B6B" w:rsidR="00A13DD1" w:rsidRDefault="00492A68" w:rsidP="00ED2B74">
      <w:pPr>
        <w:rPr>
          <w:rFonts w:ascii="Arial" w:hAnsi="Arial" w:cs="Arial"/>
          <w:lang w:eastAsia="en-AU"/>
        </w:rPr>
      </w:pPr>
      <w:r w:rsidRPr="00EE2EB8">
        <w:rPr>
          <w:rFonts w:ascii="Arial" w:hAnsi="Arial" w:cs="Arial"/>
          <w:lang w:eastAsia="en-AU"/>
        </w:rPr>
        <w:fldChar w:fldCharType="begin"/>
      </w:r>
      <w:r w:rsidRPr="00EE2EB8">
        <w:rPr>
          <w:rFonts w:ascii="Arial" w:hAnsi="Arial" w:cs="Arial"/>
          <w:lang w:eastAsia="en-AU"/>
        </w:rPr>
        <w:instrText xml:space="preserve"> REF _Ref86263778 \h </w:instrText>
      </w:r>
      <w:r w:rsidR="00EE2EB8">
        <w:rPr>
          <w:rFonts w:ascii="Arial" w:hAnsi="Arial" w:cs="Arial"/>
          <w:lang w:eastAsia="en-AU"/>
        </w:rPr>
        <w:instrText xml:space="preserve"> \* MERGEFORMAT </w:instrText>
      </w:r>
      <w:r w:rsidRPr="00EE2EB8">
        <w:rPr>
          <w:rFonts w:ascii="Arial" w:hAnsi="Arial" w:cs="Arial"/>
          <w:lang w:eastAsia="en-AU"/>
        </w:rPr>
      </w:r>
      <w:r w:rsidRPr="00EE2EB8">
        <w:rPr>
          <w:rFonts w:ascii="Arial" w:hAnsi="Arial" w:cs="Arial"/>
          <w:lang w:eastAsia="en-AU"/>
        </w:rPr>
        <w:fldChar w:fldCharType="separate"/>
      </w:r>
      <w:r w:rsidR="00CF19E2" w:rsidRPr="00CF19E2">
        <w:rPr>
          <w:rFonts w:ascii="Arial" w:hAnsi="Arial" w:cs="Arial"/>
        </w:rPr>
        <w:t xml:space="preserve">Table </w:t>
      </w:r>
      <w:r w:rsidR="00CF19E2" w:rsidRPr="00CF19E2">
        <w:rPr>
          <w:rFonts w:ascii="Arial" w:hAnsi="Arial" w:cs="Arial"/>
          <w:noProof/>
        </w:rPr>
        <w:t>3</w:t>
      </w:r>
      <w:r w:rsidRPr="00EE2EB8">
        <w:rPr>
          <w:rFonts w:ascii="Arial" w:hAnsi="Arial" w:cs="Arial"/>
          <w:lang w:eastAsia="en-AU"/>
        </w:rPr>
        <w:fldChar w:fldCharType="end"/>
      </w:r>
      <w:r w:rsidRPr="00EE2EB8">
        <w:rPr>
          <w:rFonts w:ascii="Arial" w:hAnsi="Arial" w:cs="Arial"/>
          <w:lang w:eastAsia="en-AU"/>
        </w:rPr>
        <w:t xml:space="preserve"> </w:t>
      </w:r>
      <w:r w:rsidR="002B414E">
        <w:rPr>
          <w:rFonts w:ascii="Arial" w:hAnsi="Arial" w:cs="Arial"/>
          <w:lang w:eastAsia="en-AU"/>
        </w:rPr>
        <w:t>overleaf</w:t>
      </w:r>
      <w:r w:rsidRPr="00EE2EB8">
        <w:rPr>
          <w:rFonts w:ascii="Arial" w:hAnsi="Arial" w:cs="Arial"/>
          <w:lang w:eastAsia="en-AU"/>
        </w:rPr>
        <w:t xml:space="preserve"> </w:t>
      </w:r>
      <w:r w:rsidR="008612B7" w:rsidRPr="00EE2EB8">
        <w:rPr>
          <w:rFonts w:ascii="Arial" w:hAnsi="Arial" w:cs="Arial"/>
          <w:lang w:eastAsia="en-AU"/>
        </w:rPr>
        <w:t xml:space="preserve">lists </w:t>
      </w:r>
      <w:r w:rsidR="008612B7" w:rsidRPr="00F85E8F">
        <w:rPr>
          <w:rFonts w:ascii="Arial" w:hAnsi="Arial" w:cs="Arial"/>
          <w:lang w:eastAsia="en-AU"/>
        </w:rPr>
        <w:t xml:space="preserve">the </w:t>
      </w:r>
      <w:r w:rsidR="00D54C2E" w:rsidRPr="00F85E8F">
        <w:rPr>
          <w:rFonts w:ascii="Arial" w:hAnsi="Arial" w:cs="Arial"/>
          <w:lang w:eastAsia="en-AU"/>
        </w:rPr>
        <w:t>1</w:t>
      </w:r>
      <w:r w:rsidR="004472C4" w:rsidRPr="00F85E8F">
        <w:rPr>
          <w:rFonts w:ascii="Arial" w:hAnsi="Arial" w:cs="Arial"/>
          <w:lang w:eastAsia="en-AU"/>
        </w:rPr>
        <w:t>8</w:t>
      </w:r>
      <w:r w:rsidR="008612B7" w:rsidRPr="00F85E8F">
        <w:rPr>
          <w:rFonts w:ascii="Arial" w:hAnsi="Arial" w:cs="Arial"/>
          <w:lang w:eastAsia="en-AU"/>
        </w:rPr>
        <w:t xml:space="preserve"> national </w:t>
      </w:r>
      <w:r w:rsidR="00591746" w:rsidRPr="00F85E8F">
        <w:rPr>
          <w:rFonts w:ascii="Arial" w:hAnsi="Arial" w:cs="Arial"/>
          <w:lang w:eastAsia="en-AU"/>
        </w:rPr>
        <w:t xml:space="preserve">evaluation </w:t>
      </w:r>
      <w:r w:rsidR="008612B7" w:rsidRPr="00F85E8F">
        <w:rPr>
          <w:rFonts w:ascii="Arial" w:hAnsi="Arial" w:cs="Arial"/>
          <w:lang w:eastAsia="en-AU"/>
        </w:rPr>
        <w:t>indicators,</w:t>
      </w:r>
      <w:r w:rsidR="00544F86" w:rsidRPr="00EE2EB8">
        <w:rPr>
          <w:rFonts w:ascii="Arial" w:hAnsi="Arial" w:cs="Arial"/>
          <w:lang w:eastAsia="en-AU"/>
        </w:rPr>
        <w:t xml:space="preserve"> mapped against the Plan’s priority areas</w:t>
      </w:r>
      <w:r w:rsidR="00873115" w:rsidRPr="00EE2EB8">
        <w:rPr>
          <w:rFonts w:ascii="Arial" w:hAnsi="Arial" w:cs="Arial"/>
          <w:lang w:eastAsia="en-AU"/>
        </w:rPr>
        <w:t>.</w:t>
      </w:r>
      <w:r w:rsidR="00521EAF" w:rsidRPr="00EE2EB8">
        <w:rPr>
          <w:rFonts w:ascii="Arial" w:hAnsi="Arial" w:cs="Arial"/>
          <w:lang w:eastAsia="en-AU"/>
        </w:rPr>
        <w:t xml:space="preserve"> These indicators </w:t>
      </w:r>
      <w:r w:rsidR="004C187B" w:rsidRPr="00EE2EB8">
        <w:rPr>
          <w:rFonts w:ascii="Arial" w:hAnsi="Arial" w:cs="Arial"/>
          <w:lang w:eastAsia="en-AU"/>
        </w:rPr>
        <w:t>have been designed</w:t>
      </w:r>
      <w:r w:rsidR="004A2819" w:rsidRPr="00EE2EB8">
        <w:rPr>
          <w:rFonts w:ascii="Arial" w:hAnsi="Arial" w:cs="Arial"/>
          <w:lang w:eastAsia="en-AU"/>
        </w:rPr>
        <w:t xml:space="preserve"> to be able to</w:t>
      </w:r>
      <w:r w:rsidR="00E83C11" w:rsidRPr="00EE2EB8">
        <w:rPr>
          <w:rFonts w:ascii="Arial" w:hAnsi="Arial" w:cs="Arial"/>
          <w:lang w:eastAsia="en-AU"/>
        </w:rPr>
        <w:t xml:space="preserve"> </w:t>
      </w:r>
      <w:r w:rsidR="00521EAF" w:rsidRPr="00EE2EB8">
        <w:rPr>
          <w:rFonts w:ascii="Arial" w:hAnsi="Arial" w:cs="Arial"/>
          <w:lang w:eastAsia="en-AU"/>
        </w:rPr>
        <w:t xml:space="preserve">be </w:t>
      </w:r>
      <w:r w:rsidR="006467A2" w:rsidRPr="00EE2EB8">
        <w:rPr>
          <w:rFonts w:ascii="Arial" w:hAnsi="Arial" w:cs="Arial"/>
          <w:lang w:eastAsia="en-AU"/>
        </w:rPr>
        <w:t>tracked on an annual basis to identify year-on-year changes.</w:t>
      </w:r>
      <w:r w:rsidR="00312116">
        <w:rPr>
          <w:rFonts w:ascii="Arial" w:hAnsi="Arial" w:cs="Arial"/>
          <w:lang w:eastAsia="en-AU"/>
        </w:rPr>
        <w:t xml:space="preserve"> The current indicator design balances the objective of evaluating elements of the Plan with limitations on data availability and what can be practically measured. </w:t>
      </w:r>
      <w:r w:rsidR="000F74AF">
        <w:rPr>
          <w:rFonts w:ascii="Arial" w:hAnsi="Arial" w:cs="Arial"/>
          <w:lang w:eastAsia="en-AU"/>
        </w:rPr>
        <w:t>Indicators will be reviewed on an annual basis to identify opportunities for improvement and to incorporate new and/or improved data sources.</w:t>
      </w:r>
      <w:r w:rsidR="00506A53" w:rsidRPr="00EE2EB8">
        <w:rPr>
          <w:rFonts w:ascii="Arial" w:hAnsi="Arial" w:cs="Arial"/>
          <w:lang w:eastAsia="en-AU"/>
        </w:rPr>
        <w:t xml:space="preserve"> </w:t>
      </w:r>
    </w:p>
    <w:p w14:paraId="1B6023C1" w14:textId="49C32E17" w:rsidR="002B414E" w:rsidRDefault="001A2A60" w:rsidP="00ED2B74">
      <w:pPr>
        <w:rPr>
          <w:rFonts w:ascii="Arial" w:hAnsi="Arial" w:cs="Arial"/>
          <w:lang w:eastAsia="en-AU"/>
        </w:rPr>
      </w:pPr>
      <w:r w:rsidRPr="00EE2EB8">
        <w:rPr>
          <w:rFonts w:ascii="Arial" w:hAnsi="Arial" w:cs="Arial"/>
          <w:lang w:eastAsia="en-AU"/>
        </w:rPr>
        <w:fldChar w:fldCharType="begin"/>
      </w:r>
      <w:r w:rsidRPr="00EE2EB8">
        <w:rPr>
          <w:rFonts w:ascii="Arial" w:hAnsi="Arial" w:cs="Arial"/>
          <w:lang w:eastAsia="en-AU"/>
        </w:rPr>
        <w:instrText xml:space="preserve"> REF _Ref88659678 \r \h </w:instrText>
      </w:r>
      <w:r w:rsidR="00E771EB" w:rsidRPr="00EE2EB8">
        <w:rPr>
          <w:rFonts w:ascii="Arial" w:hAnsi="Arial" w:cs="Arial"/>
          <w:lang w:eastAsia="en-AU"/>
        </w:rPr>
        <w:instrText xml:space="preserve"> \* MERGEFORMAT </w:instrText>
      </w:r>
      <w:r w:rsidRPr="00EE2EB8">
        <w:rPr>
          <w:rFonts w:ascii="Arial" w:hAnsi="Arial" w:cs="Arial"/>
          <w:lang w:eastAsia="en-AU"/>
        </w:rPr>
      </w:r>
      <w:r w:rsidRPr="00EE2EB8">
        <w:rPr>
          <w:rFonts w:ascii="Arial" w:hAnsi="Arial" w:cs="Arial"/>
          <w:lang w:eastAsia="en-AU"/>
        </w:rPr>
        <w:fldChar w:fldCharType="separate"/>
      </w:r>
      <w:r w:rsidR="00CF19E2">
        <w:rPr>
          <w:rFonts w:ascii="Arial" w:hAnsi="Arial" w:cs="Arial"/>
          <w:lang w:eastAsia="en-AU"/>
        </w:rPr>
        <w:t>Appendix C</w:t>
      </w:r>
      <w:r w:rsidRPr="00EE2EB8">
        <w:rPr>
          <w:rFonts w:ascii="Arial" w:hAnsi="Arial" w:cs="Arial"/>
          <w:lang w:eastAsia="en-AU"/>
        </w:rPr>
        <w:fldChar w:fldCharType="end"/>
      </w:r>
      <w:r w:rsidRPr="00EE2EB8">
        <w:rPr>
          <w:rFonts w:ascii="Arial" w:hAnsi="Arial" w:cs="Arial"/>
          <w:lang w:eastAsia="en-AU"/>
        </w:rPr>
        <w:t xml:space="preserve"> </w:t>
      </w:r>
      <w:r w:rsidR="00506A53" w:rsidRPr="00EE2EB8">
        <w:rPr>
          <w:rFonts w:ascii="Arial" w:hAnsi="Arial" w:cs="Arial"/>
          <w:lang w:eastAsia="en-AU"/>
        </w:rPr>
        <w:t>maps</w:t>
      </w:r>
      <w:r w:rsidR="00A13DD1">
        <w:rPr>
          <w:rFonts w:ascii="Arial" w:hAnsi="Arial" w:cs="Arial"/>
          <w:lang w:eastAsia="en-AU"/>
        </w:rPr>
        <w:t xml:space="preserve"> the national evaluation indicators to the</w:t>
      </w:r>
      <w:r w:rsidR="00506A53" w:rsidRPr="00EE2EB8">
        <w:rPr>
          <w:rFonts w:ascii="Arial" w:hAnsi="Arial" w:cs="Arial"/>
          <w:lang w:eastAsia="en-AU"/>
        </w:rPr>
        <w:t xml:space="preserve"> </w:t>
      </w:r>
      <w:r w:rsidR="005252B8">
        <w:rPr>
          <w:rFonts w:ascii="Arial" w:hAnsi="Arial" w:cs="Arial"/>
          <w:lang w:eastAsia="en-AU"/>
        </w:rPr>
        <w:t xml:space="preserve">relevant </w:t>
      </w:r>
      <w:r w:rsidR="00506A53" w:rsidRPr="00EE2EB8">
        <w:rPr>
          <w:rFonts w:ascii="Arial" w:hAnsi="Arial" w:cs="Arial"/>
          <w:lang w:eastAsia="en-AU"/>
        </w:rPr>
        <w:t>data sources</w:t>
      </w:r>
      <w:r w:rsidR="005252B8">
        <w:rPr>
          <w:rFonts w:ascii="Arial" w:hAnsi="Arial" w:cs="Arial"/>
          <w:lang w:eastAsia="en-AU"/>
        </w:rPr>
        <w:t xml:space="preserve">, as </w:t>
      </w:r>
      <w:r w:rsidR="00663A31">
        <w:rPr>
          <w:rFonts w:ascii="Arial" w:hAnsi="Arial" w:cs="Arial"/>
          <w:lang w:eastAsia="en-AU"/>
        </w:rPr>
        <w:t>of</w:t>
      </w:r>
      <w:r w:rsidR="005252B8">
        <w:rPr>
          <w:rFonts w:ascii="Arial" w:hAnsi="Arial" w:cs="Arial"/>
          <w:lang w:eastAsia="en-AU"/>
        </w:rPr>
        <w:t xml:space="preserve"> March 2022</w:t>
      </w:r>
      <w:r w:rsidR="00506A53" w:rsidRPr="00EE2EB8">
        <w:rPr>
          <w:rFonts w:ascii="Arial" w:hAnsi="Arial" w:cs="Arial"/>
          <w:lang w:eastAsia="en-AU"/>
        </w:rPr>
        <w:t xml:space="preserve">. </w:t>
      </w:r>
      <w:r w:rsidR="00B207EF">
        <w:rPr>
          <w:rFonts w:ascii="Arial" w:hAnsi="Arial" w:cs="Arial"/>
          <w:lang w:eastAsia="en-AU"/>
        </w:rPr>
        <w:fldChar w:fldCharType="begin"/>
      </w:r>
      <w:r w:rsidR="00B207EF">
        <w:rPr>
          <w:rFonts w:ascii="Arial" w:hAnsi="Arial" w:cs="Arial"/>
          <w:lang w:eastAsia="en-AU"/>
        </w:rPr>
        <w:instrText xml:space="preserve"> REF _Ref100151977 \r \h </w:instrText>
      </w:r>
      <w:r w:rsidR="00B207EF">
        <w:rPr>
          <w:rFonts w:ascii="Arial" w:hAnsi="Arial" w:cs="Arial"/>
          <w:lang w:eastAsia="en-AU"/>
        </w:rPr>
      </w:r>
      <w:r w:rsidR="00B207EF">
        <w:rPr>
          <w:rFonts w:ascii="Arial" w:hAnsi="Arial" w:cs="Arial"/>
          <w:lang w:eastAsia="en-AU"/>
        </w:rPr>
        <w:fldChar w:fldCharType="separate"/>
      </w:r>
      <w:r w:rsidR="00CF19E2">
        <w:rPr>
          <w:rFonts w:ascii="Arial" w:hAnsi="Arial" w:cs="Arial"/>
          <w:lang w:eastAsia="en-AU"/>
        </w:rPr>
        <w:t>Appendix D</w:t>
      </w:r>
      <w:r w:rsidR="00B207EF">
        <w:rPr>
          <w:rFonts w:ascii="Arial" w:hAnsi="Arial" w:cs="Arial"/>
          <w:lang w:eastAsia="en-AU"/>
        </w:rPr>
        <w:fldChar w:fldCharType="end"/>
      </w:r>
      <w:r w:rsidR="00B207EF">
        <w:rPr>
          <w:rFonts w:ascii="Arial" w:hAnsi="Arial" w:cs="Arial"/>
          <w:lang w:eastAsia="en-AU"/>
        </w:rPr>
        <w:t xml:space="preserve"> maps the national evaluation indicators to the program logic and the expected outcomes of the Plan. </w:t>
      </w:r>
      <w:r w:rsidR="002B414E">
        <w:rPr>
          <w:rFonts w:ascii="Arial" w:hAnsi="Arial" w:cs="Arial"/>
          <w:lang w:eastAsia="en-AU"/>
        </w:rPr>
        <w:br w:type="page"/>
      </w:r>
    </w:p>
    <w:p w14:paraId="0F779FE2" w14:textId="263122E6" w:rsidR="00873115" w:rsidRDefault="00CD0F5E" w:rsidP="00ED2B74">
      <w:pPr>
        <w:pStyle w:val="Caption"/>
        <w:spacing w:before="0"/>
      </w:pPr>
      <w:bookmarkStart w:id="17" w:name="_Ref86263778"/>
      <w:r>
        <w:lastRenderedPageBreak/>
        <w:t xml:space="preserve">Table </w:t>
      </w:r>
      <w:r>
        <w:fldChar w:fldCharType="begin"/>
      </w:r>
      <w:r>
        <w:instrText xml:space="preserve"> SEQ Table \* ARABIC </w:instrText>
      </w:r>
      <w:r>
        <w:fldChar w:fldCharType="separate"/>
      </w:r>
      <w:r w:rsidR="00CF19E2">
        <w:rPr>
          <w:noProof/>
        </w:rPr>
        <w:t>3</w:t>
      </w:r>
      <w:r>
        <w:fldChar w:fldCharType="end"/>
      </w:r>
      <w:bookmarkEnd w:id="17"/>
      <w:r>
        <w:t xml:space="preserve"> | National </w:t>
      </w:r>
      <w:r w:rsidR="00591746">
        <w:t xml:space="preserve">evaluation </w:t>
      </w:r>
      <w:r>
        <w:t>indicators</w:t>
      </w:r>
    </w:p>
    <w:tbl>
      <w:tblPr>
        <w:tblStyle w:val="TableGrid"/>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32"/>
        <w:gridCol w:w="8836"/>
      </w:tblGrid>
      <w:tr w:rsidR="00272E8B" w:rsidRPr="004823C3" w14:paraId="314EF5F1" w14:textId="4F1349AF" w:rsidTr="004823C3">
        <w:trPr>
          <w:cnfStyle w:val="100000000000" w:firstRow="1" w:lastRow="0" w:firstColumn="0" w:lastColumn="0" w:oddVBand="0" w:evenVBand="0" w:oddHBand="0" w:evenHBand="0" w:firstRowFirstColumn="0" w:firstRowLastColumn="0" w:lastRowFirstColumn="0" w:lastRowLastColumn="0"/>
          <w:trHeight w:val="147"/>
        </w:trPr>
        <w:tc>
          <w:tcPr>
            <w:tcW w:w="222" w:type="pct"/>
            <w:shd w:val="clear" w:color="auto" w:fill="3F4A75"/>
          </w:tcPr>
          <w:p w14:paraId="7601C6F3" w14:textId="2FA01BE5" w:rsidR="00272E8B" w:rsidRPr="004823C3" w:rsidRDefault="00272E8B" w:rsidP="004823C3">
            <w:pPr>
              <w:pStyle w:val="TableNheader"/>
            </w:pPr>
            <w:r w:rsidRPr="004823C3">
              <w:t>#</w:t>
            </w:r>
          </w:p>
        </w:tc>
        <w:tc>
          <w:tcPr>
            <w:tcW w:w="4778" w:type="pct"/>
            <w:shd w:val="clear" w:color="auto" w:fill="3F4A75"/>
          </w:tcPr>
          <w:p w14:paraId="31FE9FC2" w14:textId="4D34D3B9" w:rsidR="00272E8B" w:rsidRPr="004823C3" w:rsidRDefault="00272E8B" w:rsidP="004823C3">
            <w:pPr>
              <w:pStyle w:val="TableNheader"/>
            </w:pPr>
            <w:r w:rsidRPr="004823C3">
              <w:t>Indicator</w:t>
            </w:r>
          </w:p>
        </w:tc>
      </w:tr>
      <w:tr w:rsidR="00272E8B" w:rsidRPr="004823C3" w14:paraId="252F762B" w14:textId="11CDB98B" w:rsidTr="004823C3">
        <w:trPr>
          <w:trHeight w:val="160"/>
        </w:trPr>
        <w:tc>
          <w:tcPr>
            <w:tcW w:w="5000" w:type="pct"/>
            <w:gridSpan w:val="2"/>
            <w:shd w:val="clear" w:color="auto" w:fill="3F4A75"/>
          </w:tcPr>
          <w:p w14:paraId="1C53D567" w14:textId="590FEF23" w:rsidR="00272E8B" w:rsidRPr="004823C3" w:rsidRDefault="00272E8B" w:rsidP="004823C3">
            <w:pPr>
              <w:pStyle w:val="TableNheader"/>
            </w:pPr>
            <w:r w:rsidRPr="004823C3">
              <w:t>Priority 1: Ensuring high quality stillbirth prevention and care</w:t>
            </w:r>
          </w:p>
        </w:tc>
      </w:tr>
      <w:tr w:rsidR="00272E8B" w:rsidRPr="004823C3" w14:paraId="09589514" w14:textId="6FDB9690" w:rsidTr="004823C3">
        <w:trPr>
          <w:trHeight w:val="160"/>
        </w:trPr>
        <w:tc>
          <w:tcPr>
            <w:tcW w:w="222" w:type="pct"/>
            <w:shd w:val="clear" w:color="auto" w:fill="E6E6E6"/>
            <w:vAlign w:val="center"/>
          </w:tcPr>
          <w:p w14:paraId="5A2711D0" w14:textId="32BBE631" w:rsidR="00272E8B" w:rsidRPr="004823C3" w:rsidRDefault="00272E8B" w:rsidP="00852F0E">
            <w:pPr>
              <w:pStyle w:val="TableNText"/>
            </w:pPr>
            <w:r w:rsidRPr="004823C3">
              <w:t>1</w:t>
            </w:r>
          </w:p>
        </w:tc>
        <w:tc>
          <w:tcPr>
            <w:tcW w:w="4778" w:type="pct"/>
            <w:shd w:val="clear" w:color="auto" w:fill="F2F2F2" w:themeFill="background1" w:themeFillShade="F2"/>
            <w:vAlign w:val="center"/>
          </w:tcPr>
          <w:p w14:paraId="562C0746" w14:textId="6DD370CA" w:rsidR="00272E8B" w:rsidRPr="004823C3" w:rsidRDefault="00272E8B" w:rsidP="00852F0E">
            <w:pPr>
              <w:pStyle w:val="TableNText"/>
            </w:pPr>
            <w:r w:rsidRPr="004823C3">
              <w:t>Decrease in the rates of stillbirth at greater than or equal to 28 weeks (disaggregated by target cohorts, data also reported for greater than or equal to 20 weeks).</w:t>
            </w:r>
          </w:p>
        </w:tc>
      </w:tr>
      <w:tr w:rsidR="00272E8B" w:rsidRPr="004823C3" w14:paraId="3E80A196" w14:textId="65DC23A7" w:rsidTr="004823C3">
        <w:trPr>
          <w:trHeight w:val="151"/>
        </w:trPr>
        <w:tc>
          <w:tcPr>
            <w:tcW w:w="222" w:type="pct"/>
            <w:shd w:val="clear" w:color="auto" w:fill="E6E6E6"/>
            <w:vAlign w:val="center"/>
          </w:tcPr>
          <w:p w14:paraId="2621EE3C" w14:textId="60FEA021" w:rsidR="00272E8B" w:rsidRPr="004823C3" w:rsidRDefault="00272E8B" w:rsidP="00852F0E">
            <w:pPr>
              <w:pStyle w:val="TableNText"/>
            </w:pPr>
            <w:r w:rsidRPr="004823C3">
              <w:t>2</w:t>
            </w:r>
          </w:p>
        </w:tc>
        <w:tc>
          <w:tcPr>
            <w:tcW w:w="4778" w:type="pct"/>
            <w:shd w:val="clear" w:color="auto" w:fill="F2F2F2" w:themeFill="background1" w:themeFillShade="F2"/>
            <w:vAlign w:val="center"/>
          </w:tcPr>
          <w:p w14:paraId="4950A751" w14:textId="3CFE4233" w:rsidR="00272E8B" w:rsidRPr="004823C3" w:rsidRDefault="00272E8B" w:rsidP="00852F0E">
            <w:pPr>
              <w:pStyle w:val="TableNText"/>
            </w:pPr>
            <w:r w:rsidRPr="004823C3">
              <w:t xml:space="preserve">Increase in the proportion of women </w:t>
            </w:r>
            <w:r w:rsidR="008F083C" w:rsidRPr="004823C3">
              <w:t>who receive care via</w:t>
            </w:r>
            <w:r w:rsidRPr="004823C3">
              <w:t xml:space="preserve"> continuity of care models.</w:t>
            </w:r>
          </w:p>
        </w:tc>
      </w:tr>
      <w:tr w:rsidR="00272E8B" w:rsidRPr="004823C3" w14:paraId="2C5B2BBF" w14:textId="6B29DBEC" w:rsidTr="004823C3">
        <w:trPr>
          <w:trHeight w:val="260"/>
        </w:trPr>
        <w:tc>
          <w:tcPr>
            <w:tcW w:w="222" w:type="pct"/>
            <w:shd w:val="clear" w:color="auto" w:fill="E6E6E6"/>
            <w:vAlign w:val="center"/>
          </w:tcPr>
          <w:p w14:paraId="754A0F34" w14:textId="18FEF39F" w:rsidR="00272E8B" w:rsidRPr="004823C3" w:rsidRDefault="00272E8B" w:rsidP="00852F0E">
            <w:pPr>
              <w:pStyle w:val="TableNText"/>
            </w:pPr>
            <w:r w:rsidRPr="004823C3">
              <w:t>3</w:t>
            </w:r>
          </w:p>
        </w:tc>
        <w:tc>
          <w:tcPr>
            <w:tcW w:w="4778" w:type="pct"/>
            <w:shd w:val="clear" w:color="auto" w:fill="F2F2F2" w:themeFill="background1" w:themeFillShade="F2"/>
            <w:vAlign w:val="center"/>
          </w:tcPr>
          <w:p w14:paraId="3FE6D0B0" w14:textId="035E5435" w:rsidR="00272E8B" w:rsidRPr="004823C3" w:rsidRDefault="00272E8B" w:rsidP="00852F0E">
            <w:pPr>
              <w:pStyle w:val="TableNText"/>
            </w:pPr>
            <w:r w:rsidRPr="004823C3">
              <w:t xml:space="preserve">Increase in the proportion of women </w:t>
            </w:r>
            <w:r w:rsidR="008F083C" w:rsidRPr="004823C3">
              <w:t>who have had</w:t>
            </w:r>
            <w:r w:rsidRPr="004823C3">
              <w:t xml:space="preserve"> continuity of carer</w:t>
            </w:r>
            <w:r w:rsidR="00C1282D" w:rsidRPr="004823C3">
              <w:footnoteReference w:id="19"/>
            </w:r>
            <w:r w:rsidRPr="004823C3">
              <w:t xml:space="preserve"> during antenatal, delivery an</w:t>
            </w:r>
            <w:r w:rsidR="00410ACB" w:rsidRPr="004823C3">
              <w:t>d</w:t>
            </w:r>
            <w:r w:rsidRPr="004823C3">
              <w:t xml:space="preserve"> postnatal care.</w:t>
            </w:r>
          </w:p>
        </w:tc>
      </w:tr>
      <w:tr w:rsidR="00272E8B" w:rsidRPr="004823C3" w14:paraId="58B537A3" w14:textId="09C613A1" w:rsidTr="004823C3">
        <w:trPr>
          <w:trHeight w:val="260"/>
        </w:trPr>
        <w:tc>
          <w:tcPr>
            <w:tcW w:w="222" w:type="pct"/>
            <w:shd w:val="clear" w:color="auto" w:fill="E6E6E6"/>
            <w:vAlign w:val="center"/>
          </w:tcPr>
          <w:p w14:paraId="46C828E6" w14:textId="0B8579FD" w:rsidR="00272E8B" w:rsidRPr="004823C3" w:rsidRDefault="00272E8B" w:rsidP="00852F0E">
            <w:pPr>
              <w:pStyle w:val="TableNText"/>
            </w:pPr>
            <w:r w:rsidRPr="004823C3">
              <w:t>4</w:t>
            </w:r>
          </w:p>
        </w:tc>
        <w:tc>
          <w:tcPr>
            <w:tcW w:w="4778" w:type="pct"/>
            <w:shd w:val="clear" w:color="auto" w:fill="F2F2F2" w:themeFill="background1" w:themeFillShade="F2"/>
            <w:vAlign w:val="center"/>
          </w:tcPr>
          <w:p w14:paraId="0EEBC4EF" w14:textId="62406890" w:rsidR="00272E8B" w:rsidRPr="004823C3" w:rsidRDefault="00272E8B" w:rsidP="00852F0E">
            <w:pPr>
              <w:pStyle w:val="TableNText"/>
            </w:pPr>
            <w:r w:rsidRPr="004823C3">
              <w:t>Increase in the proportion of women (overall and in target cohorts) attending 7 or more and 10 or more</w:t>
            </w:r>
            <w:r w:rsidRPr="004823C3">
              <w:footnoteReference w:id="20"/>
            </w:r>
            <w:r w:rsidRPr="004823C3">
              <w:t xml:space="preserve"> antenatal care visits.</w:t>
            </w:r>
          </w:p>
        </w:tc>
      </w:tr>
      <w:tr w:rsidR="00272E8B" w:rsidRPr="004823C3" w14:paraId="4F3338B9" w14:textId="2F138565" w:rsidTr="004823C3">
        <w:trPr>
          <w:trHeight w:val="260"/>
        </w:trPr>
        <w:tc>
          <w:tcPr>
            <w:tcW w:w="222" w:type="pct"/>
            <w:shd w:val="clear" w:color="auto" w:fill="E6E6E6"/>
            <w:vAlign w:val="center"/>
          </w:tcPr>
          <w:p w14:paraId="0C7B8C5A" w14:textId="5DDF26C6" w:rsidR="00272E8B" w:rsidRPr="004823C3" w:rsidRDefault="00272E8B" w:rsidP="00852F0E">
            <w:pPr>
              <w:pStyle w:val="TableNText"/>
            </w:pPr>
            <w:r w:rsidRPr="004823C3">
              <w:t>5</w:t>
            </w:r>
          </w:p>
        </w:tc>
        <w:tc>
          <w:tcPr>
            <w:tcW w:w="4778" w:type="pct"/>
            <w:shd w:val="clear" w:color="auto" w:fill="F2F2F2" w:themeFill="background1" w:themeFillShade="F2"/>
            <w:vAlign w:val="center"/>
          </w:tcPr>
          <w:p w14:paraId="1AF1376E" w14:textId="208A39F5" w:rsidR="00272E8B" w:rsidRPr="004823C3" w:rsidRDefault="00272E8B" w:rsidP="00852F0E">
            <w:pPr>
              <w:pStyle w:val="TableNText"/>
            </w:pPr>
            <w:r w:rsidRPr="004823C3">
              <w:t>Increase in the proportion of women (overall and in target cohorts) attending their first antenatal visit within the first 10 weeks of pregnancy.</w:t>
            </w:r>
          </w:p>
        </w:tc>
      </w:tr>
      <w:tr w:rsidR="00272E8B" w:rsidRPr="004823C3" w14:paraId="7B628999" w14:textId="5B9D9370" w:rsidTr="004823C3">
        <w:trPr>
          <w:trHeight w:val="151"/>
        </w:trPr>
        <w:tc>
          <w:tcPr>
            <w:tcW w:w="222" w:type="pct"/>
            <w:shd w:val="clear" w:color="auto" w:fill="E6E6E6"/>
            <w:vAlign w:val="center"/>
          </w:tcPr>
          <w:p w14:paraId="472C3EF6" w14:textId="1669C092" w:rsidR="00272E8B" w:rsidRPr="004823C3" w:rsidRDefault="00272E8B" w:rsidP="00852F0E">
            <w:pPr>
              <w:pStyle w:val="TableNText"/>
            </w:pPr>
            <w:r w:rsidRPr="004823C3">
              <w:t>6</w:t>
            </w:r>
          </w:p>
        </w:tc>
        <w:tc>
          <w:tcPr>
            <w:tcW w:w="4778" w:type="pct"/>
            <w:shd w:val="clear" w:color="auto" w:fill="F2F2F2" w:themeFill="background1" w:themeFillShade="F2"/>
            <w:vAlign w:val="center"/>
          </w:tcPr>
          <w:p w14:paraId="472E24E0" w14:textId="183843E9" w:rsidR="00272E8B" w:rsidRPr="004823C3" w:rsidRDefault="00272E8B" w:rsidP="00852F0E">
            <w:pPr>
              <w:pStyle w:val="TableNText"/>
            </w:pPr>
            <w:r w:rsidRPr="004823C3">
              <w:t>Increase in</w:t>
            </w:r>
            <w:r w:rsidR="006E049B" w:rsidRPr="004823C3">
              <w:t xml:space="preserve"> available maternity services specific to </w:t>
            </w:r>
            <w:r w:rsidRPr="004823C3">
              <w:t>target cohort</w:t>
            </w:r>
            <w:r w:rsidR="006E049B" w:rsidRPr="004823C3">
              <w:t>s</w:t>
            </w:r>
            <w:r w:rsidRPr="004823C3">
              <w:footnoteReference w:id="21"/>
            </w:r>
            <w:r w:rsidRPr="004823C3">
              <w:t xml:space="preserve"> </w:t>
            </w:r>
            <w:r w:rsidR="006E049B" w:rsidRPr="004823C3">
              <w:t xml:space="preserve">(as defined by the Plan). </w:t>
            </w:r>
            <w:r w:rsidRPr="004823C3">
              <w:t xml:space="preserve"> </w:t>
            </w:r>
          </w:p>
        </w:tc>
      </w:tr>
      <w:tr w:rsidR="00272E8B" w:rsidRPr="004823C3" w14:paraId="1FA14088" w14:textId="13983D40" w:rsidTr="004823C3">
        <w:trPr>
          <w:trHeight w:val="160"/>
        </w:trPr>
        <w:tc>
          <w:tcPr>
            <w:tcW w:w="222" w:type="pct"/>
            <w:shd w:val="clear" w:color="auto" w:fill="E6E6E6"/>
            <w:vAlign w:val="center"/>
          </w:tcPr>
          <w:p w14:paraId="68A3BEEC" w14:textId="03FD22CD" w:rsidR="00272E8B" w:rsidRPr="004823C3" w:rsidRDefault="00272E8B" w:rsidP="00852F0E">
            <w:pPr>
              <w:pStyle w:val="TableNText"/>
            </w:pPr>
            <w:r w:rsidRPr="004823C3">
              <w:t>7</w:t>
            </w:r>
          </w:p>
        </w:tc>
        <w:tc>
          <w:tcPr>
            <w:tcW w:w="4778" w:type="pct"/>
            <w:shd w:val="clear" w:color="auto" w:fill="F2F2F2" w:themeFill="background1" w:themeFillShade="F2"/>
            <w:vAlign w:val="center"/>
          </w:tcPr>
          <w:p w14:paraId="52727898" w14:textId="6F493875" w:rsidR="00272E8B" w:rsidRPr="004823C3" w:rsidRDefault="00272E8B" w:rsidP="00852F0E">
            <w:pPr>
              <w:pStyle w:val="TableNText"/>
            </w:pPr>
            <w:r w:rsidRPr="004823C3">
              <w:t xml:space="preserve">Increase in </w:t>
            </w:r>
            <w:r w:rsidR="006E049B" w:rsidRPr="004823C3">
              <w:t xml:space="preserve">the number of </w:t>
            </w:r>
            <w:r w:rsidRPr="004823C3">
              <w:t>Aboriginal and Torres Strait Islander maternity care professionals.</w:t>
            </w:r>
          </w:p>
        </w:tc>
      </w:tr>
      <w:tr w:rsidR="00847803" w:rsidRPr="004823C3" w14:paraId="2F0BEB31" w14:textId="77777777" w:rsidTr="004823C3">
        <w:trPr>
          <w:trHeight w:val="160"/>
        </w:trPr>
        <w:tc>
          <w:tcPr>
            <w:tcW w:w="222" w:type="pct"/>
            <w:shd w:val="clear" w:color="auto" w:fill="E6E6E6"/>
            <w:vAlign w:val="center"/>
          </w:tcPr>
          <w:p w14:paraId="754A16CE" w14:textId="30337CA3" w:rsidR="00847803" w:rsidRPr="004823C3" w:rsidRDefault="00D5140F" w:rsidP="00852F0E">
            <w:pPr>
              <w:pStyle w:val="TableNText"/>
            </w:pPr>
            <w:r w:rsidRPr="004823C3">
              <w:t>8</w:t>
            </w:r>
          </w:p>
        </w:tc>
        <w:tc>
          <w:tcPr>
            <w:tcW w:w="4778" w:type="pct"/>
            <w:shd w:val="clear" w:color="auto" w:fill="F2F2F2" w:themeFill="background1" w:themeFillShade="F2"/>
            <w:vAlign w:val="center"/>
          </w:tcPr>
          <w:p w14:paraId="3659D34C" w14:textId="77DCB10C" w:rsidR="00847803" w:rsidRPr="004823C3" w:rsidRDefault="00866B41" w:rsidP="00852F0E">
            <w:pPr>
              <w:pStyle w:val="TableNText"/>
            </w:pPr>
            <w:r w:rsidRPr="004823C3">
              <w:t xml:space="preserve">Increase in </w:t>
            </w:r>
            <w:r w:rsidR="00EC4BB2" w:rsidRPr="004823C3">
              <w:t xml:space="preserve">the </w:t>
            </w:r>
            <w:r w:rsidR="006E049B" w:rsidRPr="004823C3">
              <w:t>availability</w:t>
            </w:r>
            <w:r w:rsidR="00EC4BB2" w:rsidRPr="004823C3">
              <w:t xml:space="preserve"> of culturally safe</w:t>
            </w:r>
            <w:r w:rsidR="006E049B" w:rsidRPr="004823C3">
              <w:t xml:space="preserve"> maternity care</w:t>
            </w:r>
            <w:r w:rsidR="00794664" w:rsidRPr="004823C3">
              <w:t xml:space="preserve">. </w:t>
            </w:r>
          </w:p>
        </w:tc>
      </w:tr>
      <w:tr w:rsidR="00272E8B" w:rsidRPr="004823C3" w14:paraId="6A882727" w14:textId="4D812B6A" w:rsidTr="004823C3">
        <w:trPr>
          <w:trHeight w:val="160"/>
        </w:trPr>
        <w:tc>
          <w:tcPr>
            <w:tcW w:w="222" w:type="pct"/>
            <w:shd w:val="clear" w:color="auto" w:fill="E6E6E6"/>
            <w:vAlign w:val="center"/>
          </w:tcPr>
          <w:p w14:paraId="0526F385" w14:textId="4FF12C97" w:rsidR="00272E8B" w:rsidRPr="004823C3" w:rsidRDefault="00D5140F" w:rsidP="00852F0E">
            <w:pPr>
              <w:pStyle w:val="TableNText"/>
            </w:pPr>
            <w:r w:rsidRPr="004823C3">
              <w:t>9</w:t>
            </w:r>
          </w:p>
        </w:tc>
        <w:tc>
          <w:tcPr>
            <w:tcW w:w="4778" w:type="pct"/>
            <w:shd w:val="clear" w:color="auto" w:fill="F2F2F2" w:themeFill="background1" w:themeFillShade="F2"/>
            <w:vAlign w:val="center"/>
          </w:tcPr>
          <w:p w14:paraId="6F6B4E88" w14:textId="7D8B4A51" w:rsidR="00272E8B" w:rsidRPr="004823C3" w:rsidRDefault="00272E8B" w:rsidP="00852F0E">
            <w:pPr>
              <w:pStyle w:val="TableNText"/>
            </w:pPr>
            <w:r w:rsidRPr="004823C3">
              <w:t>Decrease in the proportion of women smoking tobacco during pregnancy.</w:t>
            </w:r>
          </w:p>
        </w:tc>
      </w:tr>
      <w:tr w:rsidR="00272E8B" w:rsidRPr="004823C3" w14:paraId="30B3194D" w14:textId="2507D98A" w:rsidTr="004823C3">
        <w:trPr>
          <w:trHeight w:val="160"/>
        </w:trPr>
        <w:tc>
          <w:tcPr>
            <w:tcW w:w="5000" w:type="pct"/>
            <w:gridSpan w:val="2"/>
            <w:shd w:val="clear" w:color="auto" w:fill="3F4A75"/>
            <w:vAlign w:val="center"/>
          </w:tcPr>
          <w:p w14:paraId="39315627" w14:textId="38DA7466" w:rsidR="00272E8B" w:rsidRPr="004823C3" w:rsidRDefault="00272E8B" w:rsidP="004823C3">
            <w:pPr>
              <w:pStyle w:val="TableNheader"/>
            </w:pPr>
            <w:r w:rsidRPr="004823C3">
              <w:t>Priority 2: Raising awareness and strengthening education</w:t>
            </w:r>
          </w:p>
        </w:tc>
      </w:tr>
      <w:tr w:rsidR="00272E8B" w:rsidRPr="004823C3" w14:paraId="041CB036" w14:textId="12C2583D" w:rsidTr="004823C3">
        <w:trPr>
          <w:trHeight w:val="260"/>
        </w:trPr>
        <w:tc>
          <w:tcPr>
            <w:tcW w:w="222" w:type="pct"/>
            <w:shd w:val="clear" w:color="auto" w:fill="E6E6E6"/>
            <w:vAlign w:val="center"/>
          </w:tcPr>
          <w:p w14:paraId="525AA62E" w14:textId="7D8ADD97" w:rsidR="00272E8B" w:rsidRPr="004823C3" w:rsidRDefault="00D5140F" w:rsidP="00852F0E">
            <w:pPr>
              <w:pStyle w:val="TableNText"/>
            </w:pPr>
            <w:r w:rsidRPr="004823C3">
              <w:t>10</w:t>
            </w:r>
          </w:p>
        </w:tc>
        <w:tc>
          <w:tcPr>
            <w:tcW w:w="4778" w:type="pct"/>
            <w:shd w:val="clear" w:color="auto" w:fill="F2F2F2" w:themeFill="background1" w:themeFillShade="F2"/>
            <w:vAlign w:val="center"/>
          </w:tcPr>
          <w:p w14:paraId="44BFDCC0" w14:textId="2D1C02C8" w:rsidR="00272E8B" w:rsidRPr="004823C3" w:rsidRDefault="00272E8B" w:rsidP="00852F0E">
            <w:pPr>
              <w:pStyle w:val="TableNText"/>
            </w:pPr>
            <w:r w:rsidRPr="004823C3">
              <w:t>Increase in the number and reach</w:t>
            </w:r>
            <w:r w:rsidR="00243E63" w:rsidRPr="004823C3">
              <w:footnoteReference w:id="22"/>
            </w:r>
            <w:r w:rsidRPr="004823C3">
              <w:t xml:space="preserve"> of publicly funded programs promoting awareness of stillbirth, risk factors and prevention strategies.</w:t>
            </w:r>
          </w:p>
        </w:tc>
      </w:tr>
      <w:tr w:rsidR="00272E8B" w:rsidRPr="004823C3" w14:paraId="42C89BC6" w14:textId="10A77545" w:rsidTr="004823C3">
        <w:trPr>
          <w:trHeight w:val="260"/>
        </w:trPr>
        <w:tc>
          <w:tcPr>
            <w:tcW w:w="222" w:type="pct"/>
            <w:shd w:val="clear" w:color="auto" w:fill="E6E6E6"/>
            <w:vAlign w:val="center"/>
          </w:tcPr>
          <w:p w14:paraId="1FEDF488" w14:textId="379CD11C" w:rsidR="00272E8B" w:rsidRPr="004823C3" w:rsidRDefault="00D5140F" w:rsidP="00852F0E">
            <w:pPr>
              <w:pStyle w:val="TableNText"/>
            </w:pPr>
            <w:r w:rsidRPr="004823C3">
              <w:t>11</w:t>
            </w:r>
          </w:p>
        </w:tc>
        <w:tc>
          <w:tcPr>
            <w:tcW w:w="4778" w:type="pct"/>
            <w:shd w:val="clear" w:color="auto" w:fill="F2F2F2" w:themeFill="background1" w:themeFillShade="F2"/>
            <w:vAlign w:val="center"/>
          </w:tcPr>
          <w:p w14:paraId="034AA15A" w14:textId="41A1DB9E" w:rsidR="00272E8B" w:rsidRPr="004823C3" w:rsidRDefault="0011013E" w:rsidP="00852F0E">
            <w:pPr>
              <w:pStyle w:val="TableNText"/>
            </w:pPr>
            <w:r w:rsidRPr="004823C3">
              <w:t xml:space="preserve">Increase in alignment of hospital, </w:t>
            </w:r>
            <w:proofErr w:type="gramStart"/>
            <w:r w:rsidRPr="004823C3">
              <w:t>organisation</w:t>
            </w:r>
            <w:proofErr w:type="gramEnd"/>
            <w:r w:rsidRPr="004823C3">
              <w:t xml:space="preserve"> and professional body guidelines with PSANZ Clinical practice guideline for care around stillbirth and neonatal death and the national Clinical Practice Guidelines – Pregnancy Care.</w:t>
            </w:r>
          </w:p>
        </w:tc>
      </w:tr>
      <w:tr w:rsidR="00272E8B" w:rsidRPr="004823C3" w14:paraId="0DE978F0" w14:textId="6AF6CF52" w:rsidTr="004823C3">
        <w:trPr>
          <w:trHeight w:val="151"/>
        </w:trPr>
        <w:tc>
          <w:tcPr>
            <w:tcW w:w="222" w:type="pct"/>
            <w:shd w:val="clear" w:color="auto" w:fill="E6E6E6"/>
            <w:vAlign w:val="center"/>
          </w:tcPr>
          <w:p w14:paraId="5F85FC65" w14:textId="1C0C4C4B" w:rsidR="00272E8B" w:rsidRPr="004823C3" w:rsidRDefault="00D5140F" w:rsidP="00852F0E">
            <w:pPr>
              <w:pStyle w:val="TableNText"/>
            </w:pPr>
            <w:r w:rsidRPr="004823C3">
              <w:t>12</w:t>
            </w:r>
          </w:p>
        </w:tc>
        <w:tc>
          <w:tcPr>
            <w:tcW w:w="4778" w:type="pct"/>
            <w:shd w:val="clear" w:color="auto" w:fill="F2F2F2" w:themeFill="background1" w:themeFillShade="F2"/>
            <w:vAlign w:val="center"/>
          </w:tcPr>
          <w:p w14:paraId="197C70DB" w14:textId="6B520606" w:rsidR="00272E8B" w:rsidRPr="004823C3" w:rsidRDefault="00272E8B" w:rsidP="00852F0E">
            <w:pPr>
              <w:pStyle w:val="TableNText"/>
            </w:pPr>
            <w:r w:rsidRPr="004823C3">
              <w:t xml:space="preserve">Increase in the </w:t>
            </w:r>
            <w:r w:rsidR="008F4A3C" w:rsidRPr="004823C3">
              <w:t>proportion</w:t>
            </w:r>
            <w:r w:rsidRPr="004823C3">
              <w:t xml:space="preserve"> of health professionals completing the IMPROVE training program.</w:t>
            </w:r>
          </w:p>
        </w:tc>
      </w:tr>
      <w:tr w:rsidR="00272E8B" w:rsidRPr="004823C3" w14:paraId="39300580" w14:textId="5C97C59A" w:rsidTr="004823C3">
        <w:trPr>
          <w:trHeight w:val="160"/>
        </w:trPr>
        <w:tc>
          <w:tcPr>
            <w:tcW w:w="5000" w:type="pct"/>
            <w:gridSpan w:val="2"/>
            <w:shd w:val="clear" w:color="auto" w:fill="3F4A75"/>
            <w:vAlign w:val="center"/>
          </w:tcPr>
          <w:p w14:paraId="4584927E" w14:textId="6E90572B" w:rsidR="00272E8B" w:rsidRPr="004823C3" w:rsidRDefault="00272E8B" w:rsidP="004823C3">
            <w:pPr>
              <w:pStyle w:val="TableNheader"/>
              <w:keepNext/>
            </w:pPr>
            <w:r w:rsidRPr="004823C3">
              <w:t>Priority 3: Improving holistic bereavement care and community support following stillbirth</w:t>
            </w:r>
          </w:p>
        </w:tc>
      </w:tr>
      <w:tr w:rsidR="00272E8B" w:rsidRPr="004823C3" w14:paraId="234A5E5C" w14:textId="03E222DC" w:rsidTr="004823C3">
        <w:trPr>
          <w:trHeight w:val="260"/>
        </w:trPr>
        <w:tc>
          <w:tcPr>
            <w:tcW w:w="222" w:type="pct"/>
            <w:shd w:val="clear" w:color="auto" w:fill="E6E6E6"/>
            <w:vAlign w:val="center"/>
          </w:tcPr>
          <w:p w14:paraId="1991A03C" w14:textId="697F2AD4" w:rsidR="00272E8B" w:rsidRPr="004823C3" w:rsidRDefault="00D5140F" w:rsidP="00852F0E">
            <w:pPr>
              <w:pStyle w:val="TableNText"/>
            </w:pPr>
            <w:r w:rsidRPr="004823C3">
              <w:t>13</w:t>
            </w:r>
          </w:p>
        </w:tc>
        <w:tc>
          <w:tcPr>
            <w:tcW w:w="4778" w:type="pct"/>
            <w:shd w:val="clear" w:color="auto" w:fill="F2F2F2" w:themeFill="background1" w:themeFillShade="F2"/>
            <w:vAlign w:val="center"/>
          </w:tcPr>
          <w:p w14:paraId="155FF1D8" w14:textId="1F66AD4C" w:rsidR="00272E8B" w:rsidRPr="004823C3" w:rsidRDefault="007F3E1E" w:rsidP="00852F0E">
            <w:pPr>
              <w:pStyle w:val="TableNText"/>
            </w:pPr>
            <w:r w:rsidRPr="004823C3">
              <w:t>Increase in awareness</w:t>
            </w:r>
            <w:r w:rsidR="00272E8B" w:rsidRPr="004823C3">
              <w:t xml:space="preserve"> and </w:t>
            </w:r>
            <w:r w:rsidRPr="004823C3">
              <w:t>ability for bereaved women</w:t>
            </w:r>
            <w:r w:rsidR="00272E8B" w:rsidRPr="004823C3">
              <w:t xml:space="preserve"> and </w:t>
            </w:r>
            <w:r w:rsidRPr="004823C3">
              <w:t>families to access</w:t>
            </w:r>
            <w:r w:rsidR="00272E8B" w:rsidRPr="004823C3">
              <w:t xml:space="preserve"> bereavement care (overall and in target cohorts).</w:t>
            </w:r>
          </w:p>
        </w:tc>
      </w:tr>
      <w:tr w:rsidR="00272E8B" w:rsidRPr="004823C3" w14:paraId="48280AC0" w14:textId="238941AC" w:rsidTr="004823C3">
        <w:trPr>
          <w:trHeight w:val="160"/>
        </w:trPr>
        <w:tc>
          <w:tcPr>
            <w:tcW w:w="5000" w:type="pct"/>
            <w:gridSpan w:val="2"/>
            <w:shd w:val="clear" w:color="auto" w:fill="3F4A75"/>
            <w:vAlign w:val="center"/>
          </w:tcPr>
          <w:p w14:paraId="63A92DA9" w14:textId="73F7A8A1" w:rsidR="00272E8B" w:rsidRPr="004823C3" w:rsidRDefault="00272E8B" w:rsidP="00852F0E">
            <w:pPr>
              <w:pStyle w:val="TableNheader"/>
              <w:keepNext/>
            </w:pPr>
            <w:r w:rsidRPr="004823C3">
              <w:lastRenderedPageBreak/>
              <w:t>Priority 4: Improving stillbirth reporting and data collection</w:t>
            </w:r>
          </w:p>
        </w:tc>
      </w:tr>
      <w:tr w:rsidR="00272E8B" w:rsidRPr="004823C3" w14:paraId="28624A17" w14:textId="3E7FCBD8" w:rsidTr="004823C3">
        <w:trPr>
          <w:trHeight w:val="151"/>
        </w:trPr>
        <w:tc>
          <w:tcPr>
            <w:tcW w:w="222" w:type="pct"/>
            <w:shd w:val="clear" w:color="auto" w:fill="E6E6E6"/>
            <w:vAlign w:val="center"/>
          </w:tcPr>
          <w:p w14:paraId="7712ADB0" w14:textId="42E21B67" w:rsidR="00272E8B" w:rsidRPr="004823C3" w:rsidRDefault="00D5140F" w:rsidP="00852F0E">
            <w:pPr>
              <w:pStyle w:val="TableNText"/>
            </w:pPr>
            <w:bookmarkStart w:id="18" w:name="_Hlk97825510"/>
            <w:r w:rsidRPr="004823C3">
              <w:t>14</w:t>
            </w:r>
          </w:p>
        </w:tc>
        <w:tc>
          <w:tcPr>
            <w:tcW w:w="4778" w:type="pct"/>
            <w:shd w:val="clear" w:color="auto" w:fill="F2F2F2" w:themeFill="background1" w:themeFillShade="F2"/>
            <w:vAlign w:val="center"/>
          </w:tcPr>
          <w:p w14:paraId="47BBF057" w14:textId="01BC18C6" w:rsidR="00272E8B" w:rsidRPr="004823C3" w:rsidRDefault="00272E8B" w:rsidP="00852F0E">
            <w:pPr>
              <w:pStyle w:val="TableNText"/>
            </w:pPr>
            <w:r w:rsidRPr="004823C3">
              <w:t>Increase in the proportion of women and/or families who are offered stillbirth investigation(s).</w:t>
            </w:r>
            <w:r w:rsidRPr="004823C3">
              <w:footnoteReference w:id="23"/>
            </w:r>
          </w:p>
        </w:tc>
      </w:tr>
      <w:bookmarkEnd w:id="18"/>
      <w:tr w:rsidR="00272E8B" w:rsidRPr="004823C3" w14:paraId="1587A1B0" w14:textId="6D72A549" w:rsidTr="004823C3">
        <w:trPr>
          <w:trHeight w:val="160"/>
        </w:trPr>
        <w:tc>
          <w:tcPr>
            <w:tcW w:w="222" w:type="pct"/>
            <w:shd w:val="clear" w:color="auto" w:fill="E6E6E6"/>
            <w:vAlign w:val="center"/>
          </w:tcPr>
          <w:p w14:paraId="4DD8A5CB" w14:textId="7CE4EB9B" w:rsidR="00272E8B" w:rsidRPr="004823C3" w:rsidRDefault="00272E8B" w:rsidP="00852F0E">
            <w:pPr>
              <w:pStyle w:val="TableNText"/>
            </w:pPr>
            <w:r w:rsidRPr="004823C3">
              <w:t>1</w:t>
            </w:r>
            <w:r w:rsidR="00D5140F" w:rsidRPr="004823C3">
              <w:t>5</w:t>
            </w:r>
          </w:p>
        </w:tc>
        <w:tc>
          <w:tcPr>
            <w:tcW w:w="4778" w:type="pct"/>
            <w:shd w:val="clear" w:color="auto" w:fill="F2F2F2" w:themeFill="background1" w:themeFillShade="F2"/>
            <w:vAlign w:val="center"/>
          </w:tcPr>
          <w:p w14:paraId="623BC1F3" w14:textId="794C041A" w:rsidR="00272E8B" w:rsidRPr="004823C3" w:rsidRDefault="00272E8B" w:rsidP="00852F0E">
            <w:pPr>
              <w:pStyle w:val="TableNText"/>
            </w:pPr>
            <w:r w:rsidRPr="004823C3">
              <w:t>Increase in the proportion of women and/or families who consent to a stillbirth investigation.</w:t>
            </w:r>
            <w:r w:rsidRPr="004823C3">
              <w:footnoteReference w:id="24"/>
            </w:r>
          </w:p>
        </w:tc>
      </w:tr>
      <w:tr w:rsidR="00272E8B" w:rsidRPr="004823C3" w14:paraId="27F20EEA" w14:textId="390DC022" w:rsidTr="004823C3">
        <w:trPr>
          <w:trHeight w:val="160"/>
        </w:trPr>
        <w:tc>
          <w:tcPr>
            <w:tcW w:w="222" w:type="pct"/>
            <w:shd w:val="clear" w:color="auto" w:fill="E6E6E6"/>
            <w:vAlign w:val="center"/>
          </w:tcPr>
          <w:p w14:paraId="01673ABD" w14:textId="34AE6312" w:rsidR="00272E8B" w:rsidRPr="004823C3" w:rsidRDefault="00272E8B" w:rsidP="00852F0E">
            <w:pPr>
              <w:pStyle w:val="TableNText"/>
            </w:pPr>
            <w:r w:rsidRPr="004823C3">
              <w:t>1</w:t>
            </w:r>
            <w:r w:rsidR="00D5140F" w:rsidRPr="004823C3">
              <w:t>6</w:t>
            </w:r>
          </w:p>
        </w:tc>
        <w:tc>
          <w:tcPr>
            <w:tcW w:w="4778" w:type="pct"/>
            <w:shd w:val="clear" w:color="auto" w:fill="F2F2F2" w:themeFill="background1" w:themeFillShade="F2"/>
            <w:vAlign w:val="center"/>
          </w:tcPr>
          <w:p w14:paraId="5F90A17B" w14:textId="542B3388" w:rsidR="00272E8B" w:rsidRPr="004823C3" w:rsidRDefault="00272E8B" w:rsidP="00852F0E">
            <w:pPr>
              <w:pStyle w:val="TableNText"/>
            </w:pPr>
            <w:r w:rsidRPr="004823C3">
              <w:t>Decrease in the proportion of stillbirths that are unexplained.</w:t>
            </w:r>
            <w:r w:rsidRPr="004823C3">
              <w:footnoteReference w:id="25"/>
            </w:r>
          </w:p>
        </w:tc>
      </w:tr>
      <w:tr w:rsidR="00C94FA6" w:rsidRPr="004823C3" w14:paraId="1F1849B1" w14:textId="77777777" w:rsidTr="004823C3">
        <w:trPr>
          <w:trHeight w:val="160"/>
        </w:trPr>
        <w:tc>
          <w:tcPr>
            <w:tcW w:w="222" w:type="pct"/>
            <w:shd w:val="clear" w:color="auto" w:fill="E6E6E6"/>
            <w:vAlign w:val="center"/>
          </w:tcPr>
          <w:p w14:paraId="1C03D72F" w14:textId="3D8F93AA" w:rsidR="00C94FA6" w:rsidRPr="004823C3" w:rsidRDefault="00D5140F" w:rsidP="00852F0E">
            <w:pPr>
              <w:pStyle w:val="TableNText"/>
            </w:pPr>
            <w:r w:rsidRPr="004823C3">
              <w:t>17</w:t>
            </w:r>
          </w:p>
        </w:tc>
        <w:tc>
          <w:tcPr>
            <w:tcW w:w="4778" w:type="pct"/>
            <w:shd w:val="clear" w:color="auto" w:fill="F2F2F2" w:themeFill="background1" w:themeFillShade="F2"/>
            <w:vAlign w:val="center"/>
          </w:tcPr>
          <w:p w14:paraId="5A62E5D7" w14:textId="5A0A3899" w:rsidR="00C94FA6" w:rsidRPr="004823C3" w:rsidRDefault="00C94FA6" w:rsidP="00852F0E">
            <w:pPr>
              <w:pStyle w:val="TableNText"/>
            </w:pPr>
            <w:r w:rsidRPr="004823C3">
              <w:t>Increase in the timeliness</w:t>
            </w:r>
            <w:r w:rsidR="00135DC2" w:rsidRPr="004823C3">
              <w:t xml:space="preserve"> of published stillbirth data.</w:t>
            </w:r>
            <w:r w:rsidR="00C9146E" w:rsidRPr="004823C3">
              <w:footnoteReference w:id="26"/>
            </w:r>
            <w:r w:rsidR="00135DC2" w:rsidRPr="004823C3">
              <w:t xml:space="preserve">  </w:t>
            </w:r>
          </w:p>
        </w:tc>
      </w:tr>
      <w:tr w:rsidR="00272E8B" w:rsidRPr="004823C3" w14:paraId="2F37B52A" w14:textId="0A202158" w:rsidTr="004823C3">
        <w:trPr>
          <w:trHeight w:val="160"/>
        </w:trPr>
        <w:tc>
          <w:tcPr>
            <w:tcW w:w="5000" w:type="pct"/>
            <w:gridSpan w:val="2"/>
            <w:shd w:val="clear" w:color="auto" w:fill="3F4A75"/>
            <w:vAlign w:val="center"/>
          </w:tcPr>
          <w:p w14:paraId="0DABE46B" w14:textId="554A654D" w:rsidR="00272E8B" w:rsidRPr="004823C3" w:rsidRDefault="00272E8B" w:rsidP="004823C3">
            <w:pPr>
              <w:pStyle w:val="TableNheader"/>
            </w:pPr>
            <w:r w:rsidRPr="004823C3">
              <w:t>Priority 5: Prioritising stillbirth research</w:t>
            </w:r>
          </w:p>
        </w:tc>
      </w:tr>
      <w:tr w:rsidR="00272E8B" w:rsidRPr="004823C3" w14:paraId="394DA982" w14:textId="66A44892" w:rsidTr="004823C3">
        <w:trPr>
          <w:trHeight w:val="151"/>
        </w:trPr>
        <w:tc>
          <w:tcPr>
            <w:tcW w:w="222" w:type="pct"/>
            <w:shd w:val="clear" w:color="auto" w:fill="E6E6E6"/>
            <w:vAlign w:val="center"/>
          </w:tcPr>
          <w:p w14:paraId="6F6CFA98" w14:textId="5536C794" w:rsidR="00272E8B" w:rsidRPr="004823C3" w:rsidRDefault="00272E8B" w:rsidP="00852F0E">
            <w:pPr>
              <w:pStyle w:val="TableNText"/>
            </w:pPr>
            <w:r w:rsidRPr="004823C3">
              <w:t>1</w:t>
            </w:r>
            <w:r w:rsidR="00D5140F" w:rsidRPr="004823C3">
              <w:t>8</w:t>
            </w:r>
          </w:p>
        </w:tc>
        <w:tc>
          <w:tcPr>
            <w:tcW w:w="4778" w:type="pct"/>
            <w:shd w:val="clear" w:color="auto" w:fill="F2F2F2" w:themeFill="background1" w:themeFillShade="F2"/>
            <w:vAlign w:val="center"/>
          </w:tcPr>
          <w:p w14:paraId="47810066" w14:textId="63ABEFD2" w:rsidR="00272E8B" w:rsidRPr="004823C3" w:rsidRDefault="00272E8B" w:rsidP="00852F0E">
            <w:pPr>
              <w:pStyle w:val="TableNText"/>
            </w:pPr>
            <w:r w:rsidRPr="004823C3">
              <w:t xml:space="preserve">Increase in the number of research projects </w:t>
            </w:r>
            <w:r w:rsidR="00F8248B" w:rsidRPr="004823C3">
              <w:t xml:space="preserve">in, </w:t>
            </w:r>
            <w:r w:rsidRPr="004823C3">
              <w:t xml:space="preserve">and amount of funding </w:t>
            </w:r>
            <w:r w:rsidR="00F8248B" w:rsidRPr="004823C3">
              <w:t>granted to,</w:t>
            </w:r>
            <w:r w:rsidRPr="004823C3">
              <w:t xml:space="preserve"> the stillbirth priority research areas.</w:t>
            </w:r>
          </w:p>
        </w:tc>
      </w:tr>
    </w:tbl>
    <w:p w14:paraId="14BCCEFD" w14:textId="52199F34" w:rsidR="005F2FC7" w:rsidRPr="00EE2EB8" w:rsidRDefault="009C1526" w:rsidP="00ED2B74">
      <w:pPr>
        <w:pStyle w:val="Heading3"/>
        <w:rPr>
          <w:rFonts w:cs="Arial"/>
        </w:rPr>
      </w:pPr>
      <w:r w:rsidRPr="00EE2EB8">
        <w:rPr>
          <w:rFonts w:cs="Arial"/>
        </w:rPr>
        <w:t xml:space="preserve">There are limitations to the national </w:t>
      </w:r>
      <w:r w:rsidR="00591746" w:rsidRPr="00EE2EB8">
        <w:rPr>
          <w:rFonts w:cs="Arial"/>
        </w:rPr>
        <w:t xml:space="preserve">evaluation </w:t>
      </w:r>
      <w:r w:rsidRPr="00EE2EB8">
        <w:rPr>
          <w:rFonts w:cs="Arial"/>
        </w:rPr>
        <w:t>indicators given available data.</w:t>
      </w:r>
    </w:p>
    <w:p w14:paraId="27EBA973" w14:textId="352A8BC5" w:rsidR="00FE721E" w:rsidRPr="00EE2EB8" w:rsidRDefault="000F71A3" w:rsidP="00F02F86">
      <w:pPr>
        <w:spacing w:line="257" w:lineRule="auto"/>
        <w:rPr>
          <w:rFonts w:ascii="Arial" w:hAnsi="Arial" w:cs="Arial"/>
        </w:rPr>
      </w:pPr>
      <w:r w:rsidRPr="00EE2EB8">
        <w:rPr>
          <w:rFonts w:ascii="Arial" w:hAnsi="Arial" w:cs="Arial"/>
        </w:rPr>
        <w:t>Key</w:t>
      </w:r>
      <w:r w:rsidR="00DF0F32" w:rsidRPr="00EE2EB8">
        <w:rPr>
          <w:rFonts w:ascii="Arial" w:hAnsi="Arial" w:cs="Arial"/>
        </w:rPr>
        <w:t xml:space="preserve"> limitations </w:t>
      </w:r>
      <w:r w:rsidR="009F7FA4">
        <w:rPr>
          <w:rFonts w:ascii="Arial" w:hAnsi="Arial" w:cs="Arial"/>
        </w:rPr>
        <w:t>relating</w:t>
      </w:r>
      <w:r w:rsidR="00DF0F32" w:rsidRPr="00EE2EB8">
        <w:rPr>
          <w:rFonts w:ascii="Arial" w:hAnsi="Arial" w:cs="Arial"/>
        </w:rPr>
        <w:t xml:space="preserve"> to </w:t>
      </w:r>
      <w:r w:rsidR="009F7FA4">
        <w:rPr>
          <w:rFonts w:ascii="Arial" w:hAnsi="Arial" w:cs="Arial"/>
        </w:rPr>
        <w:t>the</w:t>
      </w:r>
      <w:r w:rsidR="00DF0F32" w:rsidRPr="00EE2EB8">
        <w:rPr>
          <w:rFonts w:ascii="Arial" w:hAnsi="Arial" w:cs="Arial"/>
        </w:rPr>
        <w:t xml:space="preserve"> data sources </w:t>
      </w:r>
      <w:r w:rsidR="00E80F36">
        <w:rPr>
          <w:rFonts w:ascii="Arial" w:hAnsi="Arial" w:cs="Arial"/>
        </w:rPr>
        <w:t xml:space="preserve">proposed </w:t>
      </w:r>
      <w:r w:rsidR="00FE721E" w:rsidRPr="00EE2EB8">
        <w:rPr>
          <w:rFonts w:ascii="Arial" w:hAnsi="Arial" w:cs="Arial"/>
        </w:rPr>
        <w:t xml:space="preserve">to be used to measure the national </w:t>
      </w:r>
      <w:r w:rsidR="00591746" w:rsidRPr="00EE2EB8">
        <w:rPr>
          <w:rFonts w:ascii="Arial" w:hAnsi="Arial" w:cs="Arial"/>
        </w:rPr>
        <w:t xml:space="preserve">evaluation </w:t>
      </w:r>
      <w:r w:rsidR="00FE721E" w:rsidRPr="00EE2EB8">
        <w:rPr>
          <w:rFonts w:ascii="Arial" w:hAnsi="Arial" w:cs="Arial"/>
        </w:rPr>
        <w:t>indicators are below</w:t>
      </w:r>
      <w:r w:rsidR="00FE721E" w:rsidRPr="00402B1F">
        <w:rPr>
          <w:rFonts w:ascii="Arial" w:hAnsi="Arial" w:cs="Arial"/>
        </w:rPr>
        <w:t>.</w:t>
      </w:r>
      <w:r w:rsidR="00AB1FB0">
        <w:rPr>
          <w:rFonts w:ascii="Arial" w:hAnsi="Arial" w:cs="Arial"/>
        </w:rPr>
        <w:t xml:space="preserve"> </w:t>
      </w:r>
      <w:r w:rsidR="00FE721E" w:rsidRPr="00EE2EB8">
        <w:rPr>
          <w:rFonts w:ascii="Arial" w:hAnsi="Arial" w:cs="Arial"/>
          <w:lang w:eastAsia="en-AU"/>
        </w:rPr>
        <w:fldChar w:fldCharType="begin"/>
      </w:r>
      <w:r w:rsidR="00FE721E" w:rsidRPr="00EE2EB8">
        <w:rPr>
          <w:rFonts w:ascii="Arial" w:hAnsi="Arial" w:cs="Arial"/>
          <w:lang w:eastAsia="en-AU"/>
        </w:rPr>
        <w:instrText xml:space="preserve"> REF _Ref86911526 \w \h </w:instrText>
      </w:r>
      <w:r w:rsidR="00402B1F" w:rsidRPr="00EE2EB8">
        <w:rPr>
          <w:rFonts w:ascii="Arial" w:hAnsi="Arial" w:cs="Arial"/>
          <w:lang w:eastAsia="en-AU"/>
        </w:rPr>
        <w:instrText xml:space="preserve"> \* MERGEFORMAT </w:instrText>
      </w:r>
      <w:r w:rsidR="00FE721E" w:rsidRPr="00EE2EB8">
        <w:rPr>
          <w:rFonts w:ascii="Arial" w:hAnsi="Arial" w:cs="Arial"/>
          <w:lang w:eastAsia="en-AU"/>
        </w:rPr>
      </w:r>
      <w:r w:rsidR="00FE721E" w:rsidRPr="00EE2EB8">
        <w:rPr>
          <w:rFonts w:ascii="Arial" w:hAnsi="Arial" w:cs="Arial"/>
          <w:lang w:eastAsia="en-AU"/>
        </w:rPr>
        <w:fldChar w:fldCharType="separate"/>
      </w:r>
      <w:r w:rsidR="00CF19E2">
        <w:rPr>
          <w:rFonts w:ascii="Arial" w:hAnsi="Arial" w:cs="Arial"/>
          <w:lang w:eastAsia="en-AU"/>
        </w:rPr>
        <w:t>Appendix C</w:t>
      </w:r>
      <w:r w:rsidR="00FE721E" w:rsidRPr="00EE2EB8">
        <w:rPr>
          <w:rFonts w:ascii="Arial" w:hAnsi="Arial" w:cs="Arial"/>
          <w:lang w:eastAsia="en-AU"/>
        </w:rPr>
        <w:fldChar w:fldCharType="end"/>
      </w:r>
      <w:r w:rsidR="00FE721E" w:rsidRPr="00EE2EB8">
        <w:rPr>
          <w:rFonts w:ascii="Arial" w:hAnsi="Arial" w:cs="Arial"/>
          <w:lang w:eastAsia="en-AU"/>
        </w:rPr>
        <w:t xml:space="preserve"> provides detail on the rationale, </w:t>
      </w:r>
      <w:proofErr w:type="gramStart"/>
      <w:r w:rsidR="00FE721E" w:rsidRPr="00EE2EB8">
        <w:rPr>
          <w:rFonts w:ascii="Arial" w:hAnsi="Arial" w:cs="Arial"/>
          <w:lang w:eastAsia="en-AU"/>
        </w:rPr>
        <w:t>challenges</w:t>
      </w:r>
      <w:proofErr w:type="gramEnd"/>
      <w:r w:rsidR="00FE721E" w:rsidRPr="00EE2EB8">
        <w:rPr>
          <w:rFonts w:ascii="Arial" w:hAnsi="Arial" w:cs="Arial"/>
          <w:lang w:eastAsia="en-AU"/>
        </w:rPr>
        <w:t xml:space="preserve"> and data for each indicator</w:t>
      </w:r>
      <w:r w:rsidRPr="00EE2EB8">
        <w:rPr>
          <w:rFonts w:ascii="Arial" w:hAnsi="Arial" w:cs="Arial"/>
          <w:lang w:eastAsia="en-AU"/>
        </w:rPr>
        <w:t xml:space="preserve">. </w:t>
      </w:r>
    </w:p>
    <w:p w14:paraId="2A8DE558" w14:textId="6647D482" w:rsidR="0073683C" w:rsidRPr="00EE2EB8" w:rsidRDefault="0073683C" w:rsidP="00FE721E">
      <w:pPr>
        <w:rPr>
          <w:rFonts w:ascii="Arial" w:hAnsi="Arial" w:cs="Arial"/>
        </w:rPr>
      </w:pPr>
      <w:r w:rsidRPr="00EE2EB8">
        <w:rPr>
          <w:rFonts w:ascii="Arial" w:hAnsi="Arial" w:cs="Arial"/>
        </w:rPr>
        <w:t xml:space="preserve">Key limitations related to measurement of national </w:t>
      </w:r>
      <w:r w:rsidR="00591746" w:rsidRPr="00EE2EB8">
        <w:rPr>
          <w:rFonts w:ascii="Arial" w:hAnsi="Arial" w:cs="Arial"/>
        </w:rPr>
        <w:t xml:space="preserve">evaluation </w:t>
      </w:r>
      <w:r w:rsidRPr="00EE2EB8">
        <w:rPr>
          <w:rFonts w:ascii="Arial" w:hAnsi="Arial" w:cs="Arial"/>
        </w:rPr>
        <w:t xml:space="preserve">indicators include: </w:t>
      </w:r>
    </w:p>
    <w:p w14:paraId="31394A4F" w14:textId="0C8EC07B" w:rsidR="006C0C72" w:rsidRPr="006C0C72" w:rsidRDefault="006C0C72" w:rsidP="00ED2B74">
      <w:pPr>
        <w:pStyle w:val="ListBullet"/>
      </w:pPr>
      <w:r w:rsidRPr="006C0C72">
        <w:rPr>
          <w:b/>
        </w:rPr>
        <w:t xml:space="preserve">There is a time lag in key maternity services and stillbirth data. </w:t>
      </w:r>
      <w:r w:rsidR="009F7FA4">
        <w:t>Whilst there have been</w:t>
      </w:r>
      <w:r w:rsidR="003C5551">
        <w:t xml:space="preserve"> recent</w:t>
      </w:r>
      <w:r w:rsidR="009F7FA4">
        <w:t xml:space="preserve"> improvements</w:t>
      </w:r>
      <w:r w:rsidR="00D21C22">
        <w:t>, such as the publication of preliminary data</w:t>
      </w:r>
      <w:r w:rsidR="009F7FA4">
        <w:t>, t</w:t>
      </w:r>
      <w:r w:rsidRPr="006C0C72">
        <w:t xml:space="preserve">here is </w:t>
      </w:r>
      <w:r w:rsidR="00D21C22">
        <w:t xml:space="preserve">still </w:t>
      </w:r>
      <w:r w:rsidRPr="006C0C72">
        <w:t xml:space="preserve">a time lag in maternity and stillbirth data that </w:t>
      </w:r>
      <w:proofErr w:type="gramStart"/>
      <w:r w:rsidRPr="006C0C72">
        <w:t>states</w:t>
      </w:r>
      <w:proofErr w:type="gramEnd"/>
      <w:r w:rsidRPr="006C0C72">
        <w:t xml:space="preserve"> and territories report to AIHW. </w:t>
      </w:r>
      <w:r w:rsidR="00220FA3">
        <w:t>Available data</w:t>
      </w:r>
      <w:r w:rsidR="00E129DA">
        <w:t>, that has been validated,</w:t>
      </w:r>
      <w:r w:rsidR="00220FA3">
        <w:t xml:space="preserve"> is often reporting on the period two to three years prior (</w:t>
      </w:r>
      <w:proofErr w:type="gramStart"/>
      <w:r w:rsidR="00220FA3">
        <w:t>e.g.</w:t>
      </w:r>
      <w:proofErr w:type="gramEnd"/>
      <w:r w:rsidR="00220FA3">
        <w:t xml:space="preserve"> 2021 published reports include 2018 and 2019 data).</w:t>
      </w:r>
      <w:r w:rsidR="00066E6F">
        <w:t xml:space="preserve"> </w:t>
      </w:r>
      <w:r w:rsidRPr="006C0C72">
        <w:t xml:space="preserve">The AIHW is working with jurisdictions to </w:t>
      </w:r>
      <w:r w:rsidR="00720828">
        <w:t>improve</w:t>
      </w:r>
      <w:r w:rsidRPr="006C0C72">
        <w:t xml:space="preserve"> access</w:t>
      </w:r>
      <w:r w:rsidR="00720828">
        <w:t xml:space="preserve"> to</w:t>
      </w:r>
      <w:r w:rsidRPr="006C0C72">
        <w:t xml:space="preserve"> timely data, </w:t>
      </w:r>
      <w:r w:rsidR="00D205E0">
        <w:t>for example by releasing preliminary datasets</w:t>
      </w:r>
      <w:r w:rsidR="00995E6A">
        <w:t xml:space="preserve"> that provide data for the previous year. </w:t>
      </w:r>
      <w:r w:rsidR="0074636C">
        <w:t>Efforts by the AIHW and jurisdictions mean</w:t>
      </w:r>
      <w:r w:rsidR="00E862CA">
        <w:t xml:space="preserve"> there</w:t>
      </w:r>
      <w:r w:rsidR="006351DB">
        <w:t xml:space="preserve"> </w:t>
      </w:r>
      <w:r w:rsidR="00E862CA">
        <w:t>may be further</w:t>
      </w:r>
      <w:r w:rsidR="0074636C">
        <w:t xml:space="preserve"> </w:t>
      </w:r>
      <w:r w:rsidR="00C8769F">
        <w:t>improvement</w:t>
      </w:r>
      <w:r w:rsidR="00737D4F">
        <w:t xml:space="preserve">s around timely access to data </w:t>
      </w:r>
      <w:r w:rsidR="006351DB">
        <w:t>during the</w:t>
      </w:r>
      <w:r w:rsidR="00737D4F">
        <w:t xml:space="preserve"> evaluation period. </w:t>
      </w:r>
    </w:p>
    <w:p w14:paraId="7F219096" w14:textId="6335A01B" w:rsidR="00BA0E05" w:rsidRPr="00237147" w:rsidRDefault="00237147" w:rsidP="00ED2B74">
      <w:pPr>
        <w:pStyle w:val="ListBullet"/>
        <w:rPr>
          <w:b/>
        </w:rPr>
      </w:pPr>
      <w:r w:rsidRPr="00237147">
        <w:rPr>
          <w:b/>
        </w:rPr>
        <w:t xml:space="preserve">Some data cannot be disaggregated by cohort or rurality. </w:t>
      </w:r>
      <w:r w:rsidR="00BA0E05" w:rsidRPr="00EE2EB8">
        <w:t xml:space="preserve">Whilst some AIHW and other data </w:t>
      </w:r>
      <w:r w:rsidRPr="00237147">
        <w:rPr>
          <w:bCs/>
        </w:rPr>
        <w:t>can</w:t>
      </w:r>
      <w:r w:rsidR="00BA0E05" w:rsidRPr="00EE2EB8">
        <w:t xml:space="preserve"> be disaggregated, this </w:t>
      </w:r>
      <w:r w:rsidR="004221C3" w:rsidRPr="00EE2EB8">
        <w:t xml:space="preserve">is not the case for all data sources being used to report on national </w:t>
      </w:r>
      <w:r w:rsidR="00591746" w:rsidRPr="00EE2EB8">
        <w:t xml:space="preserve">evaluation </w:t>
      </w:r>
      <w:r w:rsidR="004221C3" w:rsidRPr="00EE2EB8">
        <w:t xml:space="preserve">indicators. This means it will be difficult (or in some cases not possible) to measure the effect </w:t>
      </w:r>
      <w:r w:rsidR="00DD78E5" w:rsidRPr="00EE2EB8">
        <w:t xml:space="preserve">in specific cohorts. </w:t>
      </w:r>
      <w:r w:rsidR="00422707">
        <w:t>This is particularly the case when disaggregating by Aboriginality</w:t>
      </w:r>
      <w:r w:rsidR="00703C54">
        <w:t xml:space="preserve"> in combination with other risk factors such as age or remoteness. </w:t>
      </w:r>
      <w:r w:rsidR="004D16CF" w:rsidRPr="00EE2EB8">
        <w:t xml:space="preserve">Where possible, </w:t>
      </w:r>
      <w:r w:rsidRPr="00237147">
        <w:rPr>
          <w:bCs/>
        </w:rPr>
        <w:t xml:space="preserve">the </w:t>
      </w:r>
      <w:r w:rsidR="004D16CF" w:rsidRPr="00EE2EB8">
        <w:t xml:space="preserve">evaluation will report </w:t>
      </w:r>
      <w:r w:rsidR="008B1D1E" w:rsidRPr="00EE2EB8">
        <w:t>disaggregated</w:t>
      </w:r>
      <w:r w:rsidR="004D16CF" w:rsidRPr="00EE2EB8">
        <w:t xml:space="preserve"> data or use case studies to highlight differential approaches and impacts across jurisdictions, </w:t>
      </w:r>
      <w:proofErr w:type="gramStart"/>
      <w:r w:rsidR="008B1D1E" w:rsidRPr="00EE2EB8">
        <w:t>locations</w:t>
      </w:r>
      <w:proofErr w:type="gramEnd"/>
      <w:r w:rsidR="008B1D1E" w:rsidRPr="00EE2EB8">
        <w:t xml:space="preserve"> </w:t>
      </w:r>
      <w:r w:rsidR="004D16CF" w:rsidRPr="00EE2EB8">
        <w:t>and</w:t>
      </w:r>
      <w:r w:rsidR="00B90624">
        <w:t xml:space="preserve"> target</w:t>
      </w:r>
      <w:r w:rsidR="008B1D1E" w:rsidRPr="00EE2EB8">
        <w:t xml:space="preserve"> cohorts. </w:t>
      </w:r>
      <w:r w:rsidR="00A1382B" w:rsidRPr="00EE2EB8">
        <w:t xml:space="preserve">Where counts are low for </w:t>
      </w:r>
      <w:proofErr w:type="gramStart"/>
      <w:r w:rsidR="00A1382B" w:rsidRPr="00EE2EB8">
        <w:t>particular demographic</w:t>
      </w:r>
      <w:proofErr w:type="gramEnd"/>
      <w:r w:rsidR="00A1382B" w:rsidRPr="00EE2EB8">
        <w:t xml:space="preserve"> characteristics, </w:t>
      </w:r>
      <w:r w:rsidR="00767F5A" w:rsidRPr="00EE2EB8">
        <w:t xml:space="preserve">analysis will be conducted on one variable at a time to ensure sufficient sample size for the analysis. </w:t>
      </w:r>
      <w:r w:rsidR="00EA3080">
        <w:t>In the instance sample sizes are not sufficient, data from multiple years may be aggregated.</w:t>
      </w:r>
      <w:r w:rsidR="00767F5A" w:rsidRPr="00EE2EB8">
        <w:t xml:space="preserve"> </w:t>
      </w:r>
      <w:r w:rsidR="0046217E" w:rsidRPr="00EE2EB8">
        <w:t>A</w:t>
      </w:r>
      <w:r w:rsidR="004C461D" w:rsidRPr="00EE2EB8">
        <w:t xml:space="preserve">dditional steps will be taken </w:t>
      </w:r>
      <w:r w:rsidR="0046217E" w:rsidRPr="00EE2EB8">
        <w:t xml:space="preserve">for sensitive cohorts, such as Aboriginal and Torres Strait Islander women, </w:t>
      </w:r>
      <w:r w:rsidR="004C461D" w:rsidRPr="00EE2EB8">
        <w:t>to ensure outputs are non-identifiable</w:t>
      </w:r>
      <w:r w:rsidR="00A1382B" w:rsidRPr="00EE2EB8">
        <w:t>.</w:t>
      </w:r>
    </w:p>
    <w:p w14:paraId="3578B2BF" w14:textId="330B8CF1" w:rsidR="008130C8" w:rsidRPr="008130C8" w:rsidRDefault="008130C8" w:rsidP="00ED2B74">
      <w:pPr>
        <w:pStyle w:val="ListBullet"/>
      </w:pPr>
      <w:r w:rsidRPr="008130C8">
        <w:rPr>
          <w:b/>
          <w:bCs/>
        </w:rPr>
        <w:lastRenderedPageBreak/>
        <w:t>Some goals and outcomes must be measured using proxies</w:t>
      </w:r>
      <w:r w:rsidRPr="008130C8">
        <w:t>. The evaluation must use proxy measures or case studies to report on some national evaluation indicators as some data, such as quality and experiences, is not available. Proxy data sources use</w:t>
      </w:r>
      <w:r w:rsidR="0051620E">
        <w:t>d</w:t>
      </w:r>
      <w:r w:rsidRPr="008130C8">
        <w:t xml:space="preserve"> to report on indicators include:</w:t>
      </w:r>
    </w:p>
    <w:p w14:paraId="4BD5F09B" w14:textId="753A5635" w:rsidR="001B5060" w:rsidRPr="00EE2EB8" w:rsidRDefault="001B5060" w:rsidP="00ED2B74">
      <w:pPr>
        <w:pStyle w:val="ListBullet"/>
      </w:pPr>
      <w:r w:rsidRPr="00EE2EB8">
        <w:t xml:space="preserve">The quality of maternity care and bereavement care </w:t>
      </w:r>
      <w:r w:rsidR="0083143D" w:rsidRPr="00EE2EB8">
        <w:t>is subjective and difficult to</w:t>
      </w:r>
      <w:r w:rsidR="0083143D" w:rsidRPr="00EE2EB8" w:rsidDel="00032D79">
        <w:t xml:space="preserve"> </w:t>
      </w:r>
      <w:r w:rsidR="0083143D" w:rsidRPr="00EE2EB8">
        <w:t>measure without surveying or consulting women and families</w:t>
      </w:r>
      <w:r w:rsidR="00336BA9" w:rsidRPr="00EE2EB8">
        <w:t xml:space="preserve"> and health services. </w:t>
      </w:r>
      <w:r w:rsidR="00703C54">
        <w:t>This problem is particularly relevant to Aboriginal and Torres Strait Islander women and the</w:t>
      </w:r>
      <w:r w:rsidR="00D61CC0">
        <w:t xml:space="preserve"> quality of</w:t>
      </w:r>
      <w:r w:rsidR="00BB07D8">
        <w:t xml:space="preserve"> </w:t>
      </w:r>
      <w:r w:rsidR="00703C54">
        <w:t>stillbirth and bereavement care</w:t>
      </w:r>
      <w:r w:rsidR="00D61CC0">
        <w:t xml:space="preserve"> they receive</w:t>
      </w:r>
      <w:r w:rsidR="00703C54">
        <w:t>.</w:t>
      </w:r>
      <w:r w:rsidR="00336BA9" w:rsidRPr="00EE2EB8">
        <w:t xml:space="preserve"> </w:t>
      </w:r>
      <w:r w:rsidR="009853B2" w:rsidRPr="00EE2EB8">
        <w:t>The national</w:t>
      </w:r>
      <w:r w:rsidR="00591746" w:rsidRPr="00EE2EB8">
        <w:t xml:space="preserve"> evaluation</w:t>
      </w:r>
      <w:r w:rsidR="009853B2" w:rsidRPr="00EE2EB8">
        <w:t xml:space="preserve"> indicators indirectly measure </w:t>
      </w:r>
      <w:r w:rsidR="007F3B51">
        <w:t>care quality</w:t>
      </w:r>
      <w:r w:rsidR="009853B2" w:rsidRPr="00EE2EB8">
        <w:t xml:space="preserve"> by focusing on outcomes that are</w:t>
      </w:r>
      <w:r w:rsidR="003A1703" w:rsidRPr="00EE2EB8">
        <w:t xml:space="preserve"> </w:t>
      </w:r>
      <w:r w:rsidR="00D87734">
        <w:t xml:space="preserve">likely </w:t>
      </w:r>
      <w:r w:rsidR="003A1703" w:rsidRPr="00EE2EB8">
        <w:t xml:space="preserve">impacted to some extent </w:t>
      </w:r>
      <w:r w:rsidR="009853B2" w:rsidRPr="00EE2EB8">
        <w:t>by the quality of care provided, e.g., increase in frequency of antenatal care attendance and decrease in stillbirth rates.</w:t>
      </w:r>
      <w:r w:rsidR="00364879" w:rsidRPr="00EE2EB8">
        <w:t xml:space="preserve"> </w:t>
      </w:r>
      <w:r w:rsidR="00B634D7" w:rsidRPr="00EE2EB8">
        <w:t xml:space="preserve">Existing datasets and consultations with bereavement </w:t>
      </w:r>
      <w:r w:rsidR="00FF6258" w:rsidRPr="00EE2EB8">
        <w:t xml:space="preserve">services and advocacy groups can inform </w:t>
      </w:r>
      <w:r w:rsidR="00D30F28" w:rsidRPr="00EE2EB8">
        <w:t>case studies</w:t>
      </w:r>
      <w:r w:rsidR="00B634D7" w:rsidRPr="00EE2EB8">
        <w:t xml:space="preserve"> </w:t>
      </w:r>
      <w:r w:rsidR="000B297E">
        <w:t xml:space="preserve">to help understand </w:t>
      </w:r>
      <w:r w:rsidR="00FF6258" w:rsidRPr="00EE2EB8">
        <w:t xml:space="preserve">the </w:t>
      </w:r>
      <w:r w:rsidR="00D30F28" w:rsidRPr="00EE2EB8">
        <w:t>quality</w:t>
      </w:r>
      <w:r w:rsidR="00FF6258" w:rsidRPr="00EE2EB8">
        <w:t xml:space="preserve"> of bereavement care</w:t>
      </w:r>
      <w:r w:rsidR="00D30F28" w:rsidRPr="00EE2EB8">
        <w:t>.</w:t>
      </w:r>
    </w:p>
    <w:p w14:paraId="2B9A8E9E" w14:textId="1DCF6268" w:rsidR="0009282E" w:rsidRDefault="00EF4F6A" w:rsidP="00ED2B74">
      <w:pPr>
        <w:pStyle w:val="ListBullet"/>
      </w:pPr>
      <w:r w:rsidRPr="00EE2EB8">
        <w:t xml:space="preserve">Cultural safety is a subjective experience and can only be measured </w:t>
      </w:r>
      <w:r w:rsidR="00A722E5">
        <w:t>accurately</w:t>
      </w:r>
      <w:r w:rsidRPr="00EE2EB8">
        <w:t xml:space="preserve"> through direct feedback</w:t>
      </w:r>
      <w:r w:rsidRPr="00EE2EB8" w:rsidDel="00032D79">
        <w:t xml:space="preserve"> </w:t>
      </w:r>
      <w:r w:rsidR="00CB53CE">
        <w:t>such as through</w:t>
      </w:r>
      <w:r w:rsidRPr="00EE2EB8" w:rsidDel="00032D79">
        <w:t xml:space="preserve"> a survey or other form of consultation</w:t>
      </w:r>
      <w:r w:rsidRPr="00EE2EB8">
        <w:t xml:space="preserve">. </w:t>
      </w:r>
      <w:r w:rsidR="006F2FA0">
        <w:t>A national evaluation indicator relevant to cultural safety is included in the evaluation</w:t>
      </w:r>
      <w:r w:rsidR="00EF573E">
        <w:t xml:space="preserve"> </w:t>
      </w:r>
      <w:r w:rsidR="009C443B">
        <w:t xml:space="preserve">(see Section </w:t>
      </w:r>
      <w:r w:rsidR="009C443B">
        <w:fldChar w:fldCharType="begin"/>
      </w:r>
      <w:r w:rsidR="009C443B">
        <w:instrText xml:space="preserve"> REF _Ref88659891 \r \h </w:instrText>
      </w:r>
      <w:r w:rsidR="009C443B">
        <w:fldChar w:fldCharType="separate"/>
      </w:r>
      <w:r w:rsidR="00CF19E2">
        <w:t>2.4</w:t>
      </w:r>
      <w:r w:rsidR="009C443B">
        <w:fldChar w:fldCharType="end"/>
      </w:r>
      <w:r w:rsidR="009C443B">
        <w:t>)</w:t>
      </w:r>
      <w:r w:rsidR="00EF573E">
        <w:t xml:space="preserve">. </w:t>
      </w:r>
      <w:r w:rsidR="0049686C">
        <w:t>However, a</w:t>
      </w:r>
      <w:r w:rsidR="00F84CBF">
        <w:t xml:space="preserve">s </w:t>
      </w:r>
      <w:r w:rsidR="001B6B10">
        <w:t>of</w:t>
      </w:r>
      <w:r w:rsidR="007E6B91">
        <w:t xml:space="preserve"> March 2022,</w:t>
      </w:r>
      <w:r w:rsidR="00C5339F">
        <w:t xml:space="preserve"> </w:t>
      </w:r>
      <w:r w:rsidR="00E12CBF">
        <w:t xml:space="preserve">quantitative </w:t>
      </w:r>
      <w:r w:rsidR="006F2FA0">
        <w:t>data limitations mean</w:t>
      </w:r>
      <w:r w:rsidR="00E12CBF">
        <w:t xml:space="preserve"> it is difficult to assess nationally the extent to which women have access to culturally safe services. Therefore, the </w:t>
      </w:r>
      <w:r w:rsidR="002065E8">
        <w:t>evaluation</w:t>
      </w:r>
      <w:r w:rsidR="00E12CBF">
        <w:t xml:space="preserve"> will also consider cultural safety</w:t>
      </w:r>
      <w:r w:rsidR="002065E8">
        <w:t xml:space="preserve"> through </w:t>
      </w:r>
      <w:r w:rsidR="00C12E5E">
        <w:t xml:space="preserve">two proxy </w:t>
      </w:r>
      <w:r w:rsidR="001B6B10">
        <w:t>measures</w:t>
      </w:r>
      <w:r w:rsidR="00C12E5E">
        <w:t>.</w:t>
      </w:r>
      <w:r w:rsidR="00514C16">
        <w:t xml:space="preserve"> </w:t>
      </w:r>
      <w:r w:rsidR="002D571B">
        <w:t>These proxy measures are</w:t>
      </w:r>
      <w:r w:rsidR="00F60B73" w:rsidRPr="00EE2EB8">
        <w:t xml:space="preserve"> </w:t>
      </w:r>
      <w:r w:rsidRPr="00EE2EB8">
        <w:t>the availability of target cohort-specific care, such as Aboriginal Medical Services</w:t>
      </w:r>
      <w:r w:rsidR="002C28B8">
        <w:t xml:space="preserve"> or </w:t>
      </w:r>
      <w:r w:rsidR="00AF6BCB">
        <w:t xml:space="preserve">the </w:t>
      </w:r>
      <w:r w:rsidR="0057071B">
        <w:t>Birthing on County pr</w:t>
      </w:r>
      <w:r w:rsidR="00AF6BCB">
        <w:t>ogram</w:t>
      </w:r>
      <w:r w:rsidR="00645424">
        <w:t>,</w:t>
      </w:r>
      <w:r w:rsidR="00F60B73" w:rsidRPr="00EE2EB8">
        <w:t xml:space="preserve"> and the </w:t>
      </w:r>
      <w:r w:rsidR="001B5060" w:rsidRPr="00EE2EB8">
        <w:t>number of Aboriginal and Torres</w:t>
      </w:r>
      <w:r w:rsidR="001B5060" w:rsidRPr="001B5060">
        <w:t xml:space="preserve"> Strait Islander health practitioners that provide maternity care</w:t>
      </w:r>
      <w:r>
        <w:t>.</w:t>
      </w:r>
      <w:r w:rsidR="00B43729">
        <w:t xml:space="preserve"> </w:t>
      </w:r>
      <w:r w:rsidR="00645424">
        <w:t>A</w:t>
      </w:r>
      <w:r w:rsidR="00B43729">
        <w:t xml:space="preserve"> limitation of this approach is that the availability of services may</w:t>
      </w:r>
      <w:r w:rsidR="00B43729" w:rsidRPr="00B43729">
        <w:t xml:space="preserve"> not necessarily translate to accessibility and uptake of those services.</w:t>
      </w:r>
      <w:r w:rsidR="00825A4C">
        <w:t xml:space="preserve"> Case studies will </w:t>
      </w:r>
      <w:r w:rsidR="0015753D">
        <w:t xml:space="preserve">examine </w:t>
      </w:r>
      <w:r w:rsidR="00825A4C">
        <w:t>the cultural safety of both cohort specific and mainstream service</w:t>
      </w:r>
      <w:r w:rsidR="00972951">
        <w:t xml:space="preserve">s and identify gaps between best practice and actual practice. </w:t>
      </w:r>
    </w:p>
    <w:p w14:paraId="6B427C75" w14:textId="003C7D40" w:rsidR="001B5060" w:rsidRDefault="00D30F28" w:rsidP="00ED2B74">
      <w:pPr>
        <w:pStyle w:val="ListBullet"/>
      </w:pPr>
      <w:r>
        <w:t xml:space="preserve">While </w:t>
      </w:r>
      <w:r w:rsidR="00AF7F09">
        <w:t>P</w:t>
      </w:r>
      <w:r w:rsidR="002C08CD">
        <w:t>riority 2 of the Plan focuses on t</w:t>
      </w:r>
      <w:r w:rsidR="000672E6" w:rsidRPr="000672E6">
        <w:t>he level of awareness of women and families</w:t>
      </w:r>
      <w:r w:rsidR="002C08CD">
        <w:t xml:space="preserve"> and communities, this</w:t>
      </w:r>
      <w:r w:rsidR="000672E6" w:rsidRPr="000672E6">
        <w:t xml:space="preserve"> cannot be measured without extensive surveys. </w:t>
      </w:r>
      <w:r w:rsidR="002C08CD">
        <w:t xml:space="preserve">Therefore, </w:t>
      </w:r>
      <w:r w:rsidR="007B543F">
        <w:t>Indicator</w:t>
      </w:r>
      <w:r w:rsidR="002C08CD">
        <w:t xml:space="preserve"> 9 focuses on an increase in the coverage and reach of awareness activities as a proxy.</w:t>
      </w:r>
    </w:p>
    <w:p w14:paraId="42E2D1F5" w14:textId="6BB7168B" w:rsidR="00E44B9F" w:rsidRDefault="0093392F" w:rsidP="00ED2B74">
      <w:pPr>
        <w:pStyle w:val="ListBullet"/>
      </w:pPr>
      <w:r>
        <w:t>This evaluation will not</w:t>
      </w:r>
      <w:r w:rsidR="005E0175">
        <w:t xml:space="preserve"> </w:t>
      </w:r>
      <w:r w:rsidR="00FB1D39" w:rsidRPr="00FB1D39">
        <w:t xml:space="preserve">measure </w:t>
      </w:r>
      <w:r w:rsidR="007302B5" w:rsidRPr="007302B5">
        <w:t xml:space="preserve">uptake of </w:t>
      </w:r>
      <w:r w:rsidR="00972951" w:rsidRPr="00362815">
        <w:rPr>
          <w:i/>
          <w:iCs/>
        </w:rPr>
        <w:t>Clinical practice guideline for care around stillbirth and neonatal death</w:t>
      </w:r>
      <w:r w:rsidR="00972951" w:rsidRPr="00362815">
        <w:t xml:space="preserve"> and the national </w:t>
      </w:r>
      <w:r w:rsidR="00972951" w:rsidRPr="00362815">
        <w:rPr>
          <w:i/>
          <w:iCs/>
        </w:rPr>
        <w:t>Clinical Practice Guidelines – Pregnancy Care</w:t>
      </w:r>
      <w:r w:rsidR="00972951" w:rsidDel="00972951">
        <w:t xml:space="preserve"> </w:t>
      </w:r>
      <w:r w:rsidR="00FB1D39" w:rsidRPr="00FB1D39">
        <w:t>at</w:t>
      </w:r>
      <w:r w:rsidR="007302B5">
        <w:t xml:space="preserve"> the</w:t>
      </w:r>
      <w:r w:rsidR="00FB1D39" w:rsidRPr="00FB1D39">
        <w:t xml:space="preserve"> practitioner level</w:t>
      </w:r>
      <w:r w:rsidR="007302B5">
        <w:t xml:space="preserve"> </w:t>
      </w:r>
      <w:r w:rsidR="00647138">
        <w:t>as this would require</w:t>
      </w:r>
      <w:r w:rsidR="007302B5" w:rsidRPr="007302B5">
        <w:t xml:space="preserve"> extensive surveys to health practitioners</w:t>
      </w:r>
      <w:r w:rsidR="00F6223B">
        <w:t xml:space="preserve">. </w:t>
      </w:r>
      <w:r w:rsidR="005E558F">
        <w:t>Indicator 10</w:t>
      </w:r>
      <w:r w:rsidR="006D28B8">
        <w:t xml:space="preserve"> focuses on alignment of the guidelines in the organisations to which practitioners belon</w:t>
      </w:r>
      <w:r w:rsidR="00CB082A">
        <w:t xml:space="preserve">g as </w:t>
      </w:r>
      <w:r w:rsidR="007302B5" w:rsidRPr="007302B5">
        <w:t>a proxy</w:t>
      </w:r>
      <w:r w:rsidR="005E558F">
        <w:t xml:space="preserve"> for uptake</w:t>
      </w:r>
      <w:r w:rsidR="007302B5" w:rsidRPr="007302B5">
        <w:t>.</w:t>
      </w:r>
      <w:r w:rsidR="00972951">
        <w:t xml:space="preserve"> </w:t>
      </w:r>
      <w:r w:rsidR="00F700D9">
        <w:t xml:space="preserve">The update of </w:t>
      </w:r>
      <w:r w:rsidR="00F700D9" w:rsidRPr="008B3036">
        <w:rPr>
          <w:i/>
          <w:iCs/>
        </w:rPr>
        <w:t>Clinical Practice Guidelines – Pregnancy Care</w:t>
      </w:r>
      <w:r w:rsidR="00F700D9">
        <w:t xml:space="preserve"> is yet to be completed. </w:t>
      </w:r>
      <w:r w:rsidR="00F6223B">
        <w:t>C</w:t>
      </w:r>
      <w:r w:rsidR="00F700D9">
        <w:t xml:space="preserve">omparison against this guideline will occur </w:t>
      </w:r>
      <w:r w:rsidR="006A299D">
        <w:t xml:space="preserve">after </w:t>
      </w:r>
      <w:r w:rsidR="00F700D9">
        <w:t xml:space="preserve">the update has been completed. </w:t>
      </w:r>
      <w:r w:rsidR="001A42CC" w:rsidRPr="001A42CC">
        <w:t xml:space="preserve">Over the course of the monitoring and evaluation, additional guidelines may be developed which are in scope. </w:t>
      </w:r>
    </w:p>
    <w:p w14:paraId="5CCD3DE5" w14:textId="69E8B8B3" w:rsidR="005F2FC7" w:rsidRDefault="00155145" w:rsidP="00ED2B74">
      <w:pPr>
        <w:pStyle w:val="ListBullet"/>
      </w:pPr>
      <w:r>
        <w:t xml:space="preserve">The monitoring and evaluation </w:t>
      </w:r>
      <w:r w:rsidR="00810146">
        <w:t xml:space="preserve">will </w:t>
      </w:r>
      <w:r w:rsidR="002C625D">
        <w:t>aim to drive</w:t>
      </w:r>
      <w:r w:rsidR="00916671">
        <w:t xml:space="preserve"> an improvement in the data t</w:t>
      </w:r>
      <w:r w:rsidR="0094669F">
        <w:t xml:space="preserve">hrough </w:t>
      </w:r>
      <w:r w:rsidR="00810146">
        <w:t>continual</w:t>
      </w:r>
      <w:r w:rsidR="002E1C25">
        <w:t xml:space="preserve">ly highlighting </w:t>
      </w:r>
      <w:r w:rsidR="00AF43E5">
        <w:t xml:space="preserve">ways to improve existing data and the potential for </w:t>
      </w:r>
      <w:r w:rsidR="006B0F85">
        <w:t xml:space="preserve">new </w:t>
      </w:r>
      <w:r w:rsidR="001C0417">
        <w:t xml:space="preserve">data </w:t>
      </w:r>
      <w:r w:rsidR="00D825B7">
        <w:t>sources</w:t>
      </w:r>
      <w:r w:rsidR="006845B0">
        <w:t>, such as increas</w:t>
      </w:r>
      <w:r w:rsidR="008A2C55">
        <w:t xml:space="preserve">ing the </w:t>
      </w:r>
      <w:r w:rsidR="00EF3ED0">
        <w:t xml:space="preserve">number of jurisdictional </w:t>
      </w:r>
      <w:r w:rsidR="00783706">
        <w:t>surveys of maternity services that ask about cultural safety</w:t>
      </w:r>
      <w:r w:rsidR="00AF43E5">
        <w:t xml:space="preserve">. </w:t>
      </w:r>
      <w:r w:rsidR="007E3F4C">
        <w:t xml:space="preserve"> In this way i</w:t>
      </w:r>
      <w:r w:rsidR="00E61101">
        <w:t>t</w:t>
      </w:r>
      <w:r w:rsidR="007E3F4C">
        <w:t xml:space="preserve"> </w:t>
      </w:r>
      <w:r w:rsidR="00CA7A24">
        <w:t xml:space="preserve">will </w:t>
      </w:r>
      <w:r w:rsidR="001C0417">
        <w:t xml:space="preserve">help to </w:t>
      </w:r>
      <w:r w:rsidR="00DB3F8E">
        <w:t xml:space="preserve">make </w:t>
      </w:r>
      <w:r w:rsidR="00CA7A24">
        <w:t xml:space="preserve">a case </w:t>
      </w:r>
      <w:r w:rsidR="00D36EC9">
        <w:t xml:space="preserve">for </w:t>
      </w:r>
      <w:r w:rsidR="001C0417">
        <w:t>continue</w:t>
      </w:r>
      <w:r w:rsidR="00D36EC9">
        <w:t>d</w:t>
      </w:r>
      <w:r w:rsidR="001C0417">
        <w:t xml:space="preserve"> efforts to improve</w:t>
      </w:r>
      <w:r w:rsidR="00CA7A24">
        <w:t xml:space="preserve"> the</w:t>
      </w:r>
      <w:r w:rsidR="00C35C88">
        <w:t xml:space="preserve"> availability and quality of data</w:t>
      </w:r>
      <w:r w:rsidR="006B2647">
        <w:t xml:space="preserve"> </w:t>
      </w:r>
      <w:r w:rsidR="00073E79">
        <w:t xml:space="preserve">to </w:t>
      </w:r>
      <w:r w:rsidR="004E6284">
        <w:t>improve</w:t>
      </w:r>
      <w:r w:rsidR="00073E79">
        <w:t xml:space="preserve"> </w:t>
      </w:r>
      <w:r w:rsidR="006B2647">
        <w:t>stillbirth prevention and care and bereavement services</w:t>
      </w:r>
      <w:r w:rsidR="00C35C88">
        <w:t>.</w:t>
      </w:r>
      <w:r w:rsidR="00CA7A24">
        <w:t xml:space="preserve"> As data sources evolve, national indicators </w:t>
      </w:r>
      <w:r w:rsidR="00784DBE">
        <w:t xml:space="preserve">are expected to change to </w:t>
      </w:r>
      <w:r w:rsidR="001C0417">
        <w:t>leverage the best available</w:t>
      </w:r>
      <w:r w:rsidR="00784DBE" w:rsidDel="001C0417">
        <w:t xml:space="preserve"> </w:t>
      </w:r>
      <w:r w:rsidR="00784DBE">
        <w:t>data</w:t>
      </w:r>
      <w:r w:rsidR="001A42CC" w:rsidRPr="001A42CC">
        <w:t>.</w:t>
      </w:r>
    </w:p>
    <w:p w14:paraId="75A8617D" w14:textId="698C26CD" w:rsidR="005210B6" w:rsidRPr="005210B6" w:rsidRDefault="00337D63" w:rsidP="00852F0E">
      <w:pPr>
        <w:pStyle w:val="Heading2"/>
      </w:pPr>
      <w:bookmarkStart w:id="19" w:name="_Ref88115434"/>
      <w:bookmarkStart w:id="20" w:name="_Ref88478959"/>
      <w:r>
        <w:t xml:space="preserve">Data </w:t>
      </w:r>
      <w:r w:rsidR="00F85E8F">
        <w:t>collection and analysis methods</w:t>
      </w:r>
      <w:bookmarkEnd w:id="19"/>
      <w:bookmarkEnd w:id="20"/>
    </w:p>
    <w:p w14:paraId="653D0577" w14:textId="07FB78C0" w:rsidR="009C1526" w:rsidRDefault="009C1526" w:rsidP="00852F0E">
      <w:pPr>
        <w:pStyle w:val="Heading3"/>
      </w:pPr>
      <w:bookmarkStart w:id="21" w:name="_Ref88479663"/>
      <w:r>
        <w:t xml:space="preserve">Monitoring and evaluation between 2022 and 2030 </w:t>
      </w:r>
      <w:r w:rsidR="00CF0226">
        <w:t>is intended to draw</w:t>
      </w:r>
      <w:r>
        <w:t xml:space="preserve"> on five </w:t>
      </w:r>
      <w:r w:rsidR="00CF0226">
        <w:t>types of</w:t>
      </w:r>
      <w:r>
        <w:t xml:space="preserve"> data.</w:t>
      </w:r>
      <w:bookmarkEnd w:id="21"/>
    </w:p>
    <w:p w14:paraId="4671341E" w14:textId="57DE422E" w:rsidR="0006583C" w:rsidRPr="00F02F86" w:rsidRDefault="00CF0226" w:rsidP="009B1FFA">
      <w:pPr>
        <w:spacing w:line="257" w:lineRule="auto"/>
        <w:rPr>
          <w:rFonts w:ascii="Arial" w:hAnsi="Arial" w:cs="Arial"/>
        </w:rPr>
      </w:pPr>
      <w:r w:rsidRPr="00F02F86">
        <w:rPr>
          <w:rFonts w:ascii="Arial" w:hAnsi="Arial" w:cs="Arial"/>
        </w:rPr>
        <w:t xml:space="preserve">It is intended that primary and secondary sources </w:t>
      </w:r>
      <w:r w:rsidR="004D6BEA" w:rsidRPr="00F02F86">
        <w:rPr>
          <w:rFonts w:ascii="Arial" w:hAnsi="Arial" w:cs="Arial"/>
        </w:rPr>
        <w:t xml:space="preserve">will be used to answer key </w:t>
      </w:r>
      <w:r w:rsidR="00743761" w:rsidRPr="00F02F86">
        <w:rPr>
          <w:rFonts w:ascii="Arial" w:hAnsi="Arial" w:cs="Arial"/>
        </w:rPr>
        <w:t xml:space="preserve">monitoring and </w:t>
      </w:r>
      <w:r w:rsidR="004D6BEA" w:rsidRPr="00F02F86">
        <w:rPr>
          <w:rFonts w:ascii="Arial" w:hAnsi="Arial" w:cs="Arial"/>
        </w:rPr>
        <w:t xml:space="preserve">evaluation questions and </w:t>
      </w:r>
      <w:r w:rsidR="00C7059F" w:rsidRPr="00F02F86">
        <w:rPr>
          <w:rFonts w:ascii="Arial" w:hAnsi="Arial" w:cs="Arial"/>
        </w:rPr>
        <w:t xml:space="preserve">annually </w:t>
      </w:r>
      <w:r w:rsidR="00BA4A40" w:rsidRPr="00F02F86">
        <w:rPr>
          <w:rFonts w:ascii="Arial" w:hAnsi="Arial" w:cs="Arial"/>
        </w:rPr>
        <w:t>monitor</w:t>
      </w:r>
      <w:r w:rsidR="00CB4ECE" w:rsidRPr="00F02F86">
        <w:rPr>
          <w:rFonts w:ascii="Arial" w:hAnsi="Arial" w:cs="Arial"/>
        </w:rPr>
        <w:t xml:space="preserve"> implementation and</w:t>
      </w:r>
      <w:r w:rsidR="00C7059F" w:rsidRPr="00F02F86">
        <w:rPr>
          <w:rFonts w:ascii="Arial" w:hAnsi="Arial" w:cs="Arial"/>
        </w:rPr>
        <w:t xml:space="preserve"> </w:t>
      </w:r>
      <w:r w:rsidR="004D6BEA" w:rsidRPr="00F02F86">
        <w:rPr>
          <w:rFonts w:ascii="Arial" w:hAnsi="Arial" w:cs="Arial"/>
        </w:rPr>
        <w:t xml:space="preserve">progress against national </w:t>
      </w:r>
      <w:r w:rsidR="00591746" w:rsidRPr="00F02F86">
        <w:rPr>
          <w:rFonts w:ascii="Arial" w:hAnsi="Arial" w:cs="Arial"/>
        </w:rPr>
        <w:t xml:space="preserve">evaluation </w:t>
      </w:r>
      <w:r w:rsidR="004D6BEA" w:rsidRPr="00F02F86">
        <w:rPr>
          <w:rFonts w:ascii="Arial" w:hAnsi="Arial" w:cs="Arial"/>
        </w:rPr>
        <w:t xml:space="preserve">indicators. </w:t>
      </w:r>
      <w:r w:rsidRPr="00F02F86">
        <w:rPr>
          <w:rFonts w:ascii="Arial" w:hAnsi="Arial" w:cs="Arial"/>
        </w:rPr>
        <w:t xml:space="preserve">This includes both quantitative data to measure progress and qualitative data to understand how and why progress occurs, including different jurisdictional approaches and progress with target cohorts. </w:t>
      </w:r>
    </w:p>
    <w:p w14:paraId="20D19078" w14:textId="03369003" w:rsidR="0006583C" w:rsidRPr="00F02F86" w:rsidRDefault="001466E9" w:rsidP="009B1FFA">
      <w:pPr>
        <w:spacing w:line="257" w:lineRule="auto"/>
        <w:rPr>
          <w:rFonts w:ascii="Arial" w:hAnsi="Arial" w:cs="Arial"/>
        </w:rPr>
      </w:pPr>
      <w:r w:rsidRPr="00F02F86">
        <w:rPr>
          <w:rFonts w:ascii="Arial" w:hAnsi="Arial" w:cs="Arial"/>
        </w:rPr>
        <w:fldChar w:fldCharType="begin"/>
      </w:r>
      <w:r w:rsidRPr="00F02F86">
        <w:rPr>
          <w:rFonts w:ascii="Arial" w:hAnsi="Arial" w:cs="Arial"/>
        </w:rPr>
        <w:instrText xml:space="preserve"> REF _Ref86912308 \h </w:instrText>
      </w:r>
      <w:r w:rsidR="00402B1F" w:rsidRPr="00F02F86">
        <w:rPr>
          <w:rFonts w:ascii="Arial" w:hAnsi="Arial" w:cs="Arial"/>
        </w:rPr>
        <w:instrText xml:space="preserve"> \* MERGEFORMAT </w:instrText>
      </w:r>
      <w:r w:rsidRPr="00F02F86">
        <w:rPr>
          <w:rFonts w:ascii="Arial" w:hAnsi="Arial" w:cs="Arial"/>
        </w:rPr>
      </w:r>
      <w:r w:rsidRPr="00F02F86">
        <w:rPr>
          <w:rFonts w:ascii="Arial" w:hAnsi="Arial" w:cs="Arial"/>
        </w:rPr>
        <w:fldChar w:fldCharType="separate"/>
      </w:r>
      <w:r w:rsidR="00CF19E2" w:rsidRPr="00CF19E2">
        <w:rPr>
          <w:rFonts w:ascii="Arial" w:hAnsi="Arial" w:cs="Arial"/>
        </w:rPr>
        <w:t>Table 4</w:t>
      </w:r>
      <w:r w:rsidRPr="00F02F86">
        <w:rPr>
          <w:rFonts w:ascii="Arial" w:hAnsi="Arial" w:cs="Arial"/>
        </w:rPr>
        <w:fldChar w:fldCharType="end"/>
      </w:r>
      <w:r w:rsidR="0006583C" w:rsidRPr="00F02F86">
        <w:rPr>
          <w:rFonts w:ascii="Arial" w:hAnsi="Arial" w:cs="Arial"/>
        </w:rPr>
        <w:t xml:space="preserve"> </w:t>
      </w:r>
      <w:r w:rsidR="00751DDF" w:rsidRPr="00F02F86">
        <w:rPr>
          <w:rFonts w:ascii="Arial" w:hAnsi="Arial" w:cs="Arial"/>
        </w:rPr>
        <w:t>outlines</w:t>
      </w:r>
      <w:r w:rsidR="0006583C" w:rsidRPr="00F02F86">
        <w:rPr>
          <w:rFonts w:ascii="Arial" w:hAnsi="Arial" w:cs="Arial"/>
        </w:rPr>
        <w:t xml:space="preserve"> the </w:t>
      </w:r>
      <w:r w:rsidR="00751DDF" w:rsidRPr="00F02F86">
        <w:rPr>
          <w:rFonts w:ascii="Arial" w:hAnsi="Arial" w:cs="Arial"/>
        </w:rPr>
        <w:t xml:space="preserve">data sources </w:t>
      </w:r>
      <w:r w:rsidR="0006583C" w:rsidRPr="00F02F86">
        <w:rPr>
          <w:rFonts w:ascii="Arial" w:hAnsi="Arial" w:cs="Arial"/>
        </w:rPr>
        <w:t xml:space="preserve">and rationale for use in this Monitoring and Evaluation Framework. </w:t>
      </w:r>
      <w:r w:rsidR="00751DDF" w:rsidRPr="00F02F86">
        <w:rPr>
          <w:rFonts w:ascii="Arial" w:hAnsi="Arial" w:cs="Arial"/>
        </w:rPr>
        <w:t>It</w:t>
      </w:r>
      <w:r w:rsidR="0006583C" w:rsidRPr="00F02F86">
        <w:rPr>
          <w:rFonts w:ascii="Arial" w:hAnsi="Arial" w:cs="Arial"/>
        </w:rPr>
        <w:t xml:space="preserve"> includes examples of specific data sources</w:t>
      </w:r>
      <w:r w:rsidR="005431C3" w:rsidRPr="00F02F86">
        <w:rPr>
          <w:rFonts w:ascii="Arial" w:hAnsi="Arial" w:cs="Arial"/>
        </w:rPr>
        <w:t>,</w:t>
      </w:r>
      <w:r w:rsidR="00751DDF" w:rsidRPr="00F02F86">
        <w:rPr>
          <w:rFonts w:ascii="Arial" w:hAnsi="Arial" w:cs="Arial"/>
        </w:rPr>
        <w:t xml:space="preserve"> although these</w:t>
      </w:r>
      <w:r w:rsidR="0006583C" w:rsidRPr="00F02F86">
        <w:rPr>
          <w:rFonts w:ascii="Arial" w:hAnsi="Arial" w:cs="Arial"/>
        </w:rPr>
        <w:t xml:space="preserve"> are not exhaustive and may change, as </w:t>
      </w:r>
      <w:r w:rsidR="0006583C" w:rsidRPr="00F02F86">
        <w:rPr>
          <w:rFonts w:ascii="Arial" w:hAnsi="Arial" w:cs="Arial"/>
        </w:rPr>
        <w:lastRenderedPageBreak/>
        <w:t xml:space="preserve">existing data sources </w:t>
      </w:r>
      <w:r w:rsidR="00276E30" w:rsidRPr="00F02F86">
        <w:rPr>
          <w:rFonts w:ascii="Arial" w:hAnsi="Arial" w:cs="Arial"/>
        </w:rPr>
        <w:t>evolve</w:t>
      </w:r>
      <w:r w:rsidR="00066E6F" w:rsidRPr="00F02F86">
        <w:rPr>
          <w:rFonts w:ascii="Arial" w:hAnsi="Arial" w:cs="Arial"/>
        </w:rPr>
        <w:t>,</w:t>
      </w:r>
      <w:r w:rsidR="0006583C" w:rsidRPr="00F02F86">
        <w:rPr>
          <w:rFonts w:ascii="Arial" w:hAnsi="Arial" w:cs="Arial"/>
        </w:rPr>
        <w:t xml:space="preserve"> and new data sources become available.</w:t>
      </w:r>
      <w:r w:rsidR="003F2033" w:rsidRPr="00F02F86" w:rsidDel="003F2033">
        <w:rPr>
          <w:rFonts w:ascii="Arial" w:hAnsi="Arial" w:cs="Arial"/>
        </w:rPr>
        <w:t xml:space="preserve"> </w:t>
      </w:r>
      <w:r w:rsidR="00D137AE" w:rsidRPr="00EE2EB8">
        <w:rPr>
          <w:rFonts w:ascii="Arial" w:hAnsi="Arial" w:cs="Arial"/>
          <w:lang w:eastAsia="en-AU"/>
        </w:rPr>
        <w:fldChar w:fldCharType="begin"/>
      </w:r>
      <w:r w:rsidR="00D137AE" w:rsidRPr="00EE2EB8">
        <w:rPr>
          <w:rFonts w:ascii="Arial" w:hAnsi="Arial" w:cs="Arial"/>
          <w:lang w:eastAsia="en-AU"/>
        </w:rPr>
        <w:instrText xml:space="preserve"> REF _Ref88659678 \r \h  \* MERGEFORMAT </w:instrText>
      </w:r>
      <w:r w:rsidR="00D137AE" w:rsidRPr="00EE2EB8">
        <w:rPr>
          <w:rFonts w:ascii="Arial" w:hAnsi="Arial" w:cs="Arial"/>
          <w:lang w:eastAsia="en-AU"/>
        </w:rPr>
      </w:r>
      <w:r w:rsidR="00D137AE" w:rsidRPr="00EE2EB8">
        <w:rPr>
          <w:rFonts w:ascii="Arial" w:hAnsi="Arial" w:cs="Arial"/>
          <w:lang w:eastAsia="en-AU"/>
        </w:rPr>
        <w:fldChar w:fldCharType="separate"/>
      </w:r>
      <w:r w:rsidR="00CF19E2">
        <w:rPr>
          <w:rFonts w:ascii="Arial" w:hAnsi="Arial" w:cs="Arial"/>
          <w:lang w:eastAsia="en-AU"/>
        </w:rPr>
        <w:t>Appendix C</w:t>
      </w:r>
      <w:r w:rsidR="00D137AE" w:rsidRPr="00EE2EB8">
        <w:rPr>
          <w:rFonts w:ascii="Arial" w:hAnsi="Arial" w:cs="Arial"/>
          <w:lang w:eastAsia="en-AU"/>
        </w:rPr>
        <w:fldChar w:fldCharType="end"/>
      </w:r>
      <w:r w:rsidR="00D137AE" w:rsidRPr="00EE2EB8">
        <w:rPr>
          <w:rFonts w:ascii="Arial" w:hAnsi="Arial" w:cs="Arial"/>
          <w:lang w:eastAsia="en-AU"/>
        </w:rPr>
        <w:t xml:space="preserve"> maps</w:t>
      </w:r>
      <w:r w:rsidR="00D137AE">
        <w:rPr>
          <w:rFonts w:ascii="Arial" w:hAnsi="Arial" w:cs="Arial"/>
          <w:lang w:eastAsia="en-AU"/>
        </w:rPr>
        <w:t xml:space="preserve"> the national evaluation indicators to the</w:t>
      </w:r>
      <w:r w:rsidR="00D137AE" w:rsidRPr="00EE2EB8">
        <w:rPr>
          <w:rFonts w:ascii="Arial" w:hAnsi="Arial" w:cs="Arial"/>
          <w:lang w:eastAsia="en-AU"/>
        </w:rPr>
        <w:t xml:space="preserve"> </w:t>
      </w:r>
      <w:r w:rsidR="00337EA9">
        <w:rPr>
          <w:rFonts w:ascii="Arial" w:hAnsi="Arial" w:cs="Arial"/>
          <w:lang w:eastAsia="en-AU"/>
        </w:rPr>
        <w:t>specific</w:t>
      </w:r>
      <w:r w:rsidR="00D137AE">
        <w:rPr>
          <w:rFonts w:ascii="Arial" w:hAnsi="Arial" w:cs="Arial"/>
          <w:lang w:eastAsia="en-AU"/>
        </w:rPr>
        <w:t xml:space="preserve"> </w:t>
      </w:r>
      <w:r w:rsidR="00D137AE" w:rsidRPr="00EE2EB8">
        <w:rPr>
          <w:rFonts w:ascii="Arial" w:hAnsi="Arial" w:cs="Arial"/>
          <w:lang w:eastAsia="en-AU"/>
        </w:rPr>
        <w:t>data sources</w:t>
      </w:r>
      <w:r w:rsidR="00337EA9">
        <w:rPr>
          <w:rFonts w:ascii="Arial" w:hAnsi="Arial" w:cs="Arial"/>
          <w:lang w:eastAsia="en-AU"/>
        </w:rPr>
        <w:t xml:space="preserve"> within the below categories.</w:t>
      </w:r>
    </w:p>
    <w:p w14:paraId="4B2B493C" w14:textId="0AB7E472" w:rsidR="004544BD" w:rsidRDefault="001466E9" w:rsidP="006A7235">
      <w:pPr>
        <w:pStyle w:val="Caption"/>
      </w:pPr>
      <w:bookmarkStart w:id="22" w:name="_Ref86912308"/>
      <w:r>
        <w:t xml:space="preserve">Table </w:t>
      </w:r>
      <w:r>
        <w:fldChar w:fldCharType="begin"/>
      </w:r>
      <w:r>
        <w:instrText xml:space="preserve"> SEQ Table \* ARABIC </w:instrText>
      </w:r>
      <w:r>
        <w:fldChar w:fldCharType="separate"/>
      </w:r>
      <w:r w:rsidR="00CF19E2">
        <w:rPr>
          <w:noProof/>
        </w:rPr>
        <w:t>4</w:t>
      </w:r>
      <w:r>
        <w:fldChar w:fldCharType="end"/>
      </w:r>
      <w:bookmarkEnd w:id="22"/>
      <w:r>
        <w:t xml:space="preserve"> | Overview of data sources</w:t>
      </w:r>
      <w:r w:rsidR="00743761">
        <w:t xml:space="preserve"> and rationale </w:t>
      </w:r>
    </w:p>
    <w:tbl>
      <w:tblPr>
        <w:tblStyle w:val="TableGrid"/>
        <w:tblW w:w="5000" w:type="pct"/>
        <w:tblLook w:val="04A0" w:firstRow="1" w:lastRow="0" w:firstColumn="1" w:lastColumn="0" w:noHBand="0" w:noVBand="1"/>
      </w:tblPr>
      <w:tblGrid>
        <w:gridCol w:w="1587"/>
        <w:gridCol w:w="3035"/>
        <w:gridCol w:w="2166"/>
        <w:gridCol w:w="1296"/>
        <w:gridCol w:w="1204"/>
      </w:tblGrid>
      <w:tr w:rsidR="00544AA7" w:rsidRPr="008E2B45" w14:paraId="0421531F" w14:textId="77777777" w:rsidTr="008E2B45">
        <w:trPr>
          <w:cnfStyle w:val="100000000000" w:firstRow="1" w:lastRow="0" w:firstColumn="0" w:lastColumn="0" w:oddVBand="0" w:evenVBand="0" w:oddHBand="0" w:evenHBand="0" w:firstRowFirstColumn="0" w:firstRowLastColumn="0" w:lastRowFirstColumn="0" w:lastRowLastColumn="0"/>
          <w:trHeight w:val="796"/>
          <w:tblHeader/>
        </w:trPr>
        <w:tc>
          <w:tcPr>
            <w:tcW w:w="860" w:type="pct"/>
          </w:tcPr>
          <w:p w14:paraId="22B33490" w14:textId="62DADFD2" w:rsidR="00544AA7" w:rsidRPr="008E2B45" w:rsidRDefault="00743761" w:rsidP="008E2B45">
            <w:pPr>
              <w:pStyle w:val="TableNheader"/>
            </w:pPr>
            <w:r w:rsidRPr="008E2B45">
              <w:t xml:space="preserve">Category </w:t>
            </w:r>
          </w:p>
        </w:tc>
        <w:tc>
          <w:tcPr>
            <w:tcW w:w="1640" w:type="pct"/>
          </w:tcPr>
          <w:p w14:paraId="4D79D042" w14:textId="3E60F499" w:rsidR="000970D6" w:rsidRPr="008E2B45" w:rsidRDefault="000970D6" w:rsidP="008E2B45">
            <w:pPr>
              <w:pStyle w:val="TableNheader"/>
            </w:pPr>
            <w:r w:rsidRPr="008E2B45">
              <w:t>Rationale for use</w:t>
            </w:r>
          </w:p>
        </w:tc>
        <w:tc>
          <w:tcPr>
            <w:tcW w:w="1172" w:type="pct"/>
          </w:tcPr>
          <w:p w14:paraId="4FF4306F" w14:textId="4B4EF2F8" w:rsidR="00544AA7" w:rsidRPr="008E2B45" w:rsidRDefault="00FA0CE5" w:rsidP="008E2B45">
            <w:pPr>
              <w:pStyle w:val="TableNheader"/>
            </w:pPr>
            <w:r w:rsidRPr="008E2B45">
              <w:t>Examples</w:t>
            </w:r>
            <w:r w:rsidR="00743761" w:rsidRPr="008E2B45">
              <w:t xml:space="preserve"> of specific sources</w:t>
            </w:r>
          </w:p>
        </w:tc>
        <w:tc>
          <w:tcPr>
            <w:tcW w:w="703" w:type="pct"/>
          </w:tcPr>
          <w:p w14:paraId="1751A0D2" w14:textId="5AA66190" w:rsidR="000970D6" w:rsidRPr="008E2B45" w:rsidRDefault="008E52BC" w:rsidP="008E2B45">
            <w:pPr>
              <w:pStyle w:val="TableNheader"/>
            </w:pPr>
            <w:r w:rsidRPr="008E2B45">
              <w:t>For</w:t>
            </w:r>
            <w:r w:rsidR="007F79DA" w:rsidRPr="008E2B45">
              <w:t xml:space="preserve"> monitoring</w:t>
            </w:r>
            <w:r w:rsidR="009833FD" w:rsidRPr="008E2B45">
              <w:t xml:space="preserve"> </w:t>
            </w:r>
            <w:r w:rsidR="00B73EF6" w:rsidRPr="008E2B45">
              <w:t>against indicators</w:t>
            </w:r>
          </w:p>
        </w:tc>
        <w:tc>
          <w:tcPr>
            <w:tcW w:w="625" w:type="pct"/>
          </w:tcPr>
          <w:p w14:paraId="2F137E16" w14:textId="19FECE5C" w:rsidR="000970D6" w:rsidRPr="008E2B45" w:rsidRDefault="008E52BC" w:rsidP="008E2B45">
            <w:pPr>
              <w:pStyle w:val="TableNheader"/>
            </w:pPr>
            <w:r w:rsidRPr="008E2B45">
              <w:t>For</w:t>
            </w:r>
            <w:r w:rsidR="007F79DA" w:rsidRPr="008E2B45">
              <w:t xml:space="preserve"> evaluation</w:t>
            </w:r>
            <w:r w:rsidR="009833FD" w:rsidRPr="008E2B45">
              <w:t xml:space="preserve"> reports</w:t>
            </w:r>
          </w:p>
        </w:tc>
      </w:tr>
      <w:tr w:rsidR="00544AA7" w14:paraId="14C12BC9" w14:textId="77777777" w:rsidTr="008E2B45">
        <w:trPr>
          <w:trHeight w:val="2216"/>
        </w:trPr>
        <w:tc>
          <w:tcPr>
            <w:tcW w:w="860" w:type="pct"/>
          </w:tcPr>
          <w:p w14:paraId="48A10B36" w14:textId="759D9452" w:rsidR="00544AA7" w:rsidRPr="008E2B45" w:rsidRDefault="003E2805" w:rsidP="008E2B45">
            <w:pPr>
              <w:pStyle w:val="TableNText"/>
            </w:pPr>
            <w:r w:rsidRPr="008E2B45">
              <w:t xml:space="preserve">1. </w:t>
            </w:r>
            <w:r w:rsidR="00FA0CE5" w:rsidRPr="008E2B45">
              <w:t>Desktop and evidence review</w:t>
            </w:r>
          </w:p>
        </w:tc>
        <w:tc>
          <w:tcPr>
            <w:tcW w:w="1640" w:type="pct"/>
          </w:tcPr>
          <w:p w14:paraId="6E214A44" w14:textId="6E954670" w:rsidR="000970D6" w:rsidRPr="008E2B45" w:rsidRDefault="000970D6" w:rsidP="008E2B45">
            <w:pPr>
              <w:pStyle w:val="TableNText"/>
            </w:pPr>
            <w:r w:rsidRPr="008E2B45">
              <w:t xml:space="preserve">Desktop and evidence review will be used to understand the </w:t>
            </w:r>
            <w:r w:rsidR="00FE03C6" w:rsidRPr="008E2B45">
              <w:t xml:space="preserve">appropriateness of the Plan, </w:t>
            </w:r>
            <w:r w:rsidRPr="008E2B45">
              <w:t xml:space="preserve">the policy and operating context for the </w:t>
            </w:r>
            <w:r w:rsidR="000467A9" w:rsidRPr="008E2B45">
              <w:t>P</w:t>
            </w:r>
            <w:r w:rsidRPr="008E2B45">
              <w:t xml:space="preserve">lan and support the inclusion of emerging evidence in the monitoring and evaluation. </w:t>
            </w:r>
          </w:p>
          <w:p w14:paraId="68522D1F" w14:textId="0E2B15E8" w:rsidR="000970D6" w:rsidRPr="008E2B45" w:rsidRDefault="000970D6" w:rsidP="008E2B45">
            <w:pPr>
              <w:pStyle w:val="TableNText"/>
            </w:pPr>
            <w:r w:rsidRPr="008E2B45">
              <w:t>This review will also be used to assess progress against some indicators, such as alignment of guidelines and review of stillbirth research priority areas and funding trends.</w:t>
            </w:r>
          </w:p>
        </w:tc>
        <w:tc>
          <w:tcPr>
            <w:tcW w:w="1172" w:type="pct"/>
          </w:tcPr>
          <w:p w14:paraId="7200603A" w14:textId="32F79C40" w:rsidR="00777868" w:rsidRPr="00852F0E" w:rsidRDefault="00777868" w:rsidP="00852F0E">
            <w:pPr>
              <w:pStyle w:val="TableNBullet"/>
            </w:pPr>
            <w:r w:rsidRPr="00852F0E">
              <w:t>Australian Government and jurisdictional specific strategies</w:t>
            </w:r>
            <w:r w:rsidR="00B544F3" w:rsidRPr="00852F0E">
              <w:t>,</w:t>
            </w:r>
            <w:r w:rsidRPr="00852F0E">
              <w:t xml:space="preserve"> plans and </w:t>
            </w:r>
            <w:r w:rsidR="00B544F3" w:rsidRPr="00852F0E">
              <w:t>funding announcements</w:t>
            </w:r>
          </w:p>
          <w:p w14:paraId="2702B35C" w14:textId="6C9A2EC0" w:rsidR="00FA0CE5" w:rsidRPr="00852F0E" w:rsidRDefault="007A69E0" w:rsidP="00852F0E">
            <w:pPr>
              <w:pStyle w:val="TableNBullet"/>
            </w:pPr>
            <w:r w:rsidRPr="00852F0E">
              <w:t xml:space="preserve">Pregnancy, </w:t>
            </w:r>
            <w:proofErr w:type="gramStart"/>
            <w:r w:rsidRPr="00852F0E">
              <w:t>stillbirth</w:t>
            </w:r>
            <w:proofErr w:type="gramEnd"/>
            <w:r w:rsidRPr="00852F0E">
              <w:t xml:space="preserve"> and bereavement care guidelines</w:t>
            </w:r>
          </w:p>
          <w:p w14:paraId="4C095500" w14:textId="77777777" w:rsidR="007A69E0" w:rsidRPr="00852F0E" w:rsidRDefault="006809A8" w:rsidP="00852F0E">
            <w:pPr>
              <w:pStyle w:val="TableNBullet"/>
            </w:pPr>
            <w:r w:rsidRPr="00852F0E">
              <w:t>Research projects and grant outcomes</w:t>
            </w:r>
          </w:p>
          <w:p w14:paraId="20A7109E" w14:textId="3C200B4D" w:rsidR="000467A9" w:rsidRPr="00852F0E" w:rsidRDefault="00C7560F" w:rsidP="00852F0E">
            <w:pPr>
              <w:pStyle w:val="TableNBullet"/>
            </w:pPr>
            <w:r w:rsidRPr="00852F0E">
              <w:t>Peer-reviewed and grey literature</w:t>
            </w:r>
          </w:p>
          <w:p w14:paraId="6537F88C" w14:textId="7D7CBA20" w:rsidR="00544AA7" w:rsidRPr="00852F0E" w:rsidRDefault="006809A8" w:rsidP="00852F0E">
            <w:pPr>
              <w:pStyle w:val="TableNBullet"/>
            </w:pPr>
            <w:r w:rsidRPr="00852F0E">
              <w:t xml:space="preserve">Existing </w:t>
            </w:r>
            <w:r w:rsidR="007F79DA" w:rsidRPr="00852F0E">
              <w:t xml:space="preserve">task-level or jurisdictional </w:t>
            </w:r>
            <w:r w:rsidRPr="00852F0E">
              <w:t>evaluations</w:t>
            </w:r>
          </w:p>
        </w:tc>
        <w:tc>
          <w:tcPr>
            <w:tcW w:w="703" w:type="pct"/>
          </w:tcPr>
          <w:p w14:paraId="19EA5EB1" w14:textId="50FA727B" w:rsidR="000970D6" w:rsidRPr="00721862" w:rsidRDefault="000970D6" w:rsidP="00CE2267">
            <w:pPr>
              <w:pStyle w:val="TableNText"/>
              <w:spacing w:after="0"/>
              <w:jc w:val="center"/>
              <w:rPr>
                <w:rFonts w:cs="Arial"/>
                <w:szCs w:val="17"/>
              </w:rPr>
            </w:pPr>
          </w:p>
        </w:tc>
        <w:tc>
          <w:tcPr>
            <w:tcW w:w="625" w:type="pct"/>
          </w:tcPr>
          <w:p w14:paraId="196406C8" w14:textId="436BAA91" w:rsidR="000970D6" w:rsidRPr="00721862" w:rsidRDefault="000970D6" w:rsidP="00CE2267">
            <w:pPr>
              <w:pStyle w:val="TableNText"/>
              <w:spacing w:after="0"/>
              <w:jc w:val="center"/>
              <w:rPr>
                <w:rFonts w:cs="Arial"/>
                <w:szCs w:val="17"/>
              </w:rPr>
            </w:pPr>
            <w:r w:rsidRPr="00721862">
              <w:rPr>
                <w:rFonts w:ascii="Segoe UI Symbol" w:hAnsi="Segoe UI Symbol" w:cs="Segoe UI Symbol"/>
                <w:szCs w:val="17"/>
              </w:rPr>
              <w:t>✓</w:t>
            </w:r>
          </w:p>
        </w:tc>
      </w:tr>
      <w:tr w:rsidR="00AE1A6A" w14:paraId="6639056C" w14:textId="77777777" w:rsidTr="008E2B45">
        <w:trPr>
          <w:trHeight w:val="1821"/>
        </w:trPr>
        <w:tc>
          <w:tcPr>
            <w:tcW w:w="860" w:type="pct"/>
          </w:tcPr>
          <w:p w14:paraId="248A1DE9" w14:textId="5ADCE6BA" w:rsidR="00AE1A6A" w:rsidRPr="008E2B45" w:rsidRDefault="003E2805" w:rsidP="008E2B45">
            <w:pPr>
              <w:pStyle w:val="TableNText"/>
            </w:pPr>
            <w:bookmarkStart w:id="23" w:name="_Ref88479731"/>
            <w:r w:rsidRPr="008E2B45">
              <w:t xml:space="preserve">2. </w:t>
            </w:r>
            <w:r w:rsidR="00EC7546" w:rsidRPr="008E2B45">
              <w:t xml:space="preserve">Annual </w:t>
            </w:r>
            <w:r w:rsidR="00AE1A6A" w:rsidRPr="008E2B45">
              <w:t>Implementers’ Progress Update</w:t>
            </w:r>
            <w:bookmarkEnd w:id="23"/>
          </w:p>
        </w:tc>
        <w:tc>
          <w:tcPr>
            <w:tcW w:w="1640" w:type="pct"/>
          </w:tcPr>
          <w:p w14:paraId="25F41ADB" w14:textId="6811F79D" w:rsidR="000970D6" w:rsidRPr="008E2B45" w:rsidRDefault="000970D6" w:rsidP="008E2B45">
            <w:pPr>
              <w:pStyle w:val="TableNText"/>
            </w:pPr>
            <w:r w:rsidRPr="008E2B45">
              <w:t>The Annual Implementers’ Progress Update will support progress monitoring and provide implementers the opportunity to outline the tasks being implemented and funded under the Plan and any observed benefits and impacts. The updates will include any barriers, enablers and learnings that can be used to support improvement.</w:t>
            </w:r>
            <w:r w:rsidR="007F7A8C" w:rsidRPr="008E2B45">
              <w:t xml:space="preserve"> The </w:t>
            </w:r>
            <w:r w:rsidR="00B6628A" w:rsidRPr="008E2B45">
              <w:t xml:space="preserve">Annual </w:t>
            </w:r>
            <w:r w:rsidR="007F7A8C" w:rsidRPr="008E2B45">
              <w:t>Monitoring Report Card (</w:t>
            </w:r>
            <w:r w:rsidR="001A2A60" w:rsidRPr="008E2B45">
              <w:fldChar w:fldCharType="begin"/>
            </w:r>
            <w:r w:rsidR="001A2A60" w:rsidRPr="008E2B45">
              <w:instrText xml:space="preserve"> REF _Ref87958108 \r \h </w:instrText>
            </w:r>
            <w:r w:rsidR="00402B1F" w:rsidRPr="008E2B45">
              <w:instrText xml:space="preserve"> \* MERGEFORMAT </w:instrText>
            </w:r>
            <w:r w:rsidR="001A2A60" w:rsidRPr="008E2B45">
              <w:fldChar w:fldCharType="separate"/>
            </w:r>
            <w:r w:rsidR="00CF19E2" w:rsidRPr="008E2B45">
              <w:t>Appendix B</w:t>
            </w:r>
            <w:r w:rsidR="001A2A60" w:rsidRPr="008E2B45">
              <w:fldChar w:fldCharType="end"/>
            </w:r>
            <w:r w:rsidR="007F7A8C" w:rsidRPr="008E2B45">
              <w:t>) provides the structure to report on implementation of individual tasks.</w:t>
            </w:r>
          </w:p>
          <w:p w14:paraId="7EF2E704" w14:textId="2B160827" w:rsidR="000970D6" w:rsidRPr="008E2B45" w:rsidRDefault="00286520" w:rsidP="008E2B45">
            <w:pPr>
              <w:pStyle w:val="TableNText"/>
            </w:pPr>
            <w:r w:rsidRPr="008E2B45">
              <w:t>Evaluators</w:t>
            </w:r>
            <w:r w:rsidR="00F4292D" w:rsidRPr="008E2B45">
              <w:t xml:space="preserve"> will undertake a subsequent one-hour consultation with each key implementer to explore the information provided and </w:t>
            </w:r>
            <w:r w:rsidR="00F4292D" w:rsidRPr="008E2B45">
              <w:lastRenderedPageBreak/>
              <w:t>collect other qualitative information.</w:t>
            </w:r>
          </w:p>
          <w:p w14:paraId="137F8DF0" w14:textId="4DA75509" w:rsidR="00265D41" w:rsidRPr="008E2B45" w:rsidRDefault="00170788" w:rsidP="008E2B45">
            <w:pPr>
              <w:pStyle w:val="TableNText"/>
            </w:pPr>
            <w:r w:rsidRPr="008E2B45">
              <w:t>As e</w:t>
            </w:r>
            <w:r w:rsidR="00D04E2C" w:rsidRPr="008E2B45">
              <w:t>valuation requires an independent view</w:t>
            </w:r>
            <w:r w:rsidRPr="008E2B45">
              <w:t xml:space="preserve">, data received through the implementers progress updated should be assessed by </w:t>
            </w:r>
            <w:r w:rsidR="002C0D09" w:rsidRPr="008E2B45">
              <w:t>the evaluators and triangulated with other sources where possible</w:t>
            </w:r>
            <w:r w:rsidRPr="008E2B45">
              <w:t>.</w:t>
            </w:r>
          </w:p>
        </w:tc>
        <w:tc>
          <w:tcPr>
            <w:tcW w:w="1172" w:type="pct"/>
          </w:tcPr>
          <w:p w14:paraId="61AA34AE" w14:textId="7F69A8D9" w:rsidR="00AE1A6A" w:rsidRPr="00852F0E" w:rsidRDefault="00AE1A6A" w:rsidP="00852F0E">
            <w:pPr>
              <w:pStyle w:val="TableNBullet"/>
            </w:pPr>
            <w:r w:rsidRPr="00852F0E">
              <w:lastRenderedPageBreak/>
              <w:t>n/a</w:t>
            </w:r>
          </w:p>
        </w:tc>
        <w:tc>
          <w:tcPr>
            <w:tcW w:w="703" w:type="pct"/>
          </w:tcPr>
          <w:p w14:paraId="0DD4307B" w14:textId="315E338E" w:rsidR="000970D6" w:rsidRPr="00721862" w:rsidRDefault="000970D6" w:rsidP="00CE2267">
            <w:pPr>
              <w:pStyle w:val="TableNText"/>
              <w:spacing w:after="0"/>
              <w:jc w:val="center"/>
              <w:rPr>
                <w:rFonts w:cs="Arial"/>
                <w:szCs w:val="17"/>
              </w:rPr>
            </w:pPr>
            <w:r w:rsidRPr="00721862">
              <w:rPr>
                <w:rFonts w:ascii="Segoe UI Symbol" w:hAnsi="Segoe UI Symbol" w:cs="Segoe UI Symbol"/>
                <w:szCs w:val="17"/>
              </w:rPr>
              <w:t>✓</w:t>
            </w:r>
          </w:p>
        </w:tc>
        <w:tc>
          <w:tcPr>
            <w:tcW w:w="625" w:type="pct"/>
          </w:tcPr>
          <w:p w14:paraId="5D91C561" w14:textId="5A0C26AB" w:rsidR="000970D6" w:rsidRPr="00721862" w:rsidRDefault="000970D6" w:rsidP="00CE2267">
            <w:pPr>
              <w:pStyle w:val="TableNText"/>
              <w:spacing w:after="0"/>
              <w:jc w:val="center"/>
              <w:rPr>
                <w:rFonts w:cs="Arial"/>
                <w:szCs w:val="17"/>
              </w:rPr>
            </w:pPr>
            <w:r w:rsidRPr="00721862">
              <w:rPr>
                <w:rFonts w:ascii="Segoe UI Symbol" w:hAnsi="Segoe UI Symbol" w:cs="Segoe UI Symbol"/>
                <w:szCs w:val="17"/>
              </w:rPr>
              <w:t>✓</w:t>
            </w:r>
          </w:p>
        </w:tc>
      </w:tr>
      <w:tr w:rsidR="00544AA7" w14:paraId="2BB57927" w14:textId="77777777" w:rsidTr="008E2B45">
        <w:trPr>
          <w:trHeight w:val="1710"/>
        </w:trPr>
        <w:tc>
          <w:tcPr>
            <w:tcW w:w="860" w:type="pct"/>
          </w:tcPr>
          <w:p w14:paraId="5665B737" w14:textId="79B77D75" w:rsidR="00544AA7" w:rsidRPr="00721862" w:rsidRDefault="003E2805" w:rsidP="008E2B45">
            <w:pPr>
              <w:pStyle w:val="TableNText"/>
            </w:pPr>
            <w:r w:rsidRPr="00721862">
              <w:t xml:space="preserve">3. </w:t>
            </w:r>
            <w:r w:rsidR="00AE1A6A" w:rsidRPr="00721862">
              <w:t>Existing datasets</w:t>
            </w:r>
          </w:p>
        </w:tc>
        <w:tc>
          <w:tcPr>
            <w:tcW w:w="1640" w:type="pct"/>
          </w:tcPr>
          <w:p w14:paraId="2B34CC22" w14:textId="77777777" w:rsidR="000970D6" w:rsidRPr="00721862" w:rsidRDefault="000970D6" w:rsidP="00744873">
            <w:pPr>
              <w:pStyle w:val="TableNText"/>
              <w:spacing w:before="40" w:after="40" w:line="257" w:lineRule="auto"/>
              <w:rPr>
                <w:rFonts w:cs="Arial"/>
                <w:szCs w:val="17"/>
              </w:rPr>
            </w:pPr>
            <w:r w:rsidRPr="00721862">
              <w:rPr>
                <w:rFonts w:cs="Arial"/>
                <w:szCs w:val="17"/>
              </w:rPr>
              <w:t>The monitoring and evaluation will draw from existing datasets as much as possible as these typically have historical data available, have been agreed by stakeholders and are part of existing workflows.</w:t>
            </w:r>
          </w:p>
          <w:p w14:paraId="7EF8CE0E" w14:textId="77777777" w:rsidR="000970D6" w:rsidRPr="00721862" w:rsidRDefault="000970D6" w:rsidP="00744873">
            <w:pPr>
              <w:pStyle w:val="TableNText"/>
              <w:spacing w:before="40" w:after="40" w:line="257" w:lineRule="auto"/>
              <w:rPr>
                <w:rFonts w:cs="Arial"/>
                <w:szCs w:val="17"/>
              </w:rPr>
            </w:pPr>
            <w:r w:rsidRPr="00721862">
              <w:rPr>
                <w:rFonts w:cs="Arial"/>
                <w:szCs w:val="17"/>
              </w:rPr>
              <w:t xml:space="preserve">AIHW’s national perinatal and perinatal mortality data collections will provide information about maternity care, </w:t>
            </w:r>
            <w:proofErr w:type="gramStart"/>
            <w:r w:rsidRPr="00721862">
              <w:rPr>
                <w:rFonts w:cs="Arial"/>
                <w:szCs w:val="17"/>
              </w:rPr>
              <w:t>stillbirth</w:t>
            </w:r>
            <w:proofErr w:type="gramEnd"/>
            <w:r w:rsidRPr="00721862">
              <w:rPr>
                <w:rFonts w:cs="Arial"/>
                <w:szCs w:val="17"/>
              </w:rPr>
              <w:t xml:space="preserve"> and stillbirth investigations. Additional datasets collected by jurisdictions or other stakeholders can be drawn upon to supplement national datasets</w:t>
            </w:r>
            <w:r w:rsidR="002C050C" w:rsidRPr="00721862">
              <w:rPr>
                <w:rFonts w:cs="Arial"/>
                <w:szCs w:val="17"/>
              </w:rPr>
              <w:t xml:space="preserve"> in the form of case studies</w:t>
            </w:r>
            <w:r w:rsidRPr="00721862">
              <w:rPr>
                <w:rFonts w:cs="Arial"/>
                <w:szCs w:val="17"/>
              </w:rPr>
              <w:t>.</w:t>
            </w:r>
          </w:p>
          <w:p w14:paraId="2DAB7AAD" w14:textId="64A0D6B2" w:rsidR="000970D6" w:rsidRPr="00721862" w:rsidRDefault="002C050C" w:rsidP="00744873">
            <w:pPr>
              <w:pStyle w:val="TableNText"/>
              <w:spacing w:before="40" w:after="40" w:line="257" w:lineRule="auto"/>
              <w:rPr>
                <w:rFonts w:cs="Arial"/>
                <w:szCs w:val="17"/>
              </w:rPr>
            </w:pPr>
            <w:r w:rsidRPr="00721862">
              <w:rPr>
                <w:rFonts w:cs="Arial"/>
                <w:szCs w:val="17"/>
              </w:rPr>
              <w:t xml:space="preserve">Resourcing and cost data will support cost analysis in the final evaluation report </w:t>
            </w:r>
            <w:r w:rsidR="00175785" w:rsidRPr="00721862">
              <w:rPr>
                <w:rFonts w:cs="Arial"/>
                <w:szCs w:val="17"/>
              </w:rPr>
              <w:t>in 2029</w:t>
            </w:r>
            <w:r w:rsidR="000970D6" w:rsidRPr="00721862">
              <w:rPr>
                <w:rFonts w:cs="Arial"/>
                <w:szCs w:val="17"/>
              </w:rPr>
              <w:t>.</w:t>
            </w:r>
          </w:p>
        </w:tc>
        <w:tc>
          <w:tcPr>
            <w:tcW w:w="1172" w:type="pct"/>
          </w:tcPr>
          <w:p w14:paraId="31B58816" w14:textId="1E1F311A" w:rsidR="00AE1A6A" w:rsidRPr="00721862" w:rsidRDefault="00AE1A6A" w:rsidP="00CE2267">
            <w:pPr>
              <w:pStyle w:val="TableNBullet"/>
              <w:rPr>
                <w:rFonts w:cs="Arial"/>
                <w:szCs w:val="17"/>
              </w:rPr>
            </w:pPr>
            <w:r w:rsidRPr="00721862">
              <w:rPr>
                <w:rFonts w:cs="Arial"/>
                <w:szCs w:val="17"/>
              </w:rPr>
              <w:t>AIHW data collections</w:t>
            </w:r>
          </w:p>
          <w:p w14:paraId="26E4F75E" w14:textId="45DFDF51" w:rsidR="003A54AB" w:rsidRPr="00721862" w:rsidRDefault="003A54AB" w:rsidP="00CE2267">
            <w:pPr>
              <w:pStyle w:val="TableNBullet"/>
              <w:rPr>
                <w:rFonts w:cs="Arial"/>
                <w:szCs w:val="17"/>
              </w:rPr>
            </w:pPr>
            <w:r w:rsidRPr="00721862">
              <w:rPr>
                <w:rFonts w:cs="Arial"/>
                <w:szCs w:val="17"/>
              </w:rPr>
              <w:t>Service provider datasets</w:t>
            </w:r>
          </w:p>
          <w:p w14:paraId="5BE55E35" w14:textId="77777777" w:rsidR="006A70A5" w:rsidRPr="00721862" w:rsidRDefault="006A70A5" w:rsidP="00CE2267">
            <w:pPr>
              <w:pStyle w:val="TableNBullet"/>
              <w:rPr>
                <w:rFonts w:cs="Arial"/>
                <w:szCs w:val="17"/>
              </w:rPr>
            </w:pPr>
            <w:r w:rsidRPr="00721862">
              <w:rPr>
                <w:rFonts w:cs="Arial"/>
                <w:szCs w:val="17"/>
              </w:rPr>
              <w:t>Advocacy group datasets</w:t>
            </w:r>
          </w:p>
          <w:p w14:paraId="4AF6D9F7" w14:textId="77777777" w:rsidR="00544AA7" w:rsidRPr="00721862" w:rsidRDefault="00AE1A6A" w:rsidP="00CE2267">
            <w:pPr>
              <w:pStyle w:val="TableNBullet"/>
              <w:rPr>
                <w:rFonts w:cs="Arial"/>
                <w:szCs w:val="17"/>
              </w:rPr>
            </w:pPr>
            <w:r w:rsidRPr="00721862">
              <w:rPr>
                <w:rFonts w:cs="Arial"/>
                <w:szCs w:val="17"/>
              </w:rPr>
              <w:t xml:space="preserve">State and </w:t>
            </w:r>
            <w:r w:rsidR="006F7C15" w:rsidRPr="00721862">
              <w:rPr>
                <w:rFonts w:cs="Arial"/>
                <w:szCs w:val="17"/>
              </w:rPr>
              <w:t>territory</w:t>
            </w:r>
            <w:r w:rsidRPr="00721862">
              <w:rPr>
                <w:rFonts w:cs="Arial"/>
                <w:szCs w:val="17"/>
              </w:rPr>
              <w:t xml:space="preserve"> maternity surveys</w:t>
            </w:r>
            <w:r w:rsidR="000970D6" w:rsidRPr="00721862">
              <w:rPr>
                <w:rStyle w:val="FootnoteReference"/>
                <w:rFonts w:cs="Arial"/>
                <w:szCs w:val="17"/>
              </w:rPr>
              <w:footnoteReference w:id="27"/>
            </w:r>
          </w:p>
          <w:p w14:paraId="1732A45B" w14:textId="6B39EAB4" w:rsidR="00544AA7" w:rsidRPr="00721862" w:rsidRDefault="00277B2C" w:rsidP="00CE2267">
            <w:pPr>
              <w:pStyle w:val="TableNBullet"/>
              <w:rPr>
                <w:rFonts w:cs="Arial"/>
                <w:szCs w:val="17"/>
              </w:rPr>
            </w:pPr>
            <w:r w:rsidRPr="00721862">
              <w:rPr>
                <w:rFonts w:cs="Arial"/>
                <w:szCs w:val="17"/>
              </w:rPr>
              <w:t>Resourcing and cost data</w:t>
            </w:r>
          </w:p>
        </w:tc>
        <w:tc>
          <w:tcPr>
            <w:tcW w:w="703" w:type="pct"/>
          </w:tcPr>
          <w:p w14:paraId="666B0D6C" w14:textId="6D322827" w:rsidR="000970D6" w:rsidRPr="00721862" w:rsidRDefault="000970D6" w:rsidP="00CE2267">
            <w:pPr>
              <w:pStyle w:val="TableNText"/>
              <w:spacing w:after="0"/>
              <w:jc w:val="center"/>
              <w:rPr>
                <w:rFonts w:cs="Arial"/>
                <w:szCs w:val="17"/>
              </w:rPr>
            </w:pPr>
            <w:r w:rsidRPr="00721862">
              <w:rPr>
                <w:rFonts w:ascii="Segoe UI Symbol" w:hAnsi="Segoe UI Symbol" w:cs="Segoe UI Symbol"/>
                <w:szCs w:val="17"/>
              </w:rPr>
              <w:t>✓</w:t>
            </w:r>
          </w:p>
        </w:tc>
        <w:tc>
          <w:tcPr>
            <w:tcW w:w="625" w:type="pct"/>
          </w:tcPr>
          <w:p w14:paraId="291A31D6" w14:textId="4C11D0E4" w:rsidR="000970D6" w:rsidRPr="00721862" w:rsidRDefault="000970D6" w:rsidP="00CE2267">
            <w:pPr>
              <w:pStyle w:val="TableNText"/>
              <w:spacing w:after="0"/>
              <w:jc w:val="center"/>
              <w:rPr>
                <w:rFonts w:cs="Arial"/>
                <w:szCs w:val="17"/>
              </w:rPr>
            </w:pPr>
            <w:r w:rsidRPr="00721862">
              <w:rPr>
                <w:rFonts w:ascii="Segoe UI Symbol" w:hAnsi="Segoe UI Symbol" w:cs="Segoe UI Symbol"/>
                <w:szCs w:val="17"/>
              </w:rPr>
              <w:t>✓</w:t>
            </w:r>
          </w:p>
        </w:tc>
      </w:tr>
      <w:tr w:rsidR="00544AA7" w14:paraId="7E6B9C75" w14:textId="77777777" w:rsidTr="008E2B45">
        <w:trPr>
          <w:trHeight w:val="789"/>
        </w:trPr>
        <w:tc>
          <w:tcPr>
            <w:tcW w:w="860" w:type="pct"/>
          </w:tcPr>
          <w:p w14:paraId="45354187" w14:textId="1CE07ADF" w:rsidR="00544AA7" w:rsidRPr="00721862" w:rsidRDefault="003E2805" w:rsidP="008E2B45">
            <w:pPr>
              <w:pStyle w:val="TableText"/>
            </w:pPr>
            <w:r w:rsidRPr="00721862">
              <w:t xml:space="preserve">4. </w:t>
            </w:r>
            <w:r w:rsidR="00AE1A6A" w:rsidRPr="00721862">
              <w:t>New datasets</w:t>
            </w:r>
          </w:p>
        </w:tc>
        <w:tc>
          <w:tcPr>
            <w:tcW w:w="1640" w:type="pct"/>
          </w:tcPr>
          <w:p w14:paraId="356A216A" w14:textId="77777777" w:rsidR="000970D6" w:rsidRPr="00721862" w:rsidRDefault="000970D6" w:rsidP="00744873">
            <w:pPr>
              <w:pStyle w:val="TableNText"/>
              <w:spacing w:before="40" w:after="40" w:line="257" w:lineRule="auto"/>
              <w:rPr>
                <w:rFonts w:cs="Arial"/>
                <w:szCs w:val="17"/>
              </w:rPr>
            </w:pPr>
            <w:r w:rsidRPr="00721862">
              <w:rPr>
                <w:rFonts w:cs="Arial"/>
                <w:szCs w:val="17"/>
              </w:rPr>
              <w:t>As the monitoring and evaluation continues, new datasets may be developed to address data gaps identified earlier in the process.</w:t>
            </w:r>
          </w:p>
          <w:p w14:paraId="5ECD8194" w14:textId="4390A9FD" w:rsidR="000970D6" w:rsidRPr="00721862" w:rsidRDefault="000970D6" w:rsidP="00744873">
            <w:pPr>
              <w:pStyle w:val="TableNText"/>
              <w:spacing w:before="40" w:after="40" w:line="257" w:lineRule="auto"/>
              <w:rPr>
                <w:rFonts w:cs="Arial"/>
                <w:szCs w:val="17"/>
              </w:rPr>
            </w:pPr>
            <w:r w:rsidRPr="00721862">
              <w:rPr>
                <w:rFonts w:cs="Arial"/>
                <w:szCs w:val="17"/>
              </w:rPr>
              <w:t xml:space="preserve">While these additional datasets may not be national in scope, they can provide additional </w:t>
            </w:r>
            <w:r w:rsidRPr="00721862">
              <w:rPr>
                <w:rFonts w:cs="Arial"/>
                <w:szCs w:val="17"/>
              </w:rPr>
              <w:lastRenderedPageBreak/>
              <w:t>information that is not covered in existing data.</w:t>
            </w:r>
          </w:p>
        </w:tc>
        <w:tc>
          <w:tcPr>
            <w:tcW w:w="1172" w:type="pct"/>
          </w:tcPr>
          <w:p w14:paraId="7B0B6170" w14:textId="453D6160" w:rsidR="00AE1A6A" w:rsidRPr="00721862" w:rsidRDefault="00AE1A6A" w:rsidP="00CE2267">
            <w:pPr>
              <w:pStyle w:val="TableNBullet"/>
              <w:rPr>
                <w:rFonts w:cs="Arial"/>
                <w:szCs w:val="17"/>
              </w:rPr>
            </w:pPr>
            <w:r w:rsidRPr="00721862">
              <w:rPr>
                <w:rFonts w:cs="Arial"/>
                <w:szCs w:val="17"/>
              </w:rPr>
              <w:lastRenderedPageBreak/>
              <w:t xml:space="preserve">New surveys </w:t>
            </w:r>
          </w:p>
          <w:p w14:paraId="271FA2E6" w14:textId="6A4B8AED" w:rsidR="00544AA7" w:rsidRPr="00721862" w:rsidRDefault="00AE1A6A" w:rsidP="00CE2267">
            <w:pPr>
              <w:pStyle w:val="TableNBullet"/>
              <w:rPr>
                <w:rFonts w:cs="Arial"/>
                <w:szCs w:val="17"/>
              </w:rPr>
            </w:pPr>
            <w:r w:rsidRPr="00721862">
              <w:rPr>
                <w:rFonts w:cs="Arial"/>
                <w:szCs w:val="17"/>
              </w:rPr>
              <w:t>New data collections</w:t>
            </w:r>
          </w:p>
        </w:tc>
        <w:tc>
          <w:tcPr>
            <w:tcW w:w="703" w:type="pct"/>
          </w:tcPr>
          <w:p w14:paraId="1BD92B28" w14:textId="1E405148" w:rsidR="000970D6" w:rsidRPr="00721862" w:rsidRDefault="003669BB" w:rsidP="00CE2267">
            <w:pPr>
              <w:pStyle w:val="TableNText"/>
              <w:spacing w:after="0"/>
              <w:jc w:val="center"/>
              <w:rPr>
                <w:rFonts w:cs="Arial"/>
                <w:szCs w:val="17"/>
              </w:rPr>
            </w:pPr>
            <w:r w:rsidRPr="00721862">
              <w:rPr>
                <w:rFonts w:cs="Arial"/>
                <w:szCs w:val="17"/>
              </w:rPr>
              <w:t>Not yet known</w:t>
            </w:r>
          </w:p>
        </w:tc>
        <w:tc>
          <w:tcPr>
            <w:tcW w:w="625" w:type="pct"/>
          </w:tcPr>
          <w:p w14:paraId="66109005" w14:textId="0B412DEB" w:rsidR="000970D6" w:rsidRPr="00721862" w:rsidRDefault="003669BB" w:rsidP="00CE2267">
            <w:pPr>
              <w:pStyle w:val="TableNText"/>
              <w:spacing w:after="0"/>
              <w:jc w:val="center"/>
              <w:rPr>
                <w:rFonts w:cs="Arial"/>
                <w:szCs w:val="17"/>
              </w:rPr>
            </w:pPr>
            <w:r w:rsidRPr="00721862">
              <w:rPr>
                <w:rFonts w:cs="Arial"/>
                <w:szCs w:val="17"/>
              </w:rPr>
              <w:t>Not yet known</w:t>
            </w:r>
          </w:p>
        </w:tc>
      </w:tr>
      <w:tr w:rsidR="00AE1A6A" w14:paraId="21712877" w14:textId="77777777" w:rsidTr="008E2B45">
        <w:trPr>
          <w:trHeight w:val="274"/>
        </w:trPr>
        <w:tc>
          <w:tcPr>
            <w:tcW w:w="860" w:type="pct"/>
          </w:tcPr>
          <w:p w14:paraId="59E8DB98" w14:textId="10AA006F" w:rsidR="00AE1A6A" w:rsidRPr="00721862" w:rsidRDefault="003E2805" w:rsidP="008E2B45">
            <w:pPr>
              <w:pStyle w:val="TableNText"/>
            </w:pPr>
            <w:r w:rsidRPr="00721862">
              <w:t xml:space="preserve">5. </w:t>
            </w:r>
            <w:r w:rsidR="00AE1A6A" w:rsidRPr="00721862">
              <w:t>Consultations</w:t>
            </w:r>
          </w:p>
        </w:tc>
        <w:tc>
          <w:tcPr>
            <w:tcW w:w="1640" w:type="pct"/>
          </w:tcPr>
          <w:p w14:paraId="2465A3D9" w14:textId="5386772B" w:rsidR="000970D6" w:rsidRPr="00721862" w:rsidRDefault="000970D6" w:rsidP="00744873">
            <w:pPr>
              <w:pStyle w:val="TableNText"/>
              <w:spacing w:before="40" w:after="40" w:line="257" w:lineRule="auto"/>
              <w:rPr>
                <w:rFonts w:cs="Arial"/>
                <w:szCs w:val="17"/>
              </w:rPr>
            </w:pPr>
            <w:r w:rsidRPr="00721862">
              <w:rPr>
                <w:rFonts w:cs="Arial"/>
                <w:szCs w:val="17"/>
              </w:rPr>
              <w:t xml:space="preserve">Consultations with </w:t>
            </w:r>
            <w:r w:rsidR="00604907" w:rsidRPr="00721862">
              <w:rPr>
                <w:rFonts w:cs="Arial"/>
                <w:szCs w:val="17"/>
              </w:rPr>
              <w:t>key</w:t>
            </w:r>
            <w:r w:rsidRPr="00721862">
              <w:rPr>
                <w:rFonts w:cs="Arial"/>
                <w:szCs w:val="17"/>
              </w:rPr>
              <w:t xml:space="preserve"> stakeholders will provide additional </w:t>
            </w:r>
            <w:r w:rsidR="001D0D47" w:rsidRPr="00721862">
              <w:rPr>
                <w:rFonts w:cs="Arial"/>
                <w:szCs w:val="17"/>
              </w:rPr>
              <w:t xml:space="preserve">depth and context regarding appropriateness of the Plan, </w:t>
            </w:r>
            <w:r w:rsidRPr="00721862">
              <w:rPr>
                <w:rFonts w:cs="Arial"/>
                <w:szCs w:val="17"/>
              </w:rPr>
              <w:t xml:space="preserve">policy and operating context </w:t>
            </w:r>
            <w:r w:rsidR="00D95EF6" w:rsidRPr="00721862">
              <w:rPr>
                <w:rFonts w:cs="Arial"/>
                <w:szCs w:val="17"/>
              </w:rPr>
              <w:t>and observed outcomes and impacts</w:t>
            </w:r>
            <w:r w:rsidRPr="00721862">
              <w:rPr>
                <w:rFonts w:cs="Arial"/>
                <w:szCs w:val="17"/>
              </w:rPr>
              <w:t>.</w:t>
            </w:r>
          </w:p>
        </w:tc>
        <w:tc>
          <w:tcPr>
            <w:tcW w:w="1172" w:type="pct"/>
          </w:tcPr>
          <w:p w14:paraId="63B12542" w14:textId="28FD491F" w:rsidR="00AB56DD" w:rsidRPr="00721862" w:rsidRDefault="00AB56DD" w:rsidP="00AB56DD">
            <w:pPr>
              <w:pStyle w:val="TableNBullet"/>
              <w:rPr>
                <w:rFonts w:cs="Arial"/>
                <w:szCs w:val="17"/>
              </w:rPr>
            </w:pPr>
            <w:r w:rsidRPr="00721862">
              <w:rPr>
                <w:rFonts w:cs="Arial"/>
                <w:szCs w:val="17"/>
              </w:rPr>
              <w:t xml:space="preserve">Multicultural Centre for Women’s Health in Victoria </w:t>
            </w:r>
          </w:p>
          <w:p w14:paraId="1DEF3DBB" w14:textId="1E1B631A" w:rsidR="00AB56DD" w:rsidRPr="00721862" w:rsidRDefault="00AB56DD" w:rsidP="00AB56DD">
            <w:pPr>
              <w:pStyle w:val="TableNBullet"/>
              <w:rPr>
                <w:rFonts w:cs="Arial"/>
                <w:szCs w:val="17"/>
              </w:rPr>
            </w:pPr>
            <w:r w:rsidRPr="00721862">
              <w:rPr>
                <w:rFonts w:cs="Arial"/>
                <w:szCs w:val="17"/>
              </w:rPr>
              <w:t>National Aboriginal Community Controlled Health Organisation (NACCHO)</w:t>
            </w:r>
          </w:p>
          <w:p w14:paraId="553D2CC3" w14:textId="7E1FDFDC" w:rsidR="00AE1A6A" w:rsidRPr="00721862" w:rsidRDefault="00AB56DD" w:rsidP="00AB56DD">
            <w:pPr>
              <w:pStyle w:val="TableNBullet"/>
              <w:rPr>
                <w:rFonts w:cs="Arial"/>
                <w:szCs w:val="17"/>
              </w:rPr>
            </w:pPr>
            <w:r w:rsidRPr="00721862">
              <w:rPr>
                <w:rFonts w:cs="Arial"/>
                <w:szCs w:val="17"/>
              </w:rPr>
              <w:t>Women’s Healthcare Australasian (WHA)</w:t>
            </w:r>
          </w:p>
        </w:tc>
        <w:tc>
          <w:tcPr>
            <w:tcW w:w="703" w:type="pct"/>
          </w:tcPr>
          <w:p w14:paraId="2D9CD66E" w14:textId="2511158B" w:rsidR="000970D6" w:rsidRPr="00721862" w:rsidRDefault="000970D6" w:rsidP="00CE2267">
            <w:pPr>
              <w:pStyle w:val="TableNText"/>
              <w:spacing w:after="0"/>
              <w:jc w:val="center"/>
              <w:rPr>
                <w:rFonts w:cs="Arial"/>
                <w:szCs w:val="17"/>
              </w:rPr>
            </w:pPr>
            <w:r w:rsidRPr="00721862">
              <w:rPr>
                <w:rFonts w:ascii="Segoe UI Symbol" w:hAnsi="Segoe UI Symbol" w:cs="Segoe UI Symbol"/>
                <w:szCs w:val="17"/>
              </w:rPr>
              <w:t>✓</w:t>
            </w:r>
          </w:p>
        </w:tc>
        <w:tc>
          <w:tcPr>
            <w:tcW w:w="625" w:type="pct"/>
          </w:tcPr>
          <w:p w14:paraId="52127061" w14:textId="26826279" w:rsidR="000970D6" w:rsidRPr="00721862" w:rsidRDefault="000970D6" w:rsidP="00CE2267">
            <w:pPr>
              <w:pStyle w:val="TableNText"/>
              <w:spacing w:after="0"/>
              <w:jc w:val="center"/>
              <w:rPr>
                <w:rFonts w:cs="Arial"/>
                <w:szCs w:val="17"/>
              </w:rPr>
            </w:pPr>
            <w:r w:rsidRPr="00721862">
              <w:rPr>
                <w:rFonts w:ascii="Segoe UI Symbol" w:hAnsi="Segoe UI Symbol" w:cs="Segoe UI Symbol"/>
                <w:szCs w:val="17"/>
              </w:rPr>
              <w:t>✓</w:t>
            </w:r>
          </w:p>
        </w:tc>
      </w:tr>
    </w:tbl>
    <w:p w14:paraId="6DED6840" w14:textId="14C3A8B6" w:rsidR="00DB5ADD" w:rsidRDefault="00FA52A2" w:rsidP="008E2B45">
      <w:r w:rsidRPr="001A7756">
        <w:t xml:space="preserve">Section </w:t>
      </w:r>
      <w:r w:rsidR="00D137AE">
        <w:fldChar w:fldCharType="begin"/>
      </w:r>
      <w:r w:rsidR="00D137AE">
        <w:instrText xml:space="preserve"> REF _Ref88658565 \r \h </w:instrText>
      </w:r>
      <w:r w:rsidR="00D137AE">
        <w:fldChar w:fldCharType="separate"/>
      </w:r>
      <w:r w:rsidR="00CF19E2">
        <w:t>2.6</w:t>
      </w:r>
      <w:r w:rsidR="00D137AE">
        <w:fldChar w:fldCharType="end"/>
      </w:r>
      <w:r w:rsidRPr="001A7756">
        <w:t xml:space="preserve"> provides the monitoring and evaluation timeline. Section </w:t>
      </w:r>
      <w:r w:rsidR="00327D2F">
        <w:fldChar w:fldCharType="begin"/>
      </w:r>
      <w:r w:rsidR="00327D2F">
        <w:instrText xml:space="preserve"> REF _Ref97882116 \r \h </w:instrText>
      </w:r>
      <w:r w:rsidR="00327D2F">
        <w:fldChar w:fldCharType="separate"/>
      </w:r>
      <w:r w:rsidR="00CF19E2">
        <w:t>3</w:t>
      </w:r>
      <w:r w:rsidR="00327D2F">
        <w:fldChar w:fldCharType="end"/>
      </w:r>
      <w:r w:rsidR="001A7756" w:rsidRPr="001A7756">
        <w:t xml:space="preserve"> </w:t>
      </w:r>
      <w:r w:rsidRPr="001A7756">
        <w:t>provides detail on reporting.</w:t>
      </w:r>
      <w:r>
        <w:t xml:space="preserve"> </w:t>
      </w:r>
      <w:r w:rsidR="005E3657">
        <w:t xml:space="preserve">The </w:t>
      </w:r>
      <w:r w:rsidR="009A5ED9">
        <w:t xml:space="preserve">Monitoring and Evaluation Plan </w:t>
      </w:r>
      <w:r w:rsidR="00851BE4">
        <w:t>outlines</w:t>
      </w:r>
      <w:r w:rsidR="009A5ED9">
        <w:t xml:space="preserve"> specific data sources that will be used </w:t>
      </w:r>
      <w:r w:rsidR="009F2A8E">
        <w:t>for measurement from 2022 to 2024.</w:t>
      </w:r>
      <w:bookmarkStart w:id="24" w:name="_Ref88113961"/>
    </w:p>
    <w:p w14:paraId="1D058C4D" w14:textId="77777777" w:rsidR="00060280" w:rsidRDefault="00060280" w:rsidP="00060280">
      <w:pPr>
        <w:pStyle w:val="PolicyStatement"/>
      </w:pPr>
      <w:r>
        <w:t xml:space="preserve">MONITORING AND EVALAUTION FINDINGS WILL BE INDEPENDENT </w:t>
      </w:r>
    </w:p>
    <w:p w14:paraId="312BFD7A" w14:textId="78E427E8" w:rsidR="00060280" w:rsidRDefault="00060280" w:rsidP="00060280">
      <w:pPr>
        <w:pStyle w:val="PolicyStatement"/>
      </w:pPr>
      <w:r>
        <w:t>The monitoring and evaluation approach will triangulate data to build the evidence base and overcome issues around data subjectivity. Triangulation will bring together the data collected through the monitoring and evaluation, as outlined in Table 4, to develop robust and reliable insights against the key monitoring and evaluation questions and indicators, especially progress against the overarching goal. That is, findings will be independent in nature and informed by multiple data points. This means the perspectives of individuals, or cohorts, are less likely to bias evaluation findings and recommendations.</w:t>
      </w:r>
    </w:p>
    <w:p w14:paraId="73BEDC9C" w14:textId="276D80A7" w:rsidR="00C8291D" w:rsidRDefault="00C8291D" w:rsidP="00C8291D">
      <w:pPr>
        <w:sectPr w:rsidR="00C8291D" w:rsidSect="00DD093C">
          <w:headerReference w:type="default" r:id="rId29"/>
          <w:pgSz w:w="11907" w:h="16839" w:code="9"/>
          <w:pgMar w:top="1559" w:right="1191" w:bottom="1134" w:left="1418" w:header="425" w:footer="720" w:gutter="0"/>
          <w:cols w:space="720"/>
          <w:docGrid w:linePitch="360"/>
        </w:sectPr>
      </w:pPr>
    </w:p>
    <w:p w14:paraId="32C55730" w14:textId="1D4178AA" w:rsidR="00AA41E3" w:rsidRPr="004C3739" w:rsidRDefault="00E70B4B" w:rsidP="006E1A7A">
      <w:pPr>
        <w:pStyle w:val="Heading2"/>
        <w:spacing w:before="0"/>
        <w:ind w:left="862"/>
      </w:pPr>
      <w:bookmarkStart w:id="25" w:name="_Ref88658565"/>
      <w:bookmarkStart w:id="26" w:name="_Ref93664305"/>
      <w:r>
        <w:lastRenderedPageBreak/>
        <w:t>Monitoring and evaluation timeline</w:t>
      </w:r>
      <w:bookmarkEnd w:id="24"/>
      <w:bookmarkEnd w:id="25"/>
      <w:bookmarkEnd w:id="26"/>
    </w:p>
    <w:p w14:paraId="304408A0" w14:textId="25CC7024" w:rsidR="009A0447" w:rsidRPr="00A159E4" w:rsidRDefault="006441BD" w:rsidP="006441BD">
      <w:pPr>
        <w:rPr>
          <w:rFonts w:ascii="Arial" w:hAnsi="Arial" w:cs="Arial"/>
        </w:rPr>
      </w:pPr>
      <w:r w:rsidRPr="00A159E4">
        <w:rPr>
          <w:rFonts w:ascii="Arial" w:hAnsi="Arial" w:cs="Arial"/>
        </w:rPr>
        <w:t xml:space="preserve">Monitoring and evaluation of the Plan </w:t>
      </w:r>
      <w:r w:rsidR="00B92560" w:rsidRPr="00A159E4">
        <w:rPr>
          <w:rFonts w:ascii="Arial" w:hAnsi="Arial" w:cs="Arial"/>
        </w:rPr>
        <w:t>is to</w:t>
      </w:r>
      <w:r w:rsidRPr="00A159E4">
        <w:rPr>
          <w:rFonts w:ascii="Arial" w:hAnsi="Arial" w:cs="Arial"/>
        </w:rPr>
        <w:t xml:space="preserve"> be undertaken between April 2022 and June 2030, as shown in </w:t>
      </w:r>
      <w:r w:rsidR="00A75CAF" w:rsidRPr="00A159E4">
        <w:rPr>
          <w:rFonts w:ascii="Arial" w:hAnsi="Arial" w:cs="Arial"/>
          <w:highlight w:val="yellow"/>
        </w:rPr>
        <w:fldChar w:fldCharType="begin"/>
      </w:r>
      <w:r w:rsidR="00A75CAF" w:rsidRPr="00A159E4">
        <w:rPr>
          <w:rFonts w:ascii="Arial" w:hAnsi="Arial" w:cs="Arial"/>
        </w:rPr>
        <w:instrText xml:space="preserve"> REF _Ref88479393 \h </w:instrText>
      </w:r>
      <w:r w:rsidR="00A159E4">
        <w:rPr>
          <w:rFonts w:ascii="Arial" w:hAnsi="Arial" w:cs="Arial"/>
          <w:highlight w:val="yellow"/>
        </w:rPr>
        <w:instrText xml:space="preserve"> \* MERGEFORMAT </w:instrText>
      </w:r>
      <w:r w:rsidR="00A75CAF" w:rsidRPr="00A159E4">
        <w:rPr>
          <w:rFonts w:ascii="Arial" w:hAnsi="Arial" w:cs="Arial"/>
          <w:highlight w:val="yellow"/>
        </w:rPr>
      </w:r>
      <w:r w:rsidR="00A75CAF" w:rsidRPr="00A159E4">
        <w:rPr>
          <w:rFonts w:ascii="Arial" w:hAnsi="Arial" w:cs="Arial"/>
          <w:highlight w:val="yellow"/>
        </w:rPr>
        <w:fldChar w:fldCharType="separate"/>
      </w:r>
      <w:r w:rsidR="00CF19E2" w:rsidRPr="00CF19E2">
        <w:rPr>
          <w:rFonts w:ascii="Arial" w:hAnsi="Arial" w:cs="Arial"/>
        </w:rPr>
        <w:t xml:space="preserve">Figure </w:t>
      </w:r>
      <w:r w:rsidR="00CF19E2" w:rsidRPr="00CF19E2">
        <w:rPr>
          <w:rFonts w:ascii="Arial" w:hAnsi="Arial" w:cs="Arial"/>
          <w:noProof/>
        </w:rPr>
        <w:t>7</w:t>
      </w:r>
      <w:r w:rsidR="00A75CAF" w:rsidRPr="00A159E4">
        <w:rPr>
          <w:rFonts w:ascii="Arial" w:hAnsi="Arial" w:cs="Arial"/>
          <w:highlight w:val="yellow"/>
        </w:rPr>
        <w:fldChar w:fldCharType="end"/>
      </w:r>
      <w:r w:rsidRPr="00A159E4">
        <w:rPr>
          <w:rFonts w:ascii="Arial" w:hAnsi="Arial" w:cs="Arial"/>
        </w:rPr>
        <w:t xml:space="preserve">. </w:t>
      </w:r>
      <w:r w:rsidR="009A0447" w:rsidRPr="00A159E4">
        <w:rPr>
          <w:rFonts w:ascii="Arial" w:hAnsi="Arial" w:cs="Arial"/>
        </w:rPr>
        <w:t xml:space="preserve">In initial years, there will be more of a focus on monitoring as opposed to evaluation, given it will take time for many desired outcomes to be observed. </w:t>
      </w:r>
    </w:p>
    <w:p w14:paraId="6424D5E6" w14:textId="6FE4DDEB" w:rsidR="006441BD" w:rsidRPr="00A159E4" w:rsidRDefault="006441BD" w:rsidP="006441BD">
      <w:pPr>
        <w:rPr>
          <w:rFonts w:ascii="Arial" w:hAnsi="Arial" w:cs="Arial"/>
        </w:rPr>
      </w:pPr>
      <w:r w:rsidRPr="00A159E4">
        <w:rPr>
          <w:rFonts w:ascii="Arial" w:hAnsi="Arial" w:cs="Arial"/>
        </w:rPr>
        <w:t xml:space="preserve">In summary, the </w:t>
      </w:r>
      <w:r w:rsidR="005B0B9A" w:rsidRPr="00A159E4">
        <w:rPr>
          <w:rFonts w:ascii="Arial" w:hAnsi="Arial" w:cs="Arial"/>
        </w:rPr>
        <w:t xml:space="preserve">proposed </w:t>
      </w:r>
      <w:r w:rsidRPr="00A159E4">
        <w:rPr>
          <w:rFonts w:ascii="Arial" w:hAnsi="Arial" w:cs="Arial"/>
        </w:rPr>
        <w:t>monitoring and evaluation stages are:</w:t>
      </w:r>
    </w:p>
    <w:p w14:paraId="742EB2C4" w14:textId="328E1DB4" w:rsidR="006441BD" w:rsidRPr="00A159E4" w:rsidRDefault="006441BD" w:rsidP="00060280">
      <w:pPr>
        <w:pStyle w:val="ListBullet"/>
      </w:pPr>
      <w:r w:rsidRPr="00060280">
        <w:rPr>
          <w:rStyle w:val="Strong"/>
        </w:rPr>
        <w:t>Stage 1</w:t>
      </w:r>
      <w:r w:rsidR="00105D34" w:rsidRPr="00060280">
        <w:rPr>
          <w:rStyle w:val="Strong"/>
        </w:rPr>
        <w:t>:</w:t>
      </w:r>
      <w:r w:rsidR="002E27B6" w:rsidRPr="00060280">
        <w:rPr>
          <w:rStyle w:val="Strong"/>
        </w:rPr>
        <w:t xml:space="preserve"> Baseline and early progress</w:t>
      </w:r>
      <w:r w:rsidRPr="00060280">
        <w:rPr>
          <w:rStyle w:val="Strong"/>
        </w:rPr>
        <w:t xml:space="preserve"> from April 2022 to June 2024</w:t>
      </w:r>
      <w:r w:rsidR="005B0B9A" w:rsidRPr="00060280">
        <w:rPr>
          <w:rStyle w:val="Strong"/>
        </w:rPr>
        <w:t xml:space="preserve"> </w:t>
      </w:r>
      <w:r w:rsidR="005B0B9A" w:rsidRPr="00A159E4">
        <w:t>(contracted to Nous Group)</w:t>
      </w:r>
      <w:r w:rsidRPr="00A159E4">
        <w:t>:</w:t>
      </w:r>
      <w:r w:rsidRPr="00A159E4">
        <w:rPr>
          <w:color w:val="358189"/>
        </w:rPr>
        <w:t xml:space="preserve"> </w:t>
      </w:r>
      <w:r w:rsidRPr="00A159E4">
        <w:t xml:space="preserve">The purpose is to establish data collection and reporting process and report the baseline for the evaluation against the national </w:t>
      </w:r>
      <w:r w:rsidR="00591746" w:rsidRPr="00A159E4">
        <w:t xml:space="preserve">evaluation </w:t>
      </w:r>
      <w:r w:rsidRPr="00A159E4">
        <w:t xml:space="preserve">indicators. Stage 1 will </w:t>
      </w:r>
      <w:r w:rsidR="00F97AD9">
        <w:t xml:space="preserve">provide a baseline for the evaluation (using data </w:t>
      </w:r>
      <w:r w:rsidR="009F3834">
        <w:t xml:space="preserve">primarily </w:t>
      </w:r>
      <w:r w:rsidR="00F97AD9">
        <w:t xml:space="preserve">from </w:t>
      </w:r>
      <w:r w:rsidR="006A2A7A">
        <w:t>2019</w:t>
      </w:r>
      <w:r w:rsidR="00A80749">
        <w:t>,</w:t>
      </w:r>
      <w:r w:rsidR="00F97AD9">
        <w:t xml:space="preserve"> </w:t>
      </w:r>
      <w:r w:rsidR="00CF2E7F">
        <w:t>the year prior to the Plan’s release and in line with the years AIHW publicly reports key statistics</w:t>
      </w:r>
      <w:r w:rsidR="00F97AD9">
        <w:t xml:space="preserve">) </w:t>
      </w:r>
      <w:r w:rsidR="00C6341A">
        <w:t xml:space="preserve">and </w:t>
      </w:r>
      <w:r w:rsidRPr="00A159E4">
        <w:t xml:space="preserve">focus on measuring </w:t>
      </w:r>
      <w:r w:rsidR="00EB63F1">
        <w:t xml:space="preserve">early </w:t>
      </w:r>
      <w:r w:rsidRPr="00A159E4">
        <w:t xml:space="preserve">implementation progress, the extent to which short-term outcomes are being observed and any unintended consequences. </w:t>
      </w:r>
    </w:p>
    <w:p w14:paraId="3E8CFDB8" w14:textId="6929A3D6" w:rsidR="006441BD" w:rsidRPr="00A159E4" w:rsidRDefault="006441BD" w:rsidP="006441BD">
      <w:pPr>
        <w:pStyle w:val="ListBullet"/>
        <w:rPr>
          <w:rFonts w:cs="Arial"/>
        </w:rPr>
      </w:pPr>
      <w:r w:rsidRPr="00060280">
        <w:rPr>
          <w:rStyle w:val="Strong"/>
        </w:rPr>
        <w:t>Stage 2</w:t>
      </w:r>
      <w:r w:rsidR="00117E8A" w:rsidRPr="00060280">
        <w:rPr>
          <w:rStyle w:val="Strong"/>
        </w:rPr>
        <w:t xml:space="preserve"> (proposed)</w:t>
      </w:r>
      <w:r w:rsidR="00186AE6" w:rsidRPr="00060280">
        <w:rPr>
          <w:rStyle w:val="Strong"/>
        </w:rPr>
        <w:t>: Ongoing reporting</w:t>
      </w:r>
      <w:r w:rsidRPr="00060280">
        <w:rPr>
          <w:rStyle w:val="Strong"/>
        </w:rPr>
        <w:t xml:space="preserve"> from July 2024 to June</w:t>
      </w:r>
      <w:r w:rsidR="00105D34" w:rsidRPr="00060280">
        <w:rPr>
          <w:rStyle w:val="Strong"/>
        </w:rPr>
        <w:t xml:space="preserve"> 2030</w:t>
      </w:r>
      <w:r w:rsidR="00117E8A" w:rsidRPr="00060280">
        <w:rPr>
          <w:rStyle w:val="Strong"/>
        </w:rPr>
        <w:t>:</w:t>
      </w:r>
      <w:r w:rsidR="00EB63F1" w:rsidRPr="00060280">
        <w:rPr>
          <w:rStyle w:val="Strong"/>
        </w:rPr>
        <w:t xml:space="preserve"> </w:t>
      </w:r>
      <w:r w:rsidR="00117E8A">
        <w:rPr>
          <w:rFonts w:cs="Arial"/>
        </w:rPr>
        <w:t>T</w:t>
      </w:r>
      <w:r w:rsidRPr="00A159E4">
        <w:rPr>
          <w:rFonts w:cs="Arial"/>
        </w:rPr>
        <w:t xml:space="preserve">he purpose </w:t>
      </w:r>
      <w:r w:rsidR="00225DD2">
        <w:rPr>
          <w:rFonts w:cs="Arial"/>
        </w:rPr>
        <w:t xml:space="preserve">of Stage 2 (proposed) </w:t>
      </w:r>
      <w:r w:rsidR="00A8227D" w:rsidRPr="00A159E4">
        <w:rPr>
          <w:rFonts w:cs="Arial"/>
        </w:rPr>
        <w:t>will be</w:t>
      </w:r>
      <w:r w:rsidRPr="00A159E4">
        <w:rPr>
          <w:rFonts w:cs="Arial"/>
        </w:rPr>
        <w:t xml:space="preserve"> to undertake regular data collection and reporting to monitor national implementation progress</w:t>
      </w:r>
      <w:r w:rsidR="00843B6F">
        <w:rPr>
          <w:rFonts w:cs="Arial"/>
        </w:rPr>
        <w:t>.</w:t>
      </w:r>
      <w:r w:rsidR="00950F3F">
        <w:rPr>
          <w:rFonts w:cs="Arial"/>
        </w:rPr>
        <w:t xml:space="preserve"> </w:t>
      </w:r>
      <w:r w:rsidR="00B65679">
        <w:rPr>
          <w:rFonts w:cs="Arial"/>
        </w:rPr>
        <w:t>Nous</w:t>
      </w:r>
      <w:r w:rsidR="00950F3F">
        <w:rPr>
          <w:rFonts w:cs="Arial"/>
        </w:rPr>
        <w:t xml:space="preserve"> </w:t>
      </w:r>
      <w:r w:rsidR="002422DA">
        <w:rPr>
          <w:rFonts w:cs="Arial"/>
        </w:rPr>
        <w:t>recommend</w:t>
      </w:r>
      <w:r w:rsidR="00B65679">
        <w:rPr>
          <w:rFonts w:cs="Arial"/>
        </w:rPr>
        <w:t>s</w:t>
      </w:r>
      <w:r w:rsidR="002422DA">
        <w:rPr>
          <w:rFonts w:cs="Arial"/>
        </w:rPr>
        <w:t xml:space="preserve"> that </w:t>
      </w:r>
      <w:r w:rsidR="00551539">
        <w:rPr>
          <w:rFonts w:cs="Arial"/>
        </w:rPr>
        <w:t>an annual monitoring</w:t>
      </w:r>
      <w:r w:rsidR="00576BCF">
        <w:rPr>
          <w:rFonts w:cs="Arial"/>
        </w:rPr>
        <w:t xml:space="preserve"> mechanism is used to </w:t>
      </w:r>
      <w:r w:rsidR="00A8227D" w:rsidRPr="00A159E4">
        <w:rPr>
          <w:rFonts w:cs="Arial"/>
        </w:rPr>
        <w:t>highlight</w:t>
      </w:r>
      <w:r w:rsidRPr="00A159E4">
        <w:rPr>
          <w:rFonts w:cs="Arial"/>
        </w:rPr>
        <w:t xml:space="preserve"> implementation progress, </w:t>
      </w:r>
      <w:r w:rsidR="005C0559">
        <w:rPr>
          <w:rFonts w:cs="Arial"/>
        </w:rPr>
        <w:t xml:space="preserve">identify </w:t>
      </w:r>
      <w:r w:rsidRPr="00A159E4">
        <w:rPr>
          <w:rFonts w:cs="Arial"/>
        </w:rPr>
        <w:t>successes and areas for improvement</w:t>
      </w:r>
      <w:r w:rsidR="00637075">
        <w:rPr>
          <w:rFonts w:cs="Arial"/>
        </w:rPr>
        <w:t xml:space="preserve">, </w:t>
      </w:r>
      <w:r w:rsidR="0094695E">
        <w:rPr>
          <w:rFonts w:cs="Arial"/>
        </w:rPr>
        <w:t xml:space="preserve">share </w:t>
      </w:r>
      <w:r w:rsidRPr="00A159E4">
        <w:rPr>
          <w:rFonts w:cs="Arial"/>
        </w:rPr>
        <w:t>emerging</w:t>
      </w:r>
      <w:r w:rsidR="0094695E">
        <w:rPr>
          <w:rFonts w:cs="Arial"/>
        </w:rPr>
        <w:t xml:space="preserve"> evidence</w:t>
      </w:r>
      <w:r w:rsidRPr="00A159E4">
        <w:rPr>
          <w:rFonts w:cs="Arial"/>
        </w:rPr>
        <w:t xml:space="preserve"> </w:t>
      </w:r>
      <w:r w:rsidR="00637075">
        <w:rPr>
          <w:rFonts w:cs="Arial"/>
        </w:rPr>
        <w:t xml:space="preserve">and </w:t>
      </w:r>
      <w:r w:rsidRPr="00A159E4">
        <w:rPr>
          <w:rFonts w:cs="Arial"/>
        </w:rPr>
        <w:t>report on achievement of short and medium-term outcomes</w:t>
      </w:r>
      <w:r w:rsidR="00637075">
        <w:rPr>
          <w:rFonts w:cs="Arial"/>
        </w:rPr>
        <w:t xml:space="preserve">, including </w:t>
      </w:r>
      <w:r w:rsidRPr="00A159E4">
        <w:rPr>
          <w:rFonts w:cs="Arial"/>
        </w:rPr>
        <w:t xml:space="preserve">any unintended consequences. </w:t>
      </w:r>
    </w:p>
    <w:p w14:paraId="41EE40B4" w14:textId="13FEFD62" w:rsidR="006441BD" w:rsidRPr="00A159E4" w:rsidRDefault="00C86959" w:rsidP="00D551BB">
      <w:pPr>
        <w:pStyle w:val="ListBullet"/>
        <w:numPr>
          <w:ilvl w:val="0"/>
          <w:numId w:val="0"/>
        </w:numPr>
        <w:ind w:left="284"/>
        <w:rPr>
          <w:rFonts w:cs="Arial"/>
        </w:rPr>
      </w:pPr>
      <w:r>
        <w:rPr>
          <w:rFonts w:cs="Arial"/>
        </w:rPr>
        <w:t xml:space="preserve">Ongoing evaluation of the Plan during Stage 2 is </w:t>
      </w:r>
      <w:r w:rsidR="00671DBC">
        <w:rPr>
          <w:rFonts w:cs="Arial"/>
        </w:rPr>
        <w:t xml:space="preserve">subject to a decision of government. </w:t>
      </w:r>
      <w:r w:rsidR="00B65679">
        <w:rPr>
          <w:rFonts w:cs="Arial"/>
        </w:rPr>
        <w:t>A</w:t>
      </w:r>
      <w:r w:rsidR="00671DBC">
        <w:rPr>
          <w:rFonts w:cs="Arial"/>
        </w:rPr>
        <w:t xml:space="preserve">dditional evaluation </w:t>
      </w:r>
      <w:r w:rsidR="00644D1B">
        <w:rPr>
          <w:rFonts w:cs="Arial"/>
        </w:rPr>
        <w:t>findings would</w:t>
      </w:r>
      <w:r w:rsidR="00671DBC">
        <w:rPr>
          <w:rFonts w:cs="Arial"/>
        </w:rPr>
        <w:t xml:space="preserve"> </w:t>
      </w:r>
      <w:r w:rsidR="006441BD" w:rsidRPr="00A159E4">
        <w:rPr>
          <w:rFonts w:cs="Arial"/>
        </w:rPr>
        <w:t xml:space="preserve">measure outcomes against the baseline established </w:t>
      </w:r>
      <w:r w:rsidR="00EF29AA" w:rsidRPr="00A159E4">
        <w:rPr>
          <w:rFonts w:cs="Arial"/>
        </w:rPr>
        <w:t>during</w:t>
      </w:r>
      <w:r w:rsidR="006441BD" w:rsidRPr="00A159E4">
        <w:rPr>
          <w:rFonts w:cs="Arial"/>
        </w:rPr>
        <w:t xml:space="preserve"> Stage 1, undertake the cost-effectiveness </w:t>
      </w:r>
      <w:proofErr w:type="gramStart"/>
      <w:r w:rsidR="006441BD" w:rsidRPr="00A159E4">
        <w:rPr>
          <w:rFonts w:cs="Arial"/>
        </w:rPr>
        <w:t>analysis</w:t>
      </w:r>
      <w:proofErr w:type="gramEnd"/>
      <w:r w:rsidR="006441BD" w:rsidRPr="00A159E4">
        <w:rPr>
          <w:rFonts w:cs="Arial"/>
        </w:rPr>
        <w:t xml:space="preserve"> and </w:t>
      </w:r>
      <w:r w:rsidR="00274C87">
        <w:rPr>
          <w:rFonts w:cs="Arial"/>
        </w:rPr>
        <w:t>provide</w:t>
      </w:r>
      <w:r w:rsidR="006441BD" w:rsidRPr="00A159E4">
        <w:rPr>
          <w:rFonts w:cs="Arial"/>
        </w:rPr>
        <w:t xml:space="preserve"> overall findings and recommendations. </w:t>
      </w:r>
    </w:p>
    <w:p w14:paraId="437B4ED4" w14:textId="27762006" w:rsidR="00AB21B7" w:rsidRDefault="000A4447" w:rsidP="00AB21B7">
      <w:pPr>
        <w:pStyle w:val="ListBullet"/>
        <w:numPr>
          <w:ilvl w:val="0"/>
          <w:numId w:val="0"/>
        </w:numPr>
        <w:rPr>
          <w:rFonts w:cs="Arial"/>
        </w:rPr>
      </w:pPr>
      <w:r w:rsidRPr="00A159E4">
        <w:rPr>
          <w:rFonts w:cs="Arial"/>
        </w:rPr>
        <w:t xml:space="preserve">The Australian Government has commissioned Nous Group to deliver Stage 1. The activities outlined for Stage 2 are recommendations on the conduct of monitoring and evaluation activities </w:t>
      </w:r>
      <w:r w:rsidR="002E4BE7" w:rsidRPr="00A159E4">
        <w:rPr>
          <w:rFonts w:cs="Arial"/>
        </w:rPr>
        <w:t xml:space="preserve">beyond 2024. </w:t>
      </w:r>
      <w:r w:rsidRPr="00A159E4">
        <w:rPr>
          <w:rFonts w:cs="Arial"/>
        </w:rPr>
        <w:t>The delivery of Stage 2 is dependent on the Australian Government</w:t>
      </w:r>
      <w:r w:rsidR="00C35212">
        <w:rPr>
          <w:rFonts w:cs="Arial"/>
        </w:rPr>
        <w:t>’s decisions about</w:t>
      </w:r>
      <w:r w:rsidRPr="00A159E4">
        <w:rPr>
          <w:rFonts w:cs="Arial"/>
        </w:rPr>
        <w:t xml:space="preserve"> continu</w:t>
      </w:r>
      <w:r w:rsidR="00A80B25">
        <w:rPr>
          <w:rFonts w:cs="Arial"/>
        </w:rPr>
        <w:t>ing</w:t>
      </w:r>
      <w:r w:rsidRPr="00A159E4">
        <w:rPr>
          <w:rFonts w:cs="Arial"/>
        </w:rPr>
        <w:t xml:space="preserve"> to </w:t>
      </w:r>
      <w:r w:rsidR="00A07B52" w:rsidRPr="00A159E4">
        <w:rPr>
          <w:rFonts w:cs="Arial"/>
        </w:rPr>
        <w:t xml:space="preserve">adapt and/or </w:t>
      </w:r>
      <w:r w:rsidRPr="00A159E4">
        <w:rPr>
          <w:rFonts w:cs="Arial"/>
        </w:rPr>
        <w:t>undertake the proposed data collection, analysis and reporting activities.</w:t>
      </w:r>
    </w:p>
    <w:p w14:paraId="6C351074" w14:textId="650E8474" w:rsidR="006441BD" w:rsidRPr="00A159E4" w:rsidRDefault="006441BD" w:rsidP="00852F0E">
      <w:pPr>
        <w:pStyle w:val="Caption"/>
        <w:keepNext w:val="0"/>
        <w:rPr>
          <w:rFonts w:cs="Arial"/>
        </w:rPr>
      </w:pPr>
      <w:bookmarkStart w:id="27" w:name="_Ref88479393"/>
      <w:r w:rsidRPr="00A159E4">
        <w:rPr>
          <w:rFonts w:cs="Arial"/>
        </w:rPr>
        <w:t xml:space="preserve">Figure </w:t>
      </w:r>
      <w:r w:rsidR="005A3A31">
        <w:rPr>
          <w:rFonts w:cs="Arial"/>
        </w:rPr>
        <w:fldChar w:fldCharType="begin"/>
      </w:r>
      <w:r w:rsidR="005A3A31">
        <w:rPr>
          <w:rFonts w:cs="Arial"/>
        </w:rPr>
        <w:instrText xml:space="preserve"> SEQ Figure \* ARABIC </w:instrText>
      </w:r>
      <w:r w:rsidR="005A3A31">
        <w:rPr>
          <w:rFonts w:cs="Arial"/>
        </w:rPr>
        <w:fldChar w:fldCharType="separate"/>
      </w:r>
      <w:r w:rsidR="00CF19E2">
        <w:rPr>
          <w:rFonts w:cs="Arial"/>
          <w:noProof/>
        </w:rPr>
        <w:t>7</w:t>
      </w:r>
      <w:r w:rsidR="005A3A31">
        <w:rPr>
          <w:rFonts w:cs="Arial"/>
        </w:rPr>
        <w:fldChar w:fldCharType="end"/>
      </w:r>
      <w:bookmarkEnd w:id="27"/>
      <w:r w:rsidRPr="00A159E4">
        <w:rPr>
          <w:rFonts w:cs="Arial"/>
        </w:rPr>
        <w:t xml:space="preserve"> | Monitoring and evaluation data collection and reporting timeline</w:t>
      </w:r>
      <w:r w:rsidR="003F14FD">
        <w:rPr>
          <w:rStyle w:val="FootnoteReference"/>
          <w:rFonts w:cs="Arial"/>
        </w:rPr>
        <w:footnoteReference w:id="28"/>
      </w:r>
    </w:p>
    <w:p w14:paraId="4AC534E4" w14:textId="07A9B501" w:rsidR="006441BD" w:rsidRDefault="002F620A" w:rsidP="006441BD">
      <w:pPr>
        <w:rPr>
          <w:highlight w:val="yellow"/>
        </w:rPr>
      </w:pPr>
      <w:r w:rsidRPr="00B206F7">
        <w:rPr>
          <w:noProof/>
        </w:rPr>
        <w:lastRenderedPageBreak/>
        <w:drawing>
          <wp:inline distT="0" distB="0" distL="0" distR="0" wp14:anchorId="117CBB79" wp14:editId="29ED2951">
            <wp:extent cx="5031534" cy="3338624"/>
            <wp:effectExtent l="0" t="0" r="0" b="0"/>
            <wp:docPr id="2" name="Picture 2" descr="This figure outlines the timeline for data collection and reporting. It is proposed that monitoring reports are delivered annually in February and evaluation reports are delivered in 2023, 2026 and 2029. Data should be collected yearly, with data collection occurring in Nov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outlines the timeline for data collection and reporting. It is proposed that monitoring reports are delivered annually in February and evaluation reports are delivered in 2023, 2026 and 2029. Data should be collected yearly, with data collection occurring in Novembe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4368" cy="3373682"/>
                    </a:xfrm>
                    <a:prstGeom prst="rect">
                      <a:avLst/>
                    </a:prstGeom>
                    <a:noFill/>
                  </pic:spPr>
                </pic:pic>
              </a:graphicData>
            </a:graphic>
          </wp:inline>
        </w:drawing>
      </w:r>
    </w:p>
    <w:p w14:paraId="393695DC" w14:textId="7C3DC5E8" w:rsidR="00B33A66" w:rsidRDefault="00293F08" w:rsidP="00A41383">
      <w:pPr>
        <w:pStyle w:val="Heading1"/>
      </w:pPr>
      <w:bookmarkStart w:id="28" w:name="_Ref97882116"/>
      <w:bookmarkStart w:id="29" w:name="_Ref97882249"/>
      <w:bookmarkStart w:id="30" w:name="_Ref100146648"/>
      <w:bookmarkStart w:id="31" w:name="_Ref100146805"/>
      <w:bookmarkStart w:id="32" w:name="_Ref100146825"/>
      <w:bookmarkStart w:id="33" w:name="_Hlk88029532"/>
      <w:bookmarkStart w:id="34" w:name="_Toc121303896"/>
      <w:r>
        <w:lastRenderedPageBreak/>
        <w:t>Reporting</w:t>
      </w:r>
      <w:bookmarkEnd w:id="28"/>
      <w:bookmarkEnd w:id="29"/>
      <w:bookmarkEnd w:id="30"/>
      <w:bookmarkEnd w:id="31"/>
      <w:bookmarkEnd w:id="32"/>
      <w:bookmarkEnd w:id="34"/>
    </w:p>
    <w:p w14:paraId="68DE53E8" w14:textId="24955D95" w:rsidR="00060280" w:rsidRPr="00060280" w:rsidRDefault="00060280" w:rsidP="00060280">
      <w:pPr>
        <w:pStyle w:val="Sectionlist"/>
        <w:pBdr>
          <w:bottom w:val="single" w:sz="4" w:space="1" w:color="15585D" w:themeColor="accent1" w:themeShade="80"/>
        </w:pBdr>
        <w:rPr>
          <w:lang w:eastAsia="en-AU"/>
        </w:rPr>
      </w:pPr>
      <w:r w:rsidRPr="00060280">
        <w:rPr>
          <w:lang w:eastAsia="en-AU"/>
        </w:rPr>
        <w:t>This section outlines the recommended reporting schedule for monitoring and evaluation between 2022 to 2030.</w:t>
      </w:r>
    </w:p>
    <w:p w14:paraId="7238CD9A" w14:textId="121FA703" w:rsidR="005C52CE" w:rsidRPr="000C59B8" w:rsidRDefault="009F157C" w:rsidP="00ED2B74">
      <w:pPr>
        <w:pStyle w:val="Heading3"/>
      </w:pPr>
      <w:r w:rsidRPr="000C59B8">
        <w:t xml:space="preserve">The evaluation will report on implementation progress and evaluation findings. </w:t>
      </w:r>
    </w:p>
    <w:p w14:paraId="1279A9EE" w14:textId="1E4DEC8E" w:rsidR="009A3D0A" w:rsidRPr="000C59B8" w:rsidRDefault="00811627" w:rsidP="00DE3AF5">
      <w:pPr>
        <w:spacing w:before="240"/>
        <w:rPr>
          <w:rFonts w:ascii="Arial" w:hAnsi="Arial" w:cs="Arial"/>
        </w:rPr>
      </w:pPr>
      <w:r>
        <w:rPr>
          <w:rFonts w:ascii="Arial" w:hAnsi="Arial" w:cs="Arial"/>
          <w:lang w:eastAsia="en-AU"/>
        </w:rPr>
        <w:t xml:space="preserve">It is intended that the detail of reports outlined in this </w:t>
      </w:r>
      <w:r w:rsidR="00305611" w:rsidRPr="000C59B8">
        <w:rPr>
          <w:rFonts w:ascii="Arial" w:hAnsi="Arial" w:cs="Arial"/>
          <w:lang w:eastAsia="en-AU"/>
        </w:rPr>
        <w:t xml:space="preserve">Monitoring and Evaluation Framework </w:t>
      </w:r>
      <w:r w:rsidR="00D2127E">
        <w:rPr>
          <w:rFonts w:ascii="Arial" w:hAnsi="Arial" w:cs="Arial"/>
          <w:lang w:eastAsia="en-AU"/>
        </w:rPr>
        <w:t xml:space="preserve">will be </w:t>
      </w:r>
      <w:r w:rsidR="009736B5">
        <w:rPr>
          <w:rFonts w:ascii="Arial" w:hAnsi="Arial" w:cs="Arial"/>
          <w:lang w:eastAsia="en-AU"/>
        </w:rPr>
        <w:t>made publicly available</w:t>
      </w:r>
      <w:r w:rsidR="00305611" w:rsidRPr="000C59B8">
        <w:rPr>
          <w:rFonts w:ascii="Arial" w:hAnsi="Arial" w:cs="Arial"/>
          <w:lang w:eastAsia="en-AU"/>
        </w:rPr>
        <w:t>. Public reporting helps to ensure transparency in process and outcomes and hold</w:t>
      </w:r>
      <w:r w:rsidR="00071B9B">
        <w:rPr>
          <w:rFonts w:ascii="Arial" w:hAnsi="Arial" w:cs="Arial"/>
          <w:lang w:eastAsia="en-AU"/>
        </w:rPr>
        <w:t>s</w:t>
      </w:r>
      <w:r w:rsidR="00305611" w:rsidRPr="000C59B8">
        <w:rPr>
          <w:rFonts w:ascii="Arial" w:hAnsi="Arial" w:cs="Arial"/>
          <w:lang w:eastAsia="en-AU"/>
        </w:rPr>
        <w:t xml:space="preserve"> people to account. </w:t>
      </w:r>
      <w:r w:rsidR="00FC412A">
        <w:rPr>
          <w:rFonts w:ascii="Arial" w:hAnsi="Arial" w:cs="Arial"/>
          <w:lang w:eastAsia="en-AU"/>
        </w:rPr>
        <w:t xml:space="preserve">Two reporting mechanisms are suggested: </w:t>
      </w:r>
      <w:r w:rsidR="00B32751">
        <w:rPr>
          <w:rFonts w:ascii="Arial" w:hAnsi="Arial" w:cs="Arial"/>
          <w:lang w:eastAsia="en-AU"/>
        </w:rPr>
        <w:t>a concise annual monitoring report and</w:t>
      </w:r>
      <w:r w:rsidR="005B6051">
        <w:rPr>
          <w:rFonts w:ascii="Arial" w:hAnsi="Arial" w:cs="Arial"/>
          <w:lang w:eastAsia="en-AU"/>
        </w:rPr>
        <w:t xml:space="preserve"> a</w:t>
      </w:r>
      <w:r w:rsidR="00B32751">
        <w:rPr>
          <w:rFonts w:ascii="Arial" w:hAnsi="Arial" w:cs="Arial"/>
          <w:lang w:eastAsia="en-AU"/>
        </w:rPr>
        <w:t xml:space="preserve"> three </w:t>
      </w:r>
      <w:r w:rsidR="00FC412A">
        <w:rPr>
          <w:rFonts w:ascii="Arial" w:hAnsi="Arial" w:cs="Arial"/>
          <w:lang w:eastAsia="en-AU"/>
        </w:rPr>
        <w:t>yearly distribution of key evaluation findings.</w:t>
      </w:r>
      <w:r w:rsidR="00B32751">
        <w:rPr>
          <w:rFonts w:ascii="Arial" w:hAnsi="Arial" w:cs="Arial"/>
          <w:lang w:eastAsia="en-AU"/>
        </w:rPr>
        <w:t xml:space="preserve"> </w:t>
      </w:r>
      <w:r w:rsidR="00365864" w:rsidRPr="000C59B8">
        <w:rPr>
          <w:rFonts w:ascii="Arial" w:hAnsi="Arial" w:cs="Arial"/>
        </w:rPr>
        <w:t>Further detail</w:t>
      </w:r>
      <w:r w:rsidR="00AB2544" w:rsidRPr="000C59B8">
        <w:rPr>
          <w:rFonts w:ascii="Arial" w:hAnsi="Arial" w:cs="Arial"/>
        </w:rPr>
        <w:t>s</w:t>
      </w:r>
      <w:r w:rsidR="00365864" w:rsidRPr="000C59B8">
        <w:rPr>
          <w:rFonts w:ascii="Arial" w:hAnsi="Arial" w:cs="Arial"/>
        </w:rPr>
        <w:t xml:space="preserve"> on </w:t>
      </w:r>
      <w:r w:rsidR="00AB2544" w:rsidRPr="000C59B8">
        <w:rPr>
          <w:rFonts w:ascii="Arial" w:hAnsi="Arial" w:cs="Arial"/>
        </w:rPr>
        <w:t>the proposed reports, including purpose</w:t>
      </w:r>
      <w:r w:rsidR="005954D7" w:rsidRPr="000C59B8">
        <w:rPr>
          <w:rFonts w:ascii="Arial" w:hAnsi="Arial" w:cs="Arial"/>
        </w:rPr>
        <w:t xml:space="preserve"> of reporting, </w:t>
      </w:r>
      <w:proofErr w:type="gramStart"/>
      <w:r w:rsidR="005954D7" w:rsidRPr="000C59B8">
        <w:rPr>
          <w:rFonts w:ascii="Arial" w:hAnsi="Arial" w:cs="Arial"/>
        </w:rPr>
        <w:t>audience</w:t>
      </w:r>
      <w:proofErr w:type="gramEnd"/>
      <w:r w:rsidR="005954D7" w:rsidRPr="000C59B8">
        <w:rPr>
          <w:rFonts w:ascii="Arial" w:hAnsi="Arial" w:cs="Arial"/>
        </w:rPr>
        <w:t xml:space="preserve"> and anticipated</w:t>
      </w:r>
      <w:r w:rsidR="00305611" w:rsidRPr="000C59B8">
        <w:rPr>
          <w:rFonts w:ascii="Arial" w:hAnsi="Arial" w:cs="Arial"/>
        </w:rPr>
        <w:t xml:space="preserve"> data sources, is</w:t>
      </w:r>
      <w:r w:rsidR="00AB2544" w:rsidRPr="000C59B8">
        <w:rPr>
          <w:rFonts w:ascii="Arial" w:hAnsi="Arial" w:cs="Arial"/>
        </w:rPr>
        <w:t xml:space="preserve"> provided in </w:t>
      </w:r>
      <w:r w:rsidR="003F3CD0" w:rsidRPr="000C59B8">
        <w:rPr>
          <w:rFonts w:ascii="Arial" w:hAnsi="Arial" w:cs="Arial"/>
        </w:rPr>
        <w:fldChar w:fldCharType="begin"/>
      </w:r>
      <w:r w:rsidR="003F3CD0" w:rsidRPr="000C59B8">
        <w:rPr>
          <w:rFonts w:ascii="Arial" w:hAnsi="Arial" w:cs="Arial"/>
        </w:rPr>
        <w:instrText xml:space="preserve"> REF _Ref88655911 \h </w:instrText>
      </w:r>
      <w:r w:rsidR="000C59B8">
        <w:rPr>
          <w:rFonts w:ascii="Arial" w:hAnsi="Arial" w:cs="Arial"/>
        </w:rPr>
        <w:instrText xml:space="preserve"> \* MERGEFORMAT </w:instrText>
      </w:r>
      <w:r w:rsidR="003F3CD0" w:rsidRPr="000C59B8">
        <w:rPr>
          <w:rFonts w:ascii="Arial" w:hAnsi="Arial" w:cs="Arial"/>
        </w:rPr>
      </w:r>
      <w:r w:rsidR="003F3CD0" w:rsidRPr="000C59B8">
        <w:rPr>
          <w:rFonts w:ascii="Arial" w:hAnsi="Arial" w:cs="Arial"/>
        </w:rPr>
        <w:fldChar w:fldCharType="separate"/>
      </w:r>
      <w:r w:rsidR="00CF19E2" w:rsidRPr="00CF19E2">
        <w:rPr>
          <w:rFonts w:ascii="Arial" w:hAnsi="Arial" w:cs="Arial"/>
        </w:rPr>
        <w:t xml:space="preserve">Table </w:t>
      </w:r>
      <w:r w:rsidR="00CF19E2" w:rsidRPr="00CF19E2">
        <w:rPr>
          <w:rFonts w:ascii="Arial" w:hAnsi="Arial" w:cs="Arial"/>
          <w:noProof/>
        </w:rPr>
        <w:t>5</w:t>
      </w:r>
      <w:r w:rsidR="003F3CD0" w:rsidRPr="000C59B8">
        <w:rPr>
          <w:rFonts w:ascii="Arial" w:hAnsi="Arial" w:cs="Arial"/>
        </w:rPr>
        <w:fldChar w:fldCharType="end"/>
      </w:r>
      <w:r w:rsidR="00AB2544" w:rsidRPr="000C59B8">
        <w:rPr>
          <w:rFonts w:ascii="Arial" w:hAnsi="Arial" w:cs="Arial"/>
        </w:rPr>
        <w:t xml:space="preserve">. </w:t>
      </w:r>
      <w:r w:rsidR="005954D7" w:rsidRPr="000C59B8">
        <w:rPr>
          <w:rFonts w:ascii="Arial" w:hAnsi="Arial" w:cs="Arial"/>
        </w:rPr>
        <w:t xml:space="preserve">Reporting timing is provided in </w:t>
      </w:r>
      <w:r w:rsidR="005954D7" w:rsidRPr="000C59B8">
        <w:rPr>
          <w:rFonts w:ascii="Arial" w:hAnsi="Arial" w:cs="Arial"/>
        </w:rPr>
        <w:fldChar w:fldCharType="begin"/>
      </w:r>
      <w:r w:rsidR="005954D7" w:rsidRPr="000C59B8">
        <w:rPr>
          <w:rFonts w:ascii="Arial" w:hAnsi="Arial" w:cs="Arial"/>
        </w:rPr>
        <w:instrText xml:space="preserve"> REF _Ref88479393 \h </w:instrText>
      </w:r>
      <w:r w:rsidR="000C59B8">
        <w:rPr>
          <w:rFonts w:ascii="Arial" w:hAnsi="Arial" w:cs="Arial"/>
        </w:rPr>
        <w:instrText xml:space="preserve"> \* MERGEFORMAT </w:instrText>
      </w:r>
      <w:r w:rsidR="005954D7" w:rsidRPr="000C59B8">
        <w:rPr>
          <w:rFonts w:ascii="Arial" w:hAnsi="Arial" w:cs="Arial"/>
        </w:rPr>
      </w:r>
      <w:r w:rsidR="005954D7" w:rsidRPr="000C59B8">
        <w:rPr>
          <w:rFonts w:ascii="Arial" w:hAnsi="Arial" w:cs="Arial"/>
        </w:rPr>
        <w:fldChar w:fldCharType="separate"/>
      </w:r>
      <w:r w:rsidR="00CF19E2" w:rsidRPr="00CF19E2">
        <w:rPr>
          <w:rFonts w:ascii="Arial" w:hAnsi="Arial" w:cs="Arial"/>
        </w:rPr>
        <w:t xml:space="preserve">Figure </w:t>
      </w:r>
      <w:r w:rsidR="00CF19E2" w:rsidRPr="00CF19E2">
        <w:rPr>
          <w:rFonts w:ascii="Arial" w:hAnsi="Arial" w:cs="Arial"/>
          <w:noProof/>
        </w:rPr>
        <w:t>7</w:t>
      </w:r>
      <w:r w:rsidR="005954D7" w:rsidRPr="000C59B8">
        <w:rPr>
          <w:rFonts w:ascii="Arial" w:hAnsi="Arial" w:cs="Arial"/>
        </w:rPr>
        <w:fldChar w:fldCharType="end"/>
      </w:r>
      <w:r w:rsidR="005954D7" w:rsidRPr="000C59B8">
        <w:rPr>
          <w:rFonts w:ascii="Arial" w:hAnsi="Arial" w:cs="Arial"/>
        </w:rPr>
        <w:t>.</w:t>
      </w:r>
    </w:p>
    <w:p w14:paraId="0E99A32B" w14:textId="0ACFDE1D" w:rsidR="003F3CD0" w:rsidRDefault="003F3CD0" w:rsidP="003F3CD0">
      <w:pPr>
        <w:pStyle w:val="Caption"/>
      </w:pPr>
      <w:bookmarkStart w:id="35" w:name="_Ref88655911"/>
      <w:r>
        <w:t xml:space="preserve">Table </w:t>
      </w:r>
      <w:r>
        <w:fldChar w:fldCharType="begin"/>
      </w:r>
      <w:r>
        <w:instrText xml:space="preserve"> SEQ Table \* ARABIC </w:instrText>
      </w:r>
      <w:r>
        <w:fldChar w:fldCharType="separate"/>
      </w:r>
      <w:r w:rsidR="00CF19E2">
        <w:rPr>
          <w:noProof/>
        </w:rPr>
        <w:t>5</w:t>
      </w:r>
      <w:r>
        <w:fldChar w:fldCharType="end"/>
      </w:r>
      <w:bookmarkEnd w:id="35"/>
      <w:r>
        <w:t xml:space="preserve"> | Detail on proposed reporting schedule</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47"/>
        <w:gridCol w:w="7431"/>
      </w:tblGrid>
      <w:tr w:rsidR="005954D7" w:rsidRPr="00060280" w14:paraId="68B5BEBF" w14:textId="77777777" w:rsidTr="00060280">
        <w:trPr>
          <w:cnfStyle w:val="100000000000" w:firstRow="1" w:lastRow="0" w:firstColumn="0" w:lastColumn="0" w:oddVBand="0" w:evenVBand="0" w:oddHBand="0" w:evenHBand="0" w:firstRowFirstColumn="0" w:firstRowLastColumn="0" w:lastRowFirstColumn="0" w:lastRowLastColumn="0"/>
          <w:tblHeader/>
        </w:trPr>
        <w:tc>
          <w:tcPr>
            <w:tcW w:w="767" w:type="pct"/>
            <w:shd w:val="clear" w:color="auto" w:fill="3F4A75"/>
          </w:tcPr>
          <w:p w14:paraId="7A0439ED" w14:textId="66779A5B" w:rsidR="005954D7" w:rsidRPr="00060280" w:rsidRDefault="005954D7" w:rsidP="00060280">
            <w:pPr>
              <w:pStyle w:val="TableNheader"/>
            </w:pPr>
            <w:r w:rsidRPr="00060280">
              <w:t>Report type</w:t>
            </w:r>
          </w:p>
        </w:tc>
        <w:tc>
          <w:tcPr>
            <w:tcW w:w="4233" w:type="pct"/>
            <w:shd w:val="clear" w:color="auto" w:fill="3F4A75"/>
          </w:tcPr>
          <w:p w14:paraId="0F2F3029" w14:textId="40093A9D" w:rsidR="005954D7" w:rsidRPr="00060280" w:rsidRDefault="005954D7" w:rsidP="00060280">
            <w:pPr>
              <w:pStyle w:val="TableNheader"/>
            </w:pPr>
            <w:r w:rsidRPr="00060280">
              <w:t xml:space="preserve">Purpose </w:t>
            </w:r>
          </w:p>
        </w:tc>
      </w:tr>
      <w:tr w:rsidR="005954D7" w:rsidRPr="00060280" w14:paraId="03920E24" w14:textId="77777777" w:rsidTr="00060280">
        <w:tc>
          <w:tcPr>
            <w:tcW w:w="767" w:type="pct"/>
            <w:shd w:val="clear" w:color="auto" w:fill="E6E6E6"/>
          </w:tcPr>
          <w:p w14:paraId="1F638213" w14:textId="5C318C32" w:rsidR="005954D7" w:rsidRPr="00060280" w:rsidRDefault="00CD53F3" w:rsidP="00060280">
            <w:r w:rsidRPr="00060280">
              <w:t>Annual p</w:t>
            </w:r>
            <w:r w:rsidR="00CD11EE" w:rsidRPr="00060280">
              <w:t xml:space="preserve">ublic </w:t>
            </w:r>
            <w:r w:rsidR="005954D7" w:rsidRPr="00060280">
              <w:t>monitoring reports</w:t>
            </w:r>
          </w:p>
        </w:tc>
        <w:tc>
          <w:tcPr>
            <w:tcW w:w="4233" w:type="pct"/>
            <w:shd w:val="clear" w:color="auto" w:fill="F5F5F5"/>
          </w:tcPr>
          <w:p w14:paraId="6F470910" w14:textId="69D6FE2E" w:rsidR="00292207" w:rsidRPr="00060280" w:rsidRDefault="005954D7" w:rsidP="00060280">
            <w:r w:rsidRPr="00060280">
              <w:t xml:space="preserve">The Monitoring and Evaluation Framework </w:t>
            </w:r>
            <w:r w:rsidR="002B5842" w:rsidRPr="00060280">
              <w:t>recommends</w:t>
            </w:r>
            <w:r w:rsidRPr="00060280">
              <w:t xml:space="preserve"> the delivery of nine annual monitoring reports between </w:t>
            </w:r>
            <w:r w:rsidR="00E6799E" w:rsidRPr="00060280">
              <w:t xml:space="preserve">the beginning </w:t>
            </w:r>
            <w:r w:rsidR="000D3947" w:rsidRPr="00060280">
              <w:t>of monitoring and</w:t>
            </w:r>
            <w:r w:rsidR="00E6799E" w:rsidRPr="00060280">
              <w:t xml:space="preserve"> evaluation in </w:t>
            </w:r>
            <w:r w:rsidRPr="00060280">
              <w:t xml:space="preserve">2022 and </w:t>
            </w:r>
            <w:r w:rsidR="00DE2B49" w:rsidRPr="00060280">
              <w:t xml:space="preserve">the </w:t>
            </w:r>
            <w:r w:rsidR="00044525" w:rsidRPr="00060280">
              <w:t xml:space="preserve">end of the Plan in 2030. </w:t>
            </w:r>
            <w:r w:rsidR="000D3947" w:rsidRPr="00060280">
              <w:t xml:space="preserve"> </w:t>
            </w:r>
            <w:r w:rsidRPr="00060280">
              <w:t xml:space="preserve"> These short and public reports summarise implementation progress, </w:t>
            </w:r>
            <w:r w:rsidR="001648FA" w:rsidRPr="00060280">
              <w:t xml:space="preserve">highlight barriers and enablers </w:t>
            </w:r>
            <w:r w:rsidR="008A6819" w:rsidRPr="00060280">
              <w:t xml:space="preserve">to implementation, provide a brief </w:t>
            </w:r>
            <w:r w:rsidR="003F3CD0" w:rsidRPr="00060280">
              <w:t xml:space="preserve">update </w:t>
            </w:r>
            <w:r w:rsidR="008A6819" w:rsidRPr="00060280">
              <w:t xml:space="preserve">against </w:t>
            </w:r>
            <w:r w:rsidR="0041583B" w:rsidRPr="00060280">
              <w:t xml:space="preserve">all </w:t>
            </w:r>
            <w:r w:rsidR="008A6819" w:rsidRPr="00060280">
              <w:t>national indicators</w:t>
            </w:r>
            <w:r w:rsidR="00E23EA1" w:rsidRPr="00060280">
              <w:t xml:space="preserve"> and provide a snapshot of activities currently underway.</w:t>
            </w:r>
            <w:r w:rsidR="003F3CD0" w:rsidRPr="00060280">
              <w:t xml:space="preserve"> </w:t>
            </w:r>
            <w:r w:rsidR="00292207" w:rsidRPr="00060280">
              <w:t xml:space="preserve">These reports fulfill the ‘action learning’ objective by sharing insights with implementers to help them continually adjust delivery approaches (see </w:t>
            </w:r>
            <w:r w:rsidR="00D86F19" w:rsidRPr="00060280">
              <w:t>S</w:t>
            </w:r>
            <w:r w:rsidR="00292207" w:rsidRPr="00060280">
              <w:t xml:space="preserve">ection </w:t>
            </w:r>
            <w:r w:rsidR="00E24FE7" w:rsidRPr="00060280">
              <w:fldChar w:fldCharType="begin"/>
            </w:r>
            <w:r w:rsidR="00E24FE7" w:rsidRPr="00060280">
              <w:instrText xml:space="preserve"> REF _Ref89089347 \n \h </w:instrText>
            </w:r>
            <w:r w:rsidR="00721862" w:rsidRPr="00060280">
              <w:instrText xml:space="preserve"> \* MERGEFORMAT </w:instrText>
            </w:r>
            <w:r w:rsidR="00E24FE7" w:rsidRPr="00060280">
              <w:fldChar w:fldCharType="separate"/>
            </w:r>
            <w:r w:rsidR="00CF19E2" w:rsidRPr="00060280">
              <w:t>2.1</w:t>
            </w:r>
            <w:r w:rsidR="00E24FE7" w:rsidRPr="00060280">
              <w:fldChar w:fldCharType="end"/>
            </w:r>
            <w:r w:rsidR="00292207" w:rsidRPr="00060280">
              <w:t>).</w:t>
            </w:r>
          </w:p>
          <w:p w14:paraId="73902461" w14:textId="358A7EBF" w:rsidR="00054AB3" w:rsidRPr="00060280" w:rsidRDefault="003F3CD0" w:rsidP="00060280">
            <w:r w:rsidRPr="00060280">
              <w:t xml:space="preserve">Annual monitoring reports </w:t>
            </w:r>
            <w:r w:rsidR="00175A09" w:rsidRPr="00060280">
              <w:t xml:space="preserve">will </w:t>
            </w:r>
            <w:r w:rsidR="005954D7" w:rsidRPr="00060280">
              <w:t xml:space="preserve">be based on two data sources: the Annual Implementers Progress Update and key data on </w:t>
            </w:r>
            <w:r w:rsidR="002230C8" w:rsidRPr="00060280">
              <w:t>national indicators</w:t>
            </w:r>
            <w:r w:rsidR="000F5382" w:rsidRPr="00060280">
              <w:t>. They</w:t>
            </w:r>
            <w:r w:rsidR="00054AB3" w:rsidRPr="00060280">
              <w:t xml:space="preserve"> </w:t>
            </w:r>
            <w:r w:rsidR="0041583B" w:rsidRPr="00060280">
              <w:t xml:space="preserve">will be </w:t>
            </w:r>
            <w:r w:rsidR="00054AB3" w:rsidRPr="00060280">
              <w:t xml:space="preserve">presented using the Annual Monitoring Report Card (see </w:t>
            </w:r>
            <w:r w:rsidR="00054AB3" w:rsidRPr="00060280">
              <w:rPr>
                <w:highlight w:val="yellow"/>
              </w:rPr>
              <w:fldChar w:fldCharType="begin"/>
            </w:r>
            <w:r w:rsidR="00054AB3" w:rsidRPr="00060280">
              <w:instrText xml:space="preserve"> REF _Ref87958108 \r \h </w:instrText>
            </w:r>
            <w:r w:rsidR="00744873" w:rsidRPr="00060280">
              <w:rPr>
                <w:highlight w:val="yellow"/>
              </w:rPr>
              <w:instrText xml:space="preserve"> \* MERGEFORMAT </w:instrText>
            </w:r>
            <w:r w:rsidR="00054AB3" w:rsidRPr="00060280">
              <w:rPr>
                <w:highlight w:val="yellow"/>
              </w:rPr>
            </w:r>
            <w:r w:rsidR="00054AB3" w:rsidRPr="00060280">
              <w:rPr>
                <w:highlight w:val="yellow"/>
              </w:rPr>
              <w:fldChar w:fldCharType="separate"/>
            </w:r>
            <w:r w:rsidR="00CF19E2" w:rsidRPr="00060280">
              <w:t>Appendix B</w:t>
            </w:r>
            <w:r w:rsidR="00054AB3" w:rsidRPr="00060280">
              <w:rPr>
                <w:highlight w:val="yellow"/>
              </w:rPr>
              <w:fldChar w:fldCharType="end"/>
            </w:r>
            <w:r w:rsidR="00054AB3" w:rsidRPr="00060280">
              <w:t xml:space="preserve">) to track implementation. </w:t>
            </w:r>
          </w:p>
          <w:p w14:paraId="5C9AFB42" w14:textId="36E0D22B" w:rsidR="005954D7" w:rsidRPr="00060280" w:rsidRDefault="001B65DA" w:rsidP="00060280">
            <w:r w:rsidRPr="00060280">
              <w:t xml:space="preserve">As </w:t>
            </w:r>
            <w:r w:rsidR="005954D7" w:rsidRPr="00060280">
              <w:t xml:space="preserve">Annual Report </w:t>
            </w:r>
            <w:r w:rsidR="00292207" w:rsidRPr="00060280">
              <w:t>1</w:t>
            </w:r>
            <w:r w:rsidR="005954D7" w:rsidRPr="00060280">
              <w:t xml:space="preserve"> will be delivered before the Monitoring and Evaluation Framework is finalised</w:t>
            </w:r>
            <w:r w:rsidR="00312943" w:rsidRPr="00060280">
              <w:t xml:space="preserve"> </w:t>
            </w:r>
            <w:r w:rsidR="00292207" w:rsidRPr="00060280">
              <w:t xml:space="preserve">it </w:t>
            </w:r>
            <w:r w:rsidR="005954D7" w:rsidRPr="00060280">
              <w:t>will provide high-level overview of stillbirth statistics at the time the Plan was released, early implementation progress and an update on development of the Monitoring and Evaluation Framework</w:t>
            </w:r>
            <w:r w:rsidR="00EC469D" w:rsidRPr="00060280">
              <w:t>.</w:t>
            </w:r>
            <w:r w:rsidR="002B3300" w:rsidRPr="00060280">
              <w:t xml:space="preserve"> </w:t>
            </w:r>
          </w:p>
        </w:tc>
      </w:tr>
      <w:tr w:rsidR="005954D7" w:rsidRPr="00060280" w14:paraId="6E0CB307" w14:textId="77777777" w:rsidTr="00060280">
        <w:trPr>
          <w:trHeight w:val="2350"/>
        </w:trPr>
        <w:tc>
          <w:tcPr>
            <w:tcW w:w="767" w:type="pct"/>
            <w:shd w:val="clear" w:color="auto" w:fill="E6E6E6"/>
          </w:tcPr>
          <w:p w14:paraId="15352E08" w14:textId="14A541BC" w:rsidR="00B11AB3" w:rsidRPr="00060280" w:rsidRDefault="005954D7" w:rsidP="00060280">
            <w:r w:rsidRPr="00060280">
              <w:t>Evaluation</w:t>
            </w:r>
            <w:r w:rsidR="009177DF" w:rsidRPr="00060280">
              <w:t xml:space="preserve"> finding</w:t>
            </w:r>
            <w:r w:rsidRPr="00060280">
              <w:t xml:space="preserve"> reports</w:t>
            </w:r>
            <w:r w:rsidR="00CD11EE" w:rsidRPr="00060280">
              <w:t xml:space="preserve"> </w:t>
            </w:r>
          </w:p>
        </w:tc>
        <w:tc>
          <w:tcPr>
            <w:tcW w:w="4233" w:type="pct"/>
            <w:shd w:val="clear" w:color="auto" w:fill="F5F5F5"/>
          </w:tcPr>
          <w:p w14:paraId="34A5EECD" w14:textId="0E0B1EF5" w:rsidR="00D03174" w:rsidRPr="00060280" w:rsidRDefault="005F5E62" w:rsidP="00060280">
            <w:r w:rsidRPr="00060280">
              <w:t>E</w:t>
            </w:r>
            <w:r w:rsidR="00D03174" w:rsidRPr="00060280">
              <w:t xml:space="preserve">valuation reports </w:t>
            </w:r>
            <w:r w:rsidR="005954D7" w:rsidRPr="00060280">
              <w:t xml:space="preserve">will provide findings against all key monitoring and evaluation questions and national evaluation indicators (see </w:t>
            </w:r>
            <w:r w:rsidR="00D86F19" w:rsidRPr="00060280">
              <w:t>S</w:t>
            </w:r>
            <w:r w:rsidR="005954D7" w:rsidRPr="00060280">
              <w:t xml:space="preserve">ection 2). The </w:t>
            </w:r>
            <w:r w:rsidR="00D03174" w:rsidRPr="00060280">
              <w:t xml:space="preserve">first </w:t>
            </w:r>
            <w:r w:rsidR="005954D7" w:rsidRPr="00060280">
              <w:t xml:space="preserve">evaluation report will set the baseline against the national evaluation indicators and retrospectively report on the baseline at the time the Plan was launched and early progress. This helps to mitigate the limitation of significant time lags in key data. </w:t>
            </w:r>
          </w:p>
          <w:p w14:paraId="3DFA0B22" w14:textId="7D4D5197" w:rsidR="00D03174" w:rsidRPr="00060280" w:rsidRDefault="00D03174" w:rsidP="00060280">
            <w:r w:rsidRPr="00060280">
              <w:t xml:space="preserve">The Monitoring and Evaluation Framework </w:t>
            </w:r>
            <w:r w:rsidR="005F6262" w:rsidRPr="00060280">
              <w:t xml:space="preserve">recommends </w:t>
            </w:r>
            <w:r w:rsidRPr="00060280">
              <w:t xml:space="preserve">that a mid-term evaluation and a final evaluation report </w:t>
            </w:r>
            <w:r w:rsidR="005F6262" w:rsidRPr="00060280">
              <w:t xml:space="preserve">are </w:t>
            </w:r>
            <w:r w:rsidR="009177DF" w:rsidRPr="00060280">
              <w:t xml:space="preserve">also </w:t>
            </w:r>
            <w:r w:rsidR="005F6262" w:rsidRPr="00060280">
              <w:t xml:space="preserve">completed. </w:t>
            </w:r>
            <w:r w:rsidR="005D24E1" w:rsidRPr="00060280">
              <w:t>T</w:t>
            </w:r>
            <w:r w:rsidRPr="00060280">
              <w:t xml:space="preserve">he mid-term evaluation report will provide an update on the Plan’s progress towards its goals, and report against the key evaluation questions and national indicators. </w:t>
            </w:r>
            <w:r w:rsidR="005954D7" w:rsidRPr="00060280">
              <w:t xml:space="preserve">The final evaluation report will present an assessment of </w:t>
            </w:r>
            <w:r w:rsidR="00850C41" w:rsidRPr="00060280">
              <w:t xml:space="preserve">the </w:t>
            </w:r>
            <w:r w:rsidR="005954D7" w:rsidRPr="00060280">
              <w:t xml:space="preserve">overall effectiveness of </w:t>
            </w:r>
            <w:r w:rsidR="003D48CD" w:rsidRPr="00060280">
              <w:t xml:space="preserve">the </w:t>
            </w:r>
            <w:r w:rsidR="003D48CD" w:rsidRPr="00060280">
              <w:lastRenderedPageBreak/>
              <w:t xml:space="preserve">Plan’s </w:t>
            </w:r>
            <w:r w:rsidR="005954D7" w:rsidRPr="00060280">
              <w:t>implementation, cost effectiveness and the extent to which intended outcomes were achieved.</w:t>
            </w:r>
            <w:r w:rsidR="00044525" w:rsidRPr="00060280">
              <w:t xml:space="preserve"> It is recommended that the final evaluation report is delivered in 2029 so that findings can be used to inform decisions on the future of stillbirth prevention in Australia</w:t>
            </w:r>
            <w:r w:rsidR="003F428E" w:rsidRPr="00060280">
              <w:t xml:space="preserve"> before the Plan ends. </w:t>
            </w:r>
          </w:p>
        </w:tc>
      </w:tr>
    </w:tbl>
    <w:p w14:paraId="5435C051" w14:textId="412F0609" w:rsidR="0086697A" w:rsidRDefault="00630681" w:rsidP="00A41383">
      <w:pPr>
        <w:pStyle w:val="Heading1"/>
        <w:numPr>
          <w:ilvl w:val="0"/>
          <w:numId w:val="2"/>
        </w:numPr>
        <w:ind w:left="567" w:hanging="567"/>
      </w:pPr>
      <w:bookmarkStart w:id="36" w:name="_Ref88489546"/>
      <w:bookmarkStart w:id="37" w:name="_Toc85696746"/>
      <w:bookmarkStart w:id="38" w:name="_Ref54262656"/>
      <w:bookmarkStart w:id="39" w:name="_Toc121303897"/>
      <w:bookmarkEnd w:id="33"/>
      <w:r>
        <w:lastRenderedPageBreak/>
        <w:t xml:space="preserve">Governance </w:t>
      </w:r>
      <w:r w:rsidR="0086697A">
        <w:t>arrangements</w:t>
      </w:r>
      <w:bookmarkEnd w:id="36"/>
      <w:bookmarkEnd w:id="39"/>
    </w:p>
    <w:p w14:paraId="44075EC9" w14:textId="323FEC22" w:rsidR="00060280" w:rsidRPr="00060280" w:rsidRDefault="00060280" w:rsidP="00060280">
      <w:pPr>
        <w:pStyle w:val="Sectionlist"/>
        <w:pBdr>
          <w:bottom w:val="single" w:sz="4" w:space="1" w:color="15585D" w:themeColor="accent1" w:themeShade="80"/>
        </w:pBdr>
        <w:rPr>
          <w:lang w:eastAsia="en-AU"/>
        </w:rPr>
      </w:pPr>
      <w:r w:rsidRPr="00060280">
        <w:rPr>
          <w:lang w:eastAsia="en-AU"/>
        </w:rPr>
        <w:t>This section outlines the governance arrangements for the Monitoring and Evaluation Framework</w:t>
      </w:r>
    </w:p>
    <w:bookmarkEnd w:id="37"/>
    <w:p w14:paraId="52F3EE3A" w14:textId="1DF77D9C" w:rsidR="00211D34" w:rsidRPr="000C59B8" w:rsidRDefault="00211D34" w:rsidP="00ED2B74">
      <w:pPr>
        <w:pStyle w:val="Heading2"/>
      </w:pPr>
      <w:r w:rsidRPr="000C59B8">
        <w:t>The Australian Government and a</w:t>
      </w:r>
      <w:r w:rsidR="00C6248F" w:rsidRPr="000C59B8">
        <w:t xml:space="preserve">n </w:t>
      </w:r>
      <w:r w:rsidRPr="000C59B8">
        <w:t xml:space="preserve">Implementation Oversight Group will govern the evaluation. </w:t>
      </w:r>
    </w:p>
    <w:p w14:paraId="73070A0C" w14:textId="539F4551" w:rsidR="00211D34" w:rsidRPr="00EE2EB8" w:rsidRDefault="00211D34" w:rsidP="00211D34">
      <w:pPr>
        <w:rPr>
          <w:rFonts w:ascii="Arial" w:hAnsi="Arial" w:cs="Arial"/>
        </w:rPr>
      </w:pPr>
      <w:r w:rsidRPr="00EE2EB8">
        <w:rPr>
          <w:rFonts w:ascii="Arial" w:hAnsi="Arial" w:cs="Arial"/>
          <w:lang w:eastAsia="en-AU"/>
        </w:rPr>
        <w:t xml:space="preserve">The </w:t>
      </w:r>
      <w:r w:rsidRPr="00EE2EB8">
        <w:rPr>
          <w:rFonts w:ascii="Arial" w:hAnsi="Arial" w:cs="Arial"/>
        </w:rPr>
        <w:t xml:space="preserve">Australian Government Department of Health </w:t>
      </w:r>
      <w:r w:rsidR="00A42E65">
        <w:rPr>
          <w:rFonts w:ascii="Arial" w:hAnsi="Arial" w:cs="Arial"/>
        </w:rPr>
        <w:t xml:space="preserve">and Aged Care </w:t>
      </w:r>
      <w:r w:rsidRPr="00EE2EB8">
        <w:rPr>
          <w:rFonts w:ascii="Arial" w:hAnsi="Arial" w:cs="Arial"/>
        </w:rPr>
        <w:t>project team is responsible for management of the Monitoring and Evaluation Framework for 2022 to 203</w:t>
      </w:r>
      <w:r w:rsidR="000E3895">
        <w:rPr>
          <w:rFonts w:ascii="Arial" w:hAnsi="Arial" w:cs="Arial"/>
        </w:rPr>
        <w:t>0</w:t>
      </w:r>
      <w:r w:rsidRPr="00EE2EB8">
        <w:rPr>
          <w:rFonts w:ascii="Arial" w:hAnsi="Arial" w:cs="Arial"/>
        </w:rPr>
        <w:t xml:space="preserve">. It provides oversight of monitoring and evaluation progress and delivery, monitors risks and has ultimate decision-making authority. </w:t>
      </w:r>
    </w:p>
    <w:p w14:paraId="1F8002C5" w14:textId="77777777" w:rsidR="00060280" w:rsidRDefault="00211D34" w:rsidP="00060280">
      <w:pPr>
        <w:pStyle w:val="ListBullet"/>
      </w:pPr>
      <w:r w:rsidRPr="00EE2EB8">
        <w:t xml:space="preserve">The National Stillbirth </w:t>
      </w:r>
      <w:r w:rsidR="004D3EDA">
        <w:t>IOG</w:t>
      </w:r>
      <w:r w:rsidRPr="00EE2EB8">
        <w:t xml:space="preserve"> is the key governance group. </w:t>
      </w:r>
      <w:r w:rsidR="00460F88">
        <w:t xml:space="preserve">Membership </w:t>
      </w:r>
      <w:r w:rsidR="005665DA">
        <w:t>of</w:t>
      </w:r>
      <w:r w:rsidR="00460F88">
        <w:t xml:space="preserve"> the </w:t>
      </w:r>
      <w:r w:rsidRPr="00EE2EB8">
        <w:t xml:space="preserve">IOG </w:t>
      </w:r>
      <w:r w:rsidR="002042E7">
        <w:t xml:space="preserve">consists of </w:t>
      </w:r>
      <w:r w:rsidRPr="00EE2EB8">
        <w:t>representatives from Australian Government</w:t>
      </w:r>
      <w:r w:rsidR="00460F88">
        <w:t xml:space="preserve"> and</w:t>
      </w:r>
      <w:r w:rsidRPr="00EE2EB8">
        <w:t xml:space="preserve"> each jurisdiction</w:t>
      </w:r>
      <w:r w:rsidR="00460F88">
        <w:t>. Other organisations, such as</w:t>
      </w:r>
      <w:r w:rsidRPr="00EE2EB8">
        <w:t xml:space="preserve"> Stillbirth CRE and AIHW</w:t>
      </w:r>
      <w:r w:rsidR="00460F88">
        <w:t>,</w:t>
      </w:r>
      <w:r w:rsidR="000E11EE">
        <w:t xml:space="preserve"> attend in an advisory capacity to represent specific interest such as data, stillbirth expertise and Aboriginal and Torres Strait Islander perspectives.</w:t>
      </w:r>
    </w:p>
    <w:p w14:paraId="70196C89" w14:textId="1E759273" w:rsidR="00211D34" w:rsidRPr="00060280" w:rsidRDefault="00211D34" w:rsidP="00060280">
      <w:pPr>
        <w:pStyle w:val="ListBullet"/>
      </w:pPr>
      <w:r w:rsidRPr="00060280">
        <w:t>I</w:t>
      </w:r>
      <w:r w:rsidRPr="00EE2EB8">
        <w:t xml:space="preserve">t is proposed evaluators meet with the IOG six monthly (see </w:t>
      </w:r>
      <w:r w:rsidR="00C60CC3" w:rsidRPr="00EE2EB8">
        <w:fldChar w:fldCharType="begin"/>
      </w:r>
      <w:r w:rsidR="00C60CC3" w:rsidRPr="00EE2EB8">
        <w:instrText xml:space="preserve"> REF _Ref88479393 \h </w:instrText>
      </w:r>
      <w:r w:rsidR="000C59B8" w:rsidRPr="00EE2EB8">
        <w:instrText xml:space="preserve"> \* MERGEFORMAT </w:instrText>
      </w:r>
      <w:r w:rsidR="00C60CC3" w:rsidRPr="00EE2EB8">
        <w:fldChar w:fldCharType="separate"/>
      </w:r>
      <w:r w:rsidR="00CF19E2" w:rsidRPr="00A159E4">
        <w:t xml:space="preserve">Figure </w:t>
      </w:r>
      <w:r w:rsidR="00CF19E2">
        <w:rPr>
          <w:noProof/>
        </w:rPr>
        <w:t>7</w:t>
      </w:r>
      <w:r w:rsidR="00C60CC3" w:rsidRPr="00EE2EB8">
        <w:fldChar w:fldCharType="end"/>
      </w:r>
      <w:r w:rsidR="00C60CC3" w:rsidRPr="00EE2EB8">
        <w:t xml:space="preserve"> in Section </w:t>
      </w:r>
      <w:r w:rsidR="00C60CC3" w:rsidRPr="00EE2EB8">
        <w:fldChar w:fldCharType="begin"/>
      </w:r>
      <w:r w:rsidR="00C60CC3" w:rsidRPr="00EE2EB8">
        <w:instrText xml:space="preserve"> REF _Ref88658565 \r \h </w:instrText>
      </w:r>
      <w:r w:rsidR="000C59B8" w:rsidRPr="00EE2EB8">
        <w:instrText xml:space="preserve"> \* MERGEFORMAT </w:instrText>
      </w:r>
      <w:r w:rsidR="00C60CC3" w:rsidRPr="00EE2EB8">
        <w:fldChar w:fldCharType="separate"/>
      </w:r>
      <w:r w:rsidR="00CF19E2">
        <w:t>2.6</w:t>
      </w:r>
      <w:r w:rsidR="00C60CC3" w:rsidRPr="00EE2EB8">
        <w:fldChar w:fldCharType="end"/>
      </w:r>
      <w:r w:rsidRPr="00EE2EB8">
        <w:t xml:space="preserve">). The IOG will </w:t>
      </w:r>
      <w:r w:rsidR="006F23ED">
        <w:t>support</w:t>
      </w:r>
      <w:r w:rsidRPr="00EE2EB8">
        <w:t xml:space="preserve"> the evaluation</w:t>
      </w:r>
      <w:r w:rsidR="006F23ED">
        <w:t xml:space="preserve"> by providing</w:t>
      </w:r>
      <w:r w:rsidRPr="00EE2EB8">
        <w:t xml:space="preserve">: </w:t>
      </w:r>
    </w:p>
    <w:p w14:paraId="1A65BF7B" w14:textId="77777777" w:rsidR="00211D34" w:rsidRPr="00EE2EB8" w:rsidRDefault="00211D34" w:rsidP="00ED2B74">
      <w:pPr>
        <w:pStyle w:val="ListBullet"/>
      </w:pPr>
      <w:r w:rsidRPr="00EE2EB8">
        <w:t>high-level advice and strategic guidance on implementation of the Plan</w:t>
      </w:r>
    </w:p>
    <w:p w14:paraId="4C6F80F7" w14:textId="77777777" w:rsidR="00211D34" w:rsidRPr="00EE2EB8" w:rsidRDefault="00211D34" w:rsidP="00ED2B74">
      <w:pPr>
        <w:pStyle w:val="ListBullet"/>
      </w:pPr>
      <w:r w:rsidRPr="00EE2EB8">
        <w:t>strategic advice on the draft of the Monitoring and Evaluation Framework and Annual Reports of the evaluation</w:t>
      </w:r>
    </w:p>
    <w:p w14:paraId="6CB34ECE" w14:textId="77777777" w:rsidR="00211D34" w:rsidRPr="00EE2EB8" w:rsidRDefault="00211D34" w:rsidP="00ED2B74">
      <w:pPr>
        <w:pStyle w:val="ListBullet"/>
        <w:rPr>
          <w:b/>
          <w:color w:val="1E1545" w:themeColor="text1"/>
        </w:rPr>
      </w:pPr>
      <w:r w:rsidRPr="00EE2EB8">
        <w:t>contextualisation of the evaluation findings and data challenges.</w:t>
      </w:r>
    </w:p>
    <w:p w14:paraId="35E33530" w14:textId="7812A76B" w:rsidR="00211D34" w:rsidRPr="00EE2EB8" w:rsidRDefault="00211D34" w:rsidP="00286050">
      <w:pPr>
        <w:spacing w:before="240"/>
        <w:rPr>
          <w:rFonts w:ascii="Arial" w:hAnsi="Arial" w:cs="Arial"/>
          <w:lang w:eastAsia="en-AU"/>
        </w:rPr>
      </w:pPr>
      <w:r w:rsidRPr="00EE2EB8">
        <w:rPr>
          <w:rFonts w:ascii="Arial" w:hAnsi="Arial" w:cs="Arial"/>
          <w:lang w:eastAsia="en-AU"/>
        </w:rPr>
        <w:t xml:space="preserve">The evaluation also has </w:t>
      </w:r>
      <w:r w:rsidR="00241C2A" w:rsidRPr="00EE2EB8">
        <w:rPr>
          <w:rFonts w:ascii="Arial" w:hAnsi="Arial" w:cs="Arial"/>
          <w:lang w:eastAsia="en-AU"/>
        </w:rPr>
        <w:t xml:space="preserve">access to </w:t>
      </w:r>
      <w:r w:rsidRPr="00EE2EB8">
        <w:rPr>
          <w:rFonts w:ascii="Arial" w:hAnsi="Arial" w:cs="Arial"/>
          <w:lang w:eastAsia="en-AU"/>
        </w:rPr>
        <w:t>several advisory groups to provide expert guidance on specific issues</w:t>
      </w:r>
      <w:r w:rsidR="007B74D2" w:rsidRPr="00EE2EB8">
        <w:rPr>
          <w:rFonts w:ascii="Arial" w:hAnsi="Arial" w:cs="Arial"/>
          <w:lang w:eastAsia="en-AU"/>
        </w:rPr>
        <w:t>, such as engagement approaches or interpretation of findings</w:t>
      </w:r>
      <w:r w:rsidRPr="00EE2EB8">
        <w:rPr>
          <w:rFonts w:ascii="Arial" w:hAnsi="Arial" w:cs="Arial"/>
          <w:lang w:eastAsia="en-AU"/>
        </w:rPr>
        <w:t>. The advisory groups</w:t>
      </w:r>
      <w:r w:rsidR="00565ECB" w:rsidRPr="00EE2EB8">
        <w:rPr>
          <w:rFonts w:ascii="Arial" w:hAnsi="Arial" w:cs="Arial"/>
          <w:lang w:eastAsia="en-AU"/>
        </w:rPr>
        <w:t xml:space="preserve"> represent populations identified as at risk</w:t>
      </w:r>
      <w:r w:rsidR="00392C5C" w:rsidRPr="00EE2EB8">
        <w:rPr>
          <w:rFonts w:ascii="Arial" w:hAnsi="Arial" w:cs="Arial"/>
          <w:lang w:eastAsia="en-AU"/>
        </w:rPr>
        <w:t xml:space="preserve"> and</w:t>
      </w:r>
      <w:r w:rsidR="00565ECB" w:rsidRPr="00EE2EB8">
        <w:rPr>
          <w:rFonts w:ascii="Arial" w:hAnsi="Arial" w:cs="Arial"/>
          <w:lang w:eastAsia="en-AU"/>
        </w:rPr>
        <w:t xml:space="preserve"> </w:t>
      </w:r>
      <w:r w:rsidRPr="00EE2EB8">
        <w:rPr>
          <w:rFonts w:ascii="Arial" w:hAnsi="Arial" w:cs="Arial"/>
          <w:lang w:eastAsia="en-AU"/>
        </w:rPr>
        <w:t xml:space="preserve">include: </w:t>
      </w:r>
    </w:p>
    <w:p w14:paraId="4A982B35" w14:textId="23E869FB" w:rsidR="005B44A8" w:rsidRPr="00EE2EB8" w:rsidRDefault="00083C2E" w:rsidP="00ED2B74">
      <w:pPr>
        <w:pStyle w:val="ListBullet"/>
      </w:pPr>
      <w:r w:rsidRPr="00312116">
        <w:rPr>
          <w:b/>
        </w:rPr>
        <w:t xml:space="preserve">Stillbirth CRE </w:t>
      </w:r>
      <w:r w:rsidR="00211D34" w:rsidRPr="00312116">
        <w:rPr>
          <w:b/>
        </w:rPr>
        <w:t>Indigenous Advisory Group</w:t>
      </w:r>
      <w:r w:rsidR="00211D34" w:rsidRPr="00EE2EB8">
        <w:t xml:space="preserve">. </w:t>
      </w:r>
      <w:r w:rsidR="001B1D9C" w:rsidRPr="00EE2EB8">
        <w:t xml:space="preserve">The Stillbirth CRE Indigenous Advisory Group consists of senior Indigenous </w:t>
      </w:r>
      <w:r w:rsidR="0081728C" w:rsidRPr="00EE2EB8">
        <w:t xml:space="preserve">academics whose field of work relates </w:t>
      </w:r>
      <w:r w:rsidR="00E4085A" w:rsidRPr="00EE2EB8">
        <w:t>directly to child and maternal health</w:t>
      </w:r>
      <w:r w:rsidR="0081728C" w:rsidRPr="00EE2EB8">
        <w:t xml:space="preserve">. </w:t>
      </w:r>
      <w:r w:rsidR="003C6344" w:rsidRPr="00EE2EB8">
        <w:t xml:space="preserve">The Indigenous Advisory Group will provide </w:t>
      </w:r>
      <w:r w:rsidR="00CD0B93" w:rsidRPr="00EE2EB8">
        <w:t xml:space="preserve">expert </w:t>
      </w:r>
      <w:r w:rsidR="00F046F6" w:rsidRPr="00EE2EB8">
        <w:t>advice</w:t>
      </w:r>
      <w:r w:rsidR="00CD0B93" w:rsidRPr="00EE2EB8">
        <w:t xml:space="preserve"> and Indigenous leadership</w:t>
      </w:r>
      <w:r w:rsidR="00F046F6" w:rsidRPr="00EE2EB8">
        <w:t xml:space="preserve"> </w:t>
      </w:r>
      <w:r w:rsidR="003C6344" w:rsidRPr="00EE2EB8">
        <w:t>to the evaluation</w:t>
      </w:r>
      <w:r w:rsidR="00CD0B93" w:rsidRPr="00EE2EB8">
        <w:t>.</w:t>
      </w:r>
      <w:r w:rsidR="003C6344" w:rsidRPr="00EE2EB8">
        <w:t xml:space="preserve"> </w:t>
      </w:r>
      <w:r w:rsidR="00CD0B93" w:rsidRPr="00EE2EB8">
        <w:t>They have a critical role in assisting with the</w:t>
      </w:r>
      <w:r w:rsidR="003C6344" w:rsidRPr="00EE2EB8">
        <w:t xml:space="preserve"> assessment </w:t>
      </w:r>
      <w:r w:rsidR="00CD0B93" w:rsidRPr="00EE2EB8">
        <w:t xml:space="preserve">of </w:t>
      </w:r>
      <w:r w:rsidR="003C6344" w:rsidRPr="00EE2EB8">
        <w:t xml:space="preserve">the extent to which </w:t>
      </w:r>
      <w:r w:rsidR="00B10A98" w:rsidRPr="00EE2EB8">
        <w:t>tasks</w:t>
      </w:r>
      <w:r w:rsidR="003C6344" w:rsidRPr="00EE2EB8">
        <w:t xml:space="preserve"> are tailored to meet the needs of Aboriginal and Torres Strait Islander people</w:t>
      </w:r>
      <w:r w:rsidR="00CD0B93" w:rsidRPr="00EE2EB8">
        <w:t xml:space="preserve"> and result in desired outcomes</w:t>
      </w:r>
      <w:r w:rsidR="003C6344" w:rsidRPr="00EE2EB8">
        <w:t xml:space="preserve">. </w:t>
      </w:r>
      <w:r w:rsidR="003D3D0B" w:rsidRPr="00EE2EB8">
        <w:t xml:space="preserve">To respect data sovereignty, </w:t>
      </w:r>
      <w:r w:rsidR="00D640AB" w:rsidRPr="00EE2EB8">
        <w:t>evaluators must</w:t>
      </w:r>
      <w:r w:rsidR="000C41F0" w:rsidRPr="00EE2EB8">
        <w:t xml:space="preserve"> consult Aboriginal and Torres Strait Islander people</w:t>
      </w:r>
      <w:r w:rsidR="00771C7E" w:rsidRPr="00EE2EB8">
        <w:t xml:space="preserve"> on data collected about them</w:t>
      </w:r>
      <w:r w:rsidR="00477135" w:rsidRPr="00EE2EB8">
        <w:t>.</w:t>
      </w:r>
      <w:r w:rsidR="0033571A" w:rsidRPr="00EE2EB8">
        <w:t xml:space="preserve"> </w:t>
      </w:r>
      <w:r w:rsidR="005B44A8" w:rsidRPr="00EE2EB8">
        <w:t xml:space="preserve">Data sovereignty is particularly important when </w:t>
      </w:r>
      <w:r w:rsidR="005B44A8" w:rsidRPr="000C59B8">
        <w:t>datasets</w:t>
      </w:r>
      <w:r w:rsidR="005B44A8" w:rsidRPr="00EE2EB8">
        <w:t xml:space="preserve"> are disaggregated by </w:t>
      </w:r>
      <w:r w:rsidR="008411E9" w:rsidRPr="00EE2EB8">
        <w:t xml:space="preserve">Aboriginal and Torres Strait Islander status for the first time. </w:t>
      </w:r>
    </w:p>
    <w:p w14:paraId="04674762" w14:textId="5A5B67DF" w:rsidR="00211D34" w:rsidRPr="00EE2EB8" w:rsidRDefault="00211D34" w:rsidP="00ED2B74">
      <w:pPr>
        <w:pStyle w:val="ListBullet"/>
      </w:pPr>
      <w:r w:rsidRPr="00312116">
        <w:rPr>
          <w:b/>
        </w:rPr>
        <w:t>Stillbirth CRE Migrant and Refugee Advisory Group</w:t>
      </w:r>
      <w:r w:rsidRPr="00EE2EB8">
        <w:t xml:space="preserve">. </w:t>
      </w:r>
      <w:r w:rsidR="00E4085A" w:rsidRPr="00EE2EB8">
        <w:t>The Stillbirth CRE Migrant and Refugee Advisory Group consists of senior researchers from across Australia whose field of work relates directly to stillbirth</w:t>
      </w:r>
      <w:r w:rsidR="00F57711" w:rsidRPr="00EE2EB8">
        <w:t xml:space="preserve">, refugee health or </w:t>
      </w:r>
      <w:r w:rsidR="000E5738" w:rsidRPr="00EE2EB8">
        <w:t>public health</w:t>
      </w:r>
      <w:r w:rsidR="00E4085A" w:rsidRPr="00EE2EB8">
        <w:t xml:space="preserve">. </w:t>
      </w:r>
      <w:r w:rsidR="000E5738" w:rsidRPr="00EE2EB8">
        <w:t xml:space="preserve">The Migrant and Refugee Advisory Group will provide </w:t>
      </w:r>
      <w:r w:rsidR="00F046F6" w:rsidRPr="00EE2EB8">
        <w:t xml:space="preserve">advice </w:t>
      </w:r>
      <w:r w:rsidR="000E5738" w:rsidRPr="00EE2EB8">
        <w:t xml:space="preserve">to the evaluation </w:t>
      </w:r>
      <w:r w:rsidR="00B7266F" w:rsidRPr="00EE2EB8">
        <w:t>and</w:t>
      </w:r>
      <w:r w:rsidR="000E5738" w:rsidRPr="00EE2EB8">
        <w:t xml:space="preserve"> </w:t>
      </w:r>
      <w:r w:rsidR="00F046F6" w:rsidRPr="00EE2EB8">
        <w:t xml:space="preserve">support the </w:t>
      </w:r>
      <w:r w:rsidR="000E5738" w:rsidRPr="00EE2EB8">
        <w:t>assessment o</w:t>
      </w:r>
      <w:r w:rsidR="001A424F" w:rsidRPr="00EE2EB8">
        <w:t>f</w:t>
      </w:r>
      <w:r w:rsidR="000E5738" w:rsidRPr="00EE2EB8">
        <w:t xml:space="preserve"> the extent to which </w:t>
      </w:r>
      <w:r w:rsidR="00B10A98" w:rsidRPr="00EE2EB8">
        <w:t>tasks</w:t>
      </w:r>
      <w:r w:rsidR="000E5738" w:rsidRPr="00EE2EB8">
        <w:t xml:space="preserve"> under the Plan are appropriately tailored to meet the needs of </w:t>
      </w:r>
      <w:r w:rsidR="00AA3CB1" w:rsidRPr="00EE2EB8">
        <w:t xml:space="preserve">migrants and refugees in Australia. The advisory group will also </w:t>
      </w:r>
      <w:r w:rsidR="00666DF1" w:rsidRPr="00EE2EB8">
        <w:t xml:space="preserve">highlight services and initiatives </w:t>
      </w:r>
      <w:r w:rsidR="00B7266F" w:rsidRPr="00EE2EB8">
        <w:t xml:space="preserve">delivered to migrant and refugee women </w:t>
      </w:r>
      <w:r w:rsidR="00F42377" w:rsidRPr="00EE2EB8">
        <w:t xml:space="preserve">specific to preventing stillbirth and </w:t>
      </w:r>
      <w:r w:rsidR="00565ECB" w:rsidRPr="00EE2EB8">
        <w:t>providing bereavement care</w:t>
      </w:r>
      <w:r w:rsidR="001A424F" w:rsidRPr="00EE2EB8">
        <w:t>.</w:t>
      </w:r>
      <w:r w:rsidR="00565ECB" w:rsidRPr="00EE2EB8">
        <w:t xml:space="preserve"> </w:t>
      </w:r>
    </w:p>
    <w:p w14:paraId="11256EEF" w14:textId="721D676C" w:rsidR="00811551" w:rsidRPr="00EE2EB8" w:rsidRDefault="00E972A6" w:rsidP="00ED2B74">
      <w:pPr>
        <w:pStyle w:val="ListBullet"/>
      </w:pPr>
      <w:r w:rsidRPr="00312116">
        <w:rPr>
          <w:b/>
        </w:rPr>
        <w:t xml:space="preserve">Stillbirth CRE </w:t>
      </w:r>
      <w:r w:rsidR="00211D34" w:rsidRPr="00312116">
        <w:rPr>
          <w:b/>
        </w:rPr>
        <w:t>Remote and Rural Advisory Group</w:t>
      </w:r>
      <w:r w:rsidR="00211D34" w:rsidRPr="00EE2EB8">
        <w:t xml:space="preserve">. </w:t>
      </w:r>
      <w:r w:rsidR="00811551" w:rsidRPr="00EE2EB8">
        <w:t xml:space="preserve">The Rural and Remote Advisory Group will provide </w:t>
      </w:r>
      <w:r w:rsidR="007B74D2" w:rsidRPr="00EE2EB8">
        <w:t xml:space="preserve">advice </w:t>
      </w:r>
      <w:r w:rsidR="00811551" w:rsidRPr="00EE2EB8">
        <w:t>to the evaluation</w:t>
      </w:r>
      <w:r w:rsidR="001A424F" w:rsidRPr="00EE2EB8">
        <w:t xml:space="preserve"> relevant to the needs and views of rural and remote women. This includes </w:t>
      </w:r>
      <w:r w:rsidR="00811551" w:rsidRPr="00EE2EB8">
        <w:t>support</w:t>
      </w:r>
      <w:r w:rsidR="001A424F" w:rsidRPr="00EE2EB8">
        <w:t>ing</w:t>
      </w:r>
      <w:r w:rsidR="00811551" w:rsidRPr="00EE2EB8">
        <w:t xml:space="preserve"> the assessment </w:t>
      </w:r>
      <w:r w:rsidR="001A424F" w:rsidRPr="00EE2EB8">
        <w:t xml:space="preserve">of </w:t>
      </w:r>
      <w:r w:rsidR="00811551" w:rsidRPr="00EE2EB8">
        <w:t xml:space="preserve">the extent to which </w:t>
      </w:r>
      <w:r w:rsidR="00B10A98" w:rsidRPr="00EE2EB8">
        <w:t>tasks</w:t>
      </w:r>
      <w:r w:rsidR="00811551" w:rsidRPr="00EE2EB8">
        <w:t xml:space="preserve"> under the Plan are appropriately tailored to meet the needs </w:t>
      </w:r>
      <w:r w:rsidR="001A424F" w:rsidRPr="00EE2EB8">
        <w:t>rural and remote women</w:t>
      </w:r>
      <w:r w:rsidR="00811551" w:rsidRPr="00EE2EB8">
        <w:t>. The advisory group will also highlight services and initiatives</w:t>
      </w:r>
      <w:r w:rsidR="001A424F" w:rsidRPr="00EE2EB8">
        <w:t xml:space="preserve"> outside the Plan being delivered to rural and remote women relating to stillbirth prevention and bereavement care.</w:t>
      </w:r>
      <w:r w:rsidR="00811551" w:rsidRPr="00EE2EB8">
        <w:t xml:space="preserve"> </w:t>
      </w:r>
    </w:p>
    <w:p w14:paraId="1E5153F8" w14:textId="7930852E" w:rsidR="0018534B" w:rsidRPr="00EE2EB8" w:rsidRDefault="0018534B" w:rsidP="00060280">
      <w:pPr>
        <w:pageBreakBefore/>
        <w:rPr>
          <w:rFonts w:ascii="Arial" w:hAnsi="Arial" w:cs="Arial"/>
          <w:lang w:eastAsia="en-AU"/>
        </w:rPr>
      </w:pPr>
      <w:r w:rsidRPr="00EE2EB8">
        <w:rPr>
          <w:rFonts w:ascii="Arial" w:hAnsi="Arial" w:cs="Arial"/>
          <w:lang w:eastAsia="en-AU"/>
        </w:rPr>
        <w:lastRenderedPageBreak/>
        <w:t xml:space="preserve">The methodology in this document ensures design and implementation of </w:t>
      </w:r>
      <w:r w:rsidR="00075480" w:rsidRPr="00EE2EB8">
        <w:rPr>
          <w:rFonts w:ascii="Arial" w:hAnsi="Arial" w:cs="Arial"/>
          <w:lang w:eastAsia="en-AU"/>
        </w:rPr>
        <w:t>monitoring and</w:t>
      </w:r>
      <w:r w:rsidRPr="00EE2EB8">
        <w:rPr>
          <w:rFonts w:ascii="Arial" w:hAnsi="Arial" w:cs="Arial"/>
          <w:lang w:eastAsia="en-AU"/>
        </w:rPr>
        <w:t xml:space="preserve"> evaluation</w:t>
      </w:r>
      <w:r w:rsidR="00075480" w:rsidRPr="00EE2EB8">
        <w:rPr>
          <w:rFonts w:ascii="Arial" w:hAnsi="Arial" w:cs="Arial"/>
          <w:lang w:eastAsia="en-AU"/>
        </w:rPr>
        <w:t xml:space="preserve"> </w:t>
      </w:r>
      <w:r w:rsidR="00791DDB" w:rsidRPr="00EE2EB8">
        <w:rPr>
          <w:rFonts w:ascii="Arial" w:hAnsi="Arial" w:cs="Arial"/>
          <w:lang w:eastAsia="en-AU"/>
        </w:rPr>
        <w:t>activities</w:t>
      </w:r>
      <w:r w:rsidRPr="00EE2EB8">
        <w:rPr>
          <w:rFonts w:ascii="Arial" w:hAnsi="Arial" w:cs="Arial"/>
          <w:lang w:eastAsia="en-AU"/>
        </w:rPr>
        <w:t xml:space="preserve"> is consistent with the relevant ethical requirements outlined within the following codes of practice: </w:t>
      </w:r>
    </w:p>
    <w:p w14:paraId="310F0FA9" w14:textId="1FBB6FED" w:rsidR="0018534B" w:rsidRPr="00EE2EB8" w:rsidRDefault="0018534B" w:rsidP="00ED2B74">
      <w:pPr>
        <w:pStyle w:val="ListBullet"/>
      </w:pPr>
      <w:r w:rsidRPr="00EE2EB8">
        <w:t>The Australian Code for the Responsible Conduct of Research (2018), published by</w:t>
      </w:r>
      <w:r w:rsidR="000A72AD">
        <w:t xml:space="preserve"> the</w:t>
      </w:r>
      <w:r w:rsidRPr="00EE2EB8">
        <w:t xml:space="preserve"> </w:t>
      </w:r>
      <w:r w:rsidR="000A72AD" w:rsidRPr="00C42192">
        <w:t>National Health and Medical Research Council</w:t>
      </w:r>
      <w:r w:rsidR="007E567A">
        <w:t xml:space="preserve"> </w:t>
      </w:r>
      <w:r w:rsidR="000A72AD">
        <w:t>(</w:t>
      </w:r>
      <w:r w:rsidRPr="00EE2EB8">
        <w:t>NHMRC</w:t>
      </w:r>
      <w:r w:rsidR="000A72AD">
        <w:t>)</w:t>
      </w:r>
      <w:r w:rsidRPr="00EE2EB8">
        <w:t>, the Australian Research Council and Universities Australia</w:t>
      </w:r>
      <w:r w:rsidR="002555B2">
        <w:t xml:space="preserve"> </w:t>
      </w:r>
      <w:r w:rsidR="002555B2" w:rsidRPr="00EE2EB8">
        <w:t>NHMRC</w:t>
      </w:r>
    </w:p>
    <w:p w14:paraId="29D89393" w14:textId="40579446" w:rsidR="0018534B" w:rsidRPr="00EE2EB8" w:rsidRDefault="0018534B" w:rsidP="00ED2B74">
      <w:pPr>
        <w:pStyle w:val="ListBullet"/>
      </w:pPr>
      <w:r w:rsidRPr="00EE2EB8">
        <w:t>National Statement on Ethical Conduct in Human Research (2018), published by the NHMRC</w:t>
      </w:r>
      <w:r w:rsidR="00496B7F">
        <w:t xml:space="preserve"> (the National Statement)</w:t>
      </w:r>
      <w:r w:rsidRPr="00EE2EB8">
        <w:t>.</w:t>
      </w:r>
    </w:p>
    <w:p w14:paraId="0B7EC077" w14:textId="57FB00CD" w:rsidR="0018534B" w:rsidRPr="00EE2EB8" w:rsidRDefault="0018534B" w:rsidP="00ED2B74">
      <w:pPr>
        <w:pStyle w:val="ListBullet"/>
      </w:pPr>
      <w:r w:rsidRPr="00EE2EB8">
        <w:t>AIATSIS Code of Ethics for Aboriginal and Torres Strait Islander Research (2020), published by the Australian Institute of Aboriginal and Torres Strait Islander Studies (AIATSIS).</w:t>
      </w:r>
    </w:p>
    <w:p w14:paraId="71EA3E68" w14:textId="2C7F5A2D" w:rsidR="00A647F4" w:rsidRPr="00EE2EB8" w:rsidRDefault="00A647F4" w:rsidP="00ED2B74">
      <w:pPr>
        <w:pStyle w:val="ListBullet"/>
      </w:pPr>
      <w:r>
        <w:t xml:space="preserve">Ethical Considerations in Quality Assurance and Evaluation Activities, published by the NHMRC. </w:t>
      </w:r>
    </w:p>
    <w:p w14:paraId="3469B5FE" w14:textId="470881EC" w:rsidR="00852E91" w:rsidRPr="00EE2EB8" w:rsidRDefault="00852E91" w:rsidP="00852E91">
      <w:pPr>
        <w:rPr>
          <w:rFonts w:ascii="Arial" w:hAnsi="Arial" w:cs="Arial"/>
          <w:lang w:eastAsia="en-AU"/>
        </w:rPr>
      </w:pPr>
      <w:r w:rsidRPr="00EE2EB8">
        <w:rPr>
          <w:rFonts w:ascii="Arial" w:hAnsi="Arial" w:cs="Arial"/>
          <w:lang w:eastAsia="en-AU"/>
        </w:rPr>
        <w:t xml:space="preserve">Of relevance for this evaluation is: </w:t>
      </w:r>
    </w:p>
    <w:p w14:paraId="2A940F58" w14:textId="4AB47259" w:rsidR="00CE10BA" w:rsidRPr="00EE2EB8" w:rsidRDefault="00852E91" w:rsidP="00ED2B74">
      <w:pPr>
        <w:pStyle w:val="ListBullet"/>
      </w:pPr>
      <w:r w:rsidRPr="00EE2EB8">
        <w:t xml:space="preserve">Ethical engagement. Given the sensitive subject matter, stakeholder engagement must be completed in an ethical manner, in accordance with the principles detailed in </w:t>
      </w:r>
      <w:r w:rsidR="00D86F19" w:rsidRPr="00EE2EB8">
        <w:t>S</w:t>
      </w:r>
      <w:r w:rsidR="00D5026F" w:rsidRPr="00EE2EB8">
        <w:t>ection</w:t>
      </w:r>
      <w:r w:rsidRPr="00EE2EB8">
        <w:t xml:space="preserve"> </w:t>
      </w:r>
      <w:r w:rsidR="00791DDB" w:rsidRPr="00EE2EB8">
        <w:fldChar w:fldCharType="begin"/>
      </w:r>
      <w:r w:rsidR="00791DDB" w:rsidRPr="00EE2EB8">
        <w:instrText xml:space="preserve"> REF _Ref88480508 \r \h  \* MERGEFORMAT </w:instrText>
      </w:r>
      <w:r w:rsidR="00791DDB" w:rsidRPr="00EE2EB8">
        <w:fldChar w:fldCharType="separate"/>
      </w:r>
      <w:r w:rsidR="00CF19E2">
        <w:t>5.2</w:t>
      </w:r>
      <w:r w:rsidR="00791DDB" w:rsidRPr="00EE2EB8">
        <w:fldChar w:fldCharType="end"/>
      </w:r>
      <w:r w:rsidRPr="00EE2EB8">
        <w:t>.</w:t>
      </w:r>
    </w:p>
    <w:p w14:paraId="3F7AAD7F" w14:textId="477880F9" w:rsidR="00CE10BA" w:rsidRPr="00EE2EB8" w:rsidRDefault="00852E91" w:rsidP="00ED2B74">
      <w:pPr>
        <w:pStyle w:val="ListBullet"/>
      </w:pPr>
      <w:r w:rsidRPr="00EE2EB8">
        <w:t xml:space="preserve">Privacy and data management. While not intending to collect personal data, the evaluation will require the use and handling of sensitive data. </w:t>
      </w:r>
      <w:r w:rsidR="00663ABB" w:rsidRPr="00EE2EB8">
        <w:t xml:space="preserve">Evaluators should manage information in accordance with </w:t>
      </w:r>
      <w:r w:rsidR="00CE10BA" w:rsidRPr="00EE2EB8">
        <w:t xml:space="preserve">relevant privacy and data security legislation, regulations and public sector policies and procedures for data storage and retention. </w:t>
      </w:r>
    </w:p>
    <w:p w14:paraId="4FC1DB79" w14:textId="1DD1F2AE" w:rsidR="00427F24" w:rsidRPr="00623E52" w:rsidRDefault="00AF2536" w:rsidP="00060280">
      <w:pPr>
        <w:pStyle w:val="ListBullet"/>
      </w:pPr>
      <w:r w:rsidRPr="00EE2EB8">
        <w:t xml:space="preserve">The </w:t>
      </w:r>
      <w:r w:rsidR="00496B7F">
        <w:t xml:space="preserve">methodology outlined in this Monitoring and Evaluation Framework refers </w:t>
      </w:r>
      <w:r w:rsidR="002249DB">
        <w:t>only</w:t>
      </w:r>
      <w:r w:rsidR="00496B7F">
        <w:t xml:space="preserve"> to quality </w:t>
      </w:r>
      <w:r w:rsidR="00A647F4">
        <w:t>assurance</w:t>
      </w:r>
      <w:r w:rsidR="00496B7F">
        <w:t xml:space="preserve"> </w:t>
      </w:r>
      <w:r w:rsidR="003C5E3D">
        <w:t xml:space="preserve">and evaluation </w:t>
      </w:r>
      <w:r w:rsidR="00496B7F">
        <w:t>activities (as defined by the National Statement</w:t>
      </w:r>
      <w:r w:rsidR="00A647F4">
        <w:t xml:space="preserve"> and associated guidance “Ethical considerations in Quality Assurance and Evaluation Activities 2014</w:t>
      </w:r>
      <w:r w:rsidR="00496B7F">
        <w:t>). All activities are of no or negligible risk</w:t>
      </w:r>
      <w:r w:rsidR="00815097">
        <w:t>.</w:t>
      </w:r>
      <w:r w:rsidR="00F829A5">
        <w:t xml:space="preserve"> All </w:t>
      </w:r>
      <w:r w:rsidR="00D22E5F">
        <w:t xml:space="preserve">reported </w:t>
      </w:r>
      <w:r w:rsidR="00F829A5">
        <w:t xml:space="preserve">data </w:t>
      </w:r>
      <w:r w:rsidR="00D22E5F">
        <w:t>will be</w:t>
      </w:r>
      <w:r w:rsidR="00F829A5">
        <w:t xml:space="preserve"> aggregated </w:t>
      </w:r>
      <w:r w:rsidR="004F2BE5">
        <w:t>and will not be identifiable or re-identifiable</w:t>
      </w:r>
      <w:r w:rsidR="00D22E5F">
        <w:t>.</w:t>
      </w:r>
      <w:r w:rsidR="00815097">
        <w:t xml:space="preserve"> </w:t>
      </w:r>
      <w:r w:rsidR="002249DB">
        <w:t>Small cell suppression roles will be applied.</w:t>
      </w:r>
      <w:r w:rsidR="00815097">
        <w:t xml:space="preserve"> The evaluation therefore does not currently require ethical oversight from</w:t>
      </w:r>
      <w:r w:rsidRPr="00EE2EB8">
        <w:t xml:space="preserve"> a Human Research Ethics Committee </w:t>
      </w:r>
      <w:r w:rsidR="00815097">
        <w:t>(HREC)</w:t>
      </w:r>
      <w:r w:rsidRPr="00EE2EB8">
        <w:t xml:space="preserve">. </w:t>
      </w:r>
      <w:r w:rsidR="0035719C">
        <w:t xml:space="preserve">It is anticipated that evaluators or the Department of Health </w:t>
      </w:r>
      <w:r w:rsidR="00A42E65">
        <w:t xml:space="preserve">and Aged Care </w:t>
      </w:r>
      <w:r w:rsidR="0035719C">
        <w:t>would seek required formal ethics approval from a</w:t>
      </w:r>
      <w:r w:rsidR="00815097">
        <w:t xml:space="preserve">n HREC </w:t>
      </w:r>
      <w:r w:rsidR="0035719C">
        <w:t xml:space="preserve">prior to commencing any future data collection </w:t>
      </w:r>
      <w:r w:rsidR="00815097">
        <w:t>should they</w:t>
      </w:r>
      <w:r w:rsidR="00496B7F">
        <w:t xml:space="preserve"> require ethical oversight. </w:t>
      </w:r>
    </w:p>
    <w:p w14:paraId="0D21E3A8" w14:textId="1C136C53" w:rsidR="00191B3E" w:rsidRDefault="0086697A" w:rsidP="00A41383">
      <w:pPr>
        <w:pStyle w:val="Heading1"/>
        <w:numPr>
          <w:ilvl w:val="0"/>
          <w:numId w:val="2"/>
        </w:numPr>
      </w:pPr>
      <w:bookmarkStart w:id="40" w:name="_Ref88490934"/>
      <w:bookmarkStart w:id="41" w:name="_Toc121303898"/>
      <w:r>
        <w:lastRenderedPageBreak/>
        <w:t>E</w:t>
      </w:r>
      <w:r w:rsidR="00191B3E">
        <w:t xml:space="preserve">ngagement </w:t>
      </w:r>
      <w:r>
        <w:t>approach</w:t>
      </w:r>
      <w:bookmarkEnd w:id="40"/>
      <w:bookmarkEnd w:id="41"/>
    </w:p>
    <w:p w14:paraId="302F5F41" w14:textId="2D835A26" w:rsidR="00060280" w:rsidRPr="00060280" w:rsidRDefault="00060280" w:rsidP="00060280">
      <w:pPr>
        <w:pStyle w:val="Sectionlist"/>
        <w:pBdr>
          <w:bottom w:val="single" w:sz="4" w:space="1" w:color="15585D" w:themeColor="accent1" w:themeShade="80"/>
        </w:pBdr>
        <w:rPr>
          <w:lang w:eastAsia="en-AU"/>
        </w:rPr>
      </w:pPr>
      <w:r w:rsidRPr="00060280">
        <w:rPr>
          <w:lang w:eastAsia="en-AU"/>
        </w:rPr>
        <w:t>This section outlines engagement principles and the stakeholder groups to be involved in contributing to monitoring and evaluation across the 10-year period.</w:t>
      </w:r>
    </w:p>
    <w:p w14:paraId="2A76163B" w14:textId="076A6971" w:rsidR="00191B3E" w:rsidRDefault="00191B3E" w:rsidP="00792FD8">
      <w:pPr>
        <w:pStyle w:val="Heading2"/>
        <w:numPr>
          <w:ilvl w:val="1"/>
          <w:numId w:val="2"/>
        </w:numPr>
        <w:spacing w:before="360"/>
        <w:ind w:left="578" w:hanging="578"/>
      </w:pPr>
      <w:r>
        <w:t>Principles for engagement</w:t>
      </w:r>
    </w:p>
    <w:p w14:paraId="49E43714" w14:textId="0B021BAF" w:rsidR="00FC47B1" w:rsidRPr="000C59B8" w:rsidRDefault="00FC47B1" w:rsidP="00ED2B74">
      <w:pPr>
        <w:pStyle w:val="Heading3"/>
      </w:pPr>
      <w:r w:rsidRPr="000C59B8">
        <w:t xml:space="preserve">Engagement </w:t>
      </w:r>
      <w:r w:rsidR="00573D7B" w:rsidRPr="000C59B8">
        <w:t xml:space="preserve">principles will ensure sensitive and ethical engagement informs the evaluation. </w:t>
      </w:r>
    </w:p>
    <w:p w14:paraId="30CB366B" w14:textId="02D6D340" w:rsidR="00420057" w:rsidRPr="000C59B8" w:rsidRDefault="00420057" w:rsidP="00420057">
      <w:pPr>
        <w:rPr>
          <w:rFonts w:ascii="Arial" w:hAnsi="Arial" w:cs="Arial"/>
          <w:lang w:eastAsia="en-AU"/>
        </w:rPr>
      </w:pPr>
      <w:r w:rsidRPr="000C59B8">
        <w:rPr>
          <w:rFonts w:ascii="Arial" w:hAnsi="Arial" w:cs="Arial"/>
        </w:rPr>
        <w:t>Engagement is a critical component of the evaluation. It provides insights from the Australian Government, state and territory governments, clinicians, advocacy groups, researchers, peak bodies and women and families on the success of the Plan in achieving its state</w:t>
      </w:r>
      <w:r w:rsidR="003C0C8D">
        <w:rPr>
          <w:rFonts w:ascii="Arial" w:hAnsi="Arial" w:cs="Arial"/>
        </w:rPr>
        <w:t>d</w:t>
      </w:r>
      <w:r w:rsidRPr="000C59B8">
        <w:rPr>
          <w:rFonts w:ascii="Arial" w:hAnsi="Arial" w:cs="Arial"/>
        </w:rPr>
        <w:t xml:space="preserve"> aims and goals. The objectives of engagement are to:</w:t>
      </w:r>
    </w:p>
    <w:p w14:paraId="7EF368A8" w14:textId="23A4D026" w:rsidR="00420057" w:rsidRPr="00060280" w:rsidRDefault="00420057" w:rsidP="00060280">
      <w:pPr>
        <w:pStyle w:val="ListBullet"/>
      </w:pPr>
      <w:r w:rsidRPr="000C59B8">
        <w:t>understand how t</w:t>
      </w:r>
      <w:r w:rsidRPr="00060280">
        <w:t>he Plan is implemented in practice, from a range of perspectives</w:t>
      </w:r>
    </w:p>
    <w:p w14:paraId="5B02E14D" w14:textId="77777777" w:rsidR="00420057" w:rsidRPr="00060280" w:rsidRDefault="00420057" w:rsidP="00060280">
      <w:pPr>
        <w:pStyle w:val="ListBullet"/>
      </w:pPr>
      <w:r w:rsidRPr="00060280">
        <w:t>contextualise and validate insights from other qualitative and quantitative data sources</w:t>
      </w:r>
    </w:p>
    <w:p w14:paraId="188A32F2" w14:textId="3B06A6A2" w:rsidR="00420057" w:rsidRPr="000C59B8" w:rsidRDefault="00420057" w:rsidP="00060280">
      <w:pPr>
        <w:pStyle w:val="ListBullet"/>
      </w:pPr>
      <w:r w:rsidRPr="00060280">
        <w:t xml:space="preserve">inform the </w:t>
      </w:r>
      <w:r w:rsidR="00DF735E" w:rsidRPr="00060280">
        <w:t>key monitor</w:t>
      </w:r>
      <w:r w:rsidR="00DF735E" w:rsidRPr="000C59B8">
        <w:t>ing and evaluation questions</w:t>
      </w:r>
      <w:r w:rsidRPr="000C59B8">
        <w:t xml:space="preserve"> and identify areas for improvement.</w:t>
      </w:r>
    </w:p>
    <w:p w14:paraId="08D13DF1" w14:textId="66A2B35F" w:rsidR="00420057" w:rsidRPr="00060280" w:rsidRDefault="00841226" w:rsidP="002F28E1">
      <w:pPr>
        <w:spacing w:before="240" w:after="480" w:line="257" w:lineRule="auto"/>
        <w:rPr>
          <w:rStyle w:val="Strong"/>
        </w:rPr>
      </w:pPr>
      <w:r w:rsidRPr="002F28E1">
        <w:rPr>
          <w:rFonts w:ascii="Arial" w:hAnsi="Arial" w:cs="Arial"/>
          <w:b/>
          <w:lang w:eastAsia="en-AU"/>
        </w:rPr>
        <w:t>Seve</w:t>
      </w:r>
      <w:r w:rsidRPr="00060280">
        <w:rPr>
          <w:rStyle w:val="Strong"/>
        </w:rPr>
        <w:t>n</w:t>
      </w:r>
      <w:r w:rsidR="00420057" w:rsidRPr="00060280">
        <w:rPr>
          <w:rStyle w:val="Strong"/>
        </w:rPr>
        <w:t xml:space="preserve"> principles will underpin the design and conduct of engagements:</w:t>
      </w:r>
    </w:p>
    <w:p w14:paraId="5B4E9FF1" w14:textId="570A3CBB" w:rsidR="00BB0AED" w:rsidRPr="000C59B8" w:rsidRDefault="000F4153" w:rsidP="00844D21">
      <w:pPr>
        <w:spacing w:after="0" w:line="257" w:lineRule="auto"/>
        <w:rPr>
          <w:rFonts w:ascii="Arial" w:hAnsi="Arial" w:cs="Arial"/>
          <w:lang w:eastAsia="en-AU"/>
        </w:rPr>
      </w:pPr>
      <w:r>
        <w:rPr>
          <w:rFonts w:ascii="Arial" w:hAnsi="Arial" w:cs="Arial"/>
          <w:noProof/>
          <w:lang w:eastAsia="en-AU"/>
        </w:rPr>
        <w:drawing>
          <wp:inline distT="0" distB="0" distL="0" distR="0" wp14:anchorId="3EC8C506" wp14:editId="2ADD2616">
            <wp:extent cx="5580380" cy="4451350"/>
            <wp:effectExtent l="0" t="0" r="1270" b="6350"/>
            <wp:docPr id="49" name="Picture 49" descr="This figure outlines the seven principles that underpin the design of engagements. The seven principles are confidential, consistent, purposeful, respectful, culturally safe, sensitive and trauma infor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figure outlines the seven principles that underpin the design of engagements. The seven principles are confidential, consistent, purposeful, respectful, culturally safe, sensitive and trauma informed.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0380" cy="4451350"/>
                    </a:xfrm>
                    <a:prstGeom prst="rect">
                      <a:avLst/>
                    </a:prstGeom>
                  </pic:spPr>
                </pic:pic>
              </a:graphicData>
            </a:graphic>
          </wp:inline>
        </w:drawing>
      </w:r>
    </w:p>
    <w:p w14:paraId="13F29EA1" w14:textId="2A6AB2A9" w:rsidR="00191B3E" w:rsidRPr="00F54FF0" w:rsidRDefault="00191B3E" w:rsidP="006E1357">
      <w:pPr>
        <w:pStyle w:val="Heading2"/>
        <w:numPr>
          <w:ilvl w:val="1"/>
          <w:numId w:val="2"/>
        </w:numPr>
        <w:spacing w:after="60"/>
        <w:ind w:left="578" w:hanging="578"/>
      </w:pPr>
      <w:bookmarkStart w:id="42" w:name="_Ref88480508"/>
      <w:r>
        <w:lastRenderedPageBreak/>
        <w:t>Stakeholder engagement plan</w:t>
      </w:r>
      <w:bookmarkEnd w:id="42"/>
    </w:p>
    <w:p w14:paraId="19F0CE20" w14:textId="0F69985A" w:rsidR="00573D7B" w:rsidRPr="00573D7B" w:rsidRDefault="00573D7B" w:rsidP="00ED2B74">
      <w:pPr>
        <w:pStyle w:val="Heading3"/>
      </w:pPr>
      <w:r>
        <w:t>Governments</w:t>
      </w:r>
      <w:r w:rsidR="00C1130F">
        <w:t xml:space="preserve"> and</w:t>
      </w:r>
      <w:r>
        <w:t xml:space="preserve"> health professional, academic and non-government </w:t>
      </w:r>
      <w:r w:rsidR="00C1130F">
        <w:t xml:space="preserve">bodies </w:t>
      </w:r>
      <w:r>
        <w:t xml:space="preserve">will inform evaluation. </w:t>
      </w:r>
    </w:p>
    <w:p w14:paraId="08C80145" w14:textId="5FF8A4E3" w:rsidR="0093528B" w:rsidRPr="000F06D1" w:rsidRDefault="004A11BE" w:rsidP="00CE6736">
      <w:pPr>
        <w:spacing w:after="60" w:line="257" w:lineRule="auto"/>
        <w:rPr>
          <w:rFonts w:ascii="Arial" w:hAnsi="Arial" w:cs="Arial"/>
        </w:rPr>
      </w:pPr>
      <w:r w:rsidRPr="000F06D1">
        <w:rPr>
          <w:rFonts w:ascii="Arial" w:hAnsi="Arial" w:cs="Arial"/>
        </w:rPr>
        <w:t>A</w:t>
      </w:r>
      <w:r w:rsidR="0093528B" w:rsidRPr="000F06D1">
        <w:rPr>
          <w:rFonts w:ascii="Arial" w:hAnsi="Arial" w:cs="Arial"/>
        </w:rPr>
        <w:t xml:space="preserve"> range of stakeholders </w:t>
      </w:r>
      <w:r w:rsidRPr="000F06D1">
        <w:rPr>
          <w:rFonts w:ascii="Arial" w:hAnsi="Arial" w:cs="Arial"/>
        </w:rPr>
        <w:t xml:space="preserve">will contribute to </w:t>
      </w:r>
      <w:r w:rsidR="0093528B" w:rsidRPr="000F06D1">
        <w:rPr>
          <w:rFonts w:ascii="Arial" w:hAnsi="Arial" w:cs="Arial"/>
        </w:rPr>
        <w:t xml:space="preserve">the evaluation. </w:t>
      </w:r>
      <w:r w:rsidRPr="000F06D1">
        <w:rPr>
          <w:rFonts w:ascii="Arial" w:hAnsi="Arial" w:cs="Arial"/>
        </w:rPr>
        <w:t>Stakeholder e</w:t>
      </w:r>
      <w:r w:rsidR="0093528B" w:rsidRPr="000F06D1">
        <w:rPr>
          <w:rFonts w:ascii="Arial" w:hAnsi="Arial" w:cs="Arial"/>
        </w:rPr>
        <w:t>ngagements will inform comprehensive findings and help ensure information accurately</w:t>
      </w:r>
      <w:r w:rsidRPr="000F06D1">
        <w:rPr>
          <w:rFonts w:ascii="Arial" w:hAnsi="Arial" w:cs="Arial"/>
        </w:rPr>
        <w:t xml:space="preserve"> interpreted</w:t>
      </w:r>
      <w:r w:rsidR="0093528B" w:rsidRPr="000F06D1">
        <w:rPr>
          <w:rFonts w:ascii="Arial" w:hAnsi="Arial" w:cs="Arial"/>
        </w:rPr>
        <w:t xml:space="preserve">. </w:t>
      </w:r>
      <w:r w:rsidR="002A4052" w:rsidRPr="000F06D1">
        <w:rPr>
          <w:rFonts w:ascii="Arial" w:hAnsi="Arial" w:cs="Arial"/>
        </w:rPr>
        <w:t>Engagement will</w:t>
      </w:r>
      <w:r w:rsidR="00CE409B" w:rsidRPr="000F06D1">
        <w:rPr>
          <w:rFonts w:ascii="Arial" w:hAnsi="Arial" w:cs="Arial"/>
        </w:rPr>
        <w:t>:</w:t>
      </w:r>
    </w:p>
    <w:p w14:paraId="119B7355" w14:textId="41F766E3" w:rsidR="00482455" w:rsidRPr="00392715" w:rsidRDefault="007971DD" w:rsidP="00ED2B74">
      <w:pPr>
        <w:pStyle w:val="ListBullet"/>
        <w:rPr>
          <w:rStyle w:val="CommentReference"/>
          <w:sz w:val="19"/>
          <w:szCs w:val="19"/>
        </w:rPr>
      </w:pPr>
      <w:r w:rsidRPr="00392715">
        <w:rPr>
          <w:rStyle w:val="CommentReference"/>
          <w:sz w:val="19"/>
          <w:szCs w:val="19"/>
        </w:rPr>
        <w:t xml:space="preserve">Facilitate an understanding of </w:t>
      </w:r>
      <w:r w:rsidR="00CE409B" w:rsidRPr="00392715">
        <w:rPr>
          <w:rStyle w:val="CommentReference"/>
          <w:sz w:val="19"/>
          <w:szCs w:val="19"/>
        </w:rPr>
        <w:t>implementers progress and</w:t>
      </w:r>
      <w:r w:rsidRPr="00392715">
        <w:rPr>
          <w:rStyle w:val="CommentReference"/>
          <w:sz w:val="19"/>
          <w:szCs w:val="19"/>
        </w:rPr>
        <w:t xml:space="preserve"> the</w:t>
      </w:r>
      <w:r w:rsidR="00CE409B" w:rsidRPr="00392715">
        <w:rPr>
          <w:rStyle w:val="CommentReference"/>
          <w:sz w:val="19"/>
          <w:szCs w:val="19"/>
        </w:rPr>
        <w:t xml:space="preserve"> barriers and enablers </w:t>
      </w:r>
      <w:r w:rsidRPr="00392715">
        <w:rPr>
          <w:rStyle w:val="CommentReference"/>
          <w:sz w:val="19"/>
          <w:szCs w:val="19"/>
        </w:rPr>
        <w:t>encountered when</w:t>
      </w:r>
      <w:r w:rsidR="00CE409B" w:rsidRPr="00392715">
        <w:rPr>
          <w:rStyle w:val="CommentReference"/>
          <w:sz w:val="19"/>
          <w:szCs w:val="19"/>
        </w:rPr>
        <w:t xml:space="preserve"> delivering the Plan</w:t>
      </w:r>
      <w:r w:rsidRPr="00392715">
        <w:rPr>
          <w:rStyle w:val="CommentReference"/>
          <w:sz w:val="19"/>
          <w:szCs w:val="19"/>
        </w:rPr>
        <w:t>. This will inform c</w:t>
      </w:r>
      <w:r w:rsidR="00CE409B" w:rsidRPr="00392715">
        <w:rPr>
          <w:rStyle w:val="CommentReference"/>
          <w:sz w:val="19"/>
          <w:szCs w:val="19"/>
        </w:rPr>
        <w:t>ontinual adjustments</w:t>
      </w:r>
      <w:r w:rsidRPr="00392715">
        <w:rPr>
          <w:rStyle w:val="CommentReference"/>
          <w:sz w:val="19"/>
          <w:szCs w:val="19"/>
        </w:rPr>
        <w:t xml:space="preserve"> to improve imp</w:t>
      </w:r>
      <w:r w:rsidR="006F4519" w:rsidRPr="00392715">
        <w:rPr>
          <w:rStyle w:val="CommentReference"/>
          <w:sz w:val="19"/>
          <w:szCs w:val="19"/>
        </w:rPr>
        <w:t>lementation success.</w:t>
      </w:r>
    </w:p>
    <w:p w14:paraId="7C301685" w14:textId="7EA035AA" w:rsidR="00CE409B" w:rsidRPr="00392715" w:rsidRDefault="00482455" w:rsidP="00ED2B74">
      <w:pPr>
        <w:pStyle w:val="ListBullet"/>
        <w:rPr>
          <w:rStyle w:val="CommentReference"/>
          <w:sz w:val="19"/>
          <w:szCs w:val="19"/>
        </w:rPr>
      </w:pPr>
      <w:r w:rsidRPr="00392715">
        <w:rPr>
          <w:rStyle w:val="CommentReference"/>
          <w:sz w:val="19"/>
          <w:szCs w:val="19"/>
        </w:rPr>
        <w:t>Increase</w:t>
      </w:r>
      <w:r w:rsidR="001F482F" w:rsidRPr="00392715">
        <w:rPr>
          <w:rStyle w:val="CommentReference"/>
          <w:sz w:val="19"/>
          <w:szCs w:val="19"/>
        </w:rPr>
        <w:t xml:space="preserve"> the</w:t>
      </w:r>
      <w:r w:rsidRPr="00392715">
        <w:rPr>
          <w:rStyle w:val="CommentReference"/>
          <w:sz w:val="19"/>
          <w:szCs w:val="19"/>
        </w:rPr>
        <w:t xml:space="preserve"> understanding </w:t>
      </w:r>
      <w:r w:rsidR="001F482F" w:rsidRPr="00392715">
        <w:rPr>
          <w:rStyle w:val="CommentReference"/>
          <w:sz w:val="19"/>
          <w:szCs w:val="19"/>
        </w:rPr>
        <w:t xml:space="preserve">around </w:t>
      </w:r>
      <w:r w:rsidRPr="00392715">
        <w:rPr>
          <w:rStyle w:val="CommentReference"/>
          <w:sz w:val="19"/>
          <w:szCs w:val="19"/>
        </w:rPr>
        <w:t>the appropriateness of the Plan</w:t>
      </w:r>
      <w:r w:rsidR="00392715" w:rsidRPr="00392715">
        <w:rPr>
          <w:rStyle w:val="CommentReference"/>
          <w:sz w:val="19"/>
          <w:szCs w:val="19"/>
        </w:rPr>
        <w:t xml:space="preserve"> by understanding the </w:t>
      </w:r>
      <w:r w:rsidR="00CE409B" w:rsidRPr="00392715">
        <w:rPr>
          <w:rStyle w:val="CommentReference"/>
          <w:sz w:val="19"/>
          <w:szCs w:val="19"/>
        </w:rPr>
        <w:t>extent to which stakeholders support the design of the Plan and delivery arrangements</w:t>
      </w:r>
      <w:r w:rsidR="00392715" w:rsidRPr="00392715">
        <w:rPr>
          <w:rStyle w:val="CommentReference"/>
          <w:sz w:val="19"/>
          <w:szCs w:val="19"/>
        </w:rPr>
        <w:t xml:space="preserve">. </w:t>
      </w:r>
    </w:p>
    <w:p w14:paraId="5BDCDC7C" w14:textId="460B78E5" w:rsidR="00CE409B" w:rsidRPr="00392715" w:rsidRDefault="00CE409B" w:rsidP="00ED2B74">
      <w:pPr>
        <w:pStyle w:val="ListBullet"/>
        <w:rPr>
          <w:rStyle w:val="CommentReference"/>
          <w:sz w:val="19"/>
          <w:szCs w:val="19"/>
        </w:rPr>
      </w:pPr>
      <w:r w:rsidRPr="00392715">
        <w:rPr>
          <w:rStyle w:val="CommentReference"/>
          <w:sz w:val="19"/>
          <w:szCs w:val="19"/>
        </w:rPr>
        <w:t>Seek expert advice</w:t>
      </w:r>
      <w:r w:rsidR="00392715" w:rsidRPr="00392715">
        <w:rPr>
          <w:rStyle w:val="CommentReference"/>
          <w:sz w:val="19"/>
          <w:szCs w:val="19"/>
        </w:rPr>
        <w:t xml:space="preserve"> </w:t>
      </w:r>
      <w:r w:rsidRPr="00392715">
        <w:rPr>
          <w:rStyle w:val="CommentReference"/>
          <w:sz w:val="19"/>
          <w:szCs w:val="19"/>
        </w:rPr>
        <w:t xml:space="preserve">from advisory groups on implementation progress, </w:t>
      </w:r>
      <w:proofErr w:type="gramStart"/>
      <w:r w:rsidR="00392715" w:rsidRPr="00392715">
        <w:rPr>
          <w:rStyle w:val="CommentReference"/>
          <w:sz w:val="19"/>
          <w:szCs w:val="19"/>
        </w:rPr>
        <w:t>barriers</w:t>
      </w:r>
      <w:proofErr w:type="gramEnd"/>
      <w:r w:rsidR="00392C5C">
        <w:rPr>
          <w:rStyle w:val="CommentReference"/>
          <w:sz w:val="19"/>
          <w:szCs w:val="19"/>
        </w:rPr>
        <w:t xml:space="preserve"> and</w:t>
      </w:r>
      <w:r w:rsidRPr="00392715">
        <w:rPr>
          <w:rStyle w:val="CommentReference"/>
          <w:sz w:val="19"/>
          <w:szCs w:val="19"/>
        </w:rPr>
        <w:t xml:space="preserve"> emerging evaluation findings</w:t>
      </w:r>
      <w:r w:rsidR="00392715" w:rsidRPr="00392715">
        <w:rPr>
          <w:rStyle w:val="CommentReference"/>
          <w:sz w:val="19"/>
          <w:szCs w:val="19"/>
        </w:rPr>
        <w:t xml:space="preserve">. </w:t>
      </w:r>
    </w:p>
    <w:p w14:paraId="3928F772" w14:textId="40139FA9" w:rsidR="00CE409B" w:rsidRPr="000C59B8" w:rsidRDefault="00CE409B" w:rsidP="00ED2B74">
      <w:pPr>
        <w:pStyle w:val="ListBullet"/>
      </w:pPr>
      <w:r w:rsidRPr="000C59B8">
        <w:rPr>
          <w:rStyle w:val="CommentReference"/>
          <w:rFonts w:cs="Arial"/>
          <w:sz w:val="19"/>
          <w:szCs w:val="19"/>
        </w:rPr>
        <w:t>Confirm data improvements</w:t>
      </w:r>
      <w:r w:rsidR="00392715" w:rsidRPr="000C59B8">
        <w:rPr>
          <w:rStyle w:val="CommentReference"/>
          <w:rFonts w:cs="Arial"/>
          <w:sz w:val="19"/>
          <w:szCs w:val="19"/>
        </w:rPr>
        <w:t xml:space="preserve">, data </w:t>
      </w:r>
      <w:r w:rsidRPr="000C59B8">
        <w:rPr>
          <w:rStyle w:val="CommentReference"/>
          <w:rFonts w:cs="Arial"/>
          <w:sz w:val="19"/>
          <w:szCs w:val="19"/>
        </w:rPr>
        <w:t xml:space="preserve">updates and accuracy of </w:t>
      </w:r>
      <w:r w:rsidR="00392715" w:rsidRPr="000C59B8">
        <w:rPr>
          <w:rStyle w:val="CommentReference"/>
          <w:rFonts w:cs="Arial"/>
          <w:sz w:val="19"/>
          <w:szCs w:val="19"/>
        </w:rPr>
        <w:t xml:space="preserve">data </w:t>
      </w:r>
      <w:r w:rsidRPr="000C59B8">
        <w:rPr>
          <w:rStyle w:val="CommentReference"/>
          <w:rFonts w:cs="Arial"/>
          <w:sz w:val="19"/>
          <w:szCs w:val="19"/>
        </w:rPr>
        <w:t>interpretation</w:t>
      </w:r>
      <w:r w:rsidR="00392715" w:rsidRPr="000C59B8">
        <w:rPr>
          <w:rStyle w:val="CommentReference"/>
          <w:rFonts w:cs="Arial"/>
          <w:sz w:val="19"/>
          <w:szCs w:val="19"/>
        </w:rPr>
        <w:t xml:space="preserve">. </w:t>
      </w:r>
    </w:p>
    <w:p w14:paraId="7111B54B" w14:textId="67785C35" w:rsidR="00527837" w:rsidRPr="000C59B8" w:rsidRDefault="00592EAB" w:rsidP="001429E3">
      <w:pPr>
        <w:spacing w:after="60" w:line="257" w:lineRule="auto"/>
        <w:rPr>
          <w:rFonts w:ascii="Arial" w:hAnsi="Arial" w:cs="Arial"/>
        </w:rPr>
      </w:pPr>
      <w:r w:rsidRPr="000C59B8">
        <w:rPr>
          <w:rFonts w:ascii="Arial" w:hAnsi="Arial" w:cs="Arial"/>
          <w:highlight w:val="yellow"/>
        </w:rPr>
        <w:fldChar w:fldCharType="begin"/>
      </w:r>
      <w:r w:rsidRPr="000C59B8">
        <w:rPr>
          <w:rFonts w:ascii="Arial" w:hAnsi="Arial" w:cs="Arial"/>
        </w:rPr>
        <w:instrText xml:space="preserve"> REF _Ref88480966 \h </w:instrText>
      </w:r>
      <w:r w:rsidR="000C59B8">
        <w:rPr>
          <w:rFonts w:ascii="Arial" w:hAnsi="Arial" w:cs="Arial"/>
          <w:highlight w:val="yellow"/>
        </w:rPr>
        <w:instrText xml:space="preserve"> \* MERGEFORMAT </w:instrText>
      </w:r>
      <w:r w:rsidRPr="000C59B8">
        <w:rPr>
          <w:rFonts w:ascii="Arial" w:hAnsi="Arial" w:cs="Arial"/>
          <w:highlight w:val="yellow"/>
        </w:rPr>
      </w:r>
      <w:r w:rsidRPr="000C59B8">
        <w:rPr>
          <w:rFonts w:ascii="Arial" w:hAnsi="Arial" w:cs="Arial"/>
          <w:highlight w:val="yellow"/>
        </w:rPr>
        <w:fldChar w:fldCharType="separate"/>
      </w:r>
      <w:r w:rsidR="00CF19E2" w:rsidRPr="00CF19E2">
        <w:rPr>
          <w:rFonts w:ascii="Arial" w:hAnsi="Arial" w:cs="Arial"/>
        </w:rPr>
        <w:t xml:space="preserve">Table </w:t>
      </w:r>
      <w:r w:rsidR="00CF19E2" w:rsidRPr="00CF19E2">
        <w:rPr>
          <w:rFonts w:ascii="Arial" w:hAnsi="Arial" w:cs="Arial"/>
          <w:noProof/>
        </w:rPr>
        <w:t>6</w:t>
      </w:r>
      <w:r w:rsidRPr="000C59B8">
        <w:rPr>
          <w:rFonts w:ascii="Arial" w:hAnsi="Arial" w:cs="Arial"/>
          <w:highlight w:val="yellow"/>
        </w:rPr>
        <w:fldChar w:fldCharType="end"/>
      </w:r>
      <w:r w:rsidR="0093528B" w:rsidRPr="000C59B8">
        <w:rPr>
          <w:rFonts w:ascii="Arial" w:hAnsi="Arial" w:cs="Arial"/>
        </w:rPr>
        <w:t xml:space="preserve"> </w:t>
      </w:r>
      <w:r w:rsidRPr="000C59B8">
        <w:rPr>
          <w:rFonts w:ascii="Arial" w:hAnsi="Arial" w:cs="Arial"/>
        </w:rPr>
        <w:t xml:space="preserve">provides high level guidance on </w:t>
      </w:r>
      <w:r w:rsidR="00527837" w:rsidRPr="000C59B8">
        <w:rPr>
          <w:rFonts w:ascii="Arial" w:hAnsi="Arial" w:cs="Arial"/>
        </w:rPr>
        <w:t>what sta</w:t>
      </w:r>
      <w:r w:rsidR="0093528B" w:rsidRPr="000C59B8">
        <w:rPr>
          <w:rFonts w:ascii="Arial" w:hAnsi="Arial" w:cs="Arial"/>
        </w:rPr>
        <w:t xml:space="preserve">keholders </w:t>
      </w:r>
      <w:r w:rsidR="00527837" w:rsidRPr="000C59B8">
        <w:rPr>
          <w:rFonts w:ascii="Arial" w:hAnsi="Arial" w:cs="Arial"/>
        </w:rPr>
        <w:t>could</w:t>
      </w:r>
      <w:r w:rsidR="004A11BE" w:rsidRPr="000C59B8">
        <w:rPr>
          <w:rFonts w:ascii="Arial" w:hAnsi="Arial" w:cs="Arial"/>
        </w:rPr>
        <w:t xml:space="preserve"> be engaged in </w:t>
      </w:r>
      <w:r w:rsidR="002230A0" w:rsidRPr="000C59B8">
        <w:rPr>
          <w:rFonts w:ascii="Arial" w:hAnsi="Arial" w:cs="Arial"/>
        </w:rPr>
        <w:t xml:space="preserve">monitoring and </w:t>
      </w:r>
      <w:r w:rsidR="004A11BE" w:rsidRPr="000C59B8">
        <w:rPr>
          <w:rFonts w:ascii="Arial" w:hAnsi="Arial" w:cs="Arial"/>
        </w:rPr>
        <w:t>evaluation</w:t>
      </w:r>
      <w:r w:rsidR="002230A0" w:rsidRPr="000C59B8">
        <w:rPr>
          <w:rFonts w:ascii="Arial" w:hAnsi="Arial" w:cs="Arial"/>
        </w:rPr>
        <w:t xml:space="preserve"> between 2022 and 203</w:t>
      </w:r>
      <w:r w:rsidR="000E3895">
        <w:rPr>
          <w:rFonts w:ascii="Arial" w:hAnsi="Arial" w:cs="Arial"/>
        </w:rPr>
        <w:t>0</w:t>
      </w:r>
      <w:r w:rsidR="0093528B" w:rsidRPr="000C59B8">
        <w:rPr>
          <w:rFonts w:ascii="Arial" w:hAnsi="Arial" w:cs="Arial"/>
        </w:rPr>
        <w:t xml:space="preserve">, including the purpose, </w:t>
      </w:r>
      <w:proofErr w:type="gramStart"/>
      <w:r w:rsidR="0093528B" w:rsidRPr="000C59B8">
        <w:rPr>
          <w:rFonts w:ascii="Arial" w:hAnsi="Arial" w:cs="Arial"/>
        </w:rPr>
        <w:t>frequency</w:t>
      </w:r>
      <w:proofErr w:type="gramEnd"/>
      <w:r w:rsidR="00392C5C" w:rsidRPr="000C59B8">
        <w:rPr>
          <w:rFonts w:ascii="Arial" w:hAnsi="Arial" w:cs="Arial"/>
        </w:rPr>
        <w:t xml:space="preserve"> and</w:t>
      </w:r>
      <w:r w:rsidR="0093528B" w:rsidRPr="000C59B8">
        <w:rPr>
          <w:rFonts w:ascii="Arial" w:hAnsi="Arial" w:cs="Arial"/>
        </w:rPr>
        <w:t xml:space="preserve"> method.</w:t>
      </w:r>
      <w:r w:rsidR="00527837" w:rsidRPr="000C59B8">
        <w:rPr>
          <w:rFonts w:ascii="Arial" w:hAnsi="Arial" w:cs="Arial"/>
        </w:rPr>
        <w:t xml:space="preserve"> </w:t>
      </w:r>
      <w:r w:rsidR="00397DA7" w:rsidRPr="000C59B8">
        <w:rPr>
          <w:rFonts w:ascii="Arial" w:hAnsi="Arial" w:cs="Arial"/>
        </w:rPr>
        <w:t xml:space="preserve">The stakeholders listed </w:t>
      </w:r>
      <w:r w:rsidR="00891F30" w:rsidRPr="000C59B8">
        <w:rPr>
          <w:rFonts w:ascii="Arial" w:hAnsi="Arial" w:cs="Arial"/>
        </w:rPr>
        <w:t>are currently those identified as key to the delivery of the Plan</w:t>
      </w:r>
      <w:r w:rsidR="00AA7237" w:rsidRPr="000C59B8">
        <w:rPr>
          <w:rFonts w:ascii="Arial" w:hAnsi="Arial" w:cs="Arial"/>
        </w:rPr>
        <w:t xml:space="preserve"> (as </w:t>
      </w:r>
      <w:proofErr w:type="gramStart"/>
      <w:r w:rsidR="00AA7237" w:rsidRPr="000C59B8">
        <w:rPr>
          <w:rFonts w:ascii="Arial" w:hAnsi="Arial" w:cs="Arial"/>
        </w:rPr>
        <w:t>at</w:t>
      </w:r>
      <w:proofErr w:type="gramEnd"/>
      <w:r w:rsidR="00AA7237" w:rsidRPr="000C59B8">
        <w:rPr>
          <w:rFonts w:ascii="Arial" w:hAnsi="Arial" w:cs="Arial"/>
        </w:rPr>
        <w:t xml:space="preserve"> November 2021)</w:t>
      </w:r>
      <w:r w:rsidR="00891F30" w:rsidRPr="000C59B8">
        <w:rPr>
          <w:rFonts w:ascii="Arial" w:hAnsi="Arial" w:cs="Arial"/>
        </w:rPr>
        <w:t xml:space="preserve">. As implementation progresses </w:t>
      </w:r>
      <w:r w:rsidR="00A63745" w:rsidRPr="000C59B8">
        <w:rPr>
          <w:rFonts w:ascii="Arial" w:hAnsi="Arial" w:cs="Arial"/>
        </w:rPr>
        <w:t xml:space="preserve">between 2022-2030 </w:t>
      </w:r>
      <w:r w:rsidR="00E844E2" w:rsidRPr="000C59B8">
        <w:rPr>
          <w:rFonts w:ascii="Arial" w:hAnsi="Arial" w:cs="Arial"/>
        </w:rPr>
        <w:t xml:space="preserve">additional </w:t>
      </w:r>
      <w:r w:rsidR="00891F30" w:rsidRPr="000C59B8">
        <w:rPr>
          <w:rFonts w:ascii="Arial" w:hAnsi="Arial" w:cs="Arial"/>
        </w:rPr>
        <w:t>stakeholders</w:t>
      </w:r>
      <w:r w:rsidR="00E844E2" w:rsidRPr="000C59B8">
        <w:rPr>
          <w:rFonts w:ascii="Arial" w:hAnsi="Arial" w:cs="Arial"/>
        </w:rPr>
        <w:t xml:space="preserve"> </w:t>
      </w:r>
      <w:r w:rsidR="00AA7237" w:rsidRPr="000C59B8">
        <w:rPr>
          <w:rFonts w:ascii="Arial" w:hAnsi="Arial" w:cs="Arial"/>
        </w:rPr>
        <w:t xml:space="preserve">may need to </w:t>
      </w:r>
      <w:r w:rsidR="00A63745" w:rsidRPr="000C59B8">
        <w:rPr>
          <w:rFonts w:ascii="Arial" w:hAnsi="Arial" w:cs="Arial"/>
        </w:rPr>
        <w:t xml:space="preserve">be </w:t>
      </w:r>
      <w:r w:rsidR="00AA7237" w:rsidRPr="000C59B8">
        <w:rPr>
          <w:rFonts w:ascii="Arial" w:hAnsi="Arial" w:cs="Arial"/>
        </w:rPr>
        <w:t>engaged</w:t>
      </w:r>
      <w:r w:rsidR="00A63745" w:rsidRPr="000C59B8">
        <w:rPr>
          <w:rFonts w:ascii="Arial" w:hAnsi="Arial" w:cs="Arial"/>
        </w:rPr>
        <w:t xml:space="preserve">. </w:t>
      </w:r>
      <w:r w:rsidR="00527837" w:rsidRPr="000C59B8">
        <w:rPr>
          <w:rFonts w:ascii="Arial" w:hAnsi="Arial" w:cs="Arial"/>
        </w:rPr>
        <w:t xml:space="preserve">See </w:t>
      </w:r>
      <w:r w:rsidR="0093528B" w:rsidRPr="000C59B8">
        <w:rPr>
          <w:rFonts w:ascii="Arial" w:hAnsi="Arial" w:cs="Arial"/>
        </w:rPr>
        <w:fldChar w:fldCharType="begin"/>
      </w:r>
      <w:r w:rsidR="0093528B" w:rsidRPr="000C59B8">
        <w:rPr>
          <w:rFonts w:ascii="Arial" w:hAnsi="Arial" w:cs="Arial"/>
        </w:rPr>
        <w:instrText xml:space="preserve"> REF _Ref87554861 \r \h </w:instrText>
      </w:r>
      <w:r w:rsidR="000C59B8">
        <w:rPr>
          <w:rFonts w:ascii="Arial" w:hAnsi="Arial" w:cs="Arial"/>
        </w:rPr>
        <w:instrText xml:space="preserve"> \* MERGEFORMAT </w:instrText>
      </w:r>
      <w:r w:rsidR="0093528B" w:rsidRPr="000C59B8">
        <w:rPr>
          <w:rFonts w:ascii="Arial" w:hAnsi="Arial" w:cs="Arial"/>
        </w:rPr>
      </w:r>
      <w:r w:rsidR="0093528B" w:rsidRPr="000C59B8">
        <w:rPr>
          <w:rFonts w:ascii="Arial" w:hAnsi="Arial" w:cs="Arial"/>
        </w:rPr>
        <w:fldChar w:fldCharType="separate"/>
      </w:r>
      <w:r w:rsidR="00CF19E2">
        <w:rPr>
          <w:rFonts w:ascii="Arial" w:hAnsi="Arial" w:cs="Arial"/>
        </w:rPr>
        <w:t>Appendix A</w:t>
      </w:r>
      <w:r w:rsidR="0093528B" w:rsidRPr="000C59B8">
        <w:rPr>
          <w:rFonts w:ascii="Arial" w:hAnsi="Arial" w:cs="Arial"/>
        </w:rPr>
        <w:fldChar w:fldCharType="end"/>
      </w:r>
      <w:r w:rsidR="00527837" w:rsidRPr="000C59B8">
        <w:rPr>
          <w:rFonts w:ascii="Arial" w:hAnsi="Arial" w:cs="Arial"/>
        </w:rPr>
        <w:t xml:space="preserve"> for stakeholders involved in the development of this document.</w:t>
      </w:r>
    </w:p>
    <w:p w14:paraId="7FD1ED54" w14:textId="6E25668D" w:rsidR="00392715" w:rsidRDefault="0093528B" w:rsidP="0069737F">
      <w:pPr>
        <w:pStyle w:val="Caption"/>
        <w:spacing w:after="60" w:line="257" w:lineRule="auto"/>
      </w:pPr>
      <w:bookmarkStart w:id="43" w:name="_Ref88480966"/>
      <w:r>
        <w:t xml:space="preserve">Table </w:t>
      </w:r>
      <w:r>
        <w:fldChar w:fldCharType="begin"/>
      </w:r>
      <w:r>
        <w:instrText xml:space="preserve"> SEQ Table \* ARABIC </w:instrText>
      </w:r>
      <w:r>
        <w:fldChar w:fldCharType="separate"/>
      </w:r>
      <w:r w:rsidR="00CF19E2">
        <w:rPr>
          <w:noProof/>
        </w:rPr>
        <w:t>6</w:t>
      </w:r>
      <w:r>
        <w:fldChar w:fldCharType="end"/>
      </w:r>
      <w:bookmarkEnd w:id="43"/>
      <w:r w:rsidR="00392715">
        <w:t xml:space="preserve"> | </w:t>
      </w:r>
      <w:r w:rsidR="00392715" w:rsidRPr="00A1048A">
        <w:t>Stakeholder engagement plan</w:t>
      </w:r>
    </w:p>
    <w:tbl>
      <w:tblPr>
        <w:tblStyle w:val="TableGrid"/>
        <w:tblW w:w="9748" w:type="dxa"/>
        <w:tblLayout w:type="fixed"/>
        <w:tblLook w:val="04A0" w:firstRow="1" w:lastRow="0" w:firstColumn="1" w:lastColumn="0" w:noHBand="0" w:noVBand="1"/>
        <w:tblDescription w:val="Table 6 is a list of Stakeholder engagement plan"/>
      </w:tblPr>
      <w:tblGrid>
        <w:gridCol w:w="1387"/>
        <w:gridCol w:w="1869"/>
        <w:gridCol w:w="2835"/>
        <w:gridCol w:w="1134"/>
        <w:gridCol w:w="1134"/>
        <w:gridCol w:w="1389"/>
      </w:tblGrid>
      <w:tr w:rsidR="00527837" w:rsidRPr="00060280" w14:paraId="64D16162" w14:textId="77777777" w:rsidTr="00060280">
        <w:trPr>
          <w:cnfStyle w:val="100000000000" w:firstRow="1" w:lastRow="0" w:firstColumn="0" w:lastColumn="0" w:oddVBand="0" w:evenVBand="0" w:oddHBand="0" w:evenHBand="0" w:firstRowFirstColumn="0" w:firstRowLastColumn="0" w:lastRowFirstColumn="0" w:lastRowLastColumn="0"/>
          <w:trHeight w:val="21"/>
          <w:tblHeader/>
        </w:trPr>
        <w:tc>
          <w:tcPr>
            <w:tcW w:w="1387" w:type="dxa"/>
            <w:vMerge w:val="restart"/>
          </w:tcPr>
          <w:p w14:paraId="223EA3CC" w14:textId="77777777" w:rsidR="00527837" w:rsidRPr="00060280" w:rsidRDefault="00527837" w:rsidP="00060280">
            <w:pPr>
              <w:pStyle w:val="TableNheader"/>
            </w:pPr>
            <w:r w:rsidRPr="00060280">
              <w:t>Stakeholder category</w:t>
            </w:r>
          </w:p>
        </w:tc>
        <w:tc>
          <w:tcPr>
            <w:tcW w:w="1869" w:type="dxa"/>
            <w:vMerge w:val="restart"/>
          </w:tcPr>
          <w:p w14:paraId="581E99CE" w14:textId="00A44180" w:rsidR="00DE56B2" w:rsidRPr="00060280" w:rsidRDefault="00527837" w:rsidP="00060280">
            <w:pPr>
              <w:pStyle w:val="TableNheader"/>
            </w:pPr>
            <w:r w:rsidRPr="00060280">
              <w:t>Purpose of engagement</w:t>
            </w:r>
          </w:p>
        </w:tc>
        <w:tc>
          <w:tcPr>
            <w:tcW w:w="2835" w:type="dxa"/>
            <w:vMerge w:val="restart"/>
          </w:tcPr>
          <w:p w14:paraId="28FF65BB" w14:textId="28B61A7D" w:rsidR="00527837" w:rsidRPr="00060280" w:rsidRDefault="00527837" w:rsidP="00060280">
            <w:pPr>
              <w:pStyle w:val="TableNheader"/>
            </w:pPr>
            <w:r w:rsidRPr="00060280">
              <w:t xml:space="preserve">Stakeholders </w:t>
            </w:r>
          </w:p>
        </w:tc>
        <w:tc>
          <w:tcPr>
            <w:tcW w:w="2268" w:type="dxa"/>
            <w:gridSpan w:val="2"/>
          </w:tcPr>
          <w:p w14:paraId="4D7592B6" w14:textId="7BACDD37" w:rsidR="00527837" w:rsidRPr="00060280" w:rsidRDefault="00527837" w:rsidP="00060280">
            <w:pPr>
              <w:pStyle w:val="TableNheader"/>
            </w:pPr>
            <w:r w:rsidRPr="00060280">
              <w:t>Timing of engagement</w:t>
            </w:r>
          </w:p>
        </w:tc>
        <w:tc>
          <w:tcPr>
            <w:tcW w:w="1389" w:type="dxa"/>
            <w:vMerge w:val="restart"/>
          </w:tcPr>
          <w:p w14:paraId="1DFF099C" w14:textId="4F88C836" w:rsidR="00527837" w:rsidRPr="00060280" w:rsidRDefault="00527837" w:rsidP="00060280">
            <w:pPr>
              <w:pStyle w:val="TableNheader"/>
            </w:pPr>
            <w:r w:rsidRPr="00060280">
              <w:t>Approach</w:t>
            </w:r>
          </w:p>
        </w:tc>
      </w:tr>
      <w:tr w:rsidR="00D27124" w:rsidRPr="00060280" w14:paraId="0A36C791" w14:textId="77777777" w:rsidTr="00060280">
        <w:trPr>
          <w:cnfStyle w:val="100000000000" w:firstRow="1" w:lastRow="0" w:firstColumn="0" w:lastColumn="0" w:oddVBand="0" w:evenVBand="0" w:oddHBand="0" w:evenHBand="0" w:firstRowFirstColumn="0" w:firstRowLastColumn="0" w:lastRowFirstColumn="0" w:lastRowLastColumn="0"/>
          <w:trHeight w:val="20"/>
          <w:tblHeader/>
        </w:trPr>
        <w:tc>
          <w:tcPr>
            <w:tcW w:w="1387" w:type="dxa"/>
            <w:vMerge/>
          </w:tcPr>
          <w:p w14:paraId="1FB804A9" w14:textId="77777777" w:rsidR="00D27124" w:rsidRPr="00060280" w:rsidRDefault="00D27124" w:rsidP="00060280"/>
        </w:tc>
        <w:tc>
          <w:tcPr>
            <w:tcW w:w="1869" w:type="dxa"/>
            <w:vMerge/>
          </w:tcPr>
          <w:p w14:paraId="719799BD" w14:textId="77777777" w:rsidR="00D27124" w:rsidRPr="00060280" w:rsidRDefault="00D27124" w:rsidP="00060280"/>
        </w:tc>
        <w:tc>
          <w:tcPr>
            <w:tcW w:w="2835" w:type="dxa"/>
            <w:vMerge/>
          </w:tcPr>
          <w:p w14:paraId="5FF1D966" w14:textId="77777777" w:rsidR="00D27124" w:rsidRPr="00060280" w:rsidRDefault="00D27124" w:rsidP="00060280"/>
        </w:tc>
        <w:tc>
          <w:tcPr>
            <w:tcW w:w="1134" w:type="dxa"/>
          </w:tcPr>
          <w:p w14:paraId="7D5FE72B" w14:textId="77777777" w:rsidR="00D27124" w:rsidRPr="00060280" w:rsidRDefault="00D27124" w:rsidP="00060280">
            <w:pPr>
              <w:pStyle w:val="TableNheader"/>
            </w:pPr>
            <w:r w:rsidRPr="00060280">
              <w:t>S1</w:t>
            </w:r>
          </w:p>
          <w:p w14:paraId="5C2E1411" w14:textId="4AB48A43" w:rsidR="004C3B83" w:rsidRPr="00060280" w:rsidRDefault="004C3B83" w:rsidP="00060280">
            <w:pPr>
              <w:pStyle w:val="TableNheader"/>
            </w:pPr>
            <w:r w:rsidRPr="00060280">
              <w:t>2022-2024</w:t>
            </w:r>
          </w:p>
        </w:tc>
        <w:tc>
          <w:tcPr>
            <w:tcW w:w="1134" w:type="dxa"/>
          </w:tcPr>
          <w:p w14:paraId="3FDC0483" w14:textId="77777777" w:rsidR="00D27124" w:rsidRPr="00060280" w:rsidRDefault="00D27124" w:rsidP="00060280">
            <w:pPr>
              <w:pStyle w:val="TableNheader"/>
            </w:pPr>
            <w:r w:rsidRPr="00060280">
              <w:t>S2</w:t>
            </w:r>
          </w:p>
          <w:p w14:paraId="3AA8F329" w14:textId="66455533" w:rsidR="004C3B83" w:rsidRPr="00060280" w:rsidRDefault="004C3B83" w:rsidP="00060280">
            <w:pPr>
              <w:pStyle w:val="TableNheader"/>
            </w:pPr>
            <w:r w:rsidRPr="00060280">
              <w:t>2024-</w:t>
            </w:r>
            <w:r w:rsidR="000E3895" w:rsidRPr="00060280">
              <w:t>2030</w:t>
            </w:r>
          </w:p>
        </w:tc>
        <w:tc>
          <w:tcPr>
            <w:tcW w:w="1389" w:type="dxa"/>
            <w:vMerge/>
          </w:tcPr>
          <w:p w14:paraId="6EC4AD3C" w14:textId="07F770A4" w:rsidR="00D27124" w:rsidRPr="00060280" w:rsidRDefault="00D27124" w:rsidP="00060280"/>
        </w:tc>
      </w:tr>
      <w:tr w:rsidR="00D27124" w:rsidRPr="00060280" w14:paraId="489962E4" w14:textId="77777777" w:rsidTr="00060280">
        <w:trPr>
          <w:trHeight w:val="2191"/>
        </w:trPr>
        <w:tc>
          <w:tcPr>
            <w:tcW w:w="1387" w:type="dxa"/>
          </w:tcPr>
          <w:p w14:paraId="4F91CF22" w14:textId="38857C62" w:rsidR="00D27124" w:rsidRPr="00060280" w:rsidRDefault="00D27124" w:rsidP="002826C0">
            <w:pPr>
              <w:pStyle w:val="TableNText"/>
            </w:pPr>
            <w:r w:rsidRPr="00060280">
              <w:t xml:space="preserve">Implementers </w:t>
            </w:r>
          </w:p>
        </w:tc>
        <w:tc>
          <w:tcPr>
            <w:tcW w:w="1869" w:type="dxa"/>
          </w:tcPr>
          <w:p w14:paraId="4B7EBCAE" w14:textId="21A224EF" w:rsidR="00D27124" w:rsidRPr="00060280" w:rsidRDefault="00D27124" w:rsidP="002826C0">
            <w:pPr>
              <w:pStyle w:val="TableNText"/>
            </w:pPr>
            <w:r w:rsidRPr="00060280">
              <w:t>To monitor implementation progress and identify early trends.</w:t>
            </w:r>
          </w:p>
          <w:p w14:paraId="27C41FB9" w14:textId="068DE7B1" w:rsidR="00D27124" w:rsidRPr="00060280" w:rsidRDefault="00D27124" w:rsidP="002826C0">
            <w:pPr>
              <w:pStyle w:val="TableNText"/>
            </w:pPr>
            <w:r w:rsidRPr="00060280">
              <w:t xml:space="preserve">To understand the appropriateness of the Plan and associated tasks. </w:t>
            </w:r>
          </w:p>
        </w:tc>
        <w:tc>
          <w:tcPr>
            <w:tcW w:w="2835" w:type="dxa"/>
          </w:tcPr>
          <w:p w14:paraId="181C2857" w14:textId="1D5D73FF" w:rsidR="00D27124" w:rsidRPr="00060280" w:rsidRDefault="00D27124" w:rsidP="002826C0">
            <w:pPr>
              <w:pStyle w:val="TableNText"/>
            </w:pPr>
            <w:r w:rsidRPr="00060280">
              <w:t>Stillbirth CRE</w:t>
            </w:r>
          </w:p>
          <w:p w14:paraId="66670220" w14:textId="7B4A8CF7" w:rsidR="00D27124" w:rsidRPr="00060280" w:rsidRDefault="00D27124" w:rsidP="002826C0">
            <w:pPr>
              <w:pStyle w:val="TableNText"/>
            </w:pPr>
            <w:r w:rsidRPr="00060280">
              <w:t xml:space="preserve">Australian Government </w:t>
            </w:r>
          </w:p>
          <w:p w14:paraId="520CF46E" w14:textId="01EF174C" w:rsidR="00D27124" w:rsidRPr="00060280" w:rsidRDefault="00D27124" w:rsidP="002826C0">
            <w:pPr>
              <w:pStyle w:val="TableNText"/>
            </w:pPr>
            <w:r w:rsidRPr="00060280">
              <w:t xml:space="preserve">State and territory government </w:t>
            </w:r>
          </w:p>
          <w:p w14:paraId="27A0FF14" w14:textId="2D86FE7D" w:rsidR="00D27124" w:rsidRPr="00060280" w:rsidRDefault="00D27124" w:rsidP="002826C0">
            <w:pPr>
              <w:pStyle w:val="TableNText"/>
            </w:pPr>
            <w:r w:rsidRPr="00060280">
              <w:t xml:space="preserve">Red Nose </w:t>
            </w:r>
          </w:p>
          <w:p w14:paraId="4BE6B425" w14:textId="77777777" w:rsidR="00D27124" w:rsidRPr="00060280" w:rsidRDefault="00D27124" w:rsidP="002826C0">
            <w:pPr>
              <w:pStyle w:val="TableNText"/>
            </w:pPr>
            <w:r w:rsidRPr="00060280">
              <w:t>PSANZ</w:t>
            </w:r>
          </w:p>
          <w:p w14:paraId="2A01C3EA" w14:textId="7DEFA447" w:rsidR="00D27124" w:rsidRPr="00060280" w:rsidRDefault="00D27124" w:rsidP="002826C0">
            <w:pPr>
              <w:pStyle w:val="TableNText"/>
            </w:pPr>
            <w:proofErr w:type="spellStart"/>
            <w:r w:rsidRPr="00060280">
              <w:t>CATSINaM</w:t>
            </w:r>
            <w:proofErr w:type="spellEnd"/>
          </w:p>
        </w:tc>
        <w:tc>
          <w:tcPr>
            <w:tcW w:w="1134" w:type="dxa"/>
          </w:tcPr>
          <w:p w14:paraId="5CB05EC1" w14:textId="42D6C864" w:rsidR="00D27124" w:rsidRPr="00060280" w:rsidRDefault="00D27124" w:rsidP="002826C0">
            <w:pPr>
              <w:pStyle w:val="TableNText"/>
            </w:pPr>
            <w:r w:rsidRPr="00060280">
              <w:t>l</w:t>
            </w:r>
          </w:p>
        </w:tc>
        <w:tc>
          <w:tcPr>
            <w:tcW w:w="1134" w:type="dxa"/>
          </w:tcPr>
          <w:p w14:paraId="5FC3C3CF" w14:textId="0F3CFCA9" w:rsidR="00D27124" w:rsidRPr="00060280" w:rsidRDefault="00D27124" w:rsidP="002826C0">
            <w:pPr>
              <w:pStyle w:val="TableNText"/>
            </w:pPr>
            <w:r w:rsidRPr="00060280">
              <w:t>l</w:t>
            </w:r>
          </w:p>
        </w:tc>
        <w:tc>
          <w:tcPr>
            <w:tcW w:w="1389" w:type="dxa"/>
          </w:tcPr>
          <w:p w14:paraId="0D264A8C" w14:textId="77777777" w:rsidR="00D27124" w:rsidRPr="00060280" w:rsidRDefault="00D27124" w:rsidP="002826C0">
            <w:pPr>
              <w:pStyle w:val="TableNText"/>
            </w:pPr>
            <w:r w:rsidRPr="00060280">
              <w:t>Annual Implementers’ Progress Update</w:t>
            </w:r>
          </w:p>
          <w:p w14:paraId="31BCAED5" w14:textId="07742118" w:rsidR="00D27124" w:rsidRPr="00060280" w:rsidRDefault="00D27124" w:rsidP="002826C0">
            <w:pPr>
              <w:pStyle w:val="TableNText"/>
            </w:pPr>
            <w:r w:rsidRPr="00060280">
              <w:t>Consultations</w:t>
            </w:r>
          </w:p>
        </w:tc>
      </w:tr>
      <w:tr w:rsidR="00D27124" w:rsidRPr="00060280" w14:paraId="0833ADE8" w14:textId="77777777" w:rsidTr="00060280">
        <w:trPr>
          <w:trHeight w:val="276"/>
        </w:trPr>
        <w:tc>
          <w:tcPr>
            <w:tcW w:w="1387" w:type="dxa"/>
          </w:tcPr>
          <w:p w14:paraId="0C37FC3F" w14:textId="68467D2B" w:rsidR="00D27124" w:rsidRPr="00060280" w:rsidRDefault="00D27124" w:rsidP="002826C0">
            <w:pPr>
              <w:pStyle w:val="TableNText"/>
            </w:pPr>
            <w:r w:rsidRPr="00060280">
              <w:t xml:space="preserve">Data custodians </w:t>
            </w:r>
          </w:p>
        </w:tc>
        <w:tc>
          <w:tcPr>
            <w:tcW w:w="1869" w:type="dxa"/>
          </w:tcPr>
          <w:p w14:paraId="475DB6AA" w14:textId="1CE3F01A" w:rsidR="00D27124" w:rsidRPr="00060280" w:rsidRDefault="00D27124" w:rsidP="002826C0">
            <w:pPr>
              <w:pStyle w:val="TableNText"/>
            </w:pPr>
            <w:r w:rsidRPr="00060280">
              <w:t xml:space="preserve">To facilitate access to data relevant to the Plan and influence data collection approaches. </w:t>
            </w:r>
          </w:p>
          <w:p w14:paraId="5AD4BE39" w14:textId="05C1F8B5" w:rsidR="00D27124" w:rsidRPr="00060280" w:rsidRDefault="00D27124" w:rsidP="002826C0">
            <w:pPr>
              <w:pStyle w:val="TableNText"/>
            </w:pPr>
            <w:r w:rsidRPr="00060280">
              <w:t xml:space="preserve">Data on the national evaluation indicators will be used to assess the </w:t>
            </w:r>
            <w:r w:rsidRPr="00060280">
              <w:lastRenderedPageBreak/>
              <w:t xml:space="preserve">impact and effectiveness of the Plan. </w:t>
            </w:r>
          </w:p>
        </w:tc>
        <w:tc>
          <w:tcPr>
            <w:tcW w:w="2835" w:type="dxa"/>
          </w:tcPr>
          <w:p w14:paraId="6FC009A3" w14:textId="77777777" w:rsidR="00D27124" w:rsidRPr="00060280" w:rsidRDefault="00D27124" w:rsidP="002826C0">
            <w:pPr>
              <w:pStyle w:val="TableNText"/>
            </w:pPr>
            <w:r w:rsidRPr="00060280">
              <w:lastRenderedPageBreak/>
              <w:t>AIHW</w:t>
            </w:r>
          </w:p>
          <w:p w14:paraId="7F00DF2C" w14:textId="738B5072" w:rsidR="00D27124" w:rsidRPr="00060280" w:rsidRDefault="00D27124" w:rsidP="002826C0">
            <w:pPr>
              <w:pStyle w:val="TableNText"/>
            </w:pPr>
            <w:r w:rsidRPr="00060280">
              <w:t>Australia government health department</w:t>
            </w:r>
          </w:p>
          <w:p w14:paraId="75728D47" w14:textId="34608866" w:rsidR="00D27124" w:rsidRPr="00060280" w:rsidRDefault="00D27124" w:rsidP="002826C0">
            <w:pPr>
              <w:pStyle w:val="TableNText"/>
            </w:pPr>
            <w:r w:rsidRPr="00060280">
              <w:t>State and territory health departments</w:t>
            </w:r>
          </w:p>
          <w:p w14:paraId="19A107C9" w14:textId="37F79B04" w:rsidR="00D27124" w:rsidRPr="00060280" w:rsidRDefault="00D27124" w:rsidP="002826C0">
            <w:pPr>
              <w:pStyle w:val="TableNText"/>
            </w:pPr>
            <w:r w:rsidRPr="00060280">
              <w:t>Red Nose</w:t>
            </w:r>
          </w:p>
          <w:p w14:paraId="70F18E29" w14:textId="77777777" w:rsidR="00D27124" w:rsidRPr="00060280" w:rsidRDefault="00D27124" w:rsidP="002826C0">
            <w:pPr>
              <w:pStyle w:val="TableNText"/>
            </w:pPr>
            <w:r w:rsidRPr="00060280">
              <w:t>PSANZ</w:t>
            </w:r>
          </w:p>
          <w:p w14:paraId="2E927988" w14:textId="567FB286" w:rsidR="00D27124" w:rsidRPr="00060280" w:rsidRDefault="00D27124" w:rsidP="002826C0">
            <w:pPr>
              <w:pStyle w:val="TableNText"/>
            </w:pPr>
            <w:r w:rsidRPr="00060280">
              <w:t>NHMRC</w:t>
            </w:r>
          </w:p>
        </w:tc>
        <w:tc>
          <w:tcPr>
            <w:tcW w:w="1134" w:type="dxa"/>
          </w:tcPr>
          <w:p w14:paraId="444D34AB" w14:textId="77AECE3B" w:rsidR="00D27124" w:rsidRPr="00060280" w:rsidRDefault="00D27124" w:rsidP="002826C0">
            <w:pPr>
              <w:pStyle w:val="TableNText"/>
            </w:pPr>
            <w:r w:rsidRPr="00060280">
              <w:t>l</w:t>
            </w:r>
          </w:p>
        </w:tc>
        <w:tc>
          <w:tcPr>
            <w:tcW w:w="1134" w:type="dxa"/>
          </w:tcPr>
          <w:p w14:paraId="324321E4" w14:textId="710C57CA" w:rsidR="00D27124" w:rsidRPr="00060280" w:rsidRDefault="00D27124" w:rsidP="002826C0">
            <w:pPr>
              <w:pStyle w:val="TableNText"/>
            </w:pPr>
            <w:r w:rsidRPr="00060280">
              <w:t>l</w:t>
            </w:r>
          </w:p>
        </w:tc>
        <w:tc>
          <w:tcPr>
            <w:tcW w:w="1389" w:type="dxa"/>
          </w:tcPr>
          <w:p w14:paraId="174958E4" w14:textId="0BAD4F45" w:rsidR="00D27124" w:rsidRPr="00060280" w:rsidRDefault="00D27124" w:rsidP="002826C0">
            <w:pPr>
              <w:pStyle w:val="TableNText"/>
            </w:pPr>
            <w:r w:rsidRPr="00060280">
              <w:t>Consultations</w:t>
            </w:r>
          </w:p>
        </w:tc>
      </w:tr>
      <w:tr w:rsidR="00D27124" w:rsidRPr="00060280" w14:paraId="73D498AC" w14:textId="77777777" w:rsidTr="00060280">
        <w:trPr>
          <w:trHeight w:val="276"/>
        </w:trPr>
        <w:tc>
          <w:tcPr>
            <w:tcW w:w="1387" w:type="dxa"/>
          </w:tcPr>
          <w:p w14:paraId="72CA9C5C" w14:textId="6B91C7C8" w:rsidR="00D27124" w:rsidRPr="00060280" w:rsidRDefault="00D27124" w:rsidP="002826C0">
            <w:pPr>
              <w:pStyle w:val="TableNText"/>
            </w:pPr>
            <w:r w:rsidRPr="00060280">
              <w:t>Advisory groups</w:t>
            </w:r>
          </w:p>
        </w:tc>
        <w:tc>
          <w:tcPr>
            <w:tcW w:w="1869" w:type="dxa"/>
          </w:tcPr>
          <w:p w14:paraId="1EC986F9" w14:textId="77777777" w:rsidR="00D27124" w:rsidRPr="00060280" w:rsidRDefault="00D27124" w:rsidP="002826C0">
            <w:pPr>
              <w:pStyle w:val="TableNText"/>
            </w:pPr>
            <w:r w:rsidRPr="00060280">
              <w:t>Obtain ad-hoc guidance on key challenges faced by the evaluation.</w:t>
            </w:r>
          </w:p>
          <w:p w14:paraId="61DD6AE8" w14:textId="2CEDF092" w:rsidR="00D27124" w:rsidRPr="00060280" w:rsidRDefault="00D27124" w:rsidP="002826C0">
            <w:pPr>
              <w:pStyle w:val="TableNText"/>
            </w:pPr>
            <w:r w:rsidRPr="00060280">
              <w:t xml:space="preserve">Advisory groups will also support an understanding how appropriate the Plan is. </w:t>
            </w:r>
          </w:p>
        </w:tc>
        <w:tc>
          <w:tcPr>
            <w:tcW w:w="2835" w:type="dxa"/>
          </w:tcPr>
          <w:p w14:paraId="1663B462" w14:textId="511CF0E4" w:rsidR="00D27124" w:rsidRPr="00060280" w:rsidRDefault="00D27124" w:rsidP="002826C0">
            <w:pPr>
              <w:pStyle w:val="TableNText"/>
            </w:pPr>
            <w:r w:rsidRPr="00060280">
              <w:t>National Stillbirth IOG</w:t>
            </w:r>
          </w:p>
          <w:p w14:paraId="50BE1280" w14:textId="7C099345" w:rsidR="00D27124" w:rsidRPr="00060280" w:rsidRDefault="00D27124" w:rsidP="002826C0">
            <w:pPr>
              <w:pStyle w:val="TableNText"/>
            </w:pPr>
            <w:r w:rsidRPr="00060280">
              <w:t xml:space="preserve">Stillbirth CRE Indigenous Advisory Group. </w:t>
            </w:r>
          </w:p>
          <w:p w14:paraId="26D8933D" w14:textId="26D4BBB3" w:rsidR="00D27124" w:rsidRPr="00060280" w:rsidRDefault="00D27124" w:rsidP="002826C0">
            <w:pPr>
              <w:pStyle w:val="TableNText"/>
            </w:pPr>
            <w:r w:rsidRPr="00060280">
              <w:t xml:space="preserve">Stillbirth CRE Migrant and Refugee Advisory Group. </w:t>
            </w:r>
          </w:p>
          <w:p w14:paraId="065B3F4B" w14:textId="2F00E94B" w:rsidR="00D27124" w:rsidRPr="00060280" w:rsidRDefault="00D27124" w:rsidP="002826C0">
            <w:pPr>
              <w:pStyle w:val="TableNText"/>
            </w:pPr>
            <w:r w:rsidRPr="00060280">
              <w:t xml:space="preserve">Stillbirth CRE Remote and Rural Advisory Group. </w:t>
            </w:r>
          </w:p>
        </w:tc>
        <w:tc>
          <w:tcPr>
            <w:tcW w:w="1134" w:type="dxa"/>
          </w:tcPr>
          <w:p w14:paraId="7597E122" w14:textId="7A819D30" w:rsidR="00D27124" w:rsidRPr="00060280" w:rsidRDefault="00D27124" w:rsidP="002826C0">
            <w:pPr>
              <w:pStyle w:val="TableNText"/>
            </w:pPr>
            <w:r w:rsidRPr="00060280">
              <w:t>l</w:t>
            </w:r>
          </w:p>
        </w:tc>
        <w:tc>
          <w:tcPr>
            <w:tcW w:w="1134" w:type="dxa"/>
          </w:tcPr>
          <w:p w14:paraId="709C68A1" w14:textId="1A2DD24A" w:rsidR="00D27124" w:rsidRPr="00060280" w:rsidRDefault="00D27124" w:rsidP="002826C0">
            <w:pPr>
              <w:pStyle w:val="TableNText"/>
            </w:pPr>
            <w:r w:rsidRPr="00060280">
              <w:t>l</w:t>
            </w:r>
          </w:p>
        </w:tc>
        <w:tc>
          <w:tcPr>
            <w:tcW w:w="1389" w:type="dxa"/>
          </w:tcPr>
          <w:p w14:paraId="518743C5" w14:textId="77777777" w:rsidR="00D27124" w:rsidRPr="00060280" w:rsidRDefault="00D27124" w:rsidP="002826C0">
            <w:pPr>
              <w:pStyle w:val="TableNText"/>
            </w:pPr>
            <w:r w:rsidRPr="00060280">
              <w:t>Consultations</w:t>
            </w:r>
          </w:p>
          <w:p w14:paraId="3B66DA61" w14:textId="4D3FB80E" w:rsidR="00D27124" w:rsidRPr="00060280" w:rsidRDefault="00D27124" w:rsidP="002826C0">
            <w:pPr>
              <w:pStyle w:val="TableNText"/>
            </w:pPr>
            <w:r w:rsidRPr="00060280">
              <w:t>Advisory services</w:t>
            </w:r>
          </w:p>
        </w:tc>
      </w:tr>
      <w:tr w:rsidR="00D27124" w:rsidRPr="00060280" w14:paraId="6C0DFC9B" w14:textId="77777777" w:rsidTr="00060280">
        <w:trPr>
          <w:trHeight w:val="276"/>
        </w:trPr>
        <w:tc>
          <w:tcPr>
            <w:tcW w:w="1387" w:type="dxa"/>
          </w:tcPr>
          <w:p w14:paraId="3DF1EBBB" w14:textId="50D2060B" w:rsidR="00D27124" w:rsidRPr="00060280" w:rsidRDefault="00D27124" w:rsidP="002826C0">
            <w:pPr>
              <w:pStyle w:val="TableNText"/>
            </w:pPr>
            <w:r w:rsidRPr="00060280">
              <w:t xml:space="preserve">Other relevant stakeholders </w:t>
            </w:r>
          </w:p>
        </w:tc>
        <w:tc>
          <w:tcPr>
            <w:tcW w:w="1869" w:type="dxa"/>
          </w:tcPr>
          <w:p w14:paraId="04ED387C" w14:textId="23E26A59" w:rsidR="00D27124" w:rsidRPr="00060280" w:rsidRDefault="00D27124" w:rsidP="002826C0">
            <w:pPr>
              <w:pStyle w:val="TableNText"/>
            </w:pPr>
            <w:r w:rsidRPr="00060280">
              <w:t xml:space="preserve">Increase understanding of the broader stillbirth landscape and understanding potential for future contributions to the Plan. Discussions may identify new activities being completed outside the Plan or new data sources. </w:t>
            </w:r>
          </w:p>
        </w:tc>
        <w:tc>
          <w:tcPr>
            <w:tcW w:w="2835" w:type="dxa"/>
          </w:tcPr>
          <w:p w14:paraId="75F9A34E" w14:textId="12346F43" w:rsidR="00D27124" w:rsidRPr="00060280" w:rsidRDefault="00D27124" w:rsidP="002826C0">
            <w:pPr>
              <w:pStyle w:val="TableNText"/>
            </w:pPr>
            <w:r w:rsidRPr="00060280">
              <w:t xml:space="preserve">Health professional bodies (for example Australian College of Midwives (ACM), Royal Australian and New Zealand College of Obstetricians and Gynaecologists (RANZCOG), </w:t>
            </w:r>
            <w:r w:rsidR="00255F00" w:rsidRPr="00060280">
              <w:t>Royal College of Pathologists of Australasia (</w:t>
            </w:r>
            <w:r w:rsidRPr="00060280">
              <w:t>RCPA</w:t>
            </w:r>
            <w:r w:rsidR="00255F00" w:rsidRPr="00060280">
              <w:t>)</w:t>
            </w:r>
            <w:r w:rsidRPr="00060280">
              <w:t xml:space="preserve">, </w:t>
            </w:r>
            <w:r w:rsidR="00BD6758" w:rsidRPr="00060280">
              <w:t xml:space="preserve">Royal Australian and New Zealand College of Radiologists (RANZCR), </w:t>
            </w:r>
            <w:r w:rsidRPr="00060280">
              <w:t>Royal Australian College of General Practitioners (RACGP), Australian Indigenous Doctors’ Association (AIDA))</w:t>
            </w:r>
          </w:p>
          <w:p w14:paraId="72757296" w14:textId="3E3B0A5B" w:rsidR="00D27124" w:rsidRPr="00060280" w:rsidRDefault="00D27124" w:rsidP="002826C0">
            <w:pPr>
              <w:pStyle w:val="TableNText"/>
            </w:pPr>
            <w:r w:rsidRPr="00060280">
              <w:t>Australian Commission on Safety and Quality in Health Care (ACSQHC)</w:t>
            </w:r>
          </w:p>
          <w:p w14:paraId="794609C1" w14:textId="77777777" w:rsidR="00D27124" w:rsidRPr="00060280" w:rsidRDefault="00D27124" w:rsidP="002826C0">
            <w:pPr>
              <w:pStyle w:val="TableNText"/>
            </w:pPr>
            <w:r w:rsidRPr="00060280">
              <w:t>NHMRC</w:t>
            </w:r>
          </w:p>
          <w:p w14:paraId="60F4193C" w14:textId="2EC7FCC6" w:rsidR="00D27124" w:rsidRPr="00060280" w:rsidRDefault="00D27124" w:rsidP="002826C0">
            <w:pPr>
              <w:pStyle w:val="TableNText"/>
            </w:pPr>
            <w:r w:rsidRPr="00060280">
              <w:t>Multicultural Centre for Women’s Health</w:t>
            </w:r>
          </w:p>
          <w:p w14:paraId="6EA91BFB" w14:textId="52F5154B" w:rsidR="00D27124" w:rsidRPr="00060280" w:rsidRDefault="00D27124" w:rsidP="002826C0">
            <w:pPr>
              <w:pStyle w:val="TableNText"/>
            </w:pPr>
            <w:r w:rsidRPr="00060280">
              <w:t>NA</w:t>
            </w:r>
            <w:r w:rsidR="00433DFF" w:rsidRPr="00060280">
              <w:t>C</w:t>
            </w:r>
            <w:r w:rsidRPr="00060280">
              <w:t>CHO</w:t>
            </w:r>
          </w:p>
          <w:p w14:paraId="57AAFB71" w14:textId="77777777" w:rsidR="00D27124" w:rsidRPr="00060280" w:rsidRDefault="00D27124" w:rsidP="002826C0">
            <w:pPr>
              <w:pStyle w:val="TableNText"/>
            </w:pPr>
            <w:r w:rsidRPr="00060280">
              <w:t>Women’s Healthcare Australasian</w:t>
            </w:r>
          </w:p>
          <w:p w14:paraId="65036040" w14:textId="77777777" w:rsidR="007C111E" w:rsidRPr="00060280" w:rsidRDefault="007C111E" w:rsidP="002826C0">
            <w:pPr>
              <w:pStyle w:val="TableNText"/>
            </w:pPr>
            <w:r w:rsidRPr="00060280">
              <w:lastRenderedPageBreak/>
              <w:t>Other advocacy groups, including Stillbirth Foundation Australia</w:t>
            </w:r>
          </w:p>
          <w:p w14:paraId="46D1BE66" w14:textId="77777777" w:rsidR="007C111E" w:rsidRPr="00060280" w:rsidRDefault="007C111E" w:rsidP="002826C0">
            <w:pPr>
              <w:pStyle w:val="TableNText"/>
            </w:pPr>
            <w:r w:rsidRPr="00060280">
              <w:t>Birthing on Country</w:t>
            </w:r>
          </w:p>
          <w:p w14:paraId="1B9C8E78" w14:textId="5B573DDD" w:rsidR="00D27124" w:rsidRPr="00060280" w:rsidRDefault="007C111E" w:rsidP="002826C0">
            <w:pPr>
              <w:pStyle w:val="TableNText"/>
            </w:pPr>
            <w:r w:rsidRPr="00060280">
              <w:t>Birthing on Country CRE</w:t>
            </w:r>
          </w:p>
        </w:tc>
        <w:tc>
          <w:tcPr>
            <w:tcW w:w="1134" w:type="dxa"/>
          </w:tcPr>
          <w:p w14:paraId="60124584" w14:textId="08E28BD4" w:rsidR="00D27124" w:rsidRPr="00060280" w:rsidRDefault="00D27124" w:rsidP="002826C0">
            <w:pPr>
              <w:pStyle w:val="TableNText"/>
            </w:pPr>
            <w:r w:rsidRPr="00060280">
              <w:lastRenderedPageBreak/>
              <w:t>l</w:t>
            </w:r>
          </w:p>
        </w:tc>
        <w:tc>
          <w:tcPr>
            <w:tcW w:w="1134" w:type="dxa"/>
          </w:tcPr>
          <w:p w14:paraId="393F8D5A" w14:textId="3CA96098" w:rsidR="00D27124" w:rsidRPr="00060280" w:rsidRDefault="00D27124" w:rsidP="002826C0">
            <w:pPr>
              <w:pStyle w:val="TableNText"/>
            </w:pPr>
            <w:r w:rsidRPr="00060280">
              <w:t>l</w:t>
            </w:r>
          </w:p>
        </w:tc>
        <w:tc>
          <w:tcPr>
            <w:tcW w:w="1389" w:type="dxa"/>
          </w:tcPr>
          <w:p w14:paraId="561E862B" w14:textId="6E96A506" w:rsidR="00D27124" w:rsidRPr="00060280" w:rsidRDefault="00D27124" w:rsidP="002826C0">
            <w:pPr>
              <w:pStyle w:val="TableNText"/>
            </w:pPr>
            <w:r w:rsidRPr="00060280">
              <w:t>Consultations</w:t>
            </w:r>
          </w:p>
        </w:tc>
      </w:tr>
    </w:tbl>
    <w:p w14:paraId="01180583" w14:textId="77777777" w:rsidR="008E16CC" w:rsidRPr="00217EF4" w:rsidRDefault="008E16CC" w:rsidP="00463C37">
      <w:pPr>
        <w:spacing w:before="40" w:after="0" w:line="257" w:lineRule="auto"/>
        <w:rPr>
          <w:rFonts w:ascii="Arial" w:hAnsi="Arial" w:cs="Arial"/>
          <w:sz w:val="17"/>
          <w:szCs w:val="17"/>
        </w:rPr>
      </w:pPr>
    </w:p>
    <w:p w14:paraId="3ECA01E5" w14:textId="136BCDCD" w:rsidR="0093528B" w:rsidRDefault="0093528B" w:rsidP="008E6EFD">
      <w:pPr>
        <w:rPr>
          <w:rFonts w:eastAsia="Times New Roman" w:cs="Times New Roman"/>
          <w:szCs w:val="19"/>
          <w:lang w:eastAsia="en-AU"/>
        </w:rPr>
        <w:sectPr w:rsidR="0093528B" w:rsidSect="00DD093C">
          <w:pgSz w:w="11907" w:h="16839" w:code="9"/>
          <w:pgMar w:top="1276" w:right="1701" w:bottom="992" w:left="1418" w:header="454" w:footer="720" w:gutter="0"/>
          <w:cols w:space="720"/>
          <w:docGrid w:linePitch="360"/>
        </w:sectPr>
      </w:pPr>
    </w:p>
    <w:p w14:paraId="1EADA821" w14:textId="10E9EAFD" w:rsidR="004B0224" w:rsidRDefault="004B0224" w:rsidP="00A41383">
      <w:pPr>
        <w:pStyle w:val="Heading1"/>
      </w:pPr>
      <w:bookmarkStart w:id="44" w:name="_Ref88113815"/>
      <w:bookmarkStart w:id="45" w:name="_Ref88490947"/>
      <w:bookmarkStart w:id="46" w:name="_Toc121303899"/>
      <w:r>
        <w:lastRenderedPageBreak/>
        <w:t>Monitoring and evaluation challenges</w:t>
      </w:r>
      <w:bookmarkEnd w:id="44"/>
      <w:bookmarkEnd w:id="45"/>
      <w:r w:rsidR="00C863A1">
        <w:t xml:space="preserve"> and opportunities</w:t>
      </w:r>
      <w:bookmarkEnd w:id="46"/>
    </w:p>
    <w:p w14:paraId="78E8ADD8" w14:textId="0FC266A5" w:rsidR="00060280" w:rsidRPr="00060280" w:rsidRDefault="00060280" w:rsidP="00060280">
      <w:pPr>
        <w:pStyle w:val="Sectionlist"/>
        <w:pBdr>
          <w:bottom w:val="single" w:sz="4" w:space="1" w:color="15585D" w:themeColor="accent1" w:themeShade="80"/>
        </w:pBdr>
        <w:rPr>
          <w:lang w:eastAsia="en-AU"/>
        </w:rPr>
      </w:pPr>
      <w:r w:rsidRPr="00060280">
        <w:rPr>
          <w:lang w:eastAsia="en-AU"/>
        </w:rPr>
        <w:t xml:space="preserve">This section describes the challenges, </w:t>
      </w:r>
      <w:proofErr w:type="gramStart"/>
      <w:r w:rsidRPr="00060280">
        <w:rPr>
          <w:lang w:eastAsia="en-AU"/>
        </w:rPr>
        <w:t>risks</w:t>
      </w:r>
      <w:proofErr w:type="gramEnd"/>
      <w:r w:rsidRPr="00060280">
        <w:rPr>
          <w:lang w:eastAsia="en-AU"/>
        </w:rPr>
        <w:t xml:space="preserve"> and opportunities for evaluation of the national 10-year Plan to improve stillbirth rates and bereavement care and how these have been dealt with in the Framework.</w:t>
      </w:r>
    </w:p>
    <w:p w14:paraId="62C23138" w14:textId="2A06E983" w:rsidR="00B62BAA" w:rsidRPr="00995C5A" w:rsidRDefault="004B0224" w:rsidP="00290FDA">
      <w:pPr>
        <w:spacing w:before="240"/>
        <w:rPr>
          <w:rFonts w:ascii="Arial" w:hAnsi="Arial" w:cs="Arial"/>
          <w:lang w:eastAsia="en-AU"/>
        </w:rPr>
      </w:pPr>
      <w:r w:rsidRPr="00995C5A">
        <w:rPr>
          <w:rFonts w:ascii="Arial" w:hAnsi="Arial" w:cs="Arial"/>
          <w:lang w:eastAsia="en-AU"/>
        </w:rPr>
        <w:t>A large and diverse group of government, non-government</w:t>
      </w:r>
      <w:r w:rsidR="00AB40A9">
        <w:rPr>
          <w:rFonts w:ascii="Arial" w:hAnsi="Arial" w:cs="Arial"/>
          <w:lang w:eastAsia="en-AU"/>
        </w:rPr>
        <w:t xml:space="preserve"> and </w:t>
      </w:r>
      <w:r w:rsidRPr="00995C5A">
        <w:rPr>
          <w:rFonts w:ascii="Arial" w:hAnsi="Arial" w:cs="Arial"/>
          <w:lang w:eastAsia="en-AU"/>
        </w:rPr>
        <w:t xml:space="preserve">academic stakeholders and health professionals will implement the Plan. They will </w:t>
      </w:r>
      <w:r w:rsidR="00E16C0B">
        <w:rPr>
          <w:rFonts w:ascii="Arial" w:hAnsi="Arial" w:cs="Arial"/>
          <w:lang w:eastAsia="en-AU"/>
        </w:rPr>
        <w:t>do</w:t>
      </w:r>
      <w:r w:rsidRPr="00995C5A">
        <w:rPr>
          <w:rFonts w:ascii="Arial" w:hAnsi="Arial" w:cs="Arial"/>
          <w:lang w:eastAsia="en-AU"/>
        </w:rPr>
        <w:t xml:space="preserve"> so over 10 years and across eight jurisdictions and countless health settings. Evaluation of</w:t>
      </w:r>
      <w:r w:rsidR="00E733E0" w:rsidRPr="00995C5A">
        <w:rPr>
          <w:rFonts w:ascii="Arial" w:hAnsi="Arial" w:cs="Arial"/>
          <w:lang w:eastAsia="en-AU"/>
        </w:rPr>
        <w:t xml:space="preserve"> such</w:t>
      </w:r>
      <w:r w:rsidRPr="00995C5A">
        <w:rPr>
          <w:rFonts w:ascii="Arial" w:hAnsi="Arial" w:cs="Arial"/>
          <w:lang w:eastAsia="en-AU"/>
        </w:rPr>
        <w:t xml:space="preserve"> large</w:t>
      </w:r>
      <w:r w:rsidR="000D11FD" w:rsidRPr="00995C5A">
        <w:rPr>
          <w:rFonts w:ascii="Arial" w:hAnsi="Arial" w:cs="Arial"/>
          <w:lang w:eastAsia="en-AU"/>
        </w:rPr>
        <w:t>-</w:t>
      </w:r>
      <w:r w:rsidRPr="00995C5A">
        <w:rPr>
          <w:rFonts w:ascii="Arial" w:hAnsi="Arial" w:cs="Arial"/>
          <w:lang w:eastAsia="en-AU"/>
        </w:rPr>
        <w:t>scale, long</w:t>
      </w:r>
      <w:r w:rsidR="000D11FD" w:rsidRPr="00995C5A">
        <w:rPr>
          <w:rFonts w:ascii="Arial" w:hAnsi="Arial" w:cs="Arial"/>
          <w:lang w:eastAsia="en-AU"/>
        </w:rPr>
        <w:t>-</w:t>
      </w:r>
      <w:r w:rsidRPr="00995C5A">
        <w:rPr>
          <w:rFonts w:ascii="Arial" w:hAnsi="Arial" w:cs="Arial"/>
          <w:lang w:eastAsia="en-AU"/>
        </w:rPr>
        <w:t xml:space="preserve">term public health interventions must navigate several challenges including: </w:t>
      </w:r>
    </w:p>
    <w:p w14:paraId="241402C5" w14:textId="1F8A668D" w:rsidR="00520A04" w:rsidRPr="00995C5A" w:rsidRDefault="00520A04" w:rsidP="004B0224">
      <w:pPr>
        <w:rPr>
          <w:rFonts w:ascii="Arial" w:hAnsi="Arial" w:cs="Arial"/>
          <w:lang w:eastAsia="en-AU"/>
        </w:rPr>
      </w:pPr>
      <w:r>
        <w:rPr>
          <w:rFonts w:ascii="Arial" w:hAnsi="Arial" w:cs="Arial"/>
          <w:noProof/>
          <w:lang w:eastAsia="en-AU"/>
        </w:rPr>
        <w:drawing>
          <wp:inline distT="0" distB="0" distL="0" distR="0" wp14:anchorId="1B8D02FF" wp14:editId="2C94A40A">
            <wp:extent cx="5670550" cy="1969962"/>
            <wp:effectExtent l="0" t="0" r="6350" b="0"/>
            <wp:docPr id="53" name="Picture 53" descr="This figure outlines the six main challenges of evaluating large scale public health interventions. Each challenge is outlined in detail below th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figure outlines the six main challenges of evaluating large scale public health interventions. Each challenge is outlined in detail below the diagram.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70550" cy="1969962"/>
                    </a:xfrm>
                    <a:prstGeom prst="rect">
                      <a:avLst/>
                    </a:prstGeom>
                  </pic:spPr>
                </pic:pic>
              </a:graphicData>
            </a:graphic>
          </wp:inline>
        </w:drawing>
      </w:r>
    </w:p>
    <w:p w14:paraId="2A19276B" w14:textId="39826A40" w:rsidR="00907EFE" w:rsidRPr="00D0129E" w:rsidRDefault="004B0224" w:rsidP="00520A04">
      <w:pPr>
        <w:rPr>
          <w:rFonts w:ascii="Arial" w:hAnsi="Arial" w:cs="Arial"/>
          <w:lang w:eastAsia="en-AU"/>
        </w:rPr>
      </w:pPr>
      <w:r w:rsidRPr="00995C5A">
        <w:rPr>
          <w:rFonts w:ascii="Arial" w:hAnsi="Arial" w:cs="Arial"/>
          <w:lang w:eastAsia="en-AU"/>
        </w:rPr>
        <w:t xml:space="preserve">The ways in which the monitoring and evaluation approach for the Plan will manage and respond to these </w:t>
      </w:r>
      <w:r w:rsidR="00520A04">
        <w:rPr>
          <w:rFonts w:ascii="Arial" w:hAnsi="Arial" w:cs="Arial"/>
          <w:lang w:eastAsia="en-AU"/>
        </w:rPr>
        <w:t>six</w:t>
      </w:r>
      <w:r w:rsidRPr="00995C5A">
        <w:rPr>
          <w:rFonts w:ascii="Arial" w:hAnsi="Arial" w:cs="Arial"/>
          <w:lang w:eastAsia="en-AU"/>
        </w:rPr>
        <w:t xml:space="preserve"> challenges is outlined </w:t>
      </w:r>
      <w:r w:rsidR="00520A04">
        <w:rPr>
          <w:rFonts w:ascii="Arial" w:hAnsi="Arial" w:cs="Arial"/>
          <w:lang w:eastAsia="en-AU"/>
        </w:rPr>
        <w:t xml:space="preserve">in further detail </w:t>
      </w:r>
      <w:r w:rsidRPr="00995C5A">
        <w:rPr>
          <w:rFonts w:ascii="Arial" w:hAnsi="Arial" w:cs="Arial"/>
          <w:lang w:eastAsia="en-AU"/>
        </w:rPr>
        <w:t>below</w:t>
      </w:r>
      <w:r w:rsidR="00520A04">
        <w:rPr>
          <w:rFonts w:ascii="Arial" w:hAnsi="Arial" w:cs="Arial"/>
          <w:lang w:eastAsia="en-AU"/>
        </w:rPr>
        <w:t xml:space="preserve">. </w:t>
      </w:r>
      <w:r w:rsidR="00923914">
        <w:rPr>
          <w:rFonts w:cs="Arial"/>
          <w:noProof/>
        </w:rPr>
        <w:drawing>
          <wp:anchor distT="0" distB="0" distL="114300" distR="114300" simplePos="0" relativeHeight="251658245" behindDoc="0" locked="0" layoutInCell="1" allowOverlap="1" wp14:anchorId="1054603B" wp14:editId="61BABBF2">
            <wp:simplePos x="0" y="0"/>
            <wp:positionH relativeFrom="margin">
              <wp:posOffset>39370</wp:posOffset>
            </wp:positionH>
            <wp:positionV relativeFrom="paragraph">
              <wp:posOffset>2099945</wp:posOffset>
            </wp:positionV>
            <wp:extent cx="337185" cy="225425"/>
            <wp:effectExtent l="0" t="0" r="5715" b="3175"/>
            <wp:wrapSquare wrapText="bothSides"/>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185" cy="225425"/>
                    </a:xfrm>
                    <a:prstGeom prst="rect">
                      <a:avLst/>
                    </a:prstGeom>
                  </pic:spPr>
                </pic:pic>
              </a:graphicData>
            </a:graphic>
            <wp14:sizeRelH relativeFrom="margin">
              <wp14:pctWidth>0</wp14:pctWidth>
            </wp14:sizeRelH>
            <wp14:sizeRelV relativeFrom="margin">
              <wp14:pctHeight>0</wp14:pctHeight>
            </wp14:sizeRelV>
          </wp:anchor>
        </w:drawing>
      </w:r>
    </w:p>
    <w:p w14:paraId="0C7B83AC" w14:textId="57C8951A" w:rsidR="004B0224" w:rsidRPr="00995C5A" w:rsidRDefault="00052C64" w:rsidP="00ED2B74">
      <w:pPr>
        <w:pStyle w:val="Heading2"/>
      </w:pPr>
      <w:bookmarkStart w:id="47" w:name="_Hlk93407743"/>
      <w:r>
        <w:rPr>
          <w:noProof/>
        </w:rPr>
        <w:drawing>
          <wp:anchor distT="0" distB="0" distL="114300" distR="114300" simplePos="0" relativeHeight="251658249" behindDoc="0" locked="0" layoutInCell="1" allowOverlap="1" wp14:anchorId="450CEA79" wp14:editId="53C91345">
            <wp:simplePos x="0" y="0"/>
            <wp:positionH relativeFrom="margin">
              <wp:align>left</wp:align>
            </wp:positionH>
            <wp:positionV relativeFrom="paragraph">
              <wp:posOffset>83820</wp:posOffset>
            </wp:positionV>
            <wp:extent cx="337185" cy="225425"/>
            <wp:effectExtent l="0" t="0" r="5715" b="317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185" cy="225425"/>
                    </a:xfrm>
                    <a:prstGeom prst="rect">
                      <a:avLst/>
                    </a:prstGeom>
                  </pic:spPr>
                </pic:pic>
              </a:graphicData>
            </a:graphic>
            <wp14:sizeRelH relativeFrom="margin">
              <wp14:pctWidth>0</wp14:pctWidth>
            </wp14:sizeRelH>
            <wp14:sizeRelV relativeFrom="margin">
              <wp14:pctHeight>0</wp14:pctHeight>
            </wp14:sizeRelV>
          </wp:anchor>
        </w:drawing>
      </w:r>
      <w:r w:rsidR="005B5582" w:rsidRPr="005B5582">
        <w:t>Maintaining strong relationships between evaluators and implementers of the Plan.</w:t>
      </w:r>
      <w:bookmarkEnd w:id="47"/>
    </w:p>
    <w:p w14:paraId="31439701" w14:textId="77777777" w:rsidR="00AB46C4" w:rsidRPr="00AB46C4" w:rsidRDefault="00AB46C4" w:rsidP="00AB46C4">
      <w:pPr>
        <w:rPr>
          <w:rFonts w:ascii="Arial" w:hAnsi="Arial" w:cs="Arial"/>
          <w:lang w:eastAsia="en-AU"/>
        </w:rPr>
      </w:pPr>
      <w:r w:rsidRPr="00AB46C4">
        <w:rPr>
          <w:rFonts w:ascii="Arial" w:hAnsi="Arial" w:cs="Arial"/>
          <w:lang w:eastAsia="en-AU"/>
        </w:rPr>
        <w:t xml:space="preserve">Successful delivery of the evaluation is dependent on data and information being collected and provided by those implementing it. This includes a large and diverse group of implementers across levels of government and a variety of health settings - the Australian Government, jurisdictional governments, health services, research bodies and academics, health professional bodies, advocacy groups and more. </w:t>
      </w:r>
    </w:p>
    <w:p w14:paraId="67DDFE85" w14:textId="0294DAD6" w:rsidR="004B0224" w:rsidRPr="00995C5A" w:rsidRDefault="00AB46C4" w:rsidP="004B0224">
      <w:pPr>
        <w:rPr>
          <w:rFonts w:ascii="Arial" w:hAnsi="Arial" w:cs="Arial"/>
          <w:lang w:eastAsia="en-AU"/>
        </w:rPr>
      </w:pPr>
      <w:r w:rsidRPr="00AB46C4">
        <w:rPr>
          <w:rFonts w:ascii="Arial" w:hAnsi="Arial" w:cs="Arial"/>
          <w:lang w:eastAsia="en-AU"/>
        </w:rPr>
        <w:t xml:space="preserve">The Monitoring and Evaluation Framework was developed in close consultation with those implementing the Plan to ensure they are aware of the evaluation focus, national evaluation indicators and required data sources. Regular communication with implementers over the life of the </w:t>
      </w:r>
      <w:r w:rsidR="00B01A8F">
        <w:rPr>
          <w:rFonts w:ascii="Arial" w:hAnsi="Arial" w:cs="Arial"/>
          <w:lang w:eastAsia="en-AU"/>
        </w:rPr>
        <w:t>Plan’s</w:t>
      </w:r>
      <w:r w:rsidRPr="00AB46C4">
        <w:rPr>
          <w:rFonts w:ascii="Arial" w:hAnsi="Arial" w:cs="Arial"/>
          <w:lang w:eastAsia="en-AU"/>
        </w:rPr>
        <w:t xml:space="preserve"> evaluation will help to ensure best use of the most accurate and timely data sources.</w:t>
      </w:r>
    </w:p>
    <w:p w14:paraId="4A7A23BC" w14:textId="33DE8212" w:rsidR="004B0224" w:rsidRPr="00995C5A" w:rsidRDefault="00923914" w:rsidP="00ED2B74">
      <w:pPr>
        <w:pStyle w:val="Heading2"/>
      </w:pPr>
      <w:r>
        <w:rPr>
          <w:noProof/>
        </w:rPr>
        <w:drawing>
          <wp:anchor distT="0" distB="0" distL="114300" distR="114300" simplePos="0" relativeHeight="251658246" behindDoc="0" locked="0" layoutInCell="1" allowOverlap="1" wp14:anchorId="2EBAA18A" wp14:editId="63F52E88">
            <wp:simplePos x="0" y="0"/>
            <wp:positionH relativeFrom="margin">
              <wp:posOffset>31750</wp:posOffset>
            </wp:positionH>
            <wp:positionV relativeFrom="paragraph">
              <wp:posOffset>-1270</wp:posOffset>
            </wp:positionV>
            <wp:extent cx="271780" cy="270510"/>
            <wp:effectExtent l="0" t="0" r="0" b="0"/>
            <wp:wrapSquare wrapText="bothSides"/>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780" cy="270510"/>
                    </a:xfrm>
                    <a:prstGeom prst="rect">
                      <a:avLst/>
                    </a:prstGeom>
                  </pic:spPr>
                </pic:pic>
              </a:graphicData>
            </a:graphic>
            <wp14:sizeRelH relativeFrom="margin">
              <wp14:pctWidth>0</wp14:pctWidth>
            </wp14:sizeRelH>
            <wp14:sizeRelV relativeFrom="margin">
              <wp14:pctHeight>0</wp14:pctHeight>
            </wp14:sizeRelV>
          </wp:anchor>
        </w:drawing>
      </w:r>
      <w:r w:rsidR="005B5582" w:rsidRPr="005B5582">
        <w:t>Sustaining momentum and attention for the evaluation across political cycles.</w:t>
      </w:r>
      <w:r w:rsidR="004B0224" w:rsidRPr="00995C5A">
        <w:t xml:space="preserve"> </w:t>
      </w:r>
    </w:p>
    <w:p w14:paraId="269AF179" w14:textId="0E132FC8" w:rsidR="00AB46C4" w:rsidRPr="00995C5A" w:rsidRDefault="00AB46C4" w:rsidP="00AB46C4">
      <w:pPr>
        <w:rPr>
          <w:rFonts w:ascii="Arial" w:hAnsi="Arial" w:cs="Arial"/>
          <w:lang w:eastAsia="en-AU"/>
        </w:rPr>
      </w:pPr>
      <w:r w:rsidRPr="00995C5A">
        <w:rPr>
          <w:rFonts w:ascii="Arial" w:hAnsi="Arial" w:cs="Arial"/>
          <w:lang w:eastAsia="en-AU"/>
        </w:rPr>
        <w:t xml:space="preserve">The evaluation will be delivered over ten years, spanning multiple federal and jurisdictional political cycles. There is a risk that government priorities change and combined with ongoing fiscal pressures, this can </w:t>
      </w:r>
      <w:r w:rsidR="00E13ADD">
        <w:rPr>
          <w:rFonts w:ascii="Arial" w:hAnsi="Arial" w:cs="Arial"/>
          <w:lang w:eastAsia="en-AU"/>
        </w:rPr>
        <w:t>result in</w:t>
      </w:r>
      <w:r w:rsidRPr="00995C5A">
        <w:rPr>
          <w:rFonts w:ascii="Arial" w:hAnsi="Arial" w:cs="Arial"/>
          <w:lang w:eastAsia="en-AU"/>
        </w:rPr>
        <w:t xml:space="preserve"> a reduced focus on both implementation of the Plan or evaluation of it over time. This is particularly pertinent for large scale public health interventions, as it can take months or years to be able to observe the desired impacts. </w:t>
      </w:r>
    </w:p>
    <w:p w14:paraId="532C52CA" w14:textId="0FE6FB6F" w:rsidR="004B0224" w:rsidRPr="00995C5A" w:rsidRDefault="00AB46C4" w:rsidP="00AB46C4">
      <w:pPr>
        <w:rPr>
          <w:rFonts w:ascii="Arial" w:hAnsi="Arial" w:cs="Arial"/>
          <w:lang w:eastAsia="en-AU"/>
        </w:rPr>
      </w:pPr>
      <w:r w:rsidRPr="00995C5A">
        <w:rPr>
          <w:rFonts w:ascii="Arial" w:hAnsi="Arial" w:cs="Arial"/>
          <w:lang w:eastAsia="en-AU"/>
        </w:rPr>
        <w:lastRenderedPageBreak/>
        <w:t>The proposed progress reporting in this Monitoring and Evaluation Framework intends to support ongoing and transparent reporting on achievements and challenges from early on in implementation (2022) and then annually. It is a chance to maintain the focus by reporting on early achievements and to adapt implementation by reporting on new evidence and implementation challenges and successes.</w:t>
      </w:r>
      <w:r w:rsidR="00DB2061" w:rsidRPr="00995C5A">
        <w:rPr>
          <w:rFonts w:ascii="Arial" w:hAnsi="Arial" w:cs="Arial"/>
          <w:lang w:eastAsia="en-AU"/>
        </w:rPr>
        <w:t xml:space="preserve"> </w:t>
      </w:r>
    </w:p>
    <w:p w14:paraId="6670FCC7" w14:textId="2F1CFD74" w:rsidR="004B0224" w:rsidRPr="00995C5A" w:rsidRDefault="006E721D" w:rsidP="00ED2B74">
      <w:pPr>
        <w:pStyle w:val="Heading2"/>
      </w:pPr>
      <w:r>
        <w:rPr>
          <w:noProof/>
        </w:rPr>
        <w:drawing>
          <wp:anchor distT="0" distB="0" distL="114300" distR="114300" simplePos="0" relativeHeight="251658247" behindDoc="0" locked="0" layoutInCell="1" allowOverlap="1" wp14:anchorId="2816C8EF" wp14:editId="500709E5">
            <wp:simplePos x="0" y="0"/>
            <wp:positionH relativeFrom="margin">
              <wp:align>left</wp:align>
            </wp:positionH>
            <wp:positionV relativeFrom="paragraph">
              <wp:posOffset>10795</wp:posOffset>
            </wp:positionV>
            <wp:extent cx="276225" cy="270510"/>
            <wp:effectExtent l="0" t="0" r="9525" b="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225" cy="270510"/>
                    </a:xfrm>
                    <a:prstGeom prst="rect">
                      <a:avLst/>
                    </a:prstGeom>
                  </pic:spPr>
                </pic:pic>
              </a:graphicData>
            </a:graphic>
            <wp14:sizeRelH relativeFrom="margin">
              <wp14:pctWidth>0</wp14:pctWidth>
            </wp14:sizeRelH>
            <wp14:sizeRelV relativeFrom="margin">
              <wp14:pctHeight>0</wp14:pctHeight>
            </wp14:sizeRelV>
          </wp:anchor>
        </w:drawing>
      </w:r>
      <w:r w:rsidR="004B0224" w:rsidRPr="00995C5A">
        <w:t xml:space="preserve">Assessing </w:t>
      </w:r>
      <w:r w:rsidR="00B67887">
        <w:t xml:space="preserve">data improvements and </w:t>
      </w:r>
      <w:r w:rsidR="004B0224" w:rsidRPr="00995C5A">
        <w:t>new evidence over time.</w:t>
      </w:r>
    </w:p>
    <w:p w14:paraId="2CFBB518" w14:textId="4582A183" w:rsidR="004B0224" w:rsidRPr="00995C5A" w:rsidRDefault="004B0224" w:rsidP="00D0129E">
      <w:pPr>
        <w:spacing w:after="240" w:line="257" w:lineRule="auto"/>
        <w:rPr>
          <w:rFonts w:ascii="Arial" w:hAnsi="Arial" w:cs="Arial"/>
          <w:lang w:eastAsia="en-AU"/>
        </w:rPr>
      </w:pPr>
      <w:r w:rsidRPr="00995C5A">
        <w:rPr>
          <w:rFonts w:ascii="Arial" w:hAnsi="Arial" w:cs="Arial"/>
          <w:lang w:eastAsia="en-AU"/>
        </w:rPr>
        <w:t xml:space="preserve">It is inevitable that over the life </w:t>
      </w:r>
      <w:r w:rsidR="00B04A76">
        <w:rPr>
          <w:rFonts w:ascii="Arial" w:hAnsi="Arial" w:cs="Arial"/>
          <w:lang w:eastAsia="en-AU"/>
        </w:rPr>
        <w:t xml:space="preserve">of </w:t>
      </w:r>
      <w:r w:rsidRPr="00995C5A">
        <w:rPr>
          <w:rFonts w:ascii="Arial" w:hAnsi="Arial" w:cs="Arial"/>
          <w:lang w:eastAsia="en-AU"/>
        </w:rPr>
        <w:t>the Plan</w:t>
      </w:r>
      <w:r w:rsidRPr="00B67887">
        <w:rPr>
          <w:rFonts w:ascii="Arial" w:hAnsi="Arial" w:cs="Arial"/>
        </w:rPr>
        <w:t xml:space="preserve"> </w:t>
      </w:r>
      <w:r w:rsidRPr="00995C5A">
        <w:rPr>
          <w:rFonts w:ascii="Arial" w:hAnsi="Arial" w:cs="Arial"/>
          <w:lang w:eastAsia="en-AU"/>
        </w:rPr>
        <w:t xml:space="preserve">data collection and reporting approaches will evolve. </w:t>
      </w:r>
      <w:r w:rsidR="009B74DB">
        <w:rPr>
          <w:rFonts w:ascii="Arial" w:hAnsi="Arial" w:cs="Arial"/>
          <w:lang w:eastAsia="en-AU"/>
        </w:rPr>
        <w:t xml:space="preserve">The evaluation will </w:t>
      </w:r>
      <w:r w:rsidR="00DB0982">
        <w:rPr>
          <w:rFonts w:ascii="Arial" w:hAnsi="Arial" w:cs="Arial"/>
          <w:lang w:eastAsia="en-AU"/>
        </w:rPr>
        <w:t>identify</w:t>
      </w:r>
      <w:r w:rsidR="00B67887">
        <w:rPr>
          <w:rFonts w:ascii="Arial" w:hAnsi="Arial" w:cs="Arial"/>
          <w:lang w:eastAsia="en-AU"/>
        </w:rPr>
        <w:t xml:space="preserve"> </w:t>
      </w:r>
      <w:r w:rsidR="00DB0982">
        <w:rPr>
          <w:rFonts w:ascii="Arial" w:hAnsi="Arial" w:cs="Arial"/>
          <w:lang w:eastAsia="en-AU"/>
        </w:rPr>
        <w:t xml:space="preserve">annually </w:t>
      </w:r>
      <w:r w:rsidR="00B67887">
        <w:rPr>
          <w:rFonts w:ascii="Arial" w:hAnsi="Arial" w:cs="Arial"/>
          <w:lang w:eastAsia="en-AU"/>
        </w:rPr>
        <w:t>any</w:t>
      </w:r>
      <w:r w:rsidR="009B74DB">
        <w:rPr>
          <w:rFonts w:ascii="Arial" w:hAnsi="Arial" w:cs="Arial"/>
          <w:lang w:eastAsia="en-AU"/>
        </w:rPr>
        <w:t xml:space="preserve"> changes in coverage, consistency, </w:t>
      </w:r>
      <w:proofErr w:type="gramStart"/>
      <w:r w:rsidR="009B74DB">
        <w:rPr>
          <w:rFonts w:ascii="Arial" w:hAnsi="Arial" w:cs="Arial"/>
          <w:lang w:eastAsia="en-AU"/>
        </w:rPr>
        <w:t>quality</w:t>
      </w:r>
      <w:proofErr w:type="gramEnd"/>
      <w:r w:rsidR="009B74DB">
        <w:rPr>
          <w:rFonts w:ascii="Arial" w:hAnsi="Arial" w:cs="Arial"/>
          <w:lang w:eastAsia="en-AU"/>
        </w:rPr>
        <w:t xml:space="preserve"> and timeliness of data collection and reporting through consultation with jurisdictions and AIHW.</w:t>
      </w:r>
      <w:r w:rsidRPr="00995C5A">
        <w:rPr>
          <w:rFonts w:ascii="Arial" w:hAnsi="Arial" w:cs="Arial"/>
          <w:lang w:eastAsia="en-AU"/>
        </w:rPr>
        <w:t xml:space="preserve"> </w:t>
      </w:r>
      <w:r w:rsidR="00B45693">
        <w:rPr>
          <w:rFonts w:ascii="Arial" w:hAnsi="Arial" w:cs="Arial"/>
          <w:lang w:eastAsia="en-AU"/>
        </w:rPr>
        <w:t xml:space="preserve">An overview of these changes will be reported in the </w:t>
      </w:r>
      <w:r w:rsidR="00654C56">
        <w:rPr>
          <w:rFonts w:ascii="Arial" w:hAnsi="Arial" w:cs="Arial"/>
          <w:lang w:eastAsia="en-AU"/>
        </w:rPr>
        <w:t>annual reports</w:t>
      </w:r>
      <w:r w:rsidR="00B45693">
        <w:rPr>
          <w:rFonts w:ascii="Arial" w:hAnsi="Arial" w:cs="Arial"/>
          <w:lang w:eastAsia="en-AU"/>
        </w:rPr>
        <w:t xml:space="preserve">. The impact of data changes </w:t>
      </w:r>
      <w:r w:rsidR="00AE6F87">
        <w:rPr>
          <w:rFonts w:ascii="Arial" w:hAnsi="Arial" w:cs="Arial"/>
          <w:lang w:eastAsia="en-AU"/>
        </w:rPr>
        <w:t xml:space="preserve">on </w:t>
      </w:r>
      <w:r w:rsidR="00B04A76">
        <w:rPr>
          <w:rFonts w:ascii="Arial" w:hAnsi="Arial" w:cs="Arial"/>
          <w:lang w:eastAsia="en-AU"/>
        </w:rPr>
        <w:t>reporting against</w:t>
      </w:r>
      <w:r w:rsidR="00654C56">
        <w:rPr>
          <w:rFonts w:ascii="Arial" w:hAnsi="Arial" w:cs="Arial"/>
          <w:lang w:eastAsia="en-AU"/>
        </w:rPr>
        <w:t xml:space="preserve"> the </w:t>
      </w:r>
      <w:r w:rsidRPr="00995C5A">
        <w:rPr>
          <w:rFonts w:ascii="Arial" w:hAnsi="Arial" w:cs="Arial"/>
          <w:lang w:eastAsia="en-AU"/>
        </w:rPr>
        <w:t xml:space="preserve">national </w:t>
      </w:r>
      <w:r w:rsidR="00591746" w:rsidRPr="00995C5A">
        <w:rPr>
          <w:rFonts w:ascii="Arial" w:hAnsi="Arial" w:cs="Arial"/>
          <w:lang w:eastAsia="en-AU"/>
        </w:rPr>
        <w:t>evaluation</w:t>
      </w:r>
      <w:r w:rsidRPr="00995C5A">
        <w:rPr>
          <w:rFonts w:ascii="Arial" w:hAnsi="Arial" w:cs="Arial"/>
          <w:lang w:eastAsia="en-AU"/>
        </w:rPr>
        <w:t xml:space="preserve"> indicators</w:t>
      </w:r>
      <w:r w:rsidR="00AE6F87">
        <w:rPr>
          <w:rFonts w:ascii="Arial" w:hAnsi="Arial" w:cs="Arial"/>
          <w:lang w:eastAsia="en-AU"/>
        </w:rPr>
        <w:t xml:space="preserve"> </w:t>
      </w:r>
      <w:r w:rsidR="00B45693">
        <w:rPr>
          <w:rFonts w:ascii="Arial" w:hAnsi="Arial" w:cs="Arial"/>
          <w:lang w:eastAsia="en-AU"/>
        </w:rPr>
        <w:t>will</w:t>
      </w:r>
      <w:r w:rsidR="00B67887">
        <w:rPr>
          <w:rFonts w:ascii="Arial" w:hAnsi="Arial" w:cs="Arial"/>
          <w:lang w:eastAsia="en-AU"/>
        </w:rPr>
        <w:t xml:space="preserve"> also</w:t>
      </w:r>
      <w:r w:rsidR="00B45693">
        <w:rPr>
          <w:rFonts w:ascii="Arial" w:hAnsi="Arial" w:cs="Arial"/>
          <w:lang w:eastAsia="en-AU"/>
        </w:rPr>
        <w:t xml:space="preserve"> be considered</w:t>
      </w:r>
      <w:r w:rsidR="00654C56">
        <w:rPr>
          <w:rFonts w:ascii="Arial" w:hAnsi="Arial" w:cs="Arial"/>
          <w:lang w:eastAsia="en-AU"/>
        </w:rPr>
        <w:t>.</w:t>
      </w:r>
      <w:r w:rsidRPr="00995C5A">
        <w:rPr>
          <w:rFonts w:ascii="Arial" w:hAnsi="Arial" w:cs="Arial"/>
          <w:lang w:eastAsia="en-AU"/>
        </w:rPr>
        <w:t xml:space="preserve"> Many </w:t>
      </w:r>
      <w:r w:rsidR="00B67887">
        <w:rPr>
          <w:rFonts w:ascii="Arial" w:hAnsi="Arial" w:cs="Arial"/>
          <w:lang w:eastAsia="en-AU"/>
        </w:rPr>
        <w:t xml:space="preserve">of the </w:t>
      </w:r>
      <w:r w:rsidR="00B67887" w:rsidRPr="0053362A">
        <w:rPr>
          <w:rFonts w:ascii="Arial" w:hAnsi="Arial" w:cs="Arial"/>
          <w:lang w:eastAsia="en-AU"/>
        </w:rPr>
        <w:t xml:space="preserve">18 national evaluation </w:t>
      </w:r>
      <w:r w:rsidRPr="0053362A">
        <w:rPr>
          <w:rFonts w:ascii="Arial" w:hAnsi="Arial" w:cs="Arial"/>
          <w:lang w:eastAsia="en-AU"/>
        </w:rPr>
        <w:t>indicators can</w:t>
      </w:r>
      <w:r w:rsidRPr="00995C5A">
        <w:rPr>
          <w:rFonts w:ascii="Arial" w:hAnsi="Arial" w:cs="Arial"/>
          <w:lang w:eastAsia="en-AU"/>
        </w:rPr>
        <w:t xml:space="preserve"> be reported on through a combination of data sources, helping to </w:t>
      </w:r>
      <w:r w:rsidR="00135B76">
        <w:rPr>
          <w:rFonts w:ascii="Arial" w:hAnsi="Arial" w:cs="Arial"/>
          <w:lang w:eastAsia="en-AU"/>
        </w:rPr>
        <w:t>reduce dependencies on any</w:t>
      </w:r>
      <w:r w:rsidRPr="00995C5A">
        <w:rPr>
          <w:rFonts w:ascii="Arial" w:hAnsi="Arial" w:cs="Arial"/>
          <w:lang w:eastAsia="en-AU"/>
        </w:rPr>
        <w:t xml:space="preserve"> one data source. Should any critical data sources change, evaluators will need to work with governance groups (see </w:t>
      </w:r>
      <w:r w:rsidR="00D86F19" w:rsidRPr="00995C5A">
        <w:rPr>
          <w:rFonts w:ascii="Arial" w:hAnsi="Arial" w:cs="Arial"/>
          <w:lang w:eastAsia="en-AU"/>
        </w:rPr>
        <w:t>S</w:t>
      </w:r>
      <w:r w:rsidRPr="00995C5A">
        <w:rPr>
          <w:rFonts w:ascii="Arial" w:hAnsi="Arial" w:cs="Arial"/>
          <w:lang w:eastAsia="en-AU"/>
        </w:rPr>
        <w:t>ection</w:t>
      </w:r>
      <w:r w:rsidR="00B5403F" w:rsidRPr="00995C5A">
        <w:rPr>
          <w:rFonts w:ascii="Arial" w:hAnsi="Arial" w:cs="Arial"/>
          <w:lang w:eastAsia="en-AU"/>
        </w:rPr>
        <w:t xml:space="preserve"> </w:t>
      </w:r>
      <w:r w:rsidR="00B5403F" w:rsidRPr="00995C5A">
        <w:rPr>
          <w:rFonts w:ascii="Arial" w:hAnsi="Arial" w:cs="Arial"/>
          <w:lang w:eastAsia="en-AU"/>
        </w:rPr>
        <w:fldChar w:fldCharType="begin"/>
      </w:r>
      <w:r w:rsidR="00B5403F" w:rsidRPr="00995C5A">
        <w:rPr>
          <w:rFonts w:ascii="Arial" w:hAnsi="Arial" w:cs="Arial"/>
          <w:lang w:eastAsia="en-AU"/>
        </w:rPr>
        <w:instrText xml:space="preserve"> REF _Ref88489546 \r \h </w:instrText>
      </w:r>
      <w:r w:rsidR="00D0129E" w:rsidRPr="00995C5A">
        <w:rPr>
          <w:rFonts w:ascii="Arial" w:hAnsi="Arial" w:cs="Arial"/>
          <w:lang w:eastAsia="en-AU"/>
        </w:rPr>
        <w:instrText xml:space="preserve"> \* MERGEFORMAT </w:instrText>
      </w:r>
      <w:r w:rsidR="00B5403F" w:rsidRPr="00995C5A">
        <w:rPr>
          <w:rFonts w:ascii="Arial" w:hAnsi="Arial" w:cs="Arial"/>
          <w:lang w:eastAsia="en-AU"/>
        </w:rPr>
      </w:r>
      <w:r w:rsidR="00B5403F" w:rsidRPr="00995C5A">
        <w:rPr>
          <w:rFonts w:ascii="Arial" w:hAnsi="Arial" w:cs="Arial"/>
          <w:lang w:eastAsia="en-AU"/>
        </w:rPr>
        <w:fldChar w:fldCharType="separate"/>
      </w:r>
      <w:r w:rsidR="00CF19E2">
        <w:rPr>
          <w:rFonts w:ascii="Arial" w:hAnsi="Arial" w:cs="Arial"/>
          <w:lang w:eastAsia="en-AU"/>
        </w:rPr>
        <w:t>4</w:t>
      </w:r>
      <w:r w:rsidR="00B5403F" w:rsidRPr="00995C5A">
        <w:rPr>
          <w:rFonts w:ascii="Arial" w:hAnsi="Arial" w:cs="Arial"/>
          <w:lang w:eastAsia="en-AU"/>
        </w:rPr>
        <w:fldChar w:fldCharType="end"/>
      </w:r>
      <w:r w:rsidRPr="00995C5A">
        <w:rPr>
          <w:rFonts w:ascii="Arial" w:hAnsi="Arial" w:cs="Arial"/>
          <w:lang w:eastAsia="en-AU"/>
        </w:rPr>
        <w:t xml:space="preserve">) to adapt evaluation reporting </w:t>
      </w:r>
      <w:r w:rsidR="001D0E49">
        <w:rPr>
          <w:rFonts w:ascii="Arial" w:hAnsi="Arial" w:cs="Arial"/>
          <w:lang w:eastAsia="en-AU"/>
        </w:rPr>
        <w:t>and indicators as</w:t>
      </w:r>
      <w:r w:rsidRPr="00995C5A">
        <w:rPr>
          <w:rFonts w:ascii="Arial" w:hAnsi="Arial" w:cs="Arial"/>
          <w:lang w:eastAsia="en-AU"/>
        </w:rPr>
        <w:t xml:space="preserve"> needed. </w:t>
      </w:r>
      <w:r w:rsidR="00B67887">
        <w:rPr>
          <w:rFonts w:ascii="Arial" w:hAnsi="Arial" w:cs="Arial"/>
          <w:lang w:eastAsia="en-AU"/>
        </w:rPr>
        <w:t xml:space="preserve"> </w:t>
      </w:r>
    </w:p>
    <w:p w14:paraId="1A7EC65A" w14:textId="0A137947" w:rsidR="00B67887" w:rsidRPr="00995C5A" w:rsidRDefault="00992F24" w:rsidP="007341B6">
      <w:pPr>
        <w:rPr>
          <w:rFonts w:ascii="Arial" w:hAnsi="Arial" w:cs="Arial"/>
          <w:lang w:eastAsia="en-AU"/>
        </w:rPr>
      </w:pPr>
      <w:r>
        <w:rPr>
          <w:rFonts w:ascii="Arial" w:hAnsi="Arial" w:cs="Arial"/>
          <w:lang w:eastAsia="en-AU"/>
        </w:rPr>
        <w:t xml:space="preserve">It is likely that </w:t>
      </w:r>
      <w:r w:rsidR="00B67887" w:rsidRPr="00995C5A">
        <w:rPr>
          <w:rFonts w:ascii="Arial" w:hAnsi="Arial" w:cs="Arial"/>
          <w:lang w:eastAsia="en-AU"/>
        </w:rPr>
        <w:t xml:space="preserve">new evidence </w:t>
      </w:r>
      <w:r w:rsidR="007341B6">
        <w:rPr>
          <w:rFonts w:ascii="Arial" w:hAnsi="Arial" w:cs="Arial"/>
          <w:lang w:eastAsia="en-AU"/>
        </w:rPr>
        <w:t>on</w:t>
      </w:r>
      <w:r>
        <w:rPr>
          <w:rFonts w:ascii="Arial" w:hAnsi="Arial" w:cs="Arial"/>
          <w:lang w:eastAsia="en-AU"/>
        </w:rPr>
        <w:t xml:space="preserve"> good practice</w:t>
      </w:r>
      <w:r w:rsidR="00B67887" w:rsidRPr="00995C5A">
        <w:rPr>
          <w:rFonts w:ascii="Arial" w:hAnsi="Arial" w:cs="Arial"/>
          <w:lang w:eastAsia="en-AU"/>
        </w:rPr>
        <w:t xml:space="preserve"> stillbirth prevention and bereavement care will</w:t>
      </w:r>
      <w:r w:rsidR="007341B6">
        <w:rPr>
          <w:rFonts w:ascii="Arial" w:hAnsi="Arial" w:cs="Arial"/>
          <w:lang w:eastAsia="en-AU"/>
        </w:rPr>
        <w:t xml:space="preserve"> also</w:t>
      </w:r>
      <w:r w:rsidR="00B67887" w:rsidRPr="00995C5A">
        <w:rPr>
          <w:rFonts w:ascii="Arial" w:hAnsi="Arial" w:cs="Arial"/>
          <w:lang w:eastAsia="en-AU"/>
        </w:rPr>
        <w:t xml:space="preserve"> emerge. </w:t>
      </w:r>
      <w:r>
        <w:rPr>
          <w:rFonts w:ascii="Arial" w:hAnsi="Arial" w:cs="Arial"/>
          <w:lang w:eastAsia="en-AU"/>
        </w:rPr>
        <w:t xml:space="preserve">In the instance </w:t>
      </w:r>
      <w:r w:rsidR="00432934">
        <w:rPr>
          <w:rFonts w:ascii="Arial" w:hAnsi="Arial" w:cs="Arial"/>
          <w:lang w:eastAsia="en-AU"/>
        </w:rPr>
        <w:t>evidence influence</w:t>
      </w:r>
      <w:r w:rsidR="007341B6">
        <w:rPr>
          <w:rFonts w:ascii="Arial" w:hAnsi="Arial" w:cs="Arial"/>
          <w:lang w:eastAsia="en-AU"/>
        </w:rPr>
        <w:t>s</w:t>
      </w:r>
      <w:r w:rsidR="00432934">
        <w:rPr>
          <w:rFonts w:ascii="Arial" w:hAnsi="Arial" w:cs="Arial"/>
          <w:lang w:eastAsia="en-AU"/>
        </w:rPr>
        <w:t xml:space="preserve"> on the ground practice, and the change is measurable, the evaluators will consider developing new national evaluation indicators. For example, if </w:t>
      </w:r>
      <w:r w:rsidR="007341B6">
        <w:rPr>
          <w:rFonts w:ascii="Arial" w:hAnsi="Arial" w:cs="Arial"/>
          <w:lang w:eastAsia="en-AU"/>
        </w:rPr>
        <w:t xml:space="preserve">it was </w:t>
      </w:r>
      <w:r w:rsidR="00432934">
        <w:rPr>
          <w:rFonts w:ascii="Arial" w:hAnsi="Arial" w:cs="Arial"/>
          <w:lang w:eastAsia="en-AU"/>
        </w:rPr>
        <w:t xml:space="preserve">recommended </w:t>
      </w:r>
      <w:r w:rsidR="007341B6">
        <w:rPr>
          <w:rFonts w:ascii="Arial" w:hAnsi="Arial" w:cs="Arial"/>
          <w:lang w:eastAsia="en-AU"/>
        </w:rPr>
        <w:t xml:space="preserve">that </w:t>
      </w:r>
      <w:r w:rsidR="00432934">
        <w:rPr>
          <w:rFonts w:ascii="Arial" w:hAnsi="Arial" w:cs="Arial"/>
          <w:lang w:eastAsia="en-AU"/>
        </w:rPr>
        <w:t xml:space="preserve">all women who experience stillbirth receive </w:t>
      </w:r>
      <w:r w:rsidR="007341B6">
        <w:rPr>
          <w:rFonts w:ascii="Arial" w:hAnsi="Arial" w:cs="Arial"/>
          <w:lang w:eastAsia="en-AU"/>
        </w:rPr>
        <w:t>government funded, and delivered, psychological support at two, four and six weeks postpartum the evaluation may include an indicator on the proportion of women who access this service. This process will help ensure the</w:t>
      </w:r>
      <w:r w:rsidR="00B67887">
        <w:rPr>
          <w:rFonts w:ascii="Arial" w:hAnsi="Arial" w:cs="Arial"/>
          <w:lang w:eastAsia="en-AU"/>
        </w:rPr>
        <w:t xml:space="preserve"> monitoring and evaluation findings</w:t>
      </w:r>
      <w:r w:rsidR="007341B6">
        <w:rPr>
          <w:rFonts w:ascii="Arial" w:hAnsi="Arial" w:cs="Arial"/>
          <w:lang w:eastAsia="en-AU"/>
        </w:rPr>
        <w:t xml:space="preserve"> remain relevant and reflect the changing landscape. </w:t>
      </w:r>
    </w:p>
    <w:p w14:paraId="4F5F16A3" w14:textId="2A02E8DE" w:rsidR="004B0224" w:rsidRPr="00995C5A" w:rsidRDefault="00B67887" w:rsidP="00ED2B74">
      <w:pPr>
        <w:pStyle w:val="Heading2"/>
      </w:pPr>
      <w:r w:rsidRPr="00B67887">
        <w:rPr>
          <w:noProof/>
        </w:rPr>
        <w:drawing>
          <wp:anchor distT="0" distB="0" distL="114300" distR="114300" simplePos="0" relativeHeight="251658248" behindDoc="0" locked="0" layoutInCell="1" allowOverlap="1" wp14:anchorId="1A9FAF04" wp14:editId="39138503">
            <wp:simplePos x="0" y="0"/>
            <wp:positionH relativeFrom="margin">
              <wp:align>left</wp:align>
            </wp:positionH>
            <wp:positionV relativeFrom="paragraph">
              <wp:posOffset>18415</wp:posOffset>
            </wp:positionV>
            <wp:extent cx="290830" cy="261620"/>
            <wp:effectExtent l="0" t="0" r="0" b="5080"/>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830" cy="261620"/>
                    </a:xfrm>
                    <a:prstGeom prst="rect">
                      <a:avLst/>
                    </a:prstGeom>
                  </pic:spPr>
                </pic:pic>
              </a:graphicData>
            </a:graphic>
            <wp14:sizeRelH relativeFrom="margin">
              <wp14:pctWidth>0</wp14:pctWidth>
            </wp14:sizeRelH>
            <wp14:sizeRelV relativeFrom="margin">
              <wp14:pctHeight>0</wp14:pctHeight>
            </wp14:sizeRelV>
          </wp:anchor>
        </w:drawing>
      </w:r>
      <w:r w:rsidR="00A7090D">
        <w:t xml:space="preserve">Maintaining </w:t>
      </w:r>
      <w:r w:rsidR="00266D97">
        <w:t xml:space="preserve">a focus on collective </w:t>
      </w:r>
      <w:r w:rsidR="00A518CF">
        <w:t>impact</w:t>
      </w:r>
      <w:r w:rsidR="00AE1C20">
        <w:t>.</w:t>
      </w:r>
    </w:p>
    <w:p w14:paraId="676AEBEE" w14:textId="06422358" w:rsidR="00DE08E5" w:rsidRDefault="00A51CFC" w:rsidP="004B0224">
      <w:pPr>
        <w:rPr>
          <w:rFonts w:ascii="Arial" w:hAnsi="Arial" w:cs="Arial"/>
          <w:lang w:eastAsia="en-AU"/>
        </w:rPr>
      </w:pPr>
      <w:r>
        <w:rPr>
          <w:rFonts w:ascii="Arial" w:hAnsi="Arial" w:cs="Arial"/>
          <w:lang w:eastAsia="en-AU"/>
        </w:rPr>
        <w:t xml:space="preserve">The evaluation </w:t>
      </w:r>
      <w:r w:rsidR="00232EC3">
        <w:rPr>
          <w:rFonts w:ascii="Arial" w:hAnsi="Arial" w:cs="Arial"/>
          <w:lang w:eastAsia="en-AU"/>
        </w:rPr>
        <w:t xml:space="preserve">will focus </w:t>
      </w:r>
      <w:r w:rsidR="000D11FD">
        <w:rPr>
          <w:rFonts w:ascii="Arial" w:hAnsi="Arial" w:cs="Arial"/>
          <w:lang w:eastAsia="en-AU"/>
        </w:rPr>
        <w:t xml:space="preserve">on </w:t>
      </w:r>
      <w:r w:rsidR="00655ADC">
        <w:rPr>
          <w:rFonts w:ascii="Arial" w:hAnsi="Arial" w:cs="Arial"/>
          <w:lang w:eastAsia="en-AU"/>
        </w:rPr>
        <w:t>measuring the collective impact of the Plan as a whole</w:t>
      </w:r>
      <w:r w:rsidR="00845411">
        <w:rPr>
          <w:rFonts w:ascii="Arial" w:hAnsi="Arial" w:cs="Arial"/>
          <w:lang w:eastAsia="en-AU"/>
        </w:rPr>
        <w:t>, using the national indicators</w:t>
      </w:r>
      <w:r w:rsidR="00DE0B04">
        <w:rPr>
          <w:rFonts w:ascii="Arial" w:hAnsi="Arial" w:cs="Arial"/>
          <w:lang w:eastAsia="en-AU"/>
        </w:rPr>
        <w:t>.</w:t>
      </w:r>
      <w:r w:rsidR="00655ADC">
        <w:rPr>
          <w:rFonts w:ascii="Arial" w:hAnsi="Arial" w:cs="Arial"/>
          <w:lang w:eastAsia="en-AU"/>
        </w:rPr>
        <w:t xml:space="preserve"> </w:t>
      </w:r>
      <w:r w:rsidR="00DE0B04">
        <w:rPr>
          <w:rFonts w:ascii="Arial" w:hAnsi="Arial" w:cs="Arial"/>
          <w:lang w:eastAsia="en-AU"/>
        </w:rPr>
        <w:t xml:space="preserve">It is out of scope to evaluate the effectiveness of specific tasks in the </w:t>
      </w:r>
      <w:r w:rsidR="007A0447">
        <w:rPr>
          <w:rFonts w:ascii="Arial" w:hAnsi="Arial" w:cs="Arial"/>
          <w:lang w:eastAsia="en-AU"/>
        </w:rPr>
        <w:t>Plan,</w:t>
      </w:r>
      <w:r w:rsidR="00DE0B04">
        <w:rPr>
          <w:rFonts w:ascii="Arial" w:hAnsi="Arial" w:cs="Arial"/>
          <w:lang w:eastAsia="en-AU"/>
        </w:rPr>
        <w:t xml:space="preserve"> </w:t>
      </w:r>
      <w:r w:rsidR="00C8769F">
        <w:rPr>
          <w:rFonts w:ascii="Arial" w:hAnsi="Arial" w:cs="Arial"/>
          <w:lang w:eastAsia="en-AU"/>
        </w:rPr>
        <w:t>and it is not practicable</w:t>
      </w:r>
      <w:r w:rsidR="00DE0B04">
        <w:rPr>
          <w:rFonts w:ascii="Arial" w:hAnsi="Arial" w:cs="Arial"/>
          <w:lang w:eastAsia="en-AU"/>
        </w:rPr>
        <w:t xml:space="preserve"> to</w:t>
      </w:r>
      <w:r w:rsidR="00C8769F">
        <w:rPr>
          <w:rFonts w:ascii="Arial" w:hAnsi="Arial" w:cs="Arial"/>
          <w:lang w:eastAsia="en-AU"/>
        </w:rPr>
        <w:t xml:space="preserve"> attempt to</w:t>
      </w:r>
      <w:r w:rsidR="00DE0B04">
        <w:rPr>
          <w:rFonts w:ascii="Arial" w:hAnsi="Arial" w:cs="Arial"/>
          <w:lang w:eastAsia="en-AU"/>
        </w:rPr>
        <w:t xml:space="preserve"> attribute </w:t>
      </w:r>
      <w:r w:rsidR="00AA558A">
        <w:rPr>
          <w:rFonts w:ascii="Arial" w:hAnsi="Arial" w:cs="Arial"/>
          <w:lang w:eastAsia="en-AU"/>
        </w:rPr>
        <w:t>outcomes achieved directly</w:t>
      </w:r>
      <w:r w:rsidR="00DE0B04">
        <w:rPr>
          <w:rFonts w:ascii="Arial" w:hAnsi="Arial" w:cs="Arial"/>
          <w:lang w:eastAsia="en-AU"/>
        </w:rPr>
        <w:t xml:space="preserve"> to</w:t>
      </w:r>
      <w:r w:rsidR="00874401">
        <w:rPr>
          <w:rFonts w:ascii="Arial" w:hAnsi="Arial" w:cs="Arial"/>
          <w:lang w:eastAsia="en-AU"/>
        </w:rPr>
        <w:t xml:space="preserve"> specific tasks </w:t>
      </w:r>
      <w:r w:rsidR="00DE0B04">
        <w:rPr>
          <w:rFonts w:ascii="Arial" w:hAnsi="Arial" w:cs="Arial"/>
          <w:lang w:eastAsia="en-AU"/>
        </w:rPr>
        <w:t>in</w:t>
      </w:r>
      <w:r w:rsidR="00874401">
        <w:rPr>
          <w:rFonts w:ascii="Arial" w:hAnsi="Arial" w:cs="Arial"/>
          <w:lang w:eastAsia="en-AU"/>
        </w:rPr>
        <w:t xml:space="preserve"> the Plan.</w:t>
      </w:r>
    </w:p>
    <w:p w14:paraId="13683FAB" w14:textId="0F6DE6F6" w:rsidR="009E08F5" w:rsidRDefault="001D2831" w:rsidP="004B0224">
      <w:pPr>
        <w:rPr>
          <w:rFonts w:ascii="Arial" w:hAnsi="Arial" w:cs="Arial"/>
          <w:lang w:eastAsia="en-AU"/>
        </w:rPr>
      </w:pPr>
      <w:r>
        <w:rPr>
          <w:rFonts w:ascii="Arial" w:hAnsi="Arial" w:cs="Arial"/>
          <w:lang w:eastAsia="en-AU"/>
        </w:rPr>
        <w:t>This</w:t>
      </w:r>
      <w:r w:rsidR="009E08F5">
        <w:rPr>
          <w:rFonts w:ascii="Arial" w:hAnsi="Arial" w:cs="Arial"/>
          <w:lang w:eastAsia="en-AU"/>
        </w:rPr>
        <w:t xml:space="preserve"> Monitoring and Evaluation Framework should enable </w:t>
      </w:r>
      <w:r w:rsidR="001A253E" w:rsidRPr="00995C5A">
        <w:rPr>
          <w:rFonts w:ascii="Arial" w:hAnsi="Arial" w:cs="Arial"/>
          <w:lang w:eastAsia="en-AU"/>
        </w:rPr>
        <w:t>evaluators to</w:t>
      </w:r>
      <w:r w:rsidR="009E08F5">
        <w:rPr>
          <w:rFonts w:ascii="Arial" w:hAnsi="Arial" w:cs="Arial"/>
          <w:lang w:eastAsia="en-AU"/>
        </w:rPr>
        <w:t>:</w:t>
      </w:r>
    </w:p>
    <w:p w14:paraId="016409ED" w14:textId="2142817A" w:rsidR="009E08F5" w:rsidRDefault="009E08F5" w:rsidP="005D0862">
      <w:pPr>
        <w:pStyle w:val="ListBullet"/>
      </w:pPr>
      <w:r>
        <w:t>monitor</w:t>
      </w:r>
      <w:r w:rsidR="004B0224" w:rsidRPr="00995C5A">
        <w:t xml:space="preserve"> whether </w:t>
      </w:r>
      <w:r w:rsidR="003C0353" w:rsidRPr="00CF7D56">
        <w:rPr>
          <w:i/>
          <w:iCs/>
        </w:rPr>
        <w:t>tasks</w:t>
      </w:r>
      <w:r w:rsidR="004B0224" w:rsidRPr="00995C5A">
        <w:t xml:space="preserve"> were </w:t>
      </w:r>
      <w:r w:rsidR="005259DE" w:rsidRPr="00995C5A">
        <w:t>implemented</w:t>
      </w:r>
      <w:r w:rsidR="00C8769F">
        <w:t xml:space="preserve"> effectively and efficiently</w:t>
      </w:r>
      <w:r w:rsidR="005259DE" w:rsidRPr="00995C5A">
        <w:t>,</w:t>
      </w:r>
      <w:r w:rsidR="004B0224" w:rsidRPr="00995C5A">
        <w:t xml:space="preserve"> and </w:t>
      </w:r>
      <w:r w:rsidR="004B0224" w:rsidRPr="00CF7D56">
        <w:rPr>
          <w:i/>
          <w:iCs/>
        </w:rPr>
        <w:t>outputs</w:t>
      </w:r>
      <w:r w:rsidR="004B0224" w:rsidRPr="00995C5A">
        <w:t xml:space="preserve"> observed. </w:t>
      </w:r>
      <w:r w:rsidR="00EF303E">
        <w:t>This means evaluators can make a</w:t>
      </w:r>
      <w:r w:rsidR="00EF303E" w:rsidRPr="00995C5A">
        <w:t xml:space="preserve">ssumptions, based on </w:t>
      </w:r>
      <w:r w:rsidR="00EF303E">
        <w:t xml:space="preserve">what evidence says works to achieve the intended </w:t>
      </w:r>
      <w:r w:rsidR="00EF303E" w:rsidRPr="00CF7D56">
        <w:rPr>
          <w:i/>
          <w:iCs/>
        </w:rPr>
        <w:t>outcomes</w:t>
      </w:r>
      <w:r w:rsidR="00EF303E" w:rsidRPr="00995C5A">
        <w:t xml:space="preserve">, that if certain </w:t>
      </w:r>
      <w:r w:rsidR="00EF303E" w:rsidRPr="00CF7D56">
        <w:rPr>
          <w:i/>
          <w:iCs/>
        </w:rPr>
        <w:t>tasks</w:t>
      </w:r>
      <w:r w:rsidR="00EF303E" w:rsidRPr="00995C5A">
        <w:t xml:space="preserve"> and </w:t>
      </w:r>
      <w:r w:rsidR="00EF303E" w:rsidRPr="00CF7D56">
        <w:rPr>
          <w:i/>
          <w:iCs/>
        </w:rPr>
        <w:t>outputs</w:t>
      </w:r>
      <w:r w:rsidR="00EF303E" w:rsidRPr="00995C5A">
        <w:t xml:space="preserve"> are observed, it is reasonable to assume that intended </w:t>
      </w:r>
      <w:r w:rsidR="00EF303E" w:rsidRPr="00CF7D56">
        <w:rPr>
          <w:i/>
          <w:iCs/>
        </w:rPr>
        <w:t>outcomes</w:t>
      </w:r>
      <w:r w:rsidR="00EF303E" w:rsidRPr="00995C5A">
        <w:t xml:space="preserve"> are likely to be </w:t>
      </w:r>
      <w:r w:rsidR="00424478">
        <w:t>seen</w:t>
      </w:r>
      <w:r w:rsidR="00EF303E" w:rsidRPr="00995C5A">
        <w:t>. In some instances-, short-, medium- and long-term outcomes will be measurable over the life of the evaluation.</w:t>
      </w:r>
    </w:p>
    <w:p w14:paraId="6FB4EEC4" w14:textId="0D44BE3A" w:rsidR="009E08F5" w:rsidRDefault="004848EC" w:rsidP="009E08F5">
      <w:pPr>
        <w:pStyle w:val="ListBullet"/>
      </w:pPr>
      <w:r w:rsidRPr="00995C5A">
        <w:t>provide commentary on the appropriateness of the Plan itself (</w:t>
      </w:r>
      <w:proofErr w:type="gramStart"/>
      <w:r w:rsidRPr="00995C5A">
        <w:t>e.g.</w:t>
      </w:r>
      <w:proofErr w:type="gramEnd"/>
      <w:r w:rsidRPr="00995C5A">
        <w:t xml:space="preserve"> </w:t>
      </w:r>
      <w:r w:rsidR="00A17B47" w:rsidRPr="00995C5A">
        <w:t>the extent to which its design helped to achieve the overall goals).</w:t>
      </w:r>
    </w:p>
    <w:p w14:paraId="6DD3FC04" w14:textId="32528E62" w:rsidR="009E08F5" w:rsidRDefault="009E08F5" w:rsidP="009E08F5">
      <w:pPr>
        <w:pStyle w:val="ListBullet"/>
      </w:pPr>
      <w:r>
        <w:t>assess</w:t>
      </w:r>
      <w:r w:rsidR="00A17B47" w:rsidRPr="00995C5A">
        <w:t xml:space="preserve"> the extent to which different delivery approaches used by jurisdictions or </w:t>
      </w:r>
      <w:r w:rsidR="00802983" w:rsidRPr="00995C5A">
        <w:t>stakeholders’</w:t>
      </w:r>
      <w:r w:rsidR="00A17B47" w:rsidRPr="00995C5A">
        <w:t xml:space="preserve"> groups achieved different outcomes – including in different settings or for different target cohorts.</w:t>
      </w:r>
    </w:p>
    <w:p w14:paraId="7D1D071F" w14:textId="242D0DE9" w:rsidR="004B0224" w:rsidRDefault="004B0224" w:rsidP="00CF7D56">
      <w:pPr>
        <w:rPr>
          <w:rFonts w:ascii="Arial" w:hAnsi="Arial" w:cs="Arial"/>
          <w:lang w:eastAsia="en-AU"/>
        </w:rPr>
      </w:pPr>
      <w:r w:rsidRPr="00995C5A">
        <w:rPr>
          <w:rFonts w:ascii="Arial" w:hAnsi="Arial" w:cs="Arial"/>
          <w:lang w:eastAsia="en-AU"/>
        </w:rPr>
        <w:t>This Monitoring and Evaluation Framework does not outline experimental or quasi-experimental research. It cannot be used to determine what would have occurred without the Plan.</w:t>
      </w:r>
    </w:p>
    <w:p w14:paraId="43012CDE" w14:textId="10C5BF33" w:rsidR="001D2831" w:rsidRPr="00995C5A" w:rsidRDefault="001D2831" w:rsidP="001D2831">
      <w:pPr>
        <w:rPr>
          <w:rFonts w:ascii="Arial" w:hAnsi="Arial" w:cs="Arial"/>
          <w:lang w:eastAsia="en-AU"/>
        </w:rPr>
      </w:pPr>
      <w:r>
        <w:rPr>
          <w:rFonts w:ascii="Arial" w:hAnsi="Arial" w:cs="Arial"/>
          <w:lang w:eastAsia="en-AU"/>
        </w:rPr>
        <w:t>Identifying or attributing the extent of change seen in outcomes to the Plan specifically is</w:t>
      </w:r>
      <w:r w:rsidRPr="00995C5A">
        <w:rPr>
          <w:rFonts w:ascii="Arial" w:hAnsi="Arial" w:cs="Arial"/>
          <w:lang w:eastAsia="en-AU"/>
        </w:rPr>
        <w:t xml:space="preserve"> complicated by:</w:t>
      </w:r>
    </w:p>
    <w:p w14:paraId="1F2317B8" w14:textId="77777777" w:rsidR="001D2831" w:rsidRPr="00995C5A" w:rsidRDefault="001D2831" w:rsidP="001D2831">
      <w:pPr>
        <w:pStyle w:val="ListBullet"/>
      </w:pPr>
      <w:r w:rsidRPr="00995C5A">
        <w:t xml:space="preserve">the </w:t>
      </w:r>
      <w:r>
        <w:t>many</w:t>
      </w:r>
      <w:r w:rsidRPr="00995C5A">
        <w:t xml:space="preserve"> drivers of improved stillbirth prevention rates and women/families</w:t>
      </w:r>
      <w:r>
        <w:t>’</w:t>
      </w:r>
      <w:r w:rsidRPr="00995C5A">
        <w:t xml:space="preserve"> experiences of stillbirth. </w:t>
      </w:r>
    </w:p>
    <w:p w14:paraId="2051A3DF" w14:textId="6F7B61FB" w:rsidR="001D2831" w:rsidRPr="00995C5A" w:rsidRDefault="001D2831" w:rsidP="001D2831">
      <w:pPr>
        <w:pStyle w:val="ListBullet"/>
      </w:pPr>
      <w:r>
        <w:t>other reforms or policy that may also contribute to the goals and outcomes of the Plan. For example, improvements in culturally safe care under the Women-Centred Care Strategic Directions may also contribute to a reduction in stillbirth rates.</w:t>
      </w:r>
    </w:p>
    <w:p w14:paraId="77085410" w14:textId="77777777" w:rsidR="001D2831" w:rsidRDefault="001D2831" w:rsidP="001D2831">
      <w:pPr>
        <w:pStyle w:val="ListBullet"/>
      </w:pPr>
      <w:r w:rsidRPr="00995C5A">
        <w:lastRenderedPageBreak/>
        <w:t>variable service delivery contexts and tasks in each jurisdiction</w:t>
      </w:r>
      <w:r>
        <w:t>.</w:t>
      </w:r>
    </w:p>
    <w:p w14:paraId="66E893EB" w14:textId="42095614" w:rsidR="001D2831" w:rsidRPr="00995C5A" w:rsidRDefault="001D2831" w:rsidP="00CF7D56">
      <w:pPr>
        <w:pStyle w:val="ListBullet"/>
      </w:pPr>
      <w:r>
        <w:t>the time lag to observe the impact</w:t>
      </w:r>
      <w:r w:rsidRPr="00995C5A">
        <w:t xml:space="preserve"> of public health and national health system performance improvements</w:t>
      </w:r>
      <w:r>
        <w:t xml:space="preserve">, which </w:t>
      </w:r>
      <w:r w:rsidRPr="00995C5A">
        <w:t>may not be evident for months or years.</w:t>
      </w:r>
    </w:p>
    <w:p w14:paraId="72629252" w14:textId="56C67FC8" w:rsidR="004B0224" w:rsidRPr="00995C5A" w:rsidRDefault="00270FD5" w:rsidP="00060280">
      <w:pPr>
        <w:pStyle w:val="Heading2"/>
      </w:pPr>
      <w:r>
        <w:rPr>
          <w:rFonts w:cs="Arial"/>
          <w:noProof/>
        </w:rPr>
        <w:drawing>
          <wp:anchor distT="0" distB="0" distL="114300" distR="114300" simplePos="0" relativeHeight="251658243" behindDoc="0" locked="0" layoutInCell="1" allowOverlap="1" wp14:anchorId="695E9F13" wp14:editId="3CE2905E">
            <wp:simplePos x="0" y="0"/>
            <wp:positionH relativeFrom="margin">
              <wp:posOffset>0</wp:posOffset>
            </wp:positionH>
            <wp:positionV relativeFrom="paragraph">
              <wp:posOffset>111053</wp:posOffset>
            </wp:positionV>
            <wp:extent cx="300355" cy="334645"/>
            <wp:effectExtent l="0" t="0" r="4445" b="825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0355" cy="334645"/>
                    </a:xfrm>
                    <a:prstGeom prst="rect">
                      <a:avLst/>
                    </a:prstGeom>
                  </pic:spPr>
                </pic:pic>
              </a:graphicData>
            </a:graphic>
            <wp14:sizeRelH relativeFrom="margin">
              <wp14:pctWidth>0</wp14:pctWidth>
            </wp14:sizeRelH>
            <wp14:sizeRelV relativeFrom="margin">
              <wp14:pctHeight>0</wp14:pctHeight>
            </wp14:sizeRelV>
          </wp:anchor>
        </w:drawing>
      </w:r>
      <w:r w:rsidR="004B0224" w:rsidRPr="00995C5A">
        <w:t>Sharing evaluation insights to adapt and improve implementation of the Plan.</w:t>
      </w:r>
    </w:p>
    <w:p w14:paraId="4A94393E" w14:textId="57D663FB" w:rsidR="004B0224" w:rsidRPr="00995C5A" w:rsidRDefault="004B0224" w:rsidP="004B0224">
      <w:pPr>
        <w:rPr>
          <w:rFonts w:ascii="Arial" w:hAnsi="Arial" w:cs="Arial"/>
          <w:lang w:eastAsia="en-AU"/>
        </w:rPr>
      </w:pPr>
      <w:r w:rsidRPr="00995C5A">
        <w:rPr>
          <w:rFonts w:ascii="Arial" w:hAnsi="Arial" w:cs="Arial"/>
          <w:lang w:eastAsia="en-AU"/>
        </w:rPr>
        <w:t xml:space="preserve">National health evaluations require accurate, feasible and timely mechanisms to track and report on execution of planned tasks and strengths and challenges and areas for improvement in implementation. This means governments and other implementers can make better informed decisions about ongoing implementation approaches and investments. It helps to maintain momentum and motivation of funders and implementers by being able to report on early achievements and progress. Lastly, the ongoing sharing of insights on what is working to achieve outcomes and emerging evidence helps to ensure the currency of Plan </w:t>
      </w:r>
      <w:r w:rsidR="003C0353" w:rsidRPr="00995C5A">
        <w:rPr>
          <w:rFonts w:ascii="Arial" w:hAnsi="Arial" w:cs="Arial"/>
          <w:lang w:eastAsia="en-AU"/>
        </w:rPr>
        <w:t>tasks</w:t>
      </w:r>
      <w:r w:rsidRPr="00995C5A">
        <w:rPr>
          <w:rFonts w:ascii="Arial" w:hAnsi="Arial" w:cs="Arial"/>
          <w:lang w:eastAsia="en-AU"/>
        </w:rPr>
        <w:t xml:space="preserve"> over time.</w:t>
      </w:r>
    </w:p>
    <w:p w14:paraId="3364D744" w14:textId="7EA27F0D" w:rsidR="004B0224" w:rsidRPr="00995C5A" w:rsidRDefault="004B0224" w:rsidP="004B0224">
      <w:pPr>
        <w:rPr>
          <w:rFonts w:ascii="Arial" w:hAnsi="Arial" w:cs="Arial"/>
          <w:lang w:eastAsia="en-AU"/>
        </w:rPr>
      </w:pPr>
      <w:r w:rsidRPr="00995C5A">
        <w:rPr>
          <w:rFonts w:ascii="Arial" w:hAnsi="Arial" w:cs="Arial"/>
          <w:lang w:eastAsia="en-AU"/>
        </w:rPr>
        <w:t xml:space="preserve">This Monitoring and Evaluation Framework outlines an </w:t>
      </w:r>
      <w:r w:rsidR="009D1A53" w:rsidRPr="00995C5A">
        <w:rPr>
          <w:rFonts w:ascii="Arial" w:hAnsi="Arial" w:cs="Arial"/>
          <w:lang w:eastAsia="en-AU"/>
        </w:rPr>
        <w:t>Annual Report</w:t>
      </w:r>
      <w:r w:rsidRPr="00995C5A">
        <w:rPr>
          <w:rFonts w:ascii="Arial" w:hAnsi="Arial" w:cs="Arial"/>
          <w:lang w:eastAsia="en-AU"/>
        </w:rPr>
        <w:t xml:space="preserve">ing process to ensure implementers get regular and timely information on national implementation and progress. It is not within scope of the national evaluation to report on task-level or jurisdictional-specific achievements. However, evaluation reporting </w:t>
      </w:r>
      <w:r w:rsidR="008E5E55" w:rsidRPr="00995C5A">
        <w:rPr>
          <w:rFonts w:ascii="Arial" w:hAnsi="Arial" w:cs="Arial"/>
          <w:lang w:eastAsia="en-AU"/>
        </w:rPr>
        <w:t xml:space="preserve">is designed to </w:t>
      </w:r>
      <w:r w:rsidRPr="00995C5A">
        <w:rPr>
          <w:rFonts w:ascii="Arial" w:hAnsi="Arial" w:cs="Arial"/>
          <w:lang w:eastAsia="en-AU"/>
        </w:rPr>
        <w:t xml:space="preserve">use case studies where possible to demonstrate good practice approaches. </w:t>
      </w:r>
    </w:p>
    <w:p w14:paraId="48445CBD" w14:textId="4575EB73" w:rsidR="004B0224" w:rsidRPr="00995C5A" w:rsidRDefault="00270FD5" w:rsidP="00ED2B74">
      <w:pPr>
        <w:pStyle w:val="Heading2"/>
      </w:pPr>
      <w:r>
        <w:rPr>
          <w:noProof/>
        </w:rPr>
        <w:drawing>
          <wp:anchor distT="0" distB="0" distL="114300" distR="114300" simplePos="0" relativeHeight="251658244" behindDoc="0" locked="0" layoutInCell="1" allowOverlap="1" wp14:anchorId="2CB456FA" wp14:editId="5AC93C8A">
            <wp:simplePos x="0" y="0"/>
            <wp:positionH relativeFrom="margin">
              <wp:align>left</wp:align>
            </wp:positionH>
            <wp:positionV relativeFrom="paragraph">
              <wp:posOffset>0</wp:posOffset>
            </wp:positionV>
            <wp:extent cx="335280" cy="323850"/>
            <wp:effectExtent l="0" t="0" r="7620" b="0"/>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5280" cy="323850"/>
                    </a:xfrm>
                    <a:prstGeom prst="rect">
                      <a:avLst/>
                    </a:prstGeom>
                  </pic:spPr>
                </pic:pic>
              </a:graphicData>
            </a:graphic>
            <wp14:sizeRelH relativeFrom="margin">
              <wp14:pctWidth>0</wp14:pctWidth>
            </wp14:sizeRelH>
            <wp14:sizeRelV relativeFrom="margin">
              <wp14:pctHeight>0</wp14:pctHeight>
            </wp14:sizeRelV>
          </wp:anchor>
        </w:drawing>
      </w:r>
      <w:r w:rsidR="004B0224" w:rsidRPr="00995C5A">
        <w:t xml:space="preserve">Maintaining strong evaluation governance to ensure stakeholders are accountable </w:t>
      </w:r>
      <w:r w:rsidR="00455532" w:rsidRPr="00995C5A">
        <w:t xml:space="preserve">for </w:t>
      </w:r>
      <w:r w:rsidR="004B0224" w:rsidRPr="00995C5A">
        <w:t>implementation.</w:t>
      </w:r>
    </w:p>
    <w:p w14:paraId="01A6A04C" w14:textId="6A407526" w:rsidR="004B0224" w:rsidRPr="00995C5A" w:rsidRDefault="004B0224" w:rsidP="004B0224">
      <w:pPr>
        <w:rPr>
          <w:rFonts w:ascii="Arial" w:hAnsi="Arial" w:cs="Arial"/>
          <w:lang w:eastAsia="en-AU"/>
        </w:rPr>
      </w:pPr>
      <w:r w:rsidRPr="00995C5A">
        <w:rPr>
          <w:rFonts w:ascii="Arial" w:hAnsi="Arial" w:cs="Arial"/>
          <w:lang w:eastAsia="en-AU"/>
        </w:rPr>
        <w:t>Strong management of the evaluation is required to hold evaluators to account for high quality and ethical processes. Evaluat</w:t>
      </w:r>
      <w:r w:rsidR="00B609AB" w:rsidRPr="00995C5A">
        <w:rPr>
          <w:rFonts w:ascii="Arial" w:hAnsi="Arial" w:cs="Arial"/>
          <w:lang w:eastAsia="en-AU"/>
        </w:rPr>
        <w:t>ion</w:t>
      </w:r>
      <w:r w:rsidRPr="00995C5A">
        <w:rPr>
          <w:rFonts w:ascii="Arial" w:hAnsi="Arial" w:cs="Arial"/>
          <w:lang w:eastAsia="en-AU"/>
        </w:rPr>
        <w:t xml:space="preserve"> governance is outlined in </w:t>
      </w:r>
      <w:r w:rsidR="00D86F19" w:rsidRPr="00995C5A">
        <w:rPr>
          <w:rFonts w:ascii="Arial" w:hAnsi="Arial" w:cs="Arial"/>
          <w:lang w:eastAsia="en-AU"/>
        </w:rPr>
        <w:t>S</w:t>
      </w:r>
      <w:r w:rsidR="00D5026F" w:rsidRPr="00995C5A">
        <w:rPr>
          <w:rFonts w:ascii="Arial" w:hAnsi="Arial" w:cs="Arial"/>
          <w:lang w:eastAsia="en-AU"/>
        </w:rPr>
        <w:t>ection</w:t>
      </w:r>
      <w:r w:rsidRPr="00995C5A">
        <w:rPr>
          <w:rFonts w:ascii="Arial" w:hAnsi="Arial" w:cs="Arial"/>
          <w:lang w:eastAsia="en-AU"/>
        </w:rPr>
        <w:t xml:space="preserve"> </w:t>
      </w:r>
      <w:r w:rsidR="00620BD9" w:rsidRPr="00995C5A">
        <w:rPr>
          <w:rFonts w:ascii="Arial" w:hAnsi="Arial" w:cs="Arial"/>
          <w:lang w:eastAsia="en-AU"/>
        </w:rPr>
        <w:fldChar w:fldCharType="begin"/>
      </w:r>
      <w:r w:rsidR="00620BD9" w:rsidRPr="00995C5A">
        <w:rPr>
          <w:rFonts w:ascii="Arial" w:hAnsi="Arial" w:cs="Arial"/>
          <w:lang w:eastAsia="en-AU"/>
        </w:rPr>
        <w:instrText xml:space="preserve"> REF _Ref88489546 \r \h  \* MERGEFORMAT </w:instrText>
      </w:r>
      <w:r w:rsidR="00620BD9" w:rsidRPr="00995C5A">
        <w:rPr>
          <w:rFonts w:ascii="Arial" w:hAnsi="Arial" w:cs="Arial"/>
          <w:lang w:eastAsia="en-AU"/>
        </w:rPr>
      </w:r>
      <w:r w:rsidR="00620BD9" w:rsidRPr="00995C5A">
        <w:rPr>
          <w:rFonts w:ascii="Arial" w:hAnsi="Arial" w:cs="Arial"/>
          <w:lang w:eastAsia="en-AU"/>
        </w:rPr>
        <w:fldChar w:fldCharType="separate"/>
      </w:r>
      <w:r w:rsidR="00CF19E2">
        <w:rPr>
          <w:rFonts w:ascii="Arial" w:hAnsi="Arial" w:cs="Arial"/>
          <w:lang w:eastAsia="en-AU"/>
        </w:rPr>
        <w:t>4</w:t>
      </w:r>
      <w:r w:rsidR="00620BD9" w:rsidRPr="00995C5A">
        <w:rPr>
          <w:rFonts w:ascii="Arial" w:hAnsi="Arial" w:cs="Arial"/>
          <w:lang w:eastAsia="en-AU"/>
        </w:rPr>
        <w:fldChar w:fldCharType="end"/>
      </w:r>
      <w:r w:rsidRPr="00995C5A">
        <w:rPr>
          <w:rFonts w:ascii="Arial" w:hAnsi="Arial" w:cs="Arial"/>
          <w:lang w:eastAsia="en-AU"/>
        </w:rPr>
        <w:t xml:space="preserve"> and </w:t>
      </w:r>
      <w:r w:rsidR="00D21E03" w:rsidRPr="00995C5A">
        <w:rPr>
          <w:rFonts w:ascii="Arial" w:hAnsi="Arial" w:cs="Arial"/>
          <w:lang w:eastAsia="en-AU"/>
        </w:rPr>
        <w:t xml:space="preserve">it will be important, but challenging, </w:t>
      </w:r>
      <w:r w:rsidR="00F3628E" w:rsidRPr="00995C5A">
        <w:rPr>
          <w:rFonts w:ascii="Arial" w:hAnsi="Arial" w:cs="Arial"/>
          <w:lang w:eastAsia="en-AU"/>
        </w:rPr>
        <w:t>to</w:t>
      </w:r>
      <w:r w:rsidRPr="00995C5A">
        <w:rPr>
          <w:rFonts w:ascii="Arial" w:hAnsi="Arial" w:cs="Arial"/>
          <w:lang w:eastAsia="en-AU"/>
        </w:rPr>
        <w:t xml:space="preserve"> maintain the effectiveness of governance bodies over time</w:t>
      </w:r>
      <w:r w:rsidR="006D6E38" w:rsidRPr="00995C5A">
        <w:rPr>
          <w:rFonts w:ascii="Arial" w:hAnsi="Arial" w:cs="Arial"/>
          <w:lang w:eastAsia="en-AU"/>
        </w:rPr>
        <w:t xml:space="preserve">. </w:t>
      </w:r>
      <w:r w:rsidR="005507CD" w:rsidRPr="00995C5A">
        <w:rPr>
          <w:rFonts w:ascii="Arial" w:hAnsi="Arial" w:cs="Arial"/>
          <w:lang w:eastAsia="en-AU"/>
        </w:rPr>
        <w:t>Inevitabl</w:t>
      </w:r>
      <w:r w:rsidR="00907DD9" w:rsidRPr="00995C5A">
        <w:rPr>
          <w:rFonts w:ascii="Arial" w:hAnsi="Arial" w:cs="Arial"/>
          <w:lang w:eastAsia="en-AU"/>
        </w:rPr>
        <w:t xml:space="preserve">y, </w:t>
      </w:r>
      <w:r w:rsidR="005507CD" w:rsidRPr="00995C5A">
        <w:rPr>
          <w:rFonts w:ascii="Arial" w:hAnsi="Arial" w:cs="Arial"/>
          <w:lang w:eastAsia="en-AU"/>
        </w:rPr>
        <w:t xml:space="preserve">government </w:t>
      </w:r>
      <w:r w:rsidRPr="00995C5A">
        <w:rPr>
          <w:rFonts w:ascii="Arial" w:hAnsi="Arial" w:cs="Arial"/>
          <w:lang w:eastAsia="en-AU"/>
        </w:rPr>
        <w:t xml:space="preserve">priorities </w:t>
      </w:r>
      <w:r w:rsidR="005507CD" w:rsidRPr="00995C5A">
        <w:rPr>
          <w:rFonts w:ascii="Arial" w:hAnsi="Arial" w:cs="Arial"/>
          <w:lang w:eastAsia="en-AU"/>
        </w:rPr>
        <w:t>change</w:t>
      </w:r>
      <w:r w:rsidR="008651F2" w:rsidRPr="00D0129E">
        <w:rPr>
          <w:rFonts w:ascii="Arial" w:hAnsi="Arial" w:cs="Arial"/>
          <w:lang w:eastAsia="en-AU"/>
        </w:rPr>
        <w:t>,</w:t>
      </w:r>
      <w:r w:rsidR="005507CD" w:rsidRPr="00995C5A">
        <w:rPr>
          <w:rFonts w:ascii="Arial" w:hAnsi="Arial" w:cs="Arial"/>
          <w:lang w:eastAsia="en-AU"/>
        </w:rPr>
        <w:t xml:space="preserve"> and </w:t>
      </w:r>
      <w:r w:rsidRPr="00995C5A">
        <w:rPr>
          <w:rFonts w:ascii="Arial" w:hAnsi="Arial" w:cs="Arial"/>
          <w:lang w:eastAsia="en-AU"/>
        </w:rPr>
        <w:t xml:space="preserve">individuals </w:t>
      </w:r>
      <w:r w:rsidR="00907DD9" w:rsidRPr="00995C5A">
        <w:rPr>
          <w:rFonts w:ascii="Arial" w:hAnsi="Arial" w:cs="Arial"/>
          <w:lang w:eastAsia="en-AU"/>
        </w:rPr>
        <w:t>move on and are replaced</w:t>
      </w:r>
      <w:r w:rsidR="008D4354" w:rsidRPr="00995C5A">
        <w:rPr>
          <w:rFonts w:ascii="Arial" w:hAnsi="Arial" w:cs="Arial"/>
          <w:lang w:eastAsia="en-AU"/>
        </w:rPr>
        <w:t xml:space="preserve"> so that </w:t>
      </w:r>
      <w:r w:rsidRPr="00995C5A">
        <w:rPr>
          <w:rFonts w:ascii="Arial" w:hAnsi="Arial" w:cs="Arial"/>
          <w:lang w:eastAsia="en-AU"/>
        </w:rPr>
        <w:t xml:space="preserve">corporate knowledge of the Plan and evaluation </w:t>
      </w:r>
      <w:r w:rsidR="00410561" w:rsidRPr="00995C5A">
        <w:rPr>
          <w:rFonts w:ascii="Arial" w:hAnsi="Arial" w:cs="Arial"/>
          <w:lang w:eastAsia="en-AU"/>
        </w:rPr>
        <w:t xml:space="preserve">may be </w:t>
      </w:r>
      <w:r w:rsidRPr="00995C5A">
        <w:rPr>
          <w:rFonts w:ascii="Arial" w:hAnsi="Arial" w:cs="Arial"/>
          <w:lang w:eastAsia="en-AU"/>
        </w:rPr>
        <w:t xml:space="preserve">lost. </w:t>
      </w:r>
      <w:r w:rsidR="00410561" w:rsidRPr="00995C5A">
        <w:rPr>
          <w:rFonts w:ascii="Arial" w:hAnsi="Arial" w:cs="Arial"/>
          <w:lang w:eastAsia="en-AU"/>
        </w:rPr>
        <w:t>Ongoing strong governance will mitigate this challenge.</w:t>
      </w:r>
    </w:p>
    <w:p w14:paraId="56D73F15" w14:textId="535A2CCF" w:rsidR="00B708B7" w:rsidRPr="00060280" w:rsidRDefault="004B0224" w:rsidP="004B0224">
      <w:pPr>
        <w:rPr>
          <w:rFonts w:ascii="Arial" w:hAnsi="Arial" w:cs="Arial"/>
          <w:lang w:eastAsia="en-AU"/>
        </w:rPr>
      </w:pPr>
      <w:r w:rsidRPr="00995C5A">
        <w:rPr>
          <w:rFonts w:ascii="Arial" w:hAnsi="Arial" w:cs="Arial"/>
          <w:lang w:eastAsia="en-AU"/>
        </w:rPr>
        <w:t xml:space="preserve">Importantly, the evaluation itself is a key accountability mechanism to ensure stakeholders are held to account for implementing what was expected and agreed under the Plan. Regular public progress reporting, as outlined in </w:t>
      </w:r>
      <w:r w:rsidR="00D86F19" w:rsidRPr="00995C5A">
        <w:rPr>
          <w:rFonts w:ascii="Arial" w:hAnsi="Arial" w:cs="Arial"/>
          <w:lang w:eastAsia="en-AU"/>
        </w:rPr>
        <w:t>S</w:t>
      </w:r>
      <w:r w:rsidRPr="00995C5A">
        <w:rPr>
          <w:rFonts w:ascii="Arial" w:hAnsi="Arial" w:cs="Arial"/>
          <w:lang w:eastAsia="en-AU"/>
        </w:rPr>
        <w:t xml:space="preserve">ection </w:t>
      </w:r>
      <w:r w:rsidR="00102D36">
        <w:rPr>
          <w:rFonts w:ascii="Arial" w:hAnsi="Arial" w:cs="Arial"/>
          <w:lang w:eastAsia="en-AU"/>
        </w:rPr>
        <w:fldChar w:fldCharType="begin"/>
      </w:r>
      <w:r w:rsidR="00102D36">
        <w:rPr>
          <w:rFonts w:ascii="Arial" w:hAnsi="Arial" w:cs="Arial"/>
          <w:lang w:eastAsia="en-AU"/>
        </w:rPr>
        <w:instrText xml:space="preserve"> REF _Ref97882249 \r \h </w:instrText>
      </w:r>
      <w:r w:rsidR="00102D36">
        <w:rPr>
          <w:rFonts w:ascii="Arial" w:hAnsi="Arial" w:cs="Arial"/>
          <w:lang w:eastAsia="en-AU"/>
        </w:rPr>
      </w:r>
      <w:r w:rsidR="00102D36">
        <w:rPr>
          <w:rFonts w:ascii="Arial" w:hAnsi="Arial" w:cs="Arial"/>
          <w:lang w:eastAsia="en-AU"/>
        </w:rPr>
        <w:fldChar w:fldCharType="separate"/>
      </w:r>
      <w:r w:rsidR="00CF19E2">
        <w:rPr>
          <w:rFonts w:ascii="Arial" w:hAnsi="Arial" w:cs="Arial"/>
          <w:lang w:eastAsia="en-AU"/>
        </w:rPr>
        <w:t>3</w:t>
      </w:r>
      <w:r w:rsidR="00102D36">
        <w:rPr>
          <w:rFonts w:ascii="Arial" w:hAnsi="Arial" w:cs="Arial"/>
          <w:lang w:eastAsia="en-AU"/>
        </w:rPr>
        <w:fldChar w:fldCharType="end"/>
      </w:r>
      <w:r w:rsidRPr="00995C5A">
        <w:rPr>
          <w:rFonts w:ascii="Arial" w:hAnsi="Arial" w:cs="Arial"/>
          <w:lang w:eastAsia="en-AU"/>
        </w:rPr>
        <w:t>, helps to ensure transparency in process and outcomes.</w:t>
      </w:r>
    </w:p>
    <w:p w14:paraId="7960FF17" w14:textId="10F31981" w:rsidR="00160004" w:rsidRDefault="00160004" w:rsidP="002826C0">
      <w:pPr>
        <w:pStyle w:val="Heading1"/>
        <w:numPr>
          <w:ilvl w:val="0"/>
          <w:numId w:val="0"/>
        </w:numPr>
        <w:ind w:left="567" w:hanging="567"/>
      </w:pPr>
      <w:bookmarkStart w:id="48" w:name="_Toc121303900"/>
      <w:r>
        <w:lastRenderedPageBreak/>
        <w:t>Glossary</w:t>
      </w:r>
      <w:bookmarkEnd w:id="48"/>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065"/>
        <w:gridCol w:w="4948"/>
        <w:gridCol w:w="2196"/>
      </w:tblGrid>
      <w:tr w:rsidR="00CC68E6" w:rsidRPr="00060280" w14:paraId="61BEF172" w14:textId="77777777" w:rsidTr="00060280">
        <w:trPr>
          <w:cnfStyle w:val="100000000000" w:firstRow="1" w:lastRow="0" w:firstColumn="0" w:lastColumn="0" w:oddVBand="0" w:evenVBand="0" w:oddHBand="0" w:evenHBand="0" w:firstRowFirstColumn="0" w:firstRowLastColumn="0" w:lastRowFirstColumn="0" w:lastRowLastColumn="0"/>
          <w:trHeight w:val="258"/>
          <w:tblHeader/>
        </w:trPr>
        <w:tc>
          <w:tcPr>
            <w:tcW w:w="2065" w:type="dxa"/>
            <w:shd w:val="clear" w:color="auto" w:fill="3F4A75"/>
          </w:tcPr>
          <w:bookmarkEnd w:id="38"/>
          <w:p w14:paraId="61BD9C1B" w14:textId="77777777" w:rsidR="00CC68E6" w:rsidRPr="00060280" w:rsidRDefault="00CC68E6" w:rsidP="00060280">
            <w:pPr>
              <w:pStyle w:val="TableNheader"/>
            </w:pPr>
            <w:r w:rsidRPr="00060280">
              <w:t>Term</w:t>
            </w:r>
          </w:p>
        </w:tc>
        <w:tc>
          <w:tcPr>
            <w:tcW w:w="4948" w:type="dxa"/>
            <w:shd w:val="clear" w:color="auto" w:fill="3F4A75"/>
          </w:tcPr>
          <w:p w14:paraId="421AB311" w14:textId="77777777" w:rsidR="00CC68E6" w:rsidRPr="00060280" w:rsidRDefault="00CC68E6" w:rsidP="00060280">
            <w:pPr>
              <w:pStyle w:val="TableNheader"/>
            </w:pPr>
            <w:r w:rsidRPr="00060280">
              <w:t>Definition</w:t>
            </w:r>
          </w:p>
        </w:tc>
        <w:tc>
          <w:tcPr>
            <w:tcW w:w="2196" w:type="dxa"/>
            <w:shd w:val="clear" w:color="auto" w:fill="3F4A75"/>
          </w:tcPr>
          <w:p w14:paraId="1554654D" w14:textId="08BC6C27" w:rsidR="00CC68E6" w:rsidRPr="00060280" w:rsidRDefault="00CC68E6" w:rsidP="00060280">
            <w:pPr>
              <w:pStyle w:val="TableNheader"/>
            </w:pPr>
            <w:r w:rsidRPr="00060280">
              <w:t>Reference</w:t>
            </w:r>
          </w:p>
        </w:tc>
      </w:tr>
      <w:tr w:rsidR="001F22D8" w:rsidRPr="00060280" w14:paraId="51A67E5C" w14:textId="77777777" w:rsidTr="007634AF">
        <w:trPr>
          <w:trHeight w:val="290"/>
        </w:trPr>
        <w:tc>
          <w:tcPr>
            <w:tcW w:w="2065" w:type="dxa"/>
            <w:shd w:val="clear" w:color="auto" w:fill="E6E6E6"/>
          </w:tcPr>
          <w:p w14:paraId="6292A574" w14:textId="67782A35" w:rsidR="001F22D8" w:rsidRPr="00060280" w:rsidRDefault="001F22D8" w:rsidP="00060280">
            <w:r w:rsidRPr="00060280">
              <w:t>Antenatal care</w:t>
            </w:r>
          </w:p>
        </w:tc>
        <w:tc>
          <w:tcPr>
            <w:tcW w:w="4948" w:type="dxa"/>
            <w:shd w:val="clear" w:color="auto" w:fill="F5F5F5"/>
          </w:tcPr>
          <w:p w14:paraId="2EE239B8" w14:textId="152E3295" w:rsidR="001F22D8" w:rsidRPr="00060280" w:rsidRDefault="001F22D8" w:rsidP="00060280">
            <w:r w:rsidRPr="00060280">
              <w:t>Planned visit between a pregnant woman and a midwife or doctor to assess and improve the wellbeing of the mother and baby throughout pregnancy. It does not include visits where the sole purpose is to confirm the pregnancy</w:t>
            </w:r>
          </w:p>
        </w:tc>
        <w:tc>
          <w:tcPr>
            <w:tcW w:w="2196" w:type="dxa"/>
            <w:shd w:val="clear" w:color="auto" w:fill="F5F5F5"/>
          </w:tcPr>
          <w:p w14:paraId="37CD14DF" w14:textId="22FA6EC5" w:rsidR="001F22D8" w:rsidRPr="00060280" w:rsidRDefault="00494FBA" w:rsidP="00060280">
            <w:r w:rsidRPr="00060280">
              <w:t>AIHW (2021) Antenatal Care. Available</w:t>
            </w:r>
            <w:hyperlink r:id="rId39" w:history="1">
              <w:r w:rsidRPr="00060280">
                <w:rPr>
                  <w:rStyle w:val="Hyperlink"/>
                </w:rPr>
                <w:t xml:space="preserve"> here</w:t>
              </w:r>
            </w:hyperlink>
            <w:r w:rsidRPr="00060280">
              <w:t xml:space="preserve">. </w:t>
            </w:r>
          </w:p>
        </w:tc>
      </w:tr>
      <w:tr w:rsidR="00CC68E6" w:rsidRPr="00060280" w14:paraId="1829C64B" w14:textId="77777777" w:rsidTr="007634AF">
        <w:trPr>
          <w:trHeight w:val="290"/>
        </w:trPr>
        <w:tc>
          <w:tcPr>
            <w:tcW w:w="2065" w:type="dxa"/>
            <w:shd w:val="clear" w:color="auto" w:fill="E6E6E6"/>
            <w:hideMark/>
          </w:tcPr>
          <w:p w14:paraId="75417E46" w14:textId="77777777" w:rsidR="00CC68E6" w:rsidRPr="00060280" w:rsidRDefault="00CC68E6" w:rsidP="00060280">
            <w:r w:rsidRPr="00060280">
              <w:t>Antenatal or antepartum</w:t>
            </w:r>
          </w:p>
        </w:tc>
        <w:tc>
          <w:tcPr>
            <w:tcW w:w="4948" w:type="dxa"/>
            <w:shd w:val="clear" w:color="auto" w:fill="F5F5F5"/>
          </w:tcPr>
          <w:p w14:paraId="6C9637CA" w14:textId="77777777" w:rsidR="00CC68E6" w:rsidRPr="00060280" w:rsidRDefault="00CC68E6" w:rsidP="00060280">
            <w:r w:rsidRPr="00060280">
              <w:t xml:space="preserve">The period covering conception up to the time of birth. </w:t>
            </w:r>
          </w:p>
        </w:tc>
        <w:tc>
          <w:tcPr>
            <w:tcW w:w="2196" w:type="dxa"/>
            <w:shd w:val="clear" w:color="auto" w:fill="F5F5F5"/>
          </w:tcPr>
          <w:p w14:paraId="59E74408" w14:textId="77777777" w:rsidR="00CC68E6" w:rsidRPr="00060280" w:rsidRDefault="00CC68E6" w:rsidP="00060280">
            <w:r w:rsidRPr="00060280">
              <w:t>AIHW (2017)</w:t>
            </w:r>
          </w:p>
        </w:tc>
      </w:tr>
      <w:tr w:rsidR="00CC68E6" w:rsidRPr="00060280" w14:paraId="70D5C4EF" w14:textId="77777777" w:rsidTr="007634AF">
        <w:trPr>
          <w:trHeight w:val="290"/>
        </w:trPr>
        <w:tc>
          <w:tcPr>
            <w:tcW w:w="2065" w:type="dxa"/>
            <w:shd w:val="clear" w:color="auto" w:fill="E6E6E6"/>
            <w:hideMark/>
          </w:tcPr>
          <w:p w14:paraId="15A8E77E" w14:textId="77777777" w:rsidR="00CC68E6" w:rsidRPr="00060280" w:rsidRDefault="00CC68E6" w:rsidP="00060280">
            <w:r w:rsidRPr="00060280">
              <w:t>Antepartum stillbirth or death</w:t>
            </w:r>
          </w:p>
        </w:tc>
        <w:tc>
          <w:tcPr>
            <w:tcW w:w="4948" w:type="dxa"/>
            <w:shd w:val="clear" w:color="auto" w:fill="F5F5F5"/>
          </w:tcPr>
          <w:p w14:paraId="0BC581C0" w14:textId="77777777" w:rsidR="00CC68E6" w:rsidRPr="00060280" w:rsidRDefault="00CC68E6" w:rsidP="00060280">
            <w:proofErr w:type="spellStart"/>
            <w:r w:rsidRPr="00060280">
              <w:t>Fetal</w:t>
            </w:r>
            <w:proofErr w:type="spellEnd"/>
            <w:r w:rsidRPr="00060280">
              <w:t xml:space="preserve"> death occurring prior to labour and/or birth.</w:t>
            </w:r>
          </w:p>
        </w:tc>
        <w:tc>
          <w:tcPr>
            <w:tcW w:w="2196" w:type="dxa"/>
            <w:shd w:val="clear" w:color="auto" w:fill="F5F5F5"/>
          </w:tcPr>
          <w:p w14:paraId="330F6656" w14:textId="7C782F6A" w:rsidR="00CC68E6" w:rsidRPr="00060280" w:rsidRDefault="00361950" w:rsidP="00060280">
            <w:r w:rsidRPr="00060280">
              <w:t>AIHW (2021) Antenatal Care. Available</w:t>
            </w:r>
            <w:hyperlink r:id="rId40" w:history="1">
              <w:r w:rsidRPr="00060280">
                <w:rPr>
                  <w:rStyle w:val="Hyperlink"/>
                </w:rPr>
                <w:t xml:space="preserve"> here</w:t>
              </w:r>
            </w:hyperlink>
            <w:r w:rsidRPr="00060280">
              <w:t>.</w:t>
            </w:r>
          </w:p>
        </w:tc>
      </w:tr>
      <w:tr w:rsidR="00CC68E6" w:rsidRPr="00060280" w14:paraId="0FF96B3D" w14:textId="77777777" w:rsidTr="007634AF">
        <w:trPr>
          <w:trHeight w:val="290"/>
        </w:trPr>
        <w:tc>
          <w:tcPr>
            <w:tcW w:w="2065" w:type="dxa"/>
            <w:shd w:val="clear" w:color="auto" w:fill="E6E6E6"/>
            <w:hideMark/>
          </w:tcPr>
          <w:p w14:paraId="53F100E8" w14:textId="77777777" w:rsidR="00CC68E6" w:rsidRPr="00060280" w:rsidRDefault="00CC68E6" w:rsidP="00060280">
            <w:r w:rsidRPr="00060280">
              <w:t>Bereavement care</w:t>
            </w:r>
          </w:p>
        </w:tc>
        <w:tc>
          <w:tcPr>
            <w:tcW w:w="4948" w:type="dxa"/>
            <w:shd w:val="clear" w:color="auto" w:fill="F5F5F5"/>
          </w:tcPr>
          <w:p w14:paraId="5FBC9653" w14:textId="77777777" w:rsidR="00CC68E6" w:rsidRPr="00060280" w:rsidRDefault="00CC68E6" w:rsidP="00060280">
            <w:r w:rsidRPr="00060280">
              <w:t xml:space="preserve">Bereavement describes the entire experience of family members and friends in the anticipation of death and subsequent adjustment to living following the death of a loved one. Bereavement is an individualised experience that requires a tailored care approach. </w:t>
            </w:r>
          </w:p>
          <w:p w14:paraId="60DFEA62" w14:textId="77777777" w:rsidR="00CC68E6" w:rsidRPr="00060280" w:rsidRDefault="00CC68E6" w:rsidP="00060280">
            <w:r w:rsidRPr="00060280">
              <w:t>Care may be physical, psychosocial, or emotional and should be tailored to the individual needs of the client. Care should be based on the principles outlined by SANDS Australia:</w:t>
            </w:r>
          </w:p>
          <w:p w14:paraId="092F9197" w14:textId="77777777" w:rsidR="00CC68E6" w:rsidRPr="00060280" w:rsidRDefault="00CC68E6" w:rsidP="00060280">
            <w:pPr>
              <w:pStyle w:val="TableNBullet"/>
            </w:pPr>
            <w:r w:rsidRPr="00060280">
              <w:t>Individualised</w:t>
            </w:r>
          </w:p>
          <w:p w14:paraId="00F0F51F" w14:textId="77777777" w:rsidR="00CC68E6" w:rsidRPr="00060280" w:rsidRDefault="00CC68E6" w:rsidP="00060280">
            <w:pPr>
              <w:pStyle w:val="TableNBullet"/>
            </w:pPr>
            <w:r w:rsidRPr="00060280">
              <w:t>Good communication</w:t>
            </w:r>
          </w:p>
          <w:p w14:paraId="36F860A2" w14:textId="77777777" w:rsidR="00CC68E6" w:rsidRPr="00060280" w:rsidRDefault="00CC68E6" w:rsidP="00060280">
            <w:pPr>
              <w:pStyle w:val="TableNBullet"/>
            </w:pPr>
            <w:r w:rsidRPr="00060280">
              <w:t>Shared decision making</w:t>
            </w:r>
          </w:p>
          <w:p w14:paraId="719FED6F" w14:textId="77777777" w:rsidR="00CC68E6" w:rsidRPr="00060280" w:rsidRDefault="00CC68E6" w:rsidP="00060280">
            <w:pPr>
              <w:pStyle w:val="TableNBullet"/>
            </w:pPr>
            <w:r w:rsidRPr="00060280">
              <w:t>Recognition of parenthood</w:t>
            </w:r>
          </w:p>
          <w:p w14:paraId="1F64A4AD" w14:textId="77777777" w:rsidR="00CC68E6" w:rsidRPr="00060280" w:rsidRDefault="00CC68E6" w:rsidP="00060280">
            <w:pPr>
              <w:pStyle w:val="TableNBullet"/>
            </w:pPr>
            <w:r w:rsidRPr="00060280">
              <w:t>Acknowledging a partner’s and family’s grief</w:t>
            </w:r>
          </w:p>
          <w:p w14:paraId="730E434E" w14:textId="77777777" w:rsidR="00CC68E6" w:rsidRPr="00060280" w:rsidRDefault="00CC68E6" w:rsidP="00060280">
            <w:pPr>
              <w:pStyle w:val="TableNBullet"/>
            </w:pPr>
            <w:r w:rsidRPr="00060280">
              <w:t>Acknowledging grief is individual</w:t>
            </w:r>
          </w:p>
          <w:p w14:paraId="05390BF7" w14:textId="77777777" w:rsidR="00CC68E6" w:rsidRPr="00060280" w:rsidRDefault="00CC68E6" w:rsidP="00060280">
            <w:pPr>
              <w:pStyle w:val="TableNBullet"/>
            </w:pPr>
            <w:r w:rsidRPr="00060280">
              <w:t xml:space="preserve">Awareness of burials, </w:t>
            </w:r>
            <w:proofErr w:type="gramStart"/>
            <w:r w:rsidRPr="00060280">
              <w:t>cremations</w:t>
            </w:r>
            <w:proofErr w:type="gramEnd"/>
            <w:r w:rsidRPr="00060280">
              <w:t xml:space="preserve"> and funerals</w:t>
            </w:r>
          </w:p>
          <w:p w14:paraId="788CA352" w14:textId="77777777" w:rsidR="00CC68E6" w:rsidRPr="00060280" w:rsidRDefault="00CC68E6" w:rsidP="00060280">
            <w:pPr>
              <w:pStyle w:val="TableNBullet"/>
            </w:pPr>
            <w:r w:rsidRPr="00060280">
              <w:t>Ongoing emotional and practical support</w:t>
            </w:r>
          </w:p>
          <w:p w14:paraId="46B96698" w14:textId="77777777" w:rsidR="00CC68E6" w:rsidRPr="00060280" w:rsidDel="00350667" w:rsidRDefault="00CC68E6" w:rsidP="00060280">
            <w:pPr>
              <w:pStyle w:val="TableNBullet"/>
            </w:pPr>
            <w:r w:rsidRPr="00060280">
              <w:t>Health professionals trained in bereavement care</w:t>
            </w:r>
          </w:p>
          <w:p w14:paraId="4C0F8130" w14:textId="1C716EEE" w:rsidR="00CC68E6" w:rsidRPr="00060280" w:rsidRDefault="00CC68E6" w:rsidP="00060280">
            <w:pPr>
              <w:pStyle w:val="TableNBullet"/>
            </w:pPr>
            <w:r w:rsidRPr="00060280">
              <w:t xml:space="preserve">Health professionals with access to self-care </w:t>
            </w:r>
          </w:p>
        </w:tc>
        <w:tc>
          <w:tcPr>
            <w:tcW w:w="2196" w:type="dxa"/>
            <w:shd w:val="clear" w:color="auto" w:fill="F5F5F5"/>
          </w:tcPr>
          <w:p w14:paraId="09DBFF48" w14:textId="29BFEA06" w:rsidR="00CC68E6" w:rsidRPr="00060280" w:rsidRDefault="00CC68E6" w:rsidP="00060280">
            <w:r w:rsidRPr="00060280">
              <w:t xml:space="preserve">SANDS (2018) Principles of Bereavement Care (2018). Available </w:t>
            </w:r>
            <w:hyperlink r:id="rId41" w:history="1">
              <w:r w:rsidRPr="00060280">
                <w:rPr>
                  <w:rStyle w:val="Hyperlink"/>
                </w:rPr>
                <w:t>here</w:t>
              </w:r>
            </w:hyperlink>
            <w:r w:rsidRPr="00060280">
              <w:t xml:space="preserve">. </w:t>
            </w:r>
          </w:p>
          <w:p w14:paraId="57DD35C3" w14:textId="77777777" w:rsidR="00CC68E6" w:rsidRPr="00060280" w:rsidRDefault="00CC68E6" w:rsidP="00060280"/>
          <w:p w14:paraId="5C64540D" w14:textId="4281AD0A" w:rsidR="00CC68E6" w:rsidRPr="00060280" w:rsidRDefault="00CC68E6" w:rsidP="00060280">
            <w:r w:rsidRPr="00060280">
              <w:t xml:space="preserve">Health Service Executive (2016) National Standards for Bereavement Care Following Pregnancy Loss and Perinatal Death. Version 1.15. Available </w:t>
            </w:r>
            <w:hyperlink r:id="rId42" w:history="1">
              <w:r w:rsidRPr="00060280">
                <w:rPr>
                  <w:rStyle w:val="Hyperlink"/>
                </w:rPr>
                <w:t>here</w:t>
              </w:r>
            </w:hyperlink>
            <w:r w:rsidR="003D26B0" w:rsidRPr="00060280">
              <w:t xml:space="preserve">. </w:t>
            </w:r>
          </w:p>
        </w:tc>
      </w:tr>
      <w:tr w:rsidR="00CC68E6" w:rsidRPr="00060280" w14:paraId="0BF7637F" w14:textId="77777777" w:rsidTr="007634AF">
        <w:trPr>
          <w:trHeight w:val="290"/>
        </w:trPr>
        <w:tc>
          <w:tcPr>
            <w:tcW w:w="2065" w:type="dxa"/>
            <w:shd w:val="clear" w:color="auto" w:fill="E6E6E6"/>
            <w:hideMark/>
          </w:tcPr>
          <w:p w14:paraId="6E93C7F1" w14:textId="77777777" w:rsidR="00CC68E6" w:rsidRPr="00060280" w:rsidRDefault="00CC68E6" w:rsidP="00060280">
            <w:r w:rsidRPr="00060280">
              <w:t>Birth status</w:t>
            </w:r>
          </w:p>
        </w:tc>
        <w:tc>
          <w:tcPr>
            <w:tcW w:w="4948" w:type="dxa"/>
            <w:shd w:val="clear" w:color="auto" w:fill="F5F5F5"/>
          </w:tcPr>
          <w:p w14:paraId="366A5F03" w14:textId="77777777" w:rsidR="00CC68E6" w:rsidRPr="00060280" w:rsidRDefault="00CC68E6" w:rsidP="00060280">
            <w:r w:rsidRPr="00060280">
              <w:t>Status of the baby immediately after birth (stillborn or live born).</w:t>
            </w:r>
          </w:p>
        </w:tc>
        <w:tc>
          <w:tcPr>
            <w:tcW w:w="2196" w:type="dxa"/>
            <w:shd w:val="clear" w:color="auto" w:fill="F5F5F5"/>
          </w:tcPr>
          <w:p w14:paraId="29CBD6AD" w14:textId="03D82FB4" w:rsidR="00CC68E6" w:rsidRPr="00060280" w:rsidRDefault="00CC68E6" w:rsidP="00060280">
            <w:r w:rsidRPr="00060280">
              <w:t xml:space="preserve">AIHW (2020). Australia’s mother and babies; 2018 in brief. Available </w:t>
            </w:r>
            <w:hyperlink r:id="rId43" w:history="1">
              <w:r w:rsidR="00974A9D" w:rsidRPr="00060280">
                <w:rPr>
                  <w:rStyle w:val="Hyperlink"/>
                </w:rPr>
                <w:t>here</w:t>
              </w:r>
            </w:hyperlink>
            <w:r w:rsidR="00974A9D" w:rsidRPr="00060280">
              <w:t>.</w:t>
            </w:r>
          </w:p>
        </w:tc>
      </w:tr>
      <w:tr w:rsidR="00CC68E6" w:rsidRPr="00060280" w14:paraId="3F4C533B" w14:textId="77777777" w:rsidTr="007634AF">
        <w:trPr>
          <w:trHeight w:val="290"/>
        </w:trPr>
        <w:tc>
          <w:tcPr>
            <w:tcW w:w="2065" w:type="dxa"/>
            <w:shd w:val="clear" w:color="auto" w:fill="E6E6E6"/>
            <w:hideMark/>
          </w:tcPr>
          <w:p w14:paraId="2CB0BEE7" w14:textId="77777777" w:rsidR="00CC68E6" w:rsidRPr="00060280" w:rsidRDefault="00CC68E6" w:rsidP="00060280">
            <w:r w:rsidRPr="00060280">
              <w:t>Birthing on country</w:t>
            </w:r>
          </w:p>
        </w:tc>
        <w:tc>
          <w:tcPr>
            <w:tcW w:w="4948" w:type="dxa"/>
            <w:shd w:val="clear" w:color="auto" w:fill="F5F5F5"/>
          </w:tcPr>
          <w:p w14:paraId="13986D80" w14:textId="77777777" w:rsidR="00CC68E6" w:rsidRPr="00060280" w:rsidRDefault="00CC68E6" w:rsidP="00060280">
            <w:r w:rsidRPr="00060280">
              <w:t xml:space="preserve">Birthing on Country is a model of care and a principles-based approach to antenatal, </w:t>
            </w:r>
            <w:proofErr w:type="gramStart"/>
            <w:r w:rsidRPr="00060280">
              <w:t>intrapartum</w:t>
            </w:r>
            <w:proofErr w:type="gramEnd"/>
            <w:r w:rsidRPr="00060280">
              <w:t xml:space="preserve"> and postnatal care. It can be described as maternity </w:t>
            </w:r>
            <w:r w:rsidRPr="00060280">
              <w:lastRenderedPageBreak/>
              <w:t xml:space="preserve">services that are designed, developed, </w:t>
            </w:r>
            <w:proofErr w:type="gramStart"/>
            <w:r w:rsidRPr="00060280">
              <w:t>delivered</w:t>
            </w:r>
            <w:proofErr w:type="gramEnd"/>
            <w:r w:rsidRPr="00060280">
              <w:t xml:space="preserve"> and evaluated for and with Aboriginal and Torres Strait Islander women that encompass some or all of the following:</w:t>
            </w:r>
          </w:p>
          <w:p w14:paraId="59AD8936" w14:textId="77777777" w:rsidR="00CC68E6" w:rsidRPr="00060280" w:rsidRDefault="00CC68E6" w:rsidP="00060280">
            <w:pPr>
              <w:pStyle w:val="TableNBullet"/>
            </w:pPr>
            <w:r w:rsidRPr="00060280">
              <w:t xml:space="preserve">community based and governed (Aboriginal Community Controlled Health sector) </w:t>
            </w:r>
          </w:p>
          <w:p w14:paraId="7175C1EB" w14:textId="77777777" w:rsidR="00CC68E6" w:rsidRPr="00060280" w:rsidRDefault="00CC68E6" w:rsidP="00060280">
            <w:pPr>
              <w:pStyle w:val="TableNBullet"/>
            </w:pPr>
            <w:r w:rsidRPr="00060280">
              <w:t xml:space="preserve">provide for inclusion of traditional practices </w:t>
            </w:r>
          </w:p>
          <w:p w14:paraId="4D9D4463" w14:textId="77777777" w:rsidR="00CC68E6" w:rsidRPr="00060280" w:rsidRDefault="00CC68E6" w:rsidP="00060280">
            <w:pPr>
              <w:pStyle w:val="TableNBullet"/>
            </w:pPr>
            <w:r w:rsidRPr="00060280">
              <w:t xml:space="preserve">involve connections with land and country </w:t>
            </w:r>
          </w:p>
          <w:p w14:paraId="25557916" w14:textId="77777777" w:rsidR="00CC68E6" w:rsidRPr="00060280" w:rsidRDefault="00CC68E6" w:rsidP="00060280">
            <w:pPr>
              <w:pStyle w:val="TableNBullet"/>
            </w:pPr>
            <w:r w:rsidRPr="00060280">
              <w:t xml:space="preserve">incorporate a holistic definition of health </w:t>
            </w:r>
          </w:p>
          <w:p w14:paraId="5B1302C7" w14:textId="34E5189E" w:rsidR="00CC68E6" w:rsidRPr="00060280" w:rsidRDefault="00CC68E6" w:rsidP="00060280">
            <w:pPr>
              <w:pStyle w:val="TableNBullet"/>
            </w:pPr>
            <w:r w:rsidRPr="00060280">
              <w:t xml:space="preserve">value Aboriginal and Torres Strait Islander and other, ways of knowing and learning </w:t>
            </w:r>
          </w:p>
          <w:p w14:paraId="035E7892" w14:textId="44E9310B" w:rsidR="00CC68E6" w:rsidRPr="00060280" w:rsidRDefault="00CC68E6" w:rsidP="00060280">
            <w:pPr>
              <w:pStyle w:val="TableNBullet"/>
            </w:pPr>
            <w:r w:rsidRPr="00060280">
              <w:t>encompasses risk assessment and service delivery and are culturally competent</w:t>
            </w:r>
            <w:r w:rsidR="00A1439B" w:rsidRPr="00060280">
              <w:t>.</w:t>
            </w:r>
          </w:p>
        </w:tc>
        <w:tc>
          <w:tcPr>
            <w:tcW w:w="2196" w:type="dxa"/>
            <w:shd w:val="clear" w:color="auto" w:fill="F5F5F5"/>
          </w:tcPr>
          <w:p w14:paraId="016198AD" w14:textId="2D232625" w:rsidR="00CC68E6" w:rsidRPr="00060280" w:rsidRDefault="00CC68E6" w:rsidP="00060280">
            <w:proofErr w:type="spellStart"/>
            <w:r w:rsidRPr="00060280">
              <w:lastRenderedPageBreak/>
              <w:t>Kildea</w:t>
            </w:r>
            <w:proofErr w:type="spellEnd"/>
            <w:r w:rsidRPr="00060280">
              <w:t xml:space="preserve"> et al (2019). Reducing preterm birth amongst </w:t>
            </w:r>
            <w:r w:rsidRPr="00060280">
              <w:lastRenderedPageBreak/>
              <w:t xml:space="preserve">Aboriginal and Torres Strait Islander babies: A prospective cohort study, Brisbane, Australia. </w:t>
            </w:r>
            <w:proofErr w:type="spellStart"/>
            <w:r w:rsidRPr="00060280">
              <w:t>EClinicalMedicine</w:t>
            </w:r>
            <w:proofErr w:type="spellEnd"/>
            <w:r w:rsidRPr="00060280">
              <w:t xml:space="preserve">, 12, 43-51. </w:t>
            </w:r>
          </w:p>
          <w:p w14:paraId="182ADC26" w14:textId="17AAC26B" w:rsidR="00CC68E6" w:rsidRPr="00060280" w:rsidRDefault="00CC68E6" w:rsidP="00060280">
            <w:r w:rsidRPr="00060280">
              <w:t>RISE framework | Charles Darwin University</w:t>
            </w:r>
            <w:r w:rsidR="00974A9D" w:rsidRPr="00060280">
              <w:t xml:space="preserve"> (n.d.) RISE Framework. Available </w:t>
            </w:r>
            <w:hyperlink r:id="rId44" w:history="1">
              <w:r w:rsidR="00974A9D" w:rsidRPr="00060280">
                <w:rPr>
                  <w:rStyle w:val="Hyperlink"/>
                </w:rPr>
                <w:t>here</w:t>
              </w:r>
            </w:hyperlink>
            <w:r w:rsidR="00974A9D" w:rsidRPr="00060280">
              <w:t xml:space="preserve">. </w:t>
            </w:r>
          </w:p>
        </w:tc>
      </w:tr>
      <w:tr w:rsidR="00CC68E6" w:rsidRPr="00060280" w14:paraId="3ED123FE" w14:textId="77777777" w:rsidTr="007634AF">
        <w:trPr>
          <w:trHeight w:val="290"/>
        </w:trPr>
        <w:tc>
          <w:tcPr>
            <w:tcW w:w="2065" w:type="dxa"/>
            <w:shd w:val="clear" w:color="auto" w:fill="E6E6E6"/>
            <w:hideMark/>
          </w:tcPr>
          <w:p w14:paraId="6E21D0F7" w14:textId="77777777" w:rsidR="00CC68E6" w:rsidRPr="00060280" w:rsidRDefault="00CC68E6" w:rsidP="00060280">
            <w:r w:rsidRPr="00060280">
              <w:lastRenderedPageBreak/>
              <w:t>Clinical guidelines</w:t>
            </w:r>
          </w:p>
        </w:tc>
        <w:tc>
          <w:tcPr>
            <w:tcW w:w="4948" w:type="dxa"/>
            <w:shd w:val="clear" w:color="auto" w:fill="F5F5F5"/>
          </w:tcPr>
          <w:p w14:paraId="225A83AD" w14:textId="77777777" w:rsidR="00CC68E6" w:rsidRPr="00060280" w:rsidRDefault="00CC68E6" w:rsidP="00060280">
            <w:r w:rsidRPr="00060280">
              <w:t>Systematically developed statements to assist practitioner and patient decisions about appropriate health care for specific clinical circumstances.</w:t>
            </w:r>
          </w:p>
        </w:tc>
        <w:tc>
          <w:tcPr>
            <w:tcW w:w="2196" w:type="dxa"/>
            <w:shd w:val="clear" w:color="auto" w:fill="F5F5F5"/>
          </w:tcPr>
          <w:p w14:paraId="057A45B7" w14:textId="6A21CA50" w:rsidR="00CC68E6" w:rsidRPr="00060280" w:rsidRDefault="00074D13" w:rsidP="00060280">
            <w:r w:rsidRPr="00060280">
              <w:t xml:space="preserve">Department of Health </w:t>
            </w:r>
            <w:r w:rsidR="00A42E65">
              <w:t xml:space="preserve">and Aged Care </w:t>
            </w:r>
            <w:r w:rsidRPr="00060280">
              <w:t xml:space="preserve">(2011). Glossary and references for the National Maternity Services Plan 2010. Available </w:t>
            </w:r>
            <w:hyperlink r:id="rId45" w:history="1">
              <w:r w:rsidRPr="00060280">
                <w:rPr>
                  <w:rStyle w:val="Hyperlink"/>
                </w:rPr>
                <w:t>here</w:t>
              </w:r>
            </w:hyperlink>
            <w:r w:rsidRPr="00060280">
              <w:t>.</w:t>
            </w:r>
          </w:p>
        </w:tc>
      </w:tr>
      <w:tr w:rsidR="00CC68E6" w:rsidRPr="00060280" w14:paraId="2A3E4EE2" w14:textId="77777777" w:rsidTr="007634AF">
        <w:trPr>
          <w:trHeight w:val="500"/>
        </w:trPr>
        <w:tc>
          <w:tcPr>
            <w:tcW w:w="2065" w:type="dxa"/>
            <w:shd w:val="clear" w:color="auto" w:fill="E6E6E6"/>
            <w:hideMark/>
          </w:tcPr>
          <w:p w14:paraId="785EAF0C" w14:textId="77777777" w:rsidR="00CC68E6" w:rsidRPr="00060280" w:rsidRDefault="00CC68E6" w:rsidP="00060280">
            <w:r w:rsidRPr="00060280">
              <w:t>Congenital abnormality or anomaly</w:t>
            </w:r>
          </w:p>
        </w:tc>
        <w:tc>
          <w:tcPr>
            <w:tcW w:w="4948" w:type="dxa"/>
            <w:shd w:val="clear" w:color="auto" w:fill="F5F5F5"/>
          </w:tcPr>
          <w:p w14:paraId="636E4F27" w14:textId="77777777" w:rsidR="00CC68E6" w:rsidRPr="00060280" w:rsidRDefault="00CC68E6" w:rsidP="00060280">
            <w:r w:rsidRPr="00060280">
              <w:t xml:space="preserve">Deaths in which a congenital anomaly in the baby (whether structural, </w:t>
            </w:r>
            <w:proofErr w:type="gramStart"/>
            <w:r w:rsidRPr="00060280">
              <w:t>functional</w:t>
            </w:r>
            <w:proofErr w:type="gramEnd"/>
            <w:r w:rsidRPr="00060280">
              <w:t xml:space="preserve"> or chromosomal) is considered to have been of major importance in the cause of the death.</w:t>
            </w:r>
          </w:p>
        </w:tc>
        <w:tc>
          <w:tcPr>
            <w:tcW w:w="2196" w:type="dxa"/>
            <w:shd w:val="clear" w:color="auto" w:fill="F5F5F5"/>
          </w:tcPr>
          <w:p w14:paraId="19DF654F" w14:textId="1C882877" w:rsidR="00CC68E6" w:rsidRPr="00060280" w:rsidRDefault="00361950" w:rsidP="00060280">
            <w:r w:rsidRPr="00060280">
              <w:t>AIHW (2021) Antenatal Care. Available</w:t>
            </w:r>
            <w:hyperlink r:id="rId46" w:history="1">
              <w:r w:rsidRPr="00060280">
                <w:rPr>
                  <w:rStyle w:val="Hyperlink"/>
                </w:rPr>
                <w:t xml:space="preserve"> here</w:t>
              </w:r>
            </w:hyperlink>
            <w:r w:rsidRPr="00060280">
              <w:t>.</w:t>
            </w:r>
          </w:p>
        </w:tc>
      </w:tr>
      <w:tr w:rsidR="00CC68E6" w:rsidRPr="00060280" w14:paraId="68ADC843" w14:textId="77777777" w:rsidTr="007634AF">
        <w:trPr>
          <w:trHeight w:val="290"/>
        </w:trPr>
        <w:tc>
          <w:tcPr>
            <w:tcW w:w="2065" w:type="dxa"/>
            <w:shd w:val="clear" w:color="auto" w:fill="E6E6E6"/>
            <w:hideMark/>
          </w:tcPr>
          <w:p w14:paraId="3364FD02" w14:textId="77777777" w:rsidR="00CC68E6" w:rsidRPr="00060280" w:rsidRDefault="00CC68E6" w:rsidP="00060280">
            <w:r w:rsidRPr="00060280">
              <w:t>Continuity of care</w:t>
            </w:r>
          </w:p>
        </w:tc>
        <w:tc>
          <w:tcPr>
            <w:tcW w:w="4948" w:type="dxa"/>
            <w:shd w:val="clear" w:color="auto" w:fill="F5F5F5"/>
          </w:tcPr>
          <w:p w14:paraId="444B0573" w14:textId="77777777" w:rsidR="00CC68E6" w:rsidRPr="00060280" w:rsidRDefault="00CC68E6" w:rsidP="00060280">
            <w:r w:rsidRPr="00060280">
              <w:t xml:space="preserve">Ability to provide uninterrupted and integrated care or service across program, </w:t>
            </w:r>
            <w:proofErr w:type="gramStart"/>
            <w:r w:rsidRPr="00060280">
              <w:t>practitioners</w:t>
            </w:r>
            <w:proofErr w:type="gramEnd"/>
            <w:r w:rsidRPr="00060280">
              <w:t xml:space="preserve"> and levels over time. Coordination mechanisms work for mental health consumers, </w:t>
            </w:r>
            <w:proofErr w:type="gramStart"/>
            <w:r w:rsidRPr="00060280">
              <w:t>carers</w:t>
            </w:r>
            <w:proofErr w:type="gramEnd"/>
            <w:r w:rsidRPr="00060280">
              <w:t xml:space="preserve"> and health care providers. Care and support </w:t>
            </w:r>
            <w:proofErr w:type="gramStart"/>
            <w:r w:rsidRPr="00060280">
              <w:t>is</w:t>
            </w:r>
            <w:proofErr w:type="gramEnd"/>
            <w:r w:rsidRPr="00060280">
              <w:t xml:space="preserve"> holistic and includes psychosocial and physical dimensions.</w:t>
            </w:r>
          </w:p>
          <w:p w14:paraId="0D1CF0CF" w14:textId="77777777" w:rsidR="00CC68E6" w:rsidRPr="00060280" w:rsidRDefault="00CC68E6" w:rsidP="00060280">
            <w:r w:rsidRPr="00060280">
              <w:t>This philosophy involves shared understanding of care pathways by all health professionals involved in a women’s care, with the aim of reducing fragmented care and conflicting advice.</w:t>
            </w:r>
          </w:p>
        </w:tc>
        <w:tc>
          <w:tcPr>
            <w:tcW w:w="2196" w:type="dxa"/>
            <w:shd w:val="clear" w:color="auto" w:fill="F5F5F5"/>
          </w:tcPr>
          <w:p w14:paraId="2A4EFB7C" w14:textId="2E8511D5" w:rsidR="00CC68E6" w:rsidRPr="00060280" w:rsidRDefault="00CC68E6" w:rsidP="00060280">
            <w:proofErr w:type="spellStart"/>
            <w:r w:rsidRPr="00060280">
              <w:t>METeOR</w:t>
            </w:r>
            <w:proofErr w:type="spellEnd"/>
            <w:r w:rsidRPr="00060280">
              <w:t xml:space="preserve"> (2020) National Mental Health Performance Framework: Continuity of care. AIHW. Available </w:t>
            </w:r>
            <w:hyperlink r:id="rId47" w:history="1">
              <w:r w:rsidRPr="00060280">
                <w:rPr>
                  <w:rStyle w:val="Hyperlink"/>
                </w:rPr>
                <w:t>here</w:t>
              </w:r>
            </w:hyperlink>
            <w:r w:rsidRPr="00060280">
              <w:t>.</w:t>
            </w:r>
          </w:p>
          <w:p w14:paraId="3312860F" w14:textId="4209DF7C" w:rsidR="00CC68E6" w:rsidRPr="00060280" w:rsidRDefault="00CC68E6" w:rsidP="00060280">
            <w:r w:rsidRPr="00060280">
              <w:t xml:space="preserve">COAG (2019) Woman-centred care: Strategic directions for Australian maternity services. Available </w:t>
            </w:r>
            <w:hyperlink r:id="rId48" w:history="1">
              <w:r w:rsidRPr="00060280">
                <w:rPr>
                  <w:rStyle w:val="Hyperlink"/>
                </w:rPr>
                <w:t>here</w:t>
              </w:r>
            </w:hyperlink>
          </w:p>
        </w:tc>
      </w:tr>
      <w:tr w:rsidR="00CC68E6" w:rsidRPr="00060280" w14:paraId="55D377A6" w14:textId="77777777" w:rsidTr="007634AF">
        <w:trPr>
          <w:trHeight w:val="290"/>
        </w:trPr>
        <w:tc>
          <w:tcPr>
            <w:tcW w:w="2065" w:type="dxa"/>
            <w:shd w:val="clear" w:color="auto" w:fill="E6E6E6"/>
            <w:hideMark/>
          </w:tcPr>
          <w:p w14:paraId="6DE891DF" w14:textId="77777777" w:rsidR="00CC68E6" w:rsidRPr="00060280" w:rsidRDefault="00CC68E6" w:rsidP="00060280">
            <w:r w:rsidRPr="00060280">
              <w:t>Continuity of carer</w:t>
            </w:r>
          </w:p>
        </w:tc>
        <w:tc>
          <w:tcPr>
            <w:tcW w:w="4948" w:type="dxa"/>
            <w:shd w:val="clear" w:color="auto" w:fill="F5F5F5"/>
          </w:tcPr>
          <w:p w14:paraId="0E31088F" w14:textId="77777777" w:rsidR="00CC68E6" w:rsidRPr="00060280" w:rsidRDefault="00CC68E6" w:rsidP="00060280">
            <w:r w:rsidRPr="00060280">
              <w:t xml:space="preserve">Continuity of carer means care provided, over the full length of the episode of care by the same named carer. Relational continuity is provided by the same named caregiver being involved throughout the period of care even when other caregivers are </w:t>
            </w:r>
            <w:r w:rsidRPr="00060280">
              <w:lastRenderedPageBreak/>
              <w:t>required. Other caregivers may be involved in the provision of care, either as a backup to the named carer or to collaborate in the provision of care, however the named carer remains to coordinate and provide ongoing care throughout.</w:t>
            </w:r>
          </w:p>
        </w:tc>
        <w:tc>
          <w:tcPr>
            <w:tcW w:w="2196" w:type="dxa"/>
            <w:shd w:val="clear" w:color="auto" w:fill="F5F5F5"/>
          </w:tcPr>
          <w:p w14:paraId="0A2202D6" w14:textId="0FCF805A" w:rsidR="00CC68E6" w:rsidRPr="00060280" w:rsidRDefault="00CC68E6" w:rsidP="00060280">
            <w:r w:rsidRPr="00060280">
              <w:lastRenderedPageBreak/>
              <w:t xml:space="preserve">COAG (2019) Woman-centred care: Strategic directions for Australian maternity </w:t>
            </w:r>
            <w:r w:rsidRPr="00060280">
              <w:lastRenderedPageBreak/>
              <w:t xml:space="preserve">services. Available </w:t>
            </w:r>
            <w:hyperlink r:id="rId49" w:history="1">
              <w:r w:rsidRPr="00060280">
                <w:rPr>
                  <w:rStyle w:val="Hyperlink"/>
                </w:rPr>
                <w:t>here</w:t>
              </w:r>
            </w:hyperlink>
            <w:r w:rsidR="001A3F75" w:rsidRPr="00060280">
              <w:t>.</w:t>
            </w:r>
          </w:p>
        </w:tc>
      </w:tr>
      <w:tr w:rsidR="00CC68E6" w:rsidRPr="00060280" w14:paraId="6E2B0604" w14:textId="77777777" w:rsidTr="00C638A2">
        <w:trPr>
          <w:trHeight w:val="2864"/>
        </w:trPr>
        <w:tc>
          <w:tcPr>
            <w:tcW w:w="2065" w:type="dxa"/>
            <w:shd w:val="clear" w:color="auto" w:fill="E6E6E6"/>
            <w:hideMark/>
          </w:tcPr>
          <w:p w14:paraId="2CA20614" w14:textId="77777777" w:rsidR="00CC68E6" w:rsidRPr="00060280" w:rsidRDefault="00CC68E6" w:rsidP="00060280">
            <w:r w:rsidRPr="00060280">
              <w:lastRenderedPageBreak/>
              <w:t>Cultural safety</w:t>
            </w:r>
          </w:p>
        </w:tc>
        <w:tc>
          <w:tcPr>
            <w:tcW w:w="4948" w:type="dxa"/>
            <w:shd w:val="clear" w:color="auto" w:fill="F5F5F5"/>
          </w:tcPr>
          <w:p w14:paraId="5ED000E2" w14:textId="77777777" w:rsidR="00CC68E6" w:rsidRPr="00060280" w:rsidRDefault="00CC68E6" w:rsidP="00060280">
            <w:r w:rsidRPr="00060280">
              <w:t>Cultural safety is the individual’s experience of care they are given, ability to access resources and to raise concerns. The essential components of cultural safety include:</w:t>
            </w:r>
          </w:p>
          <w:p w14:paraId="6CBED336" w14:textId="314351B1" w:rsidR="00CC68E6" w:rsidRPr="00060280" w:rsidRDefault="00CC68E6" w:rsidP="00060280">
            <w:pPr>
              <w:pStyle w:val="TableNBullet"/>
            </w:pPr>
            <w:r w:rsidRPr="00060280">
              <w:t xml:space="preserve">an understanding of one’s own </w:t>
            </w:r>
            <w:proofErr w:type="gramStart"/>
            <w:r w:rsidRPr="00060280">
              <w:t>culture;</w:t>
            </w:r>
            <w:proofErr w:type="gramEnd"/>
          </w:p>
          <w:p w14:paraId="6FB9BB25" w14:textId="1F87186B" w:rsidR="00CC68E6" w:rsidRPr="00060280" w:rsidRDefault="00CC68E6" w:rsidP="00060280">
            <w:pPr>
              <w:pStyle w:val="TableNBullet"/>
            </w:pPr>
            <w:r w:rsidRPr="00060280">
              <w:t>an acknowledgement of difference and a requirement that caregivers are actively mindful and respectful of difference(s</w:t>
            </w:r>
            <w:proofErr w:type="gramStart"/>
            <w:r w:rsidRPr="00060280">
              <w:t>);</w:t>
            </w:r>
            <w:proofErr w:type="gramEnd"/>
          </w:p>
          <w:p w14:paraId="434D7673" w14:textId="1F503F97" w:rsidR="00CC68E6" w:rsidRPr="00060280" w:rsidRDefault="00CC68E6" w:rsidP="00060280">
            <w:pPr>
              <w:pStyle w:val="TableNBullet"/>
            </w:pPr>
            <w:r w:rsidRPr="00060280">
              <w:t xml:space="preserve">it is informed by the theory of power relations -any attempt to depoliticise cultural safety is to miss the </w:t>
            </w:r>
            <w:proofErr w:type="gramStart"/>
            <w:r w:rsidRPr="00060280">
              <w:t>point;</w:t>
            </w:r>
            <w:proofErr w:type="gramEnd"/>
          </w:p>
          <w:p w14:paraId="0DC5E4EF" w14:textId="0ECE1CCF" w:rsidR="00CC68E6" w:rsidRPr="00060280" w:rsidRDefault="00CC68E6" w:rsidP="00060280">
            <w:pPr>
              <w:pStyle w:val="TableNBullet"/>
            </w:pPr>
            <w:r w:rsidRPr="00060280">
              <w:t>an appreciation of the historical context of colonisation, the practices of racism at individual and institutional levels and their impact on First Nations People’s lives and wellbeing – both in the past and the present; and</w:t>
            </w:r>
          </w:p>
          <w:p w14:paraId="7BEC5F6A" w14:textId="24D01E6B" w:rsidR="00CC68E6" w:rsidRPr="00060280" w:rsidRDefault="00CC68E6" w:rsidP="00060280">
            <w:pPr>
              <w:pStyle w:val="TableNBullet"/>
            </w:pPr>
            <w:r w:rsidRPr="00060280">
              <w:t>its presence or absence is determined by the experience of the recipient of care—it is not defined by the caregiver.</w:t>
            </w:r>
          </w:p>
        </w:tc>
        <w:tc>
          <w:tcPr>
            <w:tcW w:w="2196" w:type="dxa"/>
            <w:shd w:val="clear" w:color="auto" w:fill="F5F5F5"/>
          </w:tcPr>
          <w:p w14:paraId="49F7D282" w14:textId="267BAA2E" w:rsidR="001A3F75" w:rsidRPr="00060280" w:rsidRDefault="00FE01C3" w:rsidP="00060280">
            <w:r w:rsidRPr="00060280">
              <w:t>Parliament of Australia</w:t>
            </w:r>
            <w:r w:rsidR="00502269" w:rsidRPr="00060280">
              <w:t xml:space="preserve"> (</w:t>
            </w:r>
            <w:r w:rsidR="001A3F75" w:rsidRPr="00060280">
              <w:t>2018).</w:t>
            </w:r>
            <w:r w:rsidR="00502269" w:rsidRPr="00060280">
              <w:t xml:space="preserve"> Definition of terms. Available </w:t>
            </w:r>
            <w:hyperlink r:id="rId50" w:history="1">
              <w:r w:rsidR="00502269" w:rsidRPr="00060280">
                <w:rPr>
                  <w:rStyle w:val="Hyperlink"/>
                </w:rPr>
                <w:t>here</w:t>
              </w:r>
            </w:hyperlink>
            <w:r w:rsidR="00502269" w:rsidRPr="00060280">
              <w:t>.</w:t>
            </w:r>
          </w:p>
          <w:p w14:paraId="3615675C" w14:textId="713C6400" w:rsidR="00CC68E6" w:rsidRPr="00060280" w:rsidRDefault="001A3F75" w:rsidP="00060280">
            <w:r w:rsidRPr="00060280">
              <w:t xml:space="preserve">COAG (2019) Woman-centred care: Strategic directions for Australian maternity services. Available </w:t>
            </w:r>
            <w:hyperlink r:id="rId51" w:history="1">
              <w:r w:rsidRPr="00060280">
                <w:rPr>
                  <w:rStyle w:val="Hyperlink"/>
                </w:rPr>
                <w:t>here</w:t>
              </w:r>
            </w:hyperlink>
            <w:r w:rsidRPr="00060280">
              <w:t>.</w:t>
            </w:r>
            <w:r w:rsidR="00502269" w:rsidRPr="00060280">
              <w:t xml:space="preserve"> </w:t>
            </w:r>
          </w:p>
        </w:tc>
      </w:tr>
      <w:tr w:rsidR="004A213A" w:rsidRPr="00060280" w14:paraId="0503DDA8" w14:textId="77777777" w:rsidTr="00C638A2">
        <w:trPr>
          <w:trHeight w:val="1259"/>
        </w:trPr>
        <w:tc>
          <w:tcPr>
            <w:tcW w:w="2065" w:type="dxa"/>
            <w:shd w:val="clear" w:color="auto" w:fill="E6E6E6"/>
          </w:tcPr>
          <w:p w14:paraId="4438EC07" w14:textId="49DA3DAC" w:rsidR="004A213A" w:rsidRPr="00060280" w:rsidRDefault="004A213A" w:rsidP="00060280">
            <w:r w:rsidRPr="00060280">
              <w:t>IMPROVE training program</w:t>
            </w:r>
          </w:p>
        </w:tc>
        <w:tc>
          <w:tcPr>
            <w:tcW w:w="4948" w:type="dxa"/>
            <w:shd w:val="clear" w:color="auto" w:fill="F5F5F5"/>
          </w:tcPr>
          <w:p w14:paraId="56C3A959" w14:textId="533BA90E" w:rsidR="00C638A2" w:rsidRPr="00060280" w:rsidRDefault="005B216B" w:rsidP="00060280">
            <w:r w:rsidRPr="00060280">
              <w:t>Online</w:t>
            </w:r>
            <w:r w:rsidR="00C638A2" w:rsidRPr="00060280">
              <w:t xml:space="preserve"> and face to face</w:t>
            </w:r>
            <w:r w:rsidRPr="00060280">
              <w:t xml:space="preserve"> training delivered by Stillbirth CRE</w:t>
            </w:r>
            <w:r w:rsidR="00C638A2" w:rsidRPr="00060280">
              <w:t xml:space="preserve"> designed to address the educational needs of health professionals involved in maternity and newborn care in managing perinatal death. The training is based on the Perinatal Society of Australian and New Zealand’s Perinatal Mortality Guidelines. </w:t>
            </w:r>
          </w:p>
        </w:tc>
        <w:tc>
          <w:tcPr>
            <w:tcW w:w="2196" w:type="dxa"/>
            <w:shd w:val="clear" w:color="auto" w:fill="F5F5F5"/>
          </w:tcPr>
          <w:p w14:paraId="2B44AF3F" w14:textId="34D5442B" w:rsidR="004A213A" w:rsidRPr="00060280" w:rsidRDefault="00C638A2" w:rsidP="00060280">
            <w:r w:rsidRPr="00060280">
              <w:t xml:space="preserve">Stillbirth CRE (2020). IMPROVE: Improving Perinatal Mortality Review and Outcomes Via Education. Available </w:t>
            </w:r>
            <w:hyperlink r:id="rId52" w:history="1">
              <w:r w:rsidRPr="00060280">
                <w:rPr>
                  <w:rStyle w:val="Hyperlink"/>
                </w:rPr>
                <w:t>here</w:t>
              </w:r>
            </w:hyperlink>
            <w:r w:rsidRPr="00060280">
              <w:t xml:space="preserve">. </w:t>
            </w:r>
          </w:p>
        </w:tc>
      </w:tr>
      <w:tr w:rsidR="00CC68E6" w:rsidRPr="00060280" w14:paraId="3CFB5DCF" w14:textId="77777777" w:rsidTr="007634AF">
        <w:trPr>
          <w:trHeight w:val="290"/>
        </w:trPr>
        <w:tc>
          <w:tcPr>
            <w:tcW w:w="2065" w:type="dxa"/>
            <w:shd w:val="clear" w:color="auto" w:fill="E6E6E6"/>
            <w:hideMark/>
          </w:tcPr>
          <w:p w14:paraId="0392C03E" w14:textId="77777777" w:rsidR="00CC68E6" w:rsidRPr="00060280" w:rsidRDefault="00CC68E6" w:rsidP="00060280">
            <w:r w:rsidRPr="00060280">
              <w:t>Intrapartum</w:t>
            </w:r>
          </w:p>
        </w:tc>
        <w:tc>
          <w:tcPr>
            <w:tcW w:w="4948" w:type="dxa"/>
            <w:shd w:val="clear" w:color="auto" w:fill="F5F5F5"/>
          </w:tcPr>
          <w:p w14:paraId="2FE5B682" w14:textId="77777777" w:rsidR="00CC68E6" w:rsidRPr="00060280" w:rsidRDefault="00CC68E6" w:rsidP="00060280">
            <w:r w:rsidRPr="00060280">
              <w:t>During birth.</w:t>
            </w:r>
          </w:p>
        </w:tc>
        <w:tc>
          <w:tcPr>
            <w:tcW w:w="2196" w:type="dxa"/>
            <w:shd w:val="clear" w:color="auto" w:fill="F5F5F5"/>
          </w:tcPr>
          <w:p w14:paraId="1A97649B" w14:textId="74A4FC4F" w:rsidR="00CC68E6" w:rsidRPr="00060280" w:rsidRDefault="00CC68E6" w:rsidP="00060280">
            <w:r w:rsidRPr="00060280">
              <w:t xml:space="preserve">COAG (2019) Woman-centred care: Strategic directions for Australian maternity services. Available </w:t>
            </w:r>
            <w:hyperlink r:id="rId53" w:history="1">
              <w:r w:rsidRPr="00060280">
                <w:rPr>
                  <w:rStyle w:val="Hyperlink"/>
                </w:rPr>
                <w:t>here</w:t>
              </w:r>
            </w:hyperlink>
          </w:p>
        </w:tc>
      </w:tr>
      <w:tr w:rsidR="00CC68E6" w:rsidRPr="00060280" w14:paraId="258786CD" w14:textId="77777777" w:rsidTr="007634AF">
        <w:trPr>
          <w:trHeight w:val="290"/>
        </w:trPr>
        <w:tc>
          <w:tcPr>
            <w:tcW w:w="2065" w:type="dxa"/>
            <w:shd w:val="clear" w:color="auto" w:fill="E6E6E6"/>
            <w:hideMark/>
          </w:tcPr>
          <w:p w14:paraId="124A9D54" w14:textId="77777777" w:rsidR="00CC68E6" w:rsidRPr="00060280" w:rsidRDefault="00CC68E6" w:rsidP="00060280">
            <w:r w:rsidRPr="00060280">
              <w:t>Intrapartum stillbirth</w:t>
            </w:r>
          </w:p>
        </w:tc>
        <w:tc>
          <w:tcPr>
            <w:tcW w:w="4948" w:type="dxa"/>
            <w:shd w:val="clear" w:color="auto" w:fill="F5F5F5"/>
          </w:tcPr>
          <w:p w14:paraId="53824BCC" w14:textId="77777777" w:rsidR="00CC68E6" w:rsidRPr="00060280" w:rsidRDefault="00CC68E6" w:rsidP="00060280">
            <w:proofErr w:type="spellStart"/>
            <w:r w:rsidRPr="00060280">
              <w:t>Fetal</w:t>
            </w:r>
            <w:proofErr w:type="spellEnd"/>
            <w:r w:rsidRPr="00060280">
              <w:t xml:space="preserve"> death occurring during labour and/or birth.</w:t>
            </w:r>
          </w:p>
        </w:tc>
        <w:tc>
          <w:tcPr>
            <w:tcW w:w="2196" w:type="dxa"/>
            <w:shd w:val="clear" w:color="auto" w:fill="F5F5F5"/>
          </w:tcPr>
          <w:p w14:paraId="48A2B85C" w14:textId="787068F8" w:rsidR="00CC68E6" w:rsidRPr="00060280" w:rsidRDefault="00361950" w:rsidP="00060280">
            <w:r w:rsidRPr="00060280">
              <w:t>AIHW (2021) Antenatal Care. Available</w:t>
            </w:r>
            <w:hyperlink r:id="rId54" w:history="1">
              <w:r w:rsidRPr="00060280">
                <w:rPr>
                  <w:rStyle w:val="Hyperlink"/>
                </w:rPr>
                <w:t xml:space="preserve"> here</w:t>
              </w:r>
            </w:hyperlink>
            <w:r w:rsidRPr="00060280">
              <w:t>.</w:t>
            </w:r>
          </w:p>
        </w:tc>
      </w:tr>
      <w:tr w:rsidR="00CC68E6" w:rsidRPr="00060280" w14:paraId="15297460" w14:textId="77777777" w:rsidTr="007634AF">
        <w:trPr>
          <w:trHeight w:val="290"/>
        </w:trPr>
        <w:tc>
          <w:tcPr>
            <w:tcW w:w="2065" w:type="dxa"/>
            <w:shd w:val="clear" w:color="auto" w:fill="E6E6E6"/>
            <w:hideMark/>
          </w:tcPr>
          <w:p w14:paraId="5B4B3718" w14:textId="77777777" w:rsidR="00CC68E6" w:rsidRPr="00060280" w:rsidRDefault="00CC68E6" w:rsidP="00060280">
            <w:r w:rsidRPr="00060280">
              <w:lastRenderedPageBreak/>
              <w:t>Known care provider</w:t>
            </w:r>
          </w:p>
        </w:tc>
        <w:tc>
          <w:tcPr>
            <w:tcW w:w="4948" w:type="dxa"/>
            <w:shd w:val="clear" w:color="auto" w:fill="F5F5F5"/>
          </w:tcPr>
          <w:p w14:paraId="6F8D7EA4" w14:textId="77777777" w:rsidR="00CC68E6" w:rsidRPr="00060280" w:rsidRDefault="00CC68E6" w:rsidP="00060280">
            <w:r w:rsidRPr="00060280">
              <w:t xml:space="preserve">The practice of ensuring that a woman knows her maternity care provider(s) and receives care from the same provider, or small group of providers, throughout pregnancy, labour, </w:t>
            </w:r>
            <w:proofErr w:type="gramStart"/>
            <w:r w:rsidRPr="00060280">
              <w:t>birth</w:t>
            </w:r>
            <w:proofErr w:type="gramEnd"/>
            <w:r w:rsidRPr="00060280">
              <w:t xml:space="preserve"> and the postpartum period.</w:t>
            </w:r>
          </w:p>
        </w:tc>
        <w:tc>
          <w:tcPr>
            <w:tcW w:w="2196" w:type="dxa"/>
            <w:shd w:val="clear" w:color="auto" w:fill="F5F5F5"/>
          </w:tcPr>
          <w:p w14:paraId="22403B23" w14:textId="3E40BCBF" w:rsidR="00CC68E6" w:rsidRPr="00060280" w:rsidRDefault="00DA4A93" w:rsidP="00060280">
            <w:r w:rsidRPr="00060280">
              <w:t xml:space="preserve">Department of Health </w:t>
            </w:r>
            <w:r w:rsidR="00A42E65">
              <w:t xml:space="preserve">and Aged Care </w:t>
            </w:r>
            <w:r w:rsidRPr="00060280">
              <w:t xml:space="preserve">(2011). Glossary and references for the National Maternity Services Plan 2010. Available </w:t>
            </w:r>
            <w:hyperlink r:id="rId55" w:history="1">
              <w:r w:rsidRPr="00060280">
                <w:rPr>
                  <w:rStyle w:val="Hyperlink"/>
                </w:rPr>
                <w:t>here</w:t>
              </w:r>
            </w:hyperlink>
            <w:r w:rsidRPr="00060280">
              <w:t xml:space="preserve">. </w:t>
            </w:r>
          </w:p>
        </w:tc>
      </w:tr>
      <w:tr w:rsidR="00CC68E6" w:rsidRPr="00060280" w14:paraId="04B19D0A" w14:textId="77777777" w:rsidTr="007634AF">
        <w:trPr>
          <w:trHeight w:val="290"/>
        </w:trPr>
        <w:tc>
          <w:tcPr>
            <w:tcW w:w="2065" w:type="dxa"/>
            <w:shd w:val="clear" w:color="auto" w:fill="E6E6E6"/>
            <w:hideMark/>
          </w:tcPr>
          <w:p w14:paraId="7262455D" w14:textId="77777777" w:rsidR="00CC68E6" w:rsidRPr="00060280" w:rsidRDefault="00CC68E6" w:rsidP="00060280">
            <w:r w:rsidRPr="00060280">
              <w:t>Live birth</w:t>
            </w:r>
          </w:p>
        </w:tc>
        <w:tc>
          <w:tcPr>
            <w:tcW w:w="4948" w:type="dxa"/>
            <w:shd w:val="clear" w:color="auto" w:fill="F5F5F5"/>
          </w:tcPr>
          <w:p w14:paraId="3F0BED5B" w14:textId="45D43A6B" w:rsidR="00CC68E6" w:rsidRPr="00060280" w:rsidRDefault="00CC68E6" w:rsidP="00060280">
            <w:r w:rsidRPr="00060280">
              <w:t>The birth of a baby who show signs of life such as voluntary muscle movement, pulsating of the umbilical cord or presence of a heartbeat at birth, regardless of whether the placenta is still attached</w:t>
            </w:r>
            <w:r w:rsidR="00805016" w:rsidRPr="00060280">
              <w:t>,</w:t>
            </w:r>
            <w:r w:rsidRPr="00060280">
              <w:t xml:space="preserve"> or the umbilical cord has been cut.</w:t>
            </w:r>
          </w:p>
        </w:tc>
        <w:tc>
          <w:tcPr>
            <w:tcW w:w="2196" w:type="dxa"/>
            <w:shd w:val="clear" w:color="auto" w:fill="F5F5F5"/>
          </w:tcPr>
          <w:p w14:paraId="479D9D8A" w14:textId="10B74077" w:rsidR="00CC68E6" w:rsidRPr="00060280" w:rsidRDefault="00CC68E6" w:rsidP="00060280">
            <w:r w:rsidRPr="00060280">
              <w:t xml:space="preserve">AIHW (2021). Stillbirths and neonatal deaths in Australia: 2017 and 2018. Available </w:t>
            </w:r>
            <w:hyperlink r:id="rId56" w:history="1">
              <w:r w:rsidR="002D6F8B" w:rsidRPr="00060280">
                <w:rPr>
                  <w:rStyle w:val="Hyperlink"/>
                </w:rPr>
                <w:t>here</w:t>
              </w:r>
            </w:hyperlink>
            <w:r w:rsidR="002D6F8B" w:rsidRPr="00060280">
              <w:t>.</w:t>
            </w:r>
          </w:p>
        </w:tc>
      </w:tr>
      <w:tr w:rsidR="00CC68E6" w:rsidRPr="00060280" w14:paraId="05674B78" w14:textId="77777777" w:rsidTr="007634AF">
        <w:trPr>
          <w:trHeight w:val="290"/>
        </w:trPr>
        <w:tc>
          <w:tcPr>
            <w:tcW w:w="2065" w:type="dxa"/>
            <w:shd w:val="clear" w:color="auto" w:fill="E6E6E6"/>
            <w:hideMark/>
          </w:tcPr>
          <w:p w14:paraId="2CE23D4F" w14:textId="77777777" w:rsidR="00CC68E6" w:rsidRPr="00060280" w:rsidRDefault="00CC68E6" w:rsidP="00060280">
            <w:r w:rsidRPr="00060280">
              <w:t>Local guidelines</w:t>
            </w:r>
          </w:p>
        </w:tc>
        <w:tc>
          <w:tcPr>
            <w:tcW w:w="4948" w:type="dxa"/>
            <w:shd w:val="clear" w:color="auto" w:fill="F5F5F5"/>
          </w:tcPr>
          <w:p w14:paraId="7E56CDC5" w14:textId="517EB0C6" w:rsidR="00CC68E6" w:rsidRPr="00060280" w:rsidRDefault="00CC68E6" w:rsidP="00060280">
            <w:r w:rsidRPr="00060280">
              <w:t xml:space="preserve">Guidelines developed by the </w:t>
            </w:r>
            <w:r w:rsidR="006F7C15" w:rsidRPr="00060280">
              <w:t>states</w:t>
            </w:r>
            <w:r w:rsidRPr="00060280">
              <w:t xml:space="preserve"> and </w:t>
            </w:r>
            <w:r w:rsidR="006F7C15" w:rsidRPr="00060280">
              <w:t>territories</w:t>
            </w:r>
            <w:r w:rsidRPr="00060280">
              <w:t xml:space="preserve"> or local hospitals. For example, guidelines developed by King Edward Memorial Hospital, Royal Hospital for women or Victorian Department of Health. </w:t>
            </w:r>
          </w:p>
        </w:tc>
        <w:tc>
          <w:tcPr>
            <w:tcW w:w="2196" w:type="dxa"/>
            <w:shd w:val="clear" w:color="auto" w:fill="F5F5F5"/>
          </w:tcPr>
          <w:p w14:paraId="6321091B" w14:textId="77777777" w:rsidR="00CC68E6" w:rsidRPr="00060280" w:rsidRDefault="00CC68E6" w:rsidP="00060280">
            <w:r w:rsidRPr="00060280">
              <w:t xml:space="preserve">Nous term used for clarity in the evaluation report. </w:t>
            </w:r>
          </w:p>
        </w:tc>
      </w:tr>
      <w:tr w:rsidR="00CC68E6" w:rsidRPr="00060280" w14:paraId="1AA765FE" w14:textId="77777777" w:rsidTr="007634AF">
        <w:trPr>
          <w:trHeight w:val="290"/>
        </w:trPr>
        <w:tc>
          <w:tcPr>
            <w:tcW w:w="2065" w:type="dxa"/>
            <w:shd w:val="clear" w:color="auto" w:fill="E6E6E6"/>
            <w:hideMark/>
          </w:tcPr>
          <w:p w14:paraId="66C6FB54" w14:textId="77777777" w:rsidR="00CC68E6" w:rsidRPr="00060280" w:rsidRDefault="00CC68E6" w:rsidP="00060280">
            <w:r w:rsidRPr="00060280">
              <w:t>Maternity care</w:t>
            </w:r>
          </w:p>
        </w:tc>
        <w:tc>
          <w:tcPr>
            <w:tcW w:w="4948" w:type="dxa"/>
            <w:shd w:val="clear" w:color="auto" w:fill="F5F5F5"/>
          </w:tcPr>
          <w:p w14:paraId="7AA4C351" w14:textId="77777777" w:rsidR="00CC68E6" w:rsidRPr="00060280" w:rsidRDefault="00CC68E6" w:rsidP="00060280">
            <w:r w:rsidRPr="00060280">
              <w:t>Care provided during pregnancy and in the 12 months after giving birth.</w:t>
            </w:r>
          </w:p>
        </w:tc>
        <w:tc>
          <w:tcPr>
            <w:tcW w:w="2196" w:type="dxa"/>
            <w:shd w:val="clear" w:color="auto" w:fill="F5F5F5"/>
          </w:tcPr>
          <w:p w14:paraId="1DE5F9A8" w14:textId="6130E268" w:rsidR="00CC68E6" w:rsidRPr="00060280" w:rsidRDefault="00CC68E6" w:rsidP="00060280">
            <w:r w:rsidRPr="00060280">
              <w:t xml:space="preserve">COAG (2019) Woman-centred care: Strategic directions for Australian maternity services. Available </w:t>
            </w:r>
            <w:hyperlink r:id="rId57" w:history="1">
              <w:r w:rsidRPr="00060280">
                <w:rPr>
                  <w:rStyle w:val="Hyperlink"/>
                </w:rPr>
                <w:t>here</w:t>
              </w:r>
            </w:hyperlink>
          </w:p>
        </w:tc>
      </w:tr>
      <w:tr w:rsidR="00CC68E6" w:rsidRPr="00060280" w14:paraId="09D18103" w14:textId="77777777" w:rsidTr="007634AF">
        <w:trPr>
          <w:trHeight w:val="290"/>
        </w:trPr>
        <w:tc>
          <w:tcPr>
            <w:tcW w:w="2065" w:type="dxa"/>
            <w:shd w:val="clear" w:color="auto" w:fill="E6E6E6"/>
            <w:hideMark/>
          </w:tcPr>
          <w:p w14:paraId="23009173" w14:textId="77777777" w:rsidR="00CC68E6" w:rsidRPr="00060280" w:rsidRDefault="00CC68E6" w:rsidP="00060280">
            <w:r w:rsidRPr="00060280">
              <w:t>Miscarriage</w:t>
            </w:r>
          </w:p>
        </w:tc>
        <w:tc>
          <w:tcPr>
            <w:tcW w:w="4948" w:type="dxa"/>
            <w:shd w:val="clear" w:color="auto" w:fill="F5F5F5"/>
          </w:tcPr>
          <w:p w14:paraId="67D8A9E3" w14:textId="77777777" w:rsidR="00CC68E6" w:rsidRPr="00060280" w:rsidRDefault="00CC68E6" w:rsidP="00060280">
            <w:r w:rsidRPr="00060280">
              <w:t xml:space="preserve">The spontaneous end of a pregnancy at a stage where the embryo or </w:t>
            </w:r>
            <w:proofErr w:type="spellStart"/>
            <w:r w:rsidRPr="00060280">
              <w:t>fetus</w:t>
            </w:r>
            <w:proofErr w:type="spellEnd"/>
            <w:r w:rsidRPr="00060280">
              <w:t xml:space="preserve"> is incapable of surviving independently, generally defined in humans as before 20 weeks.</w:t>
            </w:r>
          </w:p>
        </w:tc>
        <w:tc>
          <w:tcPr>
            <w:tcW w:w="2196" w:type="dxa"/>
            <w:shd w:val="clear" w:color="auto" w:fill="F5F5F5"/>
          </w:tcPr>
          <w:p w14:paraId="7DFA63BF" w14:textId="4A877838" w:rsidR="00CC68E6" w:rsidRPr="00060280" w:rsidRDefault="00D43FFD" w:rsidP="00060280">
            <w:r w:rsidRPr="00060280">
              <w:t>Department of Health</w:t>
            </w:r>
            <w:r w:rsidR="00A42E65">
              <w:t xml:space="preserve"> and Aged Care</w:t>
            </w:r>
            <w:r w:rsidRPr="00060280">
              <w:t xml:space="preserve"> (2020). Pregnancy Care Guidelines Glossary. Available </w:t>
            </w:r>
            <w:hyperlink r:id="rId58" w:history="1">
              <w:r w:rsidRPr="00060280">
                <w:rPr>
                  <w:rStyle w:val="Hyperlink"/>
                </w:rPr>
                <w:t>here.</w:t>
              </w:r>
            </w:hyperlink>
            <w:r w:rsidRPr="00060280">
              <w:t xml:space="preserve"> </w:t>
            </w:r>
          </w:p>
        </w:tc>
      </w:tr>
      <w:tr w:rsidR="00CC68E6" w:rsidRPr="00060280" w14:paraId="4CC106E8" w14:textId="77777777" w:rsidTr="007634AF">
        <w:trPr>
          <w:trHeight w:val="500"/>
        </w:trPr>
        <w:tc>
          <w:tcPr>
            <w:tcW w:w="2065" w:type="dxa"/>
            <w:shd w:val="clear" w:color="auto" w:fill="E6E6E6"/>
            <w:hideMark/>
          </w:tcPr>
          <w:p w14:paraId="454F15D9" w14:textId="77777777" w:rsidR="00CC68E6" w:rsidRPr="00060280" w:rsidRDefault="00CC68E6" w:rsidP="00060280">
            <w:r w:rsidRPr="00060280">
              <w:t>National clinical practice guidelines</w:t>
            </w:r>
          </w:p>
        </w:tc>
        <w:tc>
          <w:tcPr>
            <w:tcW w:w="4948" w:type="dxa"/>
            <w:shd w:val="clear" w:color="auto" w:fill="F5F5F5"/>
          </w:tcPr>
          <w:p w14:paraId="060603CC" w14:textId="67E8FCC0" w:rsidR="00CC68E6" w:rsidRPr="00060280" w:rsidRDefault="00CC68E6" w:rsidP="00060280">
            <w:r w:rsidRPr="00060280">
              <w:t>The national guidelines identified for review in the National Stillbirth Action and Implementation Plan. This include the National Clinical practice guidelines: Pregnancy care guidelines and the Clinical practice guideline for care around stillbirth and neonatal death, which were respectively developed by the Australian Department of Health</w:t>
            </w:r>
            <w:r w:rsidR="00A42E65">
              <w:t xml:space="preserve"> and Aged Care</w:t>
            </w:r>
            <w:r w:rsidRPr="00060280">
              <w:t xml:space="preserve"> and PASANZ. </w:t>
            </w:r>
          </w:p>
        </w:tc>
        <w:tc>
          <w:tcPr>
            <w:tcW w:w="2196" w:type="dxa"/>
            <w:shd w:val="clear" w:color="auto" w:fill="F5F5F5"/>
          </w:tcPr>
          <w:p w14:paraId="2FCC540B" w14:textId="77777777" w:rsidR="00CC68E6" w:rsidRPr="00060280" w:rsidRDefault="00CC68E6" w:rsidP="00060280">
            <w:r w:rsidRPr="00060280">
              <w:t>Nous term adopted for clarity in the evaluation report.</w:t>
            </w:r>
          </w:p>
        </w:tc>
      </w:tr>
      <w:tr w:rsidR="00CC68E6" w:rsidRPr="00060280" w14:paraId="77F60889" w14:textId="77777777" w:rsidTr="007634AF">
        <w:trPr>
          <w:trHeight w:val="290"/>
        </w:trPr>
        <w:tc>
          <w:tcPr>
            <w:tcW w:w="2065" w:type="dxa"/>
            <w:shd w:val="clear" w:color="auto" w:fill="E6E6E6"/>
            <w:hideMark/>
          </w:tcPr>
          <w:p w14:paraId="2432D51D" w14:textId="77777777" w:rsidR="00CC68E6" w:rsidRPr="00060280" w:rsidRDefault="00CC68E6" w:rsidP="00060280">
            <w:r w:rsidRPr="00060280">
              <w:t>Neonatal death</w:t>
            </w:r>
          </w:p>
        </w:tc>
        <w:tc>
          <w:tcPr>
            <w:tcW w:w="4948" w:type="dxa"/>
            <w:shd w:val="clear" w:color="auto" w:fill="F5F5F5"/>
          </w:tcPr>
          <w:p w14:paraId="4D26836A" w14:textId="77777777" w:rsidR="00CC68E6" w:rsidRPr="00060280" w:rsidRDefault="00CC68E6" w:rsidP="00060280">
            <w:r w:rsidRPr="00060280">
              <w:t>The death of a live born baby within 28 days of birth.</w:t>
            </w:r>
          </w:p>
        </w:tc>
        <w:tc>
          <w:tcPr>
            <w:tcW w:w="2196" w:type="dxa"/>
            <w:shd w:val="clear" w:color="auto" w:fill="F5F5F5"/>
          </w:tcPr>
          <w:p w14:paraId="598C5718" w14:textId="31B2A47C" w:rsidR="00CC68E6" w:rsidRPr="00060280" w:rsidRDefault="00361950" w:rsidP="00060280">
            <w:r w:rsidRPr="00060280">
              <w:t>AIHW (2021) Antenatal Care. Available</w:t>
            </w:r>
            <w:hyperlink r:id="rId59" w:history="1">
              <w:r w:rsidRPr="00060280">
                <w:rPr>
                  <w:rStyle w:val="Hyperlink"/>
                </w:rPr>
                <w:t xml:space="preserve"> here</w:t>
              </w:r>
            </w:hyperlink>
            <w:r w:rsidRPr="00060280">
              <w:t>.</w:t>
            </w:r>
          </w:p>
        </w:tc>
      </w:tr>
      <w:tr w:rsidR="00CC68E6" w:rsidRPr="00060280" w14:paraId="34D653F0" w14:textId="77777777" w:rsidTr="007634AF">
        <w:trPr>
          <w:trHeight w:val="290"/>
        </w:trPr>
        <w:tc>
          <w:tcPr>
            <w:tcW w:w="2065" w:type="dxa"/>
            <w:shd w:val="clear" w:color="auto" w:fill="E6E6E6"/>
            <w:hideMark/>
          </w:tcPr>
          <w:p w14:paraId="34B26149" w14:textId="77777777" w:rsidR="00CC68E6" w:rsidRPr="00060280" w:rsidRDefault="00CC68E6" w:rsidP="00060280">
            <w:r w:rsidRPr="00060280">
              <w:lastRenderedPageBreak/>
              <w:t>Parent-centred care</w:t>
            </w:r>
          </w:p>
        </w:tc>
        <w:tc>
          <w:tcPr>
            <w:tcW w:w="4948" w:type="dxa"/>
            <w:shd w:val="clear" w:color="auto" w:fill="F5F5F5"/>
          </w:tcPr>
          <w:p w14:paraId="3A4B0E8D" w14:textId="6D60B3A7" w:rsidR="00CC68E6" w:rsidRPr="00060280" w:rsidRDefault="00CC68E6" w:rsidP="00060280">
            <w:r w:rsidRPr="00060280">
              <w:t xml:space="preserve">Parent (or family) – centred care is a partnership approach to health service delivery where parents work in partnership with their health care providers. It positions the needs of the parents and family, at the centre of health provision. </w:t>
            </w:r>
          </w:p>
          <w:p w14:paraId="6C7A19AD" w14:textId="77777777" w:rsidR="00CC68E6" w:rsidRPr="00060280" w:rsidRDefault="00CC68E6" w:rsidP="00060280">
            <w:r w:rsidRPr="00060280">
              <w:t xml:space="preserve">Parent-centred care is also aligned with woman centred care, where the term woman refers to the birthing person and their family. </w:t>
            </w:r>
          </w:p>
        </w:tc>
        <w:tc>
          <w:tcPr>
            <w:tcW w:w="2196" w:type="dxa"/>
            <w:shd w:val="clear" w:color="auto" w:fill="F5F5F5"/>
          </w:tcPr>
          <w:p w14:paraId="2337F59D" w14:textId="71328E41" w:rsidR="00CC68E6" w:rsidRPr="00060280" w:rsidRDefault="00CC68E6" w:rsidP="00060280">
            <w:proofErr w:type="spellStart"/>
            <w:r w:rsidRPr="00060280">
              <w:t>Kuo</w:t>
            </w:r>
            <w:proofErr w:type="spellEnd"/>
            <w:r w:rsidRPr="00060280">
              <w:t xml:space="preserve">, D. Z., </w:t>
            </w:r>
            <w:proofErr w:type="spellStart"/>
            <w:r w:rsidRPr="00060280">
              <w:t>Houtrow</w:t>
            </w:r>
            <w:proofErr w:type="spellEnd"/>
            <w:r w:rsidRPr="00060280">
              <w:t xml:space="preserve">, A. J., Arango, P., </w:t>
            </w:r>
            <w:proofErr w:type="spellStart"/>
            <w:r w:rsidRPr="00060280">
              <w:t>Kuhlthau</w:t>
            </w:r>
            <w:proofErr w:type="spellEnd"/>
            <w:r w:rsidRPr="00060280">
              <w:t>, K. A., Simmons, J. M., &amp; Neff, J. M. (2012). Family-</w:t>
            </w:r>
            <w:proofErr w:type="spellStart"/>
            <w:r w:rsidRPr="00060280">
              <w:t>centered</w:t>
            </w:r>
            <w:proofErr w:type="spellEnd"/>
            <w:r w:rsidRPr="00060280">
              <w:t xml:space="preserve"> care: current applications and future directions in </w:t>
            </w:r>
            <w:proofErr w:type="spellStart"/>
            <w:r w:rsidRPr="00060280">
              <w:t>pediatric</w:t>
            </w:r>
            <w:proofErr w:type="spellEnd"/>
            <w:r w:rsidRPr="00060280">
              <w:t xml:space="preserve"> health care. Maternal and child health journal, 16(2), 297–305. </w:t>
            </w:r>
          </w:p>
        </w:tc>
      </w:tr>
      <w:tr w:rsidR="00CC68E6" w:rsidRPr="00060280" w14:paraId="5FDEDBF0" w14:textId="77777777" w:rsidTr="007634AF">
        <w:trPr>
          <w:trHeight w:val="2227"/>
        </w:trPr>
        <w:tc>
          <w:tcPr>
            <w:tcW w:w="2065" w:type="dxa"/>
            <w:shd w:val="clear" w:color="auto" w:fill="E6E6E6"/>
            <w:hideMark/>
          </w:tcPr>
          <w:p w14:paraId="1D5EF81B" w14:textId="77777777" w:rsidR="00CC68E6" w:rsidRPr="00060280" w:rsidRDefault="00CC68E6" w:rsidP="00060280">
            <w:r w:rsidRPr="00060280">
              <w:t>Peer-to-peer support</w:t>
            </w:r>
          </w:p>
        </w:tc>
        <w:tc>
          <w:tcPr>
            <w:tcW w:w="4948" w:type="dxa"/>
            <w:shd w:val="clear" w:color="auto" w:fill="F5F5F5"/>
          </w:tcPr>
          <w:p w14:paraId="5F60D615" w14:textId="77777777" w:rsidR="00CC68E6" w:rsidRPr="00060280" w:rsidRDefault="00CC68E6" w:rsidP="00060280">
            <w:r w:rsidRPr="00060280">
              <w:t xml:space="preserve">Peer support is best viewed as part of a continuum of care, offering stand-alone support and the ability to augment or facilitate access to formal care as needed. Peer support exists on a continuum: from “lay support” (those to whom people may naturally turn to for support but who have not necessarily experienced the condition) through to “paraprofessional” support (where highly trained supporters may identify with a professional role). Peer support is not intended to replace the expertise of a health professional. </w:t>
            </w:r>
          </w:p>
        </w:tc>
        <w:tc>
          <w:tcPr>
            <w:tcW w:w="2196" w:type="dxa"/>
            <w:shd w:val="clear" w:color="auto" w:fill="F5F5F5"/>
          </w:tcPr>
          <w:p w14:paraId="2101DF43" w14:textId="7AAA2FDF" w:rsidR="00CC68E6" w:rsidRPr="00060280" w:rsidRDefault="00CC68E6" w:rsidP="00060280">
            <w:r w:rsidRPr="00060280">
              <w:t xml:space="preserve">Boyle, F.M., </w:t>
            </w:r>
            <w:proofErr w:type="spellStart"/>
            <w:r w:rsidRPr="00060280">
              <w:t>Mutch</w:t>
            </w:r>
            <w:proofErr w:type="spellEnd"/>
            <w:r w:rsidRPr="00060280">
              <w:t>, A.J., Barber, E.A. et al.</w:t>
            </w:r>
            <w:r w:rsidR="00922CCC" w:rsidRPr="00060280">
              <w:t xml:space="preserve"> (2015). </w:t>
            </w:r>
            <w:r w:rsidRPr="00060280">
              <w:t>Supporting parents following pregnancy loss: a cross-sectional study of telephone peer supporters. BMC Pregnancy Childbirth 15, 291</w:t>
            </w:r>
            <w:r w:rsidR="00922CCC" w:rsidRPr="00060280">
              <w:t>.</w:t>
            </w:r>
          </w:p>
        </w:tc>
      </w:tr>
      <w:tr w:rsidR="00CC68E6" w:rsidRPr="00060280" w14:paraId="7ED45C0D" w14:textId="77777777" w:rsidTr="007634AF">
        <w:trPr>
          <w:trHeight w:val="290"/>
        </w:trPr>
        <w:tc>
          <w:tcPr>
            <w:tcW w:w="2065" w:type="dxa"/>
            <w:shd w:val="clear" w:color="auto" w:fill="E6E6E6"/>
            <w:hideMark/>
          </w:tcPr>
          <w:p w14:paraId="03A874C9" w14:textId="77777777" w:rsidR="00CC68E6" w:rsidRPr="00060280" w:rsidRDefault="00CC68E6" w:rsidP="00060280">
            <w:r w:rsidRPr="00060280">
              <w:t>Perinatal</w:t>
            </w:r>
          </w:p>
        </w:tc>
        <w:tc>
          <w:tcPr>
            <w:tcW w:w="4948" w:type="dxa"/>
            <w:shd w:val="clear" w:color="auto" w:fill="F5F5F5"/>
          </w:tcPr>
          <w:p w14:paraId="7094FA64" w14:textId="0AA9A256" w:rsidR="00CC68E6" w:rsidRPr="00060280" w:rsidRDefault="00CC68E6" w:rsidP="00060280">
            <w:r w:rsidRPr="00060280">
              <w:t xml:space="preserve">The period </w:t>
            </w:r>
            <w:r w:rsidR="00922CCC" w:rsidRPr="00060280">
              <w:t>pertaining to or occurring in the period shortly before or after birth (usually up to 28 days after).</w:t>
            </w:r>
          </w:p>
        </w:tc>
        <w:tc>
          <w:tcPr>
            <w:tcW w:w="2196" w:type="dxa"/>
            <w:shd w:val="clear" w:color="auto" w:fill="F5F5F5"/>
          </w:tcPr>
          <w:p w14:paraId="1E56B116" w14:textId="2D5D04B0" w:rsidR="00CC68E6" w:rsidRPr="00060280" w:rsidRDefault="00922CCC" w:rsidP="00060280">
            <w:r w:rsidRPr="00060280">
              <w:t xml:space="preserve">AIHW (2018). Mothers &amp; babies glossary. Available </w:t>
            </w:r>
            <w:hyperlink r:id="rId60" w:history="1">
              <w:r w:rsidRPr="00060280">
                <w:rPr>
                  <w:rStyle w:val="Hyperlink"/>
                </w:rPr>
                <w:t>here</w:t>
              </w:r>
            </w:hyperlink>
            <w:r w:rsidRPr="00060280">
              <w:t>.</w:t>
            </w:r>
          </w:p>
        </w:tc>
      </w:tr>
      <w:tr w:rsidR="00CC68E6" w:rsidRPr="00060280" w14:paraId="60A6D533" w14:textId="77777777" w:rsidTr="007634AF">
        <w:trPr>
          <w:trHeight w:val="290"/>
        </w:trPr>
        <w:tc>
          <w:tcPr>
            <w:tcW w:w="2065" w:type="dxa"/>
            <w:shd w:val="clear" w:color="auto" w:fill="E6E6E6"/>
            <w:hideMark/>
          </w:tcPr>
          <w:p w14:paraId="33DC4E5E" w14:textId="77777777" w:rsidR="00CC68E6" w:rsidRPr="00060280" w:rsidRDefault="00CC68E6" w:rsidP="00060280">
            <w:r w:rsidRPr="00060280">
              <w:t>Post term birth</w:t>
            </w:r>
          </w:p>
        </w:tc>
        <w:tc>
          <w:tcPr>
            <w:tcW w:w="4948" w:type="dxa"/>
            <w:shd w:val="clear" w:color="auto" w:fill="F5F5F5"/>
          </w:tcPr>
          <w:p w14:paraId="25B73881" w14:textId="77777777" w:rsidR="00CC68E6" w:rsidRPr="00060280" w:rsidRDefault="00CC68E6" w:rsidP="00060280">
            <w:r w:rsidRPr="00060280">
              <w:t>Birth at 42 or more completed weeks of gestation.</w:t>
            </w:r>
          </w:p>
        </w:tc>
        <w:tc>
          <w:tcPr>
            <w:tcW w:w="2196" w:type="dxa"/>
            <w:shd w:val="clear" w:color="auto" w:fill="F5F5F5"/>
          </w:tcPr>
          <w:p w14:paraId="00FF63DD" w14:textId="64898D08" w:rsidR="00CC68E6" w:rsidRPr="00060280" w:rsidRDefault="0047585D" w:rsidP="00060280">
            <w:r w:rsidRPr="00060280">
              <w:t xml:space="preserve">AIHW (2018). Mothers &amp; babies glossary. Available </w:t>
            </w:r>
            <w:hyperlink r:id="rId61" w:history="1">
              <w:r w:rsidRPr="00060280">
                <w:rPr>
                  <w:rStyle w:val="Hyperlink"/>
                </w:rPr>
                <w:t>here</w:t>
              </w:r>
            </w:hyperlink>
            <w:r w:rsidRPr="00060280">
              <w:t>.</w:t>
            </w:r>
          </w:p>
        </w:tc>
      </w:tr>
      <w:tr w:rsidR="00CC68E6" w:rsidRPr="00060280" w14:paraId="19859B80" w14:textId="77777777" w:rsidTr="007634AF">
        <w:trPr>
          <w:trHeight w:val="290"/>
        </w:trPr>
        <w:tc>
          <w:tcPr>
            <w:tcW w:w="2065" w:type="dxa"/>
            <w:shd w:val="clear" w:color="auto" w:fill="E6E6E6"/>
            <w:hideMark/>
          </w:tcPr>
          <w:p w14:paraId="7B4DDD0B" w14:textId="77777777" w:rsidR="00CC68E6" w:rsidRPr="00060280" w:rsidRDefault="00CC68E6" w:rsidP="00060280">
            <w:r w:rsidRPr="00060280">
              <w:t>Postnatal</w:t>
            </w:r>
          </w:p>
        </w:tc>
        <w:tc>
          <w:tcPr>
            <w:tcW w:w="4948" w:type="dxa"/>
            <w:shd w:val="clear" w:color="auto" w:fill="F5F5F5"/>
          </w:tcPr>
          <w:p w14:paraId="7525DA4A" w14:textId="77777777" w:rsidR="00CC68E6" w:rsidRPr="00060280" w:rsidRDefault="00CC68E6" w:rsidP="00060280">
            <w:r w:rsidRPr="00060280">
              <w:t>The period after the delivery of the baby, usually defined as the six weeks after birth.</w:t>
            </w:r>
          </w:p>
        </w:tc>
        <w:tc>
          <w:tcPr>
            <w:tcW w:w="2196" w:type="dxa"/>
            <w:shd w:val="clear" w:color="auto" w:fill="F5F5F5"/>
          </w:tcPr>
          <w:p w14:paraId="48344D48" w14:textId="44650A2E" w:rsidR="00CC68E6" w:rsidRPr="00060280" w:rsidRDefault="00A1401B" w:rsidP="00060280">
            <w:r w:rsidRPr="00060280">
              <w:t>Department of Health</w:t>
            </w:r>
            <w:r w:rsidR="00A42E65">
              <w:t xml:space="preserve"> and Aged Care</w:t>
            </w:r>
            <w:r w:rsidRPr="00060280">
              <w:t xml:space="preserve"> (2011). Glossary and references for the National Maternity Services Plan 2010. Available </w:t>
            </w:r>
            <w:hyperlink r:id="rId62" w:history="1">
              <w:r w:rsidRPr="00060280">
                <w:rPr>
                  <w:rStyle w:val="Hyperlink"/>
                </w:rPr>
                <w:t>here</w:t>
              </w:r>
            </w:hyperlink>
            <w:r w:rsidRPr="00060280">
              <w:t xml:space="preserve">. </w:t>
            </w:r>
          </w:p>
        </w:tc>
      </w:tr>
      <w:tr w:rsidR="00CC68E6" w:rsidRPr="00060280" w14:paraId="3B634081" w14:textId="77777777" w:rsidTr="007634AF">
        <w:trPr>
          <w:trHeight w:val="290"/>
        </w:trPr>
        <w:tc>
          <w:tcPr>
            <w:tcW w:w="2065" w:type="dxa"/>
            <w:shd w:val="clear" w:color="auto" w:fill="E6E6E6"/>
            <w:hideMark/>
          </w:tcPr>
          <w:p w14:paraId="35AB36E5" w14:textId="77777777" w:rsidR="00CC68E6" w:rsidRPr="00060280" w:rsidRDefault="00CC68E6" w:rsidP="00060280">
            <w:r w:rsidRPr="00060280">
              <w:lastRenderedPageBreak/>
              <w:t>Preterm birth</w:t>
            </w:r>
          </w:p>
        </w:tc>
        <w:tc>
          <w:tcPr>
            <w:tcW w:w="4948" w:type="dxa"/>
            <w:shd w:val="clear" w:color="auto" w:fill="F5F5F5"/>
          </w:tcPr>
          <w:p w14:paraId="0465CE48" w14:textId="77777777" w:rsidR="00CC68E6" w:rsidRPr="00060280" w:rsidRDefault="00CC68E6" w:rsidP="00060280">
            <w:r w:rsidRPr="00060280">
              <w:t>Birth before 37 weeks pregnancy</w:t>
            </w:r>
          </w:p>
        </w:tc>
        <w:tc>
          <w:tcPr>
            <w:tcW w:w="2196" w:type="dxa"/>
            <w:shd w:val="clear" w:color="auto" w:fill="F5F5F5"/>
          </w:tcPr>
          <w:p w14:paraId="50A74086" w14:textId="378026E7" w:rsidR="00CC68E6" w:rsidRPr="00060280" w:rsidRDefault="00CC68E6" w:rsidP="00060280">
            <w:r w:rsidRPr="00060280">
              <w:t>AIHW (20</w:t>
            </w:r>
            <w:r w:rsidR="000C07D7" w:rsidRPr="00060280">
              <w:t>18</w:t>
            </w:r>
            <w:r w:rsidRPr="00060280">
              <w:t>)</w:t>
            </w:r>
            <w:r w:rsidR="000C07D7" w:rsidRPr="00060280">
              <w:t xml:space="preserve">. </w:t>
            </w:r>
            <w:r w:rsidR="008648B5" w:rsidRPr="00060280">
              <w:t>Mothers &amp; babies glossary. Ava</w:t>
            </w:r>
            <w:r w:rsidR="00D456D3" w:rsidRPr="00060280">
              <w:t xml:space="preserve">ilable </w:t>
            </w:r>
            <w:hyperlink r:id="rId63" w:history="1">
              <w:r w:rsidR="00D456D3" w:rsidRPr="00060280">
                <w:rPr>
                  <w:rStyle w:val="Hyperlink"/>
                </w:rPr>
                <w:t>here</w:t>
              </w:r>
            </w:hyperlink>
            <w:r w:rsidR="00D456D3" w:rsidRPr="00060280">
              <w:t xml:space="preserve">. </w:t>
            </w:r>
          </w:p>
        </w:tc>
      </w:tr>
      <w:tr w:rsidR="00CC68E6" w:rsidRPr="00060280" w14:paraId="45EEB4D7" w14:textId="77777777" w:rsidTr="007634AF">
        <w:trPr>
          <w:trHeight w:val="290"/>
        </w:trPr>
        <w:tc>
          <w:tcPr>
            <w:tcW w:w="2065" w:type="dxa"/>
            <w:shd w:val="clear" w:color="auto" w:fill="E6E6E6"/>
            <w:hideMark/>
          </w:tcPr>
          <w:p w14:paraId="69AE56F3" w14:textId="77777777" w:rsidR="00CC68E6" w:rsidRPr="00060280" w:rsidRDefault="00CC68E6" w:rsidP="00060280">
            <w:r w:rsidRPr="00060280">
              <w:t>Preventable stillbirth</w:t>
            </w:r>
          </w:p>
        </w:tc>
        <w:tc>
          <w:tcPr>
            <w:tcW w:w="4948" w:type="dxa"/>
            <w:shd w:val="clear" w:color="auto" w:fill="F5F5F5"/>
          </w:tcPr>
          <w:p w14:paraId="604A8A0F" w14:textId="77777777" w:rsidR="00CC68E6" w:rsidRPr="00060280" w:rsidRDefault="00CC68E6" w:rsidP="00060280">
            <w:r w:rsidRPr="00060280">
              <w:t xml:space="preserve">Stillbirths that are preventable through changes in lifestyle factors and high quality antenatal and intrapartum care within the continuum of care for women and children. </w:t>
            </w:r>
          </w:p>
        </w:tc>
        <w:tc>
          <w:tcPr>
            <w:tcW w:w="2196" w:type="dxa"/>
            <w:shd w:val="clear" w:color="auto" w:fill="F5F5F5"/>
          </w:tcPr>
          <w:p w14:paraId="269F3CDD" w14:textId="4A612FE1" w:rsidR="00CC68E6" w:rsidRPr="00060280" w:rsidRDefault="00CC68E6" w:rsidP="00060280">
            <w:r w:rsidRPr="00060280">
              <w:t>The Lancet (2016). Ending preventable stillbirths</w:t>
            </w:r>
            <w:r w:rsidR="00DD3A3D" w:rsidRPr="00060280">
              <w:t>: An executive Summary for The Lancet’s Series. A</w:t>
            </w:r>
            <w:r w:rsidRPr="00060280">
              <w:t xml:space="preserve">vailable </w:t>
            </w:r>
            <w:hyperlink r:id="rId64" w:history="1">
              <w:r w:rsidR="00DD3A3D" w:rsidRPr="00060280">
                <w:rPr>
                  <w:rStyle w:val="Hyperlink"/>
                </w:rPr>
                <w:t>here</w:t>
              </w:r>
            </w:hyperlink>
            <w:r w:rsidR="00DD3A3D" w:rsidRPr="00060280">
              <w:t xml:space="preserve">. </w:t>
            </w:r>
          </w:p>
        </w:tc>
      </w:tr>
      <w:tr w:rsidR="00CC68E6" w:rsidRPr="00060280" w14:paraId="15028D6C" w14:textId="77777777" w:rsidTr="007634AF">
        <w:trPr>
          <w:trHeight w:val="290"/>
        </w:trPr>
        <w:tc>
          <w:tcPr>
            <w:tcW w:w="2065" w:type="dxa"/>
            <w:shd w:val="clear" w:color="auto" w:fill="E6E6E6"/>
            <w:hideMark/>
          </w:tcPr>
          <w:p w14:paraId="719C6BAD" w14:textId="77777777" w:rsidR="00CC68E6" w:rsidRPr="00060280" w:rsidRDefault="00CC68E6" w:rsidP="00060280">
            <w:r w:rsidRPr="00060280">
              <w:t>Professional body guidelines</w:t>
            </w:r>
          </w:p>
        </w:tc>
        <w:tc>
          <w:tcPr>
            <w:tcW w:w="4948" w:type="dxa"/>
            <w:shd w:val="clear" w:color="auto" w:fill="F5F5F5"/>
          </w:tcPr>
          <w:p w14:paraId="18DBC84E" w14:textId="77777777" w:rsidR="00CC68E6" w:rsidRPr="00060280" w:rsidRDefault="00CC68E6" w:rsidP="00060280">
            <w:r w:rsidRPr="00060280">
              <w:t xml:space="preserve">Guidelines developed by professional bodies, intended to apply to members of the profession regardless of their practice location. For example, guidelines developed by RANZCOG or the Royal College of Pathologists of Australia. </w:t>
            </w:r>
          </w:p>
        </w:tc>
        <w:tc>
          <w:tcPr>
            <w:tcW w:w="2196" w:type="dxa"/>
            <w:shd w:val="clear" w:color="auto" w:fill="F5F5F5"/>
          </w:tcPr>
          <w:p w14:paraId="42A026F0" w14:textId="77777777" w:rsidR="00CC68E6" w:rsidRPr="00060280" w:rsidRDefault="00CC68E6" w:rsidP="00060280">
            <w:r w:rsidRPr="00060280">
              <w:t>Nous term used for clarity in the evaluation report.</w:t>
            </w:r>
          </w:p>
        </w:tc>
      </w:tr>
      <w:tr w:rsidR="00CC68E6" w:rsidRPr="00060280" w14:paraId="4C2E40B3" w14:textId="77777777" w:rsidTr="007634AF">
        <w:trPr>
          <w:trHeight w:val="290"/>
        </w:trPr>
        <w:tc>
          <w:tcPr>
            <w:tcW w:w="2065" w:type="dxa"/>
            <w:shd w:val="clear" w:color="auto" w:fill="E6E6E6"/>
            <w:hideMark/>
          </w:tcPr>
          <w:p w14:paraId="1DF81F9C" w14:textId="77777777" w:rsidR="00CC68E6" w:rsidRPr="00060280" w:rsidRDefault="00CC68E6" w:rsidP="00060280">
            <w:r w:rsidRPr="00060280">
              <w:t>Safer baby bundle</w:t>
            </w:r>
          </w:p>
        </w:tc>
        <w:tc>
          <w:tcPr>
            <w:tcW w:w="4948" w:type="dxa"/>
            <w:shd w:val="clear" w:color="auto" w:fill="F5F5F5"/>
          </w:tcPr>
          <w:p w14:paraId="52E16010" w14:textId="77777777" w:rsidR="00CC68E6" w:rsidRPr="00060280" w:rsidRDefault="00CC68E6" w:rsidP="00060280">
            <w:r w:rsidRPr="00060280">
              <w:t>The Safer Baby Bundle is a national initiative with five evidence-based elements to address key areas where improved practice can reduce the number of stillborn babies, in late pregnancy (beyond 28 weeks' gestation).</w:t>
            </w:r>
          </w:p>
        </w:tc>
        <w:tc>
          <w:tcPr>
            <w:tcW w:w="2196" w:type="dxa"/>
            <w:shd w:val="clear" w:color="auto" w:fill="F5F5F5"/>
          </w:tcPr>
          <w:p w14:paraId="2B2F2F17" w14:textId="0D769AEA" w:rsidR="00CC68E6" w:rsidRPr="00060280" w:rsidRDefault="00CC68E6" w:rsidP="00060280">
            <w:r w:rsidRPr="00060280">
              <w:t>Stillbirth CRE</w:t>
            </w:r>
            <w:r w:rsidR="00A472E7" w:rsidRPr="00060280">
              <w:t xml:space="preserve"> (</w:t>
            </w:r>
            <w:r w:rsidR="004F6CB6" w:rsidRPr="00060280">
              <w:t>2019</w:t>
            </w:r>
            <w:r w:rsidR="00A472E7" w:rsidRPr="00060280">
              <w:t xml:space="preserve">). The Safer Baby Bundle. Available </w:t>
            </w:r>
            <w:hyperlink r:id="rId65" w:history="1">
              <w:r w:rsidR="00A472E7" w:rsidRPr="00060280">
                <w:rPr>
                  <w:rStyle w:val="Hyperlink"/>
                </w:rPr>
                <w:t>here</w:t>
              </w:r>
            </w:hyperlink>
            <w:r w:rsidR="00A472E7" w:rsidRPr="00060280">
              <w:t>.</w:t>
            </w:r>
            <w:r w:rsidRPr="00060280">
              <w:t xml:space="preserve"> </w:t>
            </w:r>
          </w:p>
        </w:tc>
      </w:tr>
      <w:tr w:rsidR="00CC68E6" w:rsidRPr="00060280" w14:paraId="3D9A6F5F" w14:textId="77777777" w:rsidTr="007634AF">
        <w:trPr>
          <w:trHeight w:val="290"/>
        </w:trPr>
        <w:tc>
          <w:tcPr>
            <w:tcW w:w="2065" w:type="dxa"/>
            <w:shd w:val="clear" w:color="auto" w:fill="E6E6E6"/>
            <w:hideMark/>
          </w:tcPr>
          <w:p w14:paraId="2574E779" w14:textId="77777777" w:rsidR="00CC68E6" w:rsidRPr="00060280" w:rsidRDefault="00CC68E6" w:rsidP="00060280">
            <w:r w:rsidRPr="00060280">
              <w:t xml:space="preserve">Stillbirth or </w:t>
            </w:r>
            <w:proofErr w:type="spellStart"/>
            <w:r w:rsidRPr="00060280">
              <w:t>fetal</w:t>
            </w:r>
            <w:proofErr w:type="spellEnd"/>
            <w:r w:rsidRPr="00060280">
              <w:t xml:space="preserve"> death</w:t>
            </w:r>
          </w:p>
        </w:tc>
        <w:tc>
          <w:tcPr>
            <w:tcW w:w="4948" w:type="dxa"/>
            <w:shd w:val="clear" w:color="auto" w:fill="F5F5F5"/>
          </w:tcPr>
          <w:p w14:paraId="2D5E9888" w14:textId="61E2C461" w:rsidR="00F21684" w:rsidRPr="00060280" w:rsidRDefault="00CC68E6" w:rsidP="00060280">
            <w:r w:rsidRPr="00060280">
              <w:t xml:space="preserve">A </w:t>
            </w:r>
            <w:proofErr w:type="spellStart"/>
            <w:r w:rsidRPr="00060280">
              <w:t>fetal</w:t>
            </w:r>
            <w:proofErr w:type="spellEnd"/>
            <w:r w:rsidRPr="00060280">
              <w:t xml:space="preserve"> death prior to birth of a baby of 20 or more completed weeks of gestation or of 400 grams or more birthweight.</w:t>
            </w:r>
            <w:r w:rsidRPr="00060280">
              <w:footnoteReference w:id="29"/>
            </w:r>
          </w:p>
          <w:p w14:paraId="1D56A50E" w14:textId="0F529A6F" w:rsidR="00CC68E6" w:rsidRPr="00060280" w:rsidRDefault="002C178F" w:rsidP="00060280">
            <w:r w:rsidRPr="00060280">
              <w:t xml:space="preserve">Due to data collection and reporting approaches, stillbirth data in Australia also includes terminations that meet the criteria for stillbirth – </w:t>
            </w:r>
            <w:proofErr w:type="gramStart"/>
            <w:r w:rsidRPr="00060280">
              <w:t>i.e.</w:t>
            </w:r>
            <w:proofErr w:type="gramEnd"/>
            <w:r w:rsidRPr="00060280">
              <w:t xml:space="preserve"> 20 weeks or greater gestation, or a weight of greater than or equal to 400 grams.</w:t>
            </w:r>
          </w:p>
        </w:tc>
        <w:tc>
          <w:tcPr>
            <w:tcW w:w="2196" w:type="dxa"/>
            <w:shd w:val="clear" w:color="auto" w:fill="F5F5F5"/>
          </w:tcPr>
          <w:p w14:paraId="2006BD57" w14:textId="1A21C420" w:rsidR="00CC68E6" w:rsidRPr="00060280" w:rsidRDefault="00361950" w:rsidP="00060280">
            <w:r w:rsidRPr="00060280">
              <w:t>AIHW (2021) Antenatal Care. Available</w:t>
            </w:r>
            <w:hyperlink r:id="rId66" w:history="1">
              <w:r w:rsidRPr="00060280">
                <w:rPr>
                  <w:rStyle w:val="Hyperlink"/>
                </w:rPr>
                <w:t xml:space="preserve"> here</w:t>
              </w:r>
            </w:hyperlink>
            <w:r w:rsidRPr="00060280">
              <w:t>.</w:t>
            </w:r>
          </w:p>
        </w:tc>
      </w:tr>
      <w:tr w:rsidR="00CC68E6" w:rsidRPr="00060280" w14:paraId="05CE2374" w14:textId="77777777" w:rsidTr="007634AF">
        <w:trPr>
          <w:trHeight w:val="290"/>
        </w:trPr>
        <w:tc>
          <w:tcPr>
            <w:tcW w:w="2065" w:type="dxa"/>
            <w:shd w:val="clear" w:color="auto" w:fill="E6E6E6"/>
            <w:hideMark/>
          </w:tcPr>
          <w:p w14:paraId="68AF7543" w14:textId="77777777" w:rsidR="00CC68E6" w:rsidRPr="00060280" w:rsidRDefault="00CC68E6" w:rsidP="00060280">
            <w:r w:rsidRPr="00060280">
              <w:t>Stillbirth investigation</w:t>
            </w:r>
          </w:p>
        </w:tc>
        <w:tc>
          <w:tcPr>
            <w:tcW w:w="4948" w:type="dxa"/>
            <w:shd w:val="clear" w:color="auto" w:fill="F5F5F5"/>
          </w:tcPr>
          <w:p w14:paraId="2E327ECE" w14:textId="77777777" w:rsidR="00CC68E6" w:rsidRPr="00060280" w:rsidRDefault="00CC68E6" w:rsidP="00060280">
            <w:r w:rsidRPr="00060280">
              <w:t xml:space="preserve">The umbrella term for all investigation that may be undertaken to determine the cause of stillbirth. This includes core investigation of the mother (for example maternal history, maternal examination, geonomics, </w:t>
            </w:r>
            <w:proofErr w:type="spellStart"/>
            <w:r w:rsidRPr="00060280">
              <w:t>Kleihauer-Betke</w:t>
            </w:r>
            <w:proofErr w:type="spellEnd"/>
            <w:r w:rsidRPr="00060280">
              <w:t xml:space="preserve"> or flow cytometry), the baby (for example clinical examination at birth and/or full autopsy) and the placenta (macroscopic </w:t>
            </w:r>
            <w:r w:rsidRPr="00060280">
              <w:lastRenderedPageBreak/>
              <w:t xml:space="preserve">examination, histopathology studies and/or cytogenetic analysis). </w:t>
            </w:r>
          </w:p>
          <w:p w14:paraId="62377B27" w14:textId="77777777" w:rsidR="00CC68E6" w:rsidRPr="00060280" w:rsidRDefault="00CC68E6" w:rsidP="00060280">
            <w:r w:rsidRPr="00060280">
              <w:t>Data is collected by jurisdictions and data on specific types of investigations may vary. It is expected data availability and reporting on investigations may change over the monitoring and evaluation period.</w:t>
            </w:r>
          </w:p>
        </w:tc>
        <w:tc>
          <w:tcPr>
            <w:tcW w:w="2196" w:type="dxa"/>
            <w:shd w:val="clear" w:color="auto" w:fill="F5F5F5"/>
          </w:tcPr>
          <w:p w14:paraId="2563F9DC" w14:textId="77777777" w:rsidR="00303C68" w:rsidRPr="00060280" w:rsidRDefault="00CC68E6" w:rsidP="00060280">
            <w:r w:rsidRPr="00060280">
              <w:lastRenderedPageBreak/>
              <w:t>Investigations as described by</w:t>
            </w:r>
          </w:p>
          <w:p w14:paraId="11124AD9" w14:textId="2D020853" w:rsidR="00CC68E6" w:rsidRPr="00060280" w:rsidRDefault="00CC68E6" w:rsidP="00060280">
            <w:r w:rsidRPr="00060280">
              <w:t xml:space="preserve">PSANZ </w:t>
            </w:r>
            <w:r w:rsidR="00303C68" w:rsidRPr="00060280">
              <w:t>(2017).</w:t>
            </w:r>
            <w:r w:rsidRPr="00060280">
              <w:t xml:space="preserve"> Stillbirth </w:t>
            </w:r>
            <w:r w:rsidR="00776605" w:rsidRPr="00060280">
              <w:t xml:space="preserve">investigations flowchart. Available </w:t>
            </w:r>
            <w:hyperlink r:id="rId67" w:history="1">
              <w:r w:rsidR="00776605" w:rsidRPr="00060280">
                <w:rPr>
                  <w:rStyle w:val="Hyperlink"/>
                </w:rPr>
                <w:t>here</w:t>
              </w:r>
            </w:hyperlink>
            <w:r w:rsidR="00776605" w:rsidRPr="00060280">
              <w:t>.</w:t>
            </w:r>
          </w:p>
        </w:tc>
      </w:tr>
      <w:tr w:rsidR="00CC68E6" w:rsidRPr="00060280" w14:paraId="4C343536" w14:textId="77777777" w:rsidTr="007634AF">
        <w:trPr>
          <w:trHeight w:val="290"/>
        </w:trPr>
        <w:tc>
          <w:tcPr>
            <w:tcW w:w="2065" w:type="dxa"/>
            <w:shd w:val="clear" w:color="auto" w:fill="E6E6E6"/>
            <w:hideMark/>
          </w:tcPr>
          <w:p w14:paraId="5032CA98" w14:textId="77777777" w:rsidR="00CC68E6" w:rsidRPr="00060280" w:rsidRDefault="00CC68E6" w:rsidP="00060280">
            <w:r w:rsidRPr="00060280">
              <w:t>Term birth</w:t>
            </w:r>
          </w:p>
        </w:tc>
        <w:tc>
          <w:tcPr>
            <w:tcW w:w="4948" w:type="dxa"/>
            <w:shd w:val="clear" w:color="auto" w:fill="F5F5F5"/>
          </w:tcPr>
          <w:p w14:paraId="4792FE90" w14:textId="77777777" w:rsidR="00CC68E6" w:rsidRPr="00060280" w:rsidRDefault="00CC68E6" w:rsidP="00060280">
            <w:r w:rsidRPr="00060280">
              <w:t>Birth at 37–41 completed weeks of gestation.</w:t>
            </w:r>
          </w:p>
        </w:tc>
        <w:tc>
          <w:tcPr>
            <w:tcW w:w="2196" w:type="dxa"/>
            <w:shd w:val="clear" w:color="auto" w:fill="F5F5F5"/>
          </w:tcPr>
          <w:p w14:paraId="6D3CAFE1" w14:textId="77777777" w:rsidR="00CC68E6" w:rsidRPr="00060280" w:rsidRDefault="00CC68E6" w:rsidP="00060280">
            <w:r w:rsidRPr="00060280">
              <w:t xml:space="preserve">AIHW (2020) </w:t>
            </w:r>
          </w:p>
        </w:tc>
      </w:tr>
      <w:tr w:rsidR="00CC68E6" w:rsidRPr="00060280" w14:paraId="50E4CBB8" w14:textId="77777777" w:rsidTr="007634AF">
        <w:trPr>
          <w:trHeight w:val="290"/>
        </w:trPr>
        <w:tc>
          <w:tcPr>
            <w:tcW w:w="2065" w:type="dxa"/>
            <w:shd w:val="clear" w:color="auto" w:fill="E6E6E6"/>
            <w:hideMark/>
          </w:tcPr>
          <w:p w14:paraId="09EA36CE" w14:textId="77777777" w:rsidR="00CC68E6" w:rsidRPr="00060280" w:rsidRDefault="00CC68E6" w:rsidP="00060280">
            <w:r w:rsidRPr="00060280">
              <w:t>Termination of pregnancy</w:t>
            </w:r>
          </w:p>
        </w:tc>
        <w:tc>
          <w:tcPr>
            <w:tcW w:w="4948" w:type="dxa"/>
            <w:shd w:val="clear" w:color="auto" w:fill="F5F5F5"/>
          </w:tcPr>
          <w:p w14:paraId="79453CAC" w14:textId="77777777" w:rsidR="00CC68E6" w:rsidRPr="00060280" w:rsidRDefault="00CC68E6" w:rsidP="00060280">
            <w:r w:rsidRPr="00060280">
              <w:t xml:space="preserve">This is the term used to describe deliberate ending of a pregnancy with the intention that the </w:t>
            </w:r>
            <w:proofErr w:type="spellStart"/>
            <w:r w:rsidRPr="00060280">
              <w:t>fetus</w:t>
            </w:r>
            <w:proofErr w:type="spellEnd"/>
            <w:r w:rsidRPr="00060280">
              <w:t xml:space="preserve"> will not survive.</w:t>
            </w:r>
          </w:p>
        </w:tc>
        <w:tc>
          <w:tcPr>
            <w:tcW w:w="2196" w:type="dxa"/>
            <w:shd w:val="clear" w:color="auto" w:fill="F5F5F5"/>
          </w:tcPr>
          <w:p w14:paraId="70358965" w14:textId="77777777" w:rsidR="00CC68E6" w:rsidRPr="00060280" w:rsidRDefault="00CC68E6" w:rsidP="00060280">
            <w:r w:rsidRPr="00060280">
              <w:t>Stillbirth CRE (2018)</w:t>
            </w:r>
          </w:p>
        </w:tc>
      </w:tr>
      <w:tr w:rsidR="00CC68E6" w:rsidRPr="00060280" w14:paraId="4CF7EC16" w14:textId="77777777" w:rsidTr="007634AF">
        <w:trPr>
          <w:trHeight w:val="290"/>
        </w:trPr>
        <w:tc>
          <w:tcPr>
            <w:tcW w:w="2065" w:type="dxa"/>
            <w:shd w:val="clear" w:color="auto" w:fill="E6E6E6"/>
            <w:hideMark/>
          </w:tcPr>
          <w:p w14:paraId="2B343657" w14:textId="77777777" w:rsidR="00CC68E6" w:rsidRPr="00060280" w:rsidRDefault="00CC68E6" w:rsidP="00060280">
            <w:r w:rsidRPr="00060280">
              <w:t>Woman-centred care</w:t>
            </w:r>
          </w:p>
        </w:tc>
        <w:tc>
          <w:tcPr>
            <w:tcW w:w="4948" w:type="dxa"/>
            <w:shd w:val="clear" w:color="auto" w:fill="F5F5F5"/>
          </w:tcPr>
          <w:p w14:paraId="0D1566EC" w14:textId="5A87D7B3" w:rsidR="00CC68E6" w:rsidRPr="00060280" w:rsidRDefault="00CC68E6" w:rsidP="00060280">
            <w:r w:rsidRPr="00060280">
              <w:t xml:space="preserve">Recognises the woman’s baby or babies, partner, family and community and respects cultural and religious diversity as defined by the woman herself. Woman-centred care considers the woman’s individual circumstances and aims to meet the woman’s physical, emotional, psychosocial, </w:t>
            </w:r>
            <w:proofErr w:type="gramStart"/>
            <w:r w:rsidRPr="00060280">
              <w:t>spiritual</w:t>
            </w:r>
            <w:proofErr w:type="gramEnd"/>
            <w:r w:rsidRPr="00060280">
              <w:t xml:space="preserve"> and cultural needs. This care is built on a reciprocal partnership through effective communication. It enables individual decision-making and self-determination for the woman to care for herself and her family. Woman-centred care respects the woman’s ownership of her health information, rights and preferences while protecting her dignity and empowering her choices.</w:t>
            </w:r>
          </w:p>
        </w:tc>
        <w:tc>
          <w:tcPr>
            <w:tcW w:w="2196" w:type="dxa"/>
            <w:shd w:val="clear" w:color="auto" w:fill="F5F5F5"/>
          </w:tcPr>
          <w:p w14:paraId="091A31DF" w14:textId="3699A856" w:rsidR="00CC68E6" w:rsidRPr="00060280" w:rsidRDefault="00CC68E6" w:rsidP="00060280">
            <w:r w:rsidRPr="00060280">
              <w:t xml:space="preserve">COAG (2019) Woman-centred care: Strategic directions for Australian maternity services. Available </w:t>
            </w:r>
            <w:hyperlink r:id="rId68" w:history="1">
              <w:r w:rsidRPr="00060280">
                <w:rPr>
                  <w:rStyle w:val="Hyperlink"/>
                </w:rPr>
                <w:t>here</w:t>
              </w:r>
            </w:hyperlink>
          </w:p>
        </w:tc>
      </w:tr>
    </w:tbl>
    <w:p w14:paraId="09BBB362" w14:textId="63404309" w:rsidR="00C0398C" w:rsidRDefault="00C0398C" w:rsidP="00F21D30">
      <w:pPr>
        <w:pStyle w:val="xAppendixLevel1"/>
        <w:tabs>
          <w:tab w:val="clear" w:pos="7938"/>
        </w:tabs>
      </w:pPr>
      <w:bookmarkStart w:id="49" w:name="_Ref87554861"/>
      <w:bookmarkStart w:id="50" w:name="_Ref55942876"/>
      <w:bookmarkStart w:id="51" w:name="_Toc121303901"/>
      <w:r>
        <w:lastRenderedPageBreak/>
        <w:t xml:space="preserve">Stakeholders involved in development </w:t>
      </w:r>
      <w:r w:rsidR="005D3C88">
        <w:t>of this document</w:t>
      </w:r>
      <w:bookmarkEnd w:id="49"/>
      <w:bookmarkEnd w:id="51"/>
    </w:p>
    <w:p w14:paraId="1ED33F4E" w14:textId="5C79C2FB" w:rsidR="00731C49" w:rsidRPr="00D0129E" w:rsidRDefault="004E3C69" w:rsidP="00B37F29">
      <w:pPr>
        <w:rPr>
          <w:rFonts w:ascii="Arial" w:hAnsi="Arial" w:cs="Arial"/>
          <w:lang w:eastAsia="en-AU"/>
        </w:rPr>
      </w:pPr>
      <w:r w:rsidRPr="00D0129E">
        <w:rPr>
          <w:rFonts w:ascii="Arial" w:hAnsi="Arial" w:cs="Arial"/>
          <w:lang w:eastAsia="en-AU"/>
        </w:rPr>
        <w:t>Numerous</w:t>
      </w:r>
      <w:r w:rsidR="002A1830" w:rsidRPr="00D0129E">
        <w:rPr>
          <w:rFonts w:ascii="Arial" w:hAnsi="Arial" w:cs="Arial"/>
          <w:lang w:eastAsia="en-AU"/>
        </w:rPr>
        <w:t xml:space="preserve"> stakeholders </w:t>
      </w:r>
      <w:r w:rsidRPr="00D0129E">
        <w:rPr>
          <w:rFonts w:ascii="Arial" w:hAnsi="Arial" w:cs="Arial"/>
          <w:lang w:eastAsia="en-AU"/>
        </w:rPr>
        <w:t xml:space="preserve">were </w:t>
      </w:r>
      <w:r w:rsidR="002A1830" w:rsidRPr="00D0129E">
        <w:rPr>
          <w:rFonts w:ascii="Arial" w:hAnsi="Arial" w:cs="Arial"/>
          <w:lang w:eastAsia="en-AU"/>
        </w:rPr>
        <w:t xml:space="preserve">involved in the development of the </w:t>
      </w:r>
      <w:r w:rsidR="009D1A53" w:rsidRPr="00D0129E">
        <w:rPr>
          <w:rFonts w:ascii="Arial" w:hAnsi="Arial" w:cs="Arial"/>
          <w:lang w:eastAsia="en-AU"/>
        </w:rPr>
        <w:t>Monitoring</w:t>
      </w:r>
      <w:r w:rsidR="002A1830" w:rsidRPr="00D0129E">
        <w:rPr>
          <w:rFonts w:ascii="Arial" w:hAnsi="Arial" w:cs="Arial"/>
          <w:lang w:eastAsia="en-AU"/>
        </w:rPr>
        <w:t xml:space="preserve"> and </w:t>
      </w:r>
      <w:r w:rsidR="009D1A53" w:rsidRPr="00D0129E">
        <w:rPr>
          <w:rFonts w:ascii="Arial" w:hAnsi="Arial" w:cs="Arial"/>
          <w:lang w:eastAsia="en-AU"/>
        </w:rPr>
        <w:t>Evaluation Framework</w:t>
      </w:r>
      <w:r w:rsidRPr="00D0129E">
        <w:rPr>
          <w:rFonts w:ascii="Arial" w:hAnsi="Arial" w:cs="Arial"/>
          <w:lang w:eastAsia="en-AU"/>
        </w:rPr>
        <w:t xml:space="preserve"> </w:t>
      </w:r>
      <w:r w:rsidR="00B37F29" w:rsidRPr="00D0129E">
        <w:rPr>
          <w:rFonts w:ascii="Arial" w:hAnsi="Arial" w:cs="Arial"/>
          <w:lang w:eastAsia="en-AU"/>
        </w:rPr>
        <w:t xml:space="preserve">through 1:1 consultation and focus groups </w:t>
      </w:r>
      <w:r w:rsidRPr="00D0129E">
        <w:rPr>
          <w:rFonts w:ascii="Arial" w:hAnsi="Arial" w:cs="Arial"/>
          <w:lang w:eastAsia="en-AU"/>
        </w:rPr>
        <w:t>(</w:t>
      </w:r>
      <w:r w:rsidRPr="00D0129E">
        <w:rPr>
          <w:rFonts w:ascii="Arial" w:hAnsi="Arial" w:cs="Arial"/>
          <w:lang w:eastAsia="en-AU"/>
        </w:rPr>
        <w:fldChar w:fldCharType="begin"/>
      </w:r>
      <w:r w:rsidRPr="00D0129E">
        <w:rPr>
          <w:rFonts w:ascii="Arial" w:hAnsi="Arial" w:cs="Arial"/>
          <w:lang w:eastAsia="en-AU"/>
        </w:rPr>
        <w:instrText xml:space="preserve"> REF _Ref87972558 \h </w:instrText>
      </w:r>
      <w:r w:rsidR="00D0129E">
        <w:rPr>
          <w:rFonts w:ascii="Arial" w:hAnsi="Arial" w:cs="Arial"/>
          <w:lang w:eastAsia="en-AU"/>
        </w:rPr>
        <w:instrText xml:space="preserve"> \* MERGEFORMAT </w:instrText>
      </w:r>
      <w:r w:rsidRPr="00D0129E">
        <w:rPr>
          <w:rFonts w:ascii="Arial" w:hAnsi="Arial" w:cs="Arial"/>
          <w:lang w:eastAsia="en-AU"/>
        </w:rPr>
      </w:r>
      <w:r w:rsidRPr="00D0129E">
        <w:rPr>
          <w:rFonts w:ascii="Arial" w:hAnsi="Arial" w:cs="Arial"/>
          <w:lang w:eastAsia="en-AU"/>
        </w:rPr>
        <w:fldChar w:fldCharType="separate"/>
      </w:r>
      <w:r w:rsidR="00CF19E2" w:rsidRPr="00CF19E2">
        <w:rPr>
          <w:rFonts w:ascii="Arial" w:hAnsi="Arial" w:cs="Arial"/>
        </w:rPr>
        <w:t xml:space="preserve">Table </w:t>
      </w:r>
      <w:r w:rsidR="00CF19E2" w:rsidRPr="00CF19E2">
        <w:rPr>
          <w:rFonts w:ascii="Arial" w:hAnsi="Arial" w:cs="Arial"/>
          <w:noProof/>
        </w:rPr>
        <w:t>7</w:t>
      </w:r>
      <w:r w:rsidRPr="00D0129E">
        <w:rPr>
          <w:rFonts w:ascii="Arial" w:hAnsi="Arial" w:cs="Arial"/>
          <w:lang w:eastAsia="en-AU"/>
        </w:rPr>
        <w:fldChar w:fldCharType="end"/>
      </w:r>
      <w:r w:rsidRPr="00D0129E">
        <w:rPr>
          <w:rFonts w:ascii="Arial" w:hAnsi="Arial" w:cs="Arial"/>
          <w:lang w:eastAsia="en-AU"/>
        </w:rPr>
        <w:t>).</w:t>
      </w:r>
      <w:r w:rsidR="00731C49" w:rsidRPr="00D0129E">
        <w:rPr>
          <w:rFonts w:ascii="Arial" w:hAnsi="Arial" w:cs="Arial"/>
          <w:lang w:eastAsia="en-AU"/>
        </w:rPr>
        <w:t xml:space="preserve"> </w:t>
      </w:r>
      <w:r w:rsidR="00FE46C3" w:rsidRPr="00D0129E">
        <w:rPr>
          <w:rFonts w:ascii="Arial" w:hAnsi="Arial" w:cs="Arial"/>
          <w:lang w:eastAsia="en-AU"/>
        </w:rPr>
        <w:t xml:space="preserve">Stakeholders </w:t>
      </w:r>
      <w:r w:rsidRPr="00D0129E">
        <w:rPr>
          <w:rFonts w:ascii="Arial" w:hAnsi="Arial" w:cs="Arial"/>
          <w:lang w:eastAsia="en-AU"/>
        </w:rPr>
        <w:t xml:space="preserve">provided insights on data availability, key challenges in the sector and the monitoring and evaluation indicators. </w:t>
      </w:r>
    </w:p>
    <w:p w14:paraId="43C45837" w14:textId="3AF95758" w:rsidR="004E3C69" w:rsidRDefault="004E3C69" w:rsidP="004E3C69">
      <w:pPr>
        <w:pStyle w:val="Caption"/>
      </w:pPr>
      <w:bookmarkStart w:id="52" w:name="_Ref87972558"/>
      <w:r>
        <w:t xml:space="preserve">Table </w:t>
      </w:r>
      <w:r>
        <w:fldChar w:fldCharType="begin"/>
      </w:r>
      <w:r>
        <w:instrText xml:space="preserve"> SEQ Table \* ARABIC </w:instrText>
      </w:r>
      <w:r>
        <w:fldChar w:fldCharType="separate"/>
      </w:r>
      <w:r w:rsidR="00CF19E2">
        <w:rPr>
          <w:noProof/>
        </w:rPr>
        <w:t>7</w:t>
      </w:r>
      <w:r>
        <w:fldChar w:fldCharType="end"/>
      </w:r>
      <w:bookmarkEnd w:id="52"/>
      <w:r>
        <w:t xml:space="preserve"> | </w:t>
      </w:r>
      <w:r w:rsidRPr="00181753">
        <w:t xml:space="preserve">Stakeholders involved in the development of the </w:t>
      </w:r>
      <w:r w:rsidR="009D1A53">
        <w:t>Monitoring</w:t>
      </w:r>
      <w:r w:rsidRPr="00181753">
        <w:t xml:space="preserve"> and </w:t>
      </w:r>
      <w:r w:rsidR="009D1A53">
        <w:t>Evaluation Framework</w:t>
      </w:r>
    </w:p>
    <w:tbl>
      <w:tblPr>
        <w:tblStyle w:val="TableGridLight"/>
        <w:tblW w:w="0" w:type="auto"/>
        <w:tblInd w:w="10" w:type="dxa"/>
        <w:tblLook w:val="04A0" w:firstRow="1" w:lastRow="0" w:firstColumn="1" w:lastColumn="0" w:noHBand="0" w:noVBand="1"/>
      </w:tblPr>
      <w:tblGrid>
        <w:gridCol w:w="2382"/>
        <w:gridCol w:w="6528"/>
      </w:tblGrid>
      <w:tr w:rsidR="00731C49" w14:paraId="5F4A8B82" w14:textId="77777777" w:rsidTr="00060280">
        <w:tc>
          <w:tcPr>
            <w:cnfStyle w:val="001000000000" w:firstRow="0" w:lastRow="0" w:firstColumn="1" w:lastColumn="0" w:oddVBand="0" w:evenVBand="0" w:oddHBand="0" w:evenHBand="0" w:firstRowFirstColumn="0" w:firstRowLastColumn="0" w:lastRowFirstColumn="0" w:lastRowLastColumn="0"/>
            <w:tcW w:w="2383" w:type="dxa"/>
          </w:tcPr>
          <w:p w14:paraId="52337AE7" w14:textId="77777777" w:rsidR="00731C49" w:rsidRPr="00060280" w:rsidRDefault="00731C49" w:rsidP="00060280">
            <w:pPr>
              <w:pStyle w:val="TableNheader"/>
            </w:pPr>
            <w:bookmarkStart w:id="53" w:name="_Ref86265509"/>
            <w:bookmarkEnd w:id="50"/>
            <w:r w:rsidRPr="00060280">
              <w:t>Government</w:t>
            </w:r>
          </w:p>
        </w:tc>
        <w:tc>
          <w:tcPr>
            <w:tcW w:w="6537" w:type="dxa"/>
          </w:tcPr>
          <w:p w14:paraId="1BFED021" w14:textId="7000B23B"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rPr>
                <w:rFonts w:eastAsia="Segoe UI"/>
              </w:rPr>
            </w:pPr>
            <w:r w:rsidRPr="00060280">
              <w:t>Australian Department of Health</w:t>
            </w:r>
            <w:r w:rsidR="00A42E65">
              <w:t xml:space="preserve"> and Aged Care</w:t>
            </w:r>
          </w:p>
          <w:p w14:paraId="19833E29"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rPr>
                <w:rFonts w:eastAsia="Segoe UI"/>
              </w:rPr>
            </w:pPr>
            <w:r w:rsidRPr="00060280">
              <w:rPr>
                <w:rFonts w:eastAsia="Segoe UI"/>
              </w:rPr>
              <w:t>NSW Ministry of Health</w:t>
            </w:r>
          </w:p>
          <w:p w14:paraId="5AF458E6"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rPr>
                <w:rFonts w:eastAsia="Segoe UI"/>
              </w:rPr>
            </w:pPr>
            <w:r w:rsidRPr="00060280">
              <w:rPr>
                <w:rFonts w:eastAsia="Segoe UI"/>
              </w:rPr>
              <w:t>ACT Health</w:t>
            </w:r>
          </w:p>
          <w:p w14:paraId="6B035D9F"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rPr>
                <w:rFonts w:eastAsia="Segoe UI"/>
              </w:rPr>
            </w:pPr>
            <w:r w:rsidRPr="00060280">
              <w:rPr>
                <w:rFonts w:eastAsia="Segoe UI"/>
              </w:rPr>
              <w:t>NT Department of Health</w:t>
            </w:r>
          </w:p>
          <w:p w14:paraId="7B2B9671"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rPr>
                <w:rFonts w:eastAsia="Segoe UI"/>
              </w:rPr>
            </w:pPr>
            <w:r w:rsidRPr="00060280">
              <w:rPr>
                <w:rFonts w:eastAsia="Segoe UI"/>
              </w:rPr>
              <w:t>WA Department of Health</w:t>
            </w:r>
          </w:p>
          <w:p w14:paraId="52376CA7"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rPr>
                <w:rFonts w:eastAsia="Segoe UI"/>
              </w:rPr>
            </w:pPr>
            <w:r w:rsidRPr="00060280">
              <w:rPr>
                <w:rFonts w:eastAsia="Segoe UI"/>
              </w:rPr>
              <w:t>SA Department of Health</w:t>
            </w:r>
          </w:p>
          <w:p w14:paraId="33502965"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rPr>
                <w:rFonts w:eastAsia="Segoe UI"/>
              </w:rPr>
            </w:pPr>
            <w:r w:rsidRPr="00060280">
              <w:rPr>
                <w:rFonts w:eastAsia="Segoe UI"/>
              </w:rPr>
              <w:t>QLD Department of Health</w:t>
            </w:r>
          </w:p>
          <w:p w14:paraId="2550E2A8"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rPr>
                <w:rFonts w:eastAsia="Segoe UI"/>
              </w:rPr>
            </w:pPr>
            <w:r w:rsidRPr="00060280">
              <w:rPr>
                <w:rFonts w:eastAsia="Segoe UI"/>
              </w:rPr>
              <w:t>TAS Department of Health</w:t>
            </w:r>
          </w:p>
          <w:p w14:paraId="2B140E24"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rPr>
                <w:rFonts w:eastAsia="Segoe UI"/>
              </w:rPr>
            </w:pPr>
            <w:r w:rsidRPr="00060280">
              <w:rPr>
                <w:rFonts w:eastAsia="Segoe UI"/>
              </w:rPr>
              <w:t>Safer Care Victoria</w:t>
            </w:r>
          </w:p>
          <w:p w14:paraId="3B6F3D04" w14:textId="4A268752"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rPr>
                <w:rFonts w:eastAsia="Segoe UI"/>
              </w:rPr>
            </w:pPr>
            <w:r w:rsidRPr="00060280">
              <w:rPr>
                <w:rFonts w:eastAsia="Segoe UI"/>
              </w:rPr>
              <w:t>AIHW</w:t>
            </w:r>
          </w:p>
          <w:p w14:paraId="3584964D"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rPr>
                <w:rFonts w:eastAsia="Segoe UI"/>
              </w:rPr>
            </w:pPr>
            <w:r w:rsidRPr="00060280">
              <w:rPr>
                <w:rFonts w:eastAsia="Segoe UI"/>
              </w:rPr>
              <w:t>National Health and Medical Research Council</w:t>
            </w:r>
          </w:p>
          <w:p w14:paraId="3A86C544"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rPr>
                <w:rFonts w:eastAsia="Segoe UI"/>
              </w:rPr>
              <w:t>Australian Commission on Safety and Quality in Health Care</w:t>
            </w:r>
          </w:p>
        </w:tc>
      </w:tr>
      <w:tr w:rsidR="00731C49" w14:paraId="71ECD1EC" w14:textId="77777777" w:rsidTr="00060280">
        <w:tc>
          <w:tcPr>
            <w:cnfStyle w:val="001000000000" w:firstRow="0" w:lastRow="0" w:firstColumn="1" w:lastColumn="0" w:oddVBand="0" w:evenVBand="0" w:oddHBand="0" w:evenHBand="0" w:firstRowFirstColumn="0" w:firstRowLastColumn="0" w:lastRowFirstColumn="0" w:lastRowLastColumn="0"/>
            <w:tcW w:w="2383" w:type="dxa"/>
          </w:tcPr>
          <w:p w14:paraId="49D6D0D8" w14:textId="77777777" w:rsidR="00731C49" w:rsidRPr="00060280" w:rsidRDefault="00731C49" w:rsidP="00060280">
            <w:pPr>
              <w:pStyle w:val="TableNheader"/>
            </w:pPr>
            <w:r w:rsidRPr="00060280">
              <w:t>Governance groups</w:t>
            </w:r>
          </w:p>
        </w:tc>
        <w:tc>
          <w:tcPr>
            <w:tcW w:w="6537" w:type="dxa"/>
          </w:tcPr>
          <w:p w14:paraId="193944EC"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t>Stillbirth IOG</w:t>
            </w:r>
          </w:p>
          <w:p w14:paraId="08505FB9" w14:textId="77777777" w:rsidR="004E3C69" w:rsidRPr="00060280" w:rsidRDefault="004E3C69" w:rsidP="00060280">
            <w:pPr>
              <w:pStyle w:val="TableNBullet"/>
              <w:cnfStyle w:val="000000000000" w:firstRow="0" w:lastRow="0" w:firstColumn="0" w:lastColumn="0" w:oddVBand="0" w:evenVBand="0" w:oddHBand="0" w:evenHBand="0" w:firstRowFirstColumn="0" w:firstRowLastColumn="0" w:lastRowFirstColumn="0" w:lastRowLastColumn="0"/>
            </w:pPr>
            <w:r w:rsidRPr="00060280">
              <w:t>Stillbirth CRE Indigenous Advisory Group</w:t>
            </w:r>
          </w:p>
          <w:p w14:paraId="5116C768" w14:textId="1656C635" w:rsidR="00731C49" w:rsidRPr="00060280" w:rsidRDefault="00B37F29" w:rsidP="00060280">
            <w:pPr>
              <w:pStyle w:val="TableNBullet"/>
              <w:cnfStyle w:val="000000000000" w:firstRow="0" w:lastRow="0" w:firstColumn="0" w:lastColumn="0" w:oddVBand="0" w:evenVBand="0" w:oddHBand="0" w:evenHBand="0" w:firstRowFirstColumn="0" w:firstRowLastColumn="0" w:lastRowFirstColumn="0" w:lastRowLastColumn="0"/>
            </w:pPr>
            <w:r w:rsidRPr="00060280">
              <w:t>Stillbirth CRE Rural and Remote Advisory Group</w:t>
            </w:r>
          </w:p>
        </w:tc>
      </w:tr>
      <w:tr w:rsidR="00731C49" w14:paraId="1BADF12A" w14:textId="77777777" w:rsidTr="00060280">
        <w:tc>
          <w:tcPr>
            <w:cnfStyle w:val="001000000000" w:firstRow="0" w:lastRow="0" w:firstColumn="1" w:lastColumn="0" w:oddVBand="0" w:evenVBand="0" w:oddHBand="0" w:evenHBand="0" w:firstRowFirstColumn="0" w:firstRowLastColumn="0" w:lastRowFirstColumn="0" w:lastRowLastColumn="0"/>
            <w:tcW w:w="2383" w:type="dxa"/>
          </w:tcPr>
          <w:p w14:paraId="253E2F37" w14:textId="77777777" w:rsidR="00731C49" w:rsidRPr="00060280" w:rsidRDefault="00731C49" w:rsidP="00060280">
            <w:pPr>
              <w:pStyle w:val="TableNheader"/>
            </w:pPr>
            <w:r w:rsidRPr="00060280">
              <w:t>Health professional and peak bodies</w:t>
            </w:r>
          </w:p>
        </w:tc>
        <w:tc>
          <w:tcPr>
            <w:tcW w:w="6537" w:type="dxa"/>
          </w:tcPr>
          <w:p w14:paraId="57EB89B7" w14:textId="02C9A431"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t>ACM</w:t>
            </w:r>
          </w:p>
          <w:p w14:paraId="485E67A3"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proofErr w:type="spellStart"/>
            <w:r w:rsidRPr="00060280">
              <w:t>CATSINaM</w:t>
            </w:r>
            <w:proofErr w:type="spellEnd"/>
          </w:p>
          <w:p w14:paraId="68BAB127"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t>RANZCOG</w:t>
            </w:r>
          </w:p>
          <w:p w14:paraId="5D2B164F"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t>RACGP</w:t>
            </w:r>
          </w:p>
          <w:p w14:paraId="5903B92D"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t>RCPA</w:t>
            </w:r>
          </w:p>
          <w:p w14:paraId="7EE3E370"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t>PSANZ</w:t>
            </w:r>
          </w:p>
          <w:p w14:paraId="079935B4"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t>RANZCR</w:t>
            </w:r>
          </w:p>
        </w:tc>
      </w:tr>
      <w:tr w:rsidR="00731C49" w14:paraId="22CE1D4E" w14:textId="77777777" w:rsidTr="00060280">
        <w:tc>
          <w:tcPr>
            <w:cnfStyle w:val="001000000000" w:firstRow="0" w:lastRow="0" w:firstColumn="1" w:lastColumn="0" w:oddVBand="0" w:evenVBand="0" w:oddHBand="0" w:evenHBand="0" w:firstRowFirstColumn="0" w:firstRowLastColumn="0" w:lastRowFirstColumn="0" w:lastRowLastColumn="0"/>
            <w:tcW w:w="2383" w:type="dxa"/>
          </w:tcPr>
          <w:p w14:paraId="7B09A9A0" w14:textId="77777777" w:rsidR="00731C49" w:rsidRPr="00060280" w:rsidRDefault="00731C49" w:rsidP="00060280">
            <w:pPr>
              <w:pStyle w:val="TableNheader"/>
            </w:pPr>
            <w:r w:rsidRPr="00060280">
              <w:t>Non-Government Organisations</w:t>
            </w:r>
          </w:p>
        </w:tc>
        <w:tc>
          <w:tcPr>
            <w:tcW w:w="6537" w:type="dxa"/>
          </w:tcPr>
          <w:p w14:paraId="3CBD695E" w14:textId="0808D5E5"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t>N</w:t>
            </w:r>
            <w:r w:rsidR="00B37F29" w:rsidRPr="00060280">
              <w:t xml:space="preserve">ational Aboriginal Community Controlled Health Organisation </w:t>
            </w:r>
          </w:p>
          <w:p w14:paraId="498019EF"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t>Multicultural Centre for Women’s Health</w:t>
            </w:r>
          </w:p>
          <w:p w14:paraId="526FB70C" w14:textId="065B7420" w:rsidR="00731C49" w:rsidRPr="00060280" w:rsidRDefault="004E3C69" w:rsidP="00060280">
            <w:pPr>
              <w:pStyle w:val="TableNBullet"/>
              <w:cnfStyle w:val="000000000000" w:firstRow="0" w:lastRow="0" w:firstColumn="0" w:lastColumn="0" w:oddVBand="0" w:evenVBand="0" w:oddHBand="0" w:evenHBand="0" w:firstRowFirstColumn="0" w:firstRowLastColumn="0" w:lastRowFirstColumn="0" w:lastRowLastColumn="0"/>
            </w:pPr>
            <w:r w:rsidRPr="00060280">
              <w:t>Women’s Healthcare and Children’s Healthcare Australasia</w:t>
            </w:r>
          </w:p>
        </w:tc>
      </w:tr>
      <w:tr w:rsidR="00731C49" w14:paraId="45768E16" w14:textId="77777777" w:rsidTr="00060280">
        <w:tc>
          <w:tcPr>
            <w:cnfStyle w:val="001000000000" w:firstRow="0" w:lastRow="0" w:firstColumn="1" w:lastColumn="0" w:oddVBand="0" w:evenVBand="0" w:oddHBand="0" w:evenHBand="0" w:firstRowFirstColumn="0" w:firstRowLastColumn="0" w:lastRowFirstColumn="0" w:lastRowLastColumn="0"/>
            <w:tcW w:w="2383" w:type="dxa"/>
          </w:tcPr>
          <w:p w14:paraId="5846F9EC" w14:textId="77777777" w:rsidR="00731C49" w:rsidRPr="00060280" w:rsidRDefault="00731C49" w:rsidP="00060280">
            <w:pPr>
              <w:pStyle w:val="TableNheader"/>
            </w:pPr>
            <w:r w:rsidRPr="00060280">
              <w:t>Advocacy groups</w:t>
            </w:r>
          </w:p>
        </w:tc>
        <w:tc>
          <w:tcPr>
            <w:tcW w:w="6537" w:type="dxa"/>
          </w:tcPr>
          <w:p w14:paraId="292D2F26" w14:textId="0C3476E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t>Red Nose</w:t>
            </w:r>
            <w:r w:rsidR="00DF01E0" w:rsidRPr="00060280">
              <w:t xml:space="preserve"> </w:t>
            </w:r>
          </w:p>
        </w:tc>
      </w:tr>
      <w:tr w:rsidR="00731C49" w14:paraId="028D0004" w14:textId="77777777" w:rsidTr="00060280">
        <w:tc>
          <w:tcPr>
            <w:cnfStyle w:val="001000000000" w:firstRow="0" w:lastRow="0" w:firstColumn="1" w:lastColumn="0" w:oddVBand="0" w:evenVBand="0" w:oddHBand="0" w:evenHBand="0" w:firstRowFirstColumn="0" w:firstRowLastColumn="0" w:lastRowFirstColumn="0" w:lastRowLastColumn="0"/>
            <w:tcW w:w="2383" w:type="dxa"/>
          </w:tcPr>
          <w:p w14:paraId="7035AE31" w14:textId="77777777" w:rsidR="00731C49" w:rsidRPr="00060280" w:rsidRDefault="00731C49" w:rsidP="00060280">
            <w:pPr>
              <w:pStyle w:val="TableNheader"/>
            </w:pPr>
            <w:r w:rsidRPr="00060280">
              <w:t>Research organisations</w:t>
            </w:r>
          </w:p>
        </w:tc>
        <w:tc>
          <w:tcPr>
            <w:tcW w:w="6537" w:type="dxa"/>
          </w:tcPr>
          <w:p w14:paraId="56688396" w14:textId="77777777" w:rsidR="00731C49" w:rsidRPr="00060280" w:rsidRDefault="00731C49" w:rsidP="00060280">
            <w:pPr>
              <w:pStyle w:val="TableNBullet"/>
              <w:cnfStyle w:val="000000000000" w:firstRow="0" w:lastRow="0" w:firstColumn="0" w:lastColumn="0" w:oddVBand="0" w:evenVBand="0" w:oddHBand="0" w:evenHBand="0" w:firstRowFirstColumn="0" w:firstRowLastColumn="0" w:lastRowFirstColumn="0" w:lastRowLastColumn="0"/>
            </w:pPr>
            <w:r w:rsidRPr="00060280">
              <w:t>Stillbirth CRE</w:t>
            </w:r>
          </w:p>
        </w:tc>
      </w:tr>
    </w:tbl>
    <w:p w14:paraId="7451C951" w14:textId="32CCFA7D" w:rsidR="00731C49" w:rsidRDefault="00924096" w:rsidP="00F21D30">
      <w:pPr>
        <w:pStyle w:val="xAppendixLevel1"/>
        <w:tabs>
          <w:tab w:val="clear" w:pos="7938"/>
        </w:tabs>
      </w:pPr>
      <w:bookmarkStart w:id="54" w:name="_Ref87958108"/>
      <w:bookmarkStart w:id="55" w:name="_Toc121303902"/>
      <w:r>
        <w:lastRenderedPageBreak/>
        <w:t xml:space="preserve">Annual </w:t>
      </w:r>
      <w:r w:rsidR="004E66D3">
        <w:t>Monitoring Report Card</w:t>
      </w:r>
      <w:bookmarkEnd w:id="54"/>
      <w:bookmarkEnd w:id="55"/>
    </w:p>
    <w:p w14:paraId="1567DD45" w14:textId="7F3EB6D1" w:rsidR="00054356" w:rsidRPr="003976A8" w:rsidRDefault="00185E15" w:rsidP="00685BCF">
      <w:pPr>
        <w:rPr>
          <w:rFonts w:ascii="Arial" w:hAnsi="Arial" w:cs="Arial"/>
        </w:rPr>
      </w:pPr>
      <w:r w:rsidRPr="003976A8">
        <w:rPr>
          <w:rFonts w:ascii="Arial" w:hAnsi="Arial" w:cs="Arial"/>
        </w:rPr>
        <w:fldChar w:fldCharType="begin"/>
      </w:r>
      <w:r w:rsidRPr="005A6A71">
        <w:rPr>
          <w:rFonts w:asciiTheme="minorHAnsi" w:hAnsiTheme="minorHAnsi" w:cstheme="minorHAnsi"/>
          <w:highlight w:val="yellow"/>
        </w:rPr>
        <w:instrText xml:space="preserve"> REF _Ref88551317 \h </w:instrText>
      </w:r>
      <w:r w:rsidR="005A6A71" w:rsidRPr="005A6A71">
        <w:rPr>
          <w:rFonts w:asciiTheme="minorHAnsi" w:hAnsiTheme="minorHAnsi" w:cstheme="minorHAnsi"/>
          <w:highlight w:val="yellow"/>
        </w:rPr>
        <w:instrText xml:space="preserve"> \* MERGEFORMAT </w:instrText>
      </w:r>
      <w:r w:rsidRPr="003976A8">
        <w:rPr>
          <w:rFonts w:ascii="Arial" w:hAnsi="Arial" w:cs="Arial"/>
        </w:rPr>
      </w:r>
      <w:r w:rsidRPr="003976A8">
        <w:rPr>
          <w:rFonts w:ascii="Arial" w:hAnsi="Arial" w:cs="Arial"/>
        </w:rPr>
        <w:fldChar w:fldCharType="separate"/>
      </w:r>
      <w:r w:rsidR="00CF19E2" w:rsidRPr="00CF19E2">
        <w:rPr>
          <w:rFonts w:ascii="Arial" w:hAnsi="Arial" w:cs="Arial"/>
        </w:rPr>
        <w:t>Figure 8</w:t>
      </w:r>
      <w:r w:rsidRPr="003976A8">
        <w:rPr>
          <w:rFonts w:ascii="Arial" w:hAnsi="Arial" w:cs="Arial"/>
        </w:rPr>
        <w:fldChar w:fldCharType="end"/>
      </w:r>
      <w:r w:rsidRPr="003976A8">
        <w:rPr>
          <w:rFonts w:ascii="Arial" w:hAnsi="Arial" w:cs="Arial"/>
        </w:rPr>
        <w:t xml:space="preserve"> outlines an indicative A</w:t>
      </w:r>
      <w:r w:rsidR="00A95671" w:rsidRPr="003976A8">
        <w:rPr>
          <w:rFonts w:ascii="Arial" w:hAnsi="Arial" w:cs="Arial"/>
        </w:rPr>
        <w:t xml:space="preserve">nnual Monitoring Report Card </w:t>
      </w:r>
      <w:r w:rsidR="00337560" w:rsidRPr="003976A8">
        <w:rPr>
          <w:rFonts w:ascii="Arial" w:hAnsi="Arial" w:cs="Arial"/>
        </w:rPr>
        <w:t>proposed</w:t>
      </w:r>
      <w:r w:rsidR="00A95671" w:rsidRPr="003976A8">
        <w:rPr>
          <w:rFonts w:ascii="Arial" w:hAnsi="Arial" w:cs="Arial"/>
        </w:rPr>
        <w:t xml:space="preserve"> </w:t>
      </w:r>
      <w:r w:rsidRPr="003976A8">
        <w:rPr>
          <w:rFonts w:ascii="Arial" w:hAnsi="Arial" w:cs="Arial"/>
        </w:rPr>
        <w:t>to be included in each</w:t>
      </w:r>
      <w:r w:rsidR="00A95671" w:rsidRPr="003976A8">
        <w:rPr>
          <w:rFonts w:ascii="Arial" w:hAnsi="Arial" w:cs="Arial"/>
        </w:rPr>
        <w:t xml:space="preserve"> Annual </w:t>
      </w:r>
      <w:r w:rsidR="008D1A23" w:rsidRPr="003976A8">
        <w:rPr>
          <w:rFonts w:ascii="Arial" w:hAnsi="Arial" w:cs="Arial"/>
        </w:rPr>
        <w:t xml:space="preserve">Monitoring </w:t>
      </w:r>
      <w:r w:rsidR="00A95671" w:rsidRPr="003976A8">
        <w:rPr>
          <w:rFonts w:ascii="Arial" w:hAnsi="Arial" w:cs="Arial"/>
        </w:rPr>
        <w:t>Report</w:t>
      </w:r>
      <w:r w:rsidR="00156B80" w:rsidRPr="003976A8">
        <w:rPr>
          <w:rFonts w:ascii="Arial" w:hAnsi="Arial" w:cs="Arial"/>
        </w:rPr>
        <w:t>. The report card</w:t>
      </w:r>
      <w:r w:rsidR="00A95671" w:rsidRPr="003976A8">
        <w:rPr>
          <w:rFonts w:ascii="Arial" w:hAnsi="Arial" w:cs="Arial"/>
        </w:rPr>
        <w:t xml:space="preserve"> is designed to </w:t>
      </w:r>
      <w:r w:rsidR="00337560" w:rsidRPr="003976A8">
        <w:rPr>
          <w:rFonts w:ascii="Arial" w:hAnsi="Arial" w:cs="Arial"/>
        </w:rPr>
        <w:t xml:space="preserve">monitor </w:t>
      </w:r>
      <w:r w:rsidR="00A95671" w:rsidRPr="003976A8">
        <w:rPr>
          <w:rFonts w:ascii="Arial" w:hAnsi="Arial" w:cs="Arial"/>
        </w:rPr>
        <w:t>implementation progress</w:t>
      </w:r>
      <w:r w:rsidR="00337560" w:rsidRPr="003976A8">
        <w:rPr>
          <w:rFonts w:ascii="Arial" w:hAnsi="Arial" w:cs="Arial"/>
        </w:rPr>
        <w:t xml:space="preserve"> of each </w:t>
      </w:r>
      <w:r w:rsidR="00FD3D3B" w:rsidRPr="003976A8">
        <w:rPr>
          <w:rFonts w:ascii="Arial" w:hAnsi="Arial" w:cs="Arial"/>
        </w:rPr>
        <w:t>action</w:t>
      </w:r>
      <w:r w:rsidR="004432EB" w:rsidRPr="003976A8">
        <w:rPr>
          <w:rFonts w:ascii="Arial" w:hAnsi="Arial" w:cs="Arial"/>
        </w:rPr>
        <w:t xml:space="preserve"> area of</w:t>
      </w:r>
      <w:r w:rsidR="00337560" w:rsidRPr="003976A8">
        <w:rPr>
          <w:rFonts w:ascii="Arial" w:hAnsi="Arial" w:cs="Arial"/>
        </w:rPr>
        <w:t xml:space="preserve"> the Plan</w:t>
      </w:r>
      <w:r w:rsidR="008D1A23" w:rsidRPr="003976A8">
        <w:rPr>
          <w:rFonts w:ascii="Arial" w:hAnsi="Arial" w:cs="Arial"/>
        </w:rPr>
        <w:t xml:space="preserve"> and progress against each of the national evaluation indicators</w:t>
      </w:r>
      <w:r w:rsidR="00337560" w:rsidRPr="003976A8">
        <w:rPr>
          <w:rFonts w:ascii="Arial" w:hAnsi="Arial" w:cs="Arial"/>
        </w:rPr>
        <w:t>.</w:t>
      </w:r>
    </w:p>
    <w:p w14:paraId="307AAFB8" w14:textId="47C938F4" w:rsidR="003B7286" w:rsidRPr="003976A8" w:rsidRDefault="00054356" w:rsidP="00685BCF">
      <w:pPr>
        <w:rPr>
          <w:rFonts w:ascii="Arial" w:hAnsi="Arial" w:cs="Arial"/>
        </w:rPr>
      </w:pPr>
      <w:r w:rsidRPr="003976A8">
        <w:rPr>
          <w:rFonts w:ascii="Arial" w:hAnsi="Arial" w:cs="Arial"/>
        </w:rPr>
        <w:t xml:space="preserve">The report card </w:t>
      </w:r>
      <w:r w:rsidR="003B7286" w:rsidRPr="003976A8">
        <w:rPr>
          <w:rFonts w:ascii="Arial" w:hAnsi="Arial" w:cs="Arial"/>
        </w:rPr>
        <w:t xml:space="preserve">is </w:t>
      </w:r>
      <w:r w:rsidR="00613128">
        <w:rPr>
          <w:rFonts w:ascii="Arial" w:hAnsi="Arial" w:cs="Arial"/>
        </w:rPr>
        <w:t>a visual overview of implementation progress</w:t>
      </w:r>
      <w:r w:rsidR="008C5D3F">
        <w:rPr>
          <w:rFonts w:ascii="Arial" w:hAnsi="Arial" w:cs="Arial"/>
        </w:rPr>
        <w:t>, including:</w:t>
      </w:r>
      <w:r w:rsidR="003B7286" w:rsidRPr="003976A8">
        <w:rPr>
          <w:rFonts w:ascii="Arial" w:hAnsi="Arial" w:cs="Arial"/>
        </w:rPr>
        <w:t xml:space="preserve"> </w:t>
      </w:r>
    </w:p>
    <w:p w14:paraId="652B7481" w14:textId="139CFDEE" w:rsidR="00685BCF" w:rsidRPr="00060280" w:rsidRDefault="00456794" w:rsidP="00060280">
      <w:pPr>
        <w:pStyle w:val="ListBullet"/>
      </w:pPr>
      <w:r w:rsidRPr="003976A8">
        <w:t>Overall progress</w:t>
      </w:r>
      <w:r w:rsidRPr="00060280">
        <w:t xml:space="preserve"> against the key goal of the Plan</w:t>
      </w:r>
    </w:p>
    <w:p w14:paraId="27E8795E" w14:textId="77777777" w:rsidR="00802983" w:rsidRPr="00060280" w:rsidRDefault="00456794" w:rsidP="00060280">
      <w:pPr>
        <w:pStyle w:val="ListBullet"/>
      </w:pPr>
      <w:r w:rsidRPr="00060280">
        <w:t xml:space="preserve">Progress towards the 14 Action Areas of the Plan </w:t>
      </w:r>
    </w:p>
    <w:p w14:paraId="140FF414" w14:textId="202575F7" w:rsidR="00456794" w:rsidRPr="003976A8" w:rsidRDefault="00300868" w:rsidP="00060280">
      <w:pPr>
        <w:pStyle w:val="ListBullet"/>
      </w:pPr>
      <w:r w:rsidRPr="00060280">
        <w:t>Update on</w:t>
      </w:r>
      <w:r w:rsidR="00456794" w:rsidRPr="00060280">
        <w:t xml:space="preserve"> the n</w:t>
      </w:r>
      <w:r w:rsidR="00456794" w:rsidRPr="003976A8">
        <w:t>ation</w:t>
      </w:r>
      <w:r w:rsidR="003976A8" w:rsidRPr="003976A8">
        <w:t>al evaluation indicators.</w:t>
      </w:r>
    </w:p>
    <w:p w14:paraId="63CA1AD1" w14:textId="77777777" w:rsidR="00151D00" w:rsidRDefault="003B7286" w:rsidP="00151D00">
      <w:pPr>
        <w:rPr>
          <w:rFonts w:ascii="Arial" w:hAnsi="Arial" w:cs="Arial"/>
        </w:rPr>
      </w:pPr>
      <w:r w:rsidRPr="003976A8">
        <w:rPr>
          <w:rFonts w:ascii="Arial" w:hAnsi="Arial" w:cs="Arial"/>
        </w:rPr>
        <w:t xml:space="preserve">The </w:t>
      </w:r>
      <w:r w:rsidR="008C5D3F" w:rsidRPr="00D9752E">
        <w:rPr>
          <w:rFonts w:ascii="Arial" w:hAnsi="Arial" w:cs="Arial"/>
        </w:rPr>
        <w:t xml:space="preserve">visual </w:t>
      </w:r>
      <w:r w:rsidRPr="00D9752E">
        <w:rPr>
          <w:rFonts w:ascii="Arial" w:hAnsi="Arial" w:cs="Arial"/>
        </w:rPr>
        <w:t xml:space="preserve">report card will </w:t>
      </w:r>
      <w:r w:rsidR="00300868" w:rsidRPr="00D9752E">
        <w:rPr>
          <w:rFonts w:ascii="Arial" w:hAnsi="Arial" w:cs="Arial"/>
        </w:rPr>
        <w:t>be</w:t>
      </w:r>
      <w:r w:rsidRPr="00D9752E">
        <w:rPr>
          <w:rFonts w:ascii="Arial" w:hAnsi="Arial" w:cs="Arial"/>
        </w:rPr>
        <w:t xml:space="preserve"> supported</w:t>
      </w:r>
      <w:r w:rsidR="00A66A42" w:rsidRPr="00D9752E">
        <w:rPr>
          <w:rFonts w:ascii="Arial" w:hAnsi="Arial" w:cs="Arial"/>
        </w:rPr>
        <w:t xml:space="preserve"> by accompany text</w:t>
      </w:r>
      <w:r w:rsidR="00A268F1" w:rsidRPr="00D9752E">
        <w:rPr>
          <w:rFonts w:ascii="Arial" w:hAnsi="Arial" w:cs="Arial"/>
        </w:rPr>
        <w:t xml:space="preserve"> that </w:t>
      </w:r>
      <w:r w:rsidR="0041342F" w:rsidRPr="00D9752E">
        <w:rPr>
          <w:rFonts w:ascii="Arial" w:hAnsi="Arial" w:cs="Arial"/>
        </w:rPr>
        <w:t>details</w:t>
      </w:r>
      <w:r w:rsidR="003866B7" w:rsidRPr="00D9752E">
        <w:rPr>
          <w:rFonts w:ascii="Arial" w:hAnsi="Arial" w:cs="Arial"/>
        </w:rPr>
        <w:t xml:space="preserve"> findings</w:t>
      </w:r>
      <w:r w:rsidR="0041342F" w:rsidRPr="00D9752E">
        <w:rPr>
          <w:rFonts w:ascii="Arial" w:hAnsi="Arial" w:cs="Arial"/>
        </w:rPr>
        <w:t xml:space="preserve">, </w:t>
      </w:r>
      <w:r w:rsidR="00157455" w:rsidRPr="00D9752E">
        <w:rPr>
          <w:rFonts w:ascii="Arial" w:hAnsi="Arial" w:cs="Arial"/>
        </w:rPr>
        <w:t>b</w:t>
      </w:r>
      <w:r w:rsidR="003866B7" w:rsidRPr="00D9752E">
        <w:rPr>
          <w:rFonts w:ascii="Arial" w:hAnsi="Arial" w:cs="Arial"/>
        </w:rPr>
        <w:t>arriers and enablers to implementation and highlight</w:t>
      </w:r>
      <w:r w:rsidR="00157455" w:rsidRPr="00D9752E">
        <w:rPr>
          <w:rFonts w:ascii="Arial" w:hAnsi="Arial" w:cs="Arial"/>
        </w:rPr>
        <w:t xml:space="preserve">s identifiable </w:t>
      </w:r>
      <w:r w:rsidR="003866B7" w:rsidRPr="00D9752E">
        <w:rPr>
          <w:rFonts w:ascii="Arial" w:hAnsi="Arial" w:cs="Arial"/>
        </w:rPr>
        <w:t>trends</w:t>
      </w:r>
      <w:r w:rsidR="008C5D3F" w:rsidRPr="00D9752E">
        <w:rPr>
          <w:rFonts w:ascii="Arial" w:hAnsi="Arial" w:cs="Arial"/>
        </w:rPr>
        <w:t>.</w:t>
      </w:r>
    </w:p>
    <w:p w14:paraId="4D7B42D8" w14:textId="6B5BC9F3" w:rsidR="00151D00" w:rsidRPr="00151D00" w:rsidRDefault="00151D00" w:rsidP="00151D00">
      <w:pPr>
        <w:rPr>
          <w:rFonts w:ascii="Arial" w:hAnsi="Arial" w:cs="Arial"/>
        </w:rPr>
      </w:pPr>
      <w:r>
        <w:rPr>
          <w:rFonts w:ascii="Arial" w:hAnsi="Arial" w:cs="Arial"/>
        </w:rPr>
        <w:fldChar w:fldCharType="begin"/>
      </w:r>
      <w:r w:rsidRPr="00FA0AFC">
        <w:rPr>
          <w:rFonts w:ascii="Arial" w:hAnsi="Arial" w:cs="Arial"/>
        </w:rPr>
        <w:instrText xml:space="preserve"> REF _Ref89077323 \h </w:instrText>
      </w:r>
      <w:r w:rsidR="00FA0AFC">
        <w:rPr>
          <w:rFonts w:ascii="Arial" w:hAnsi="Arial" w:cs="Arial"/>
        </w:rPr>
        <w:instrText xml:space="preserve"> \* MERGEFORMAT </w:instrText>
      </w:r>
      <w:r>
        <w:rPr>
          <w:rFonts w:ascii="Arial" w:hAnsi="Arial" w:cs="Arial"/>
        </w:rPr>
      </w:r>
      <w:r>
        <w:rPr>
          <w:rFonts w:ascii="Arial" w:hAnsi="Arial" w:cs="Arial"/>
        </w:rPr>
        <w:fldChar w:fldCharType="separate"/>
      </w:r>
      <w:r w:rsidR="00CF19E2" w:rsidRPr="00CF19E2">
        <w:rPr>
          <w:rFonts w:ascii="Arial" w:hAnsi="Arial" w:cs="Arial"/>
        </w:rPr>
        <w:t>Table</w:t>
      </w:r>
      <w:r w:rsidR="00CF19E2">
        <w:t xml:space="preserve"> </w:t>
      </w:r>
      <w:r w:rsidR="00CF19E2">
        <w:rPr>
          <w:noProof/>
        </w:rPr>
        <w:t>8</w:t>
      </w:r>
      <w:r>
        <w:rPr>
          <w:rFonts w:ascii="Arial" w:hAnsi="Arial" w:cs="Arial"/>
        </w:rPr>
        <w:fldChar w:fldCharType="end"/>
      </w:r>
      <w:r>
        <w:rPr>
          <w:rFonts w:ascii="Arial" w:hAnsi="Arial" w:cs="Arial"/>
        </w:rPr>
        <w:t xml:space="preserve"> </w:t>
      </w:r>
      <w:r w:rsidRPr="00151D00">
        <w:rPr>
          <w:rFonts w:ascii="Arial" w:hAnsi="Arial" w:cs="Arial"/>
        </w:rPr>
        <w:t xml:space="preserve">can be used to demonstrate implementation progress for each Action Area Task, including the lead agency and whether the task </w:t>
      </w:r>
      <w:r w:rsidR="00621551">
        <w:rPr>
          <w:rFonts w:ascii="Arial" w:hAnsi="Arial" w:cs="Arial"/>
        </w:rPr>
        <w:t>h</w:t>
      </w:r>
      <w:r w:rsidRPr="00151D00">
        <w:rPr>
          <w:rFonts w:ascii="Arial" w:hAnsi="Arial" w:cs="Arial"/>
        </w:rPr>
        <w:t xml:space="preserve">as been specifically funded. </w:t>
      </w:r>
      <w:r w:rsidR="00883B24">
        <w:rPr>
          <w:rFonts w:ascii="Arial" w:hAnsi="Arial" w:cs="Arial"/>
        </w:rPr>
        <w:fldChar w:fldCharType="begin"/>
      </w:r>
      <w:r w:rsidR="00883B24">
        <w:rPr>
          <w:rFonts w:ascii="Arial" w:hAnsi="Arial" w:cs="Arial"/>
        </w:rPr>
        <w:instrText xml:space="preserve"> REF _Ref88727459 \h </w:instrText>
      </w:r>
      <w:r w:rsidR="00883B24">
        <w:rPr>
          <w:rFonts w:ascii="Arial" w:hAnsi="Arial" w:cs="Arial"/>
        </w:rPr>
      </w:r>
      <w:r w:rsidR="00883B24">
        <w:rPr>
          <w:rFonts w:ascii="Arial" w:hAnsi="Arial" w:cs="Arial"/>
        </w:rPr>
        <w:fldChar w:fldCharType="separate"/>
      </w:r>
      <w:r w:rsidR="00CF19E2">
        <w:t xml:space="preserve">Table </w:t>
      </w:r>
      <w:r w:rsidR="00CF19E2">
        <w:rPr>
          <w:noProof/>
        </w:rPr>
        <w:t>9</w:t>
      </w:r>
      <w:r w:rsidR="00883B24">
        <w:rPr>
          <w:rFonts w:ascii="Arial" w:hAnsi="Arial" w:cs="Arial"/>
        </w:rPr>
        <w:fldChar w:fldCharType="end"/>
      </w:r>
      <w:r w:rsidRPr="00151D00">
        <w:rPr>
          <w:rFonts w:ascii="Arial" w:hAnsi="Arial" w:cs="Arial"/>
        </w:rPr>
        <w:t xml:space="preserve"> can be used to provide a more detailed update on the national evaluation indicators. </w:t>
      </w:r>
    </w:p>
    <w:p w14:paraId="7516C779" w14:textId="0CC03203" w:rsidR="00151D00" w:rsidRDefault="00151D00" w:rsidP="00151D00">
      <w:pPr>
        <w:rPr>
          <w:rFonts w:ascii="Arial" w:hAnsi="Arial" w:cs="Arial"/>
        </w:rPr>
      </w:pPr>
      <w:r w:rsidRPr="00151D00">
        <w:rPr>
          <w:rFonts w:ascii="Arial" w:hAnsi="Arial" w:cs="Arial"/>
        </w:rPr>
        <w:t>Findings included in the report card will be based on two data sources: the Annual Implementers Progress Update and key AIHW data on trends.</w:t>
      </w:r>
    </w:p>
    <w:p w14:paraId="54CDCA9D" w14:textId="21BE6A67" w:rsidR="00151D00" w:rsidRPr="00895552" w:rsidRDefault="00151D00" w:rsidP="00151D00">
      <w:pPr>
        <w:rPr>
          <w:rFonts w:ascii="Arial" w:hAnsi="Arial" w:cs="Arial"/>
        </w:rPr>
        <w:sectPr w:rsidR="00151D00" w:rsidRPr="00895552" w:rsidSect="00DD093C">
          <w:pgSz w:w="11907" w:h="16839" w:code="9"/>
          <w:pgMar w:top="1276" w:right="1418" w:bottom="1701" w:left="1559" w:header="454" w:footer="720" w:gutter="0"/>
          <w:cols w:space="720"/>
          <w:docGrid w:linePitch="360"/>
        </w:sectPr>
      </w:pPr>
      <w:r>
        <w:rPr>
          <w:rFonts w:ascii="Arial" w:hAnsi="Arial" w:cs="Arial"/>
        </w:rPr>
        <w:t xml:space="preserve"> </w:t>
      </w:r>
    </w:p>
    <w:p w14:paraId="2F501E2B" w14:textId="1C95CDA6" w:rsidR="00156B80" w:rsidRDefault="00071C85" w:rsidP="000A2307">
      <w:pPr>
        <w:pStyle w:val="Caption"/>
        <w:spacing w:before="100" w:beforeAutospacing="1"/>
      </w:pPr>
      <w:bookmarkStart w:id="56" w:name="_Ref88551317"/>
      <w:r>
        <w:lastRenderedPageBreak/>
        <w:t xml:space="preserve">Figure </w:t>
      </w:r>
      <w:r w:rsidR="005A3A31">
        <w:fldChar w:fldCharType="begin"/>
      </w:r>
      <w:r w:rsidR="005A3A31">
        <w:instrText xml:space="preserve"> SEQ Figure \* ARABIC </w:instrText>
      </w:r>
      <w:r w:rsidR="005A3A31">
        <w:fldChar w:fldCharType="separate"/>
      </w:r>
      <w:r w:rsidR="00CF19E2">
        <w:rPr>
          <w:noProof/>
        </w:rPr>
        <w:t>8</w:t>
      </w:r>
      <w:r w:rsidR="005A3A31">
        <w:fldChar w:fldCharType="end"/>
      </w:r>
      <w:bookmarkEnd w:id="56"/>
      <w:r>
        <w:t xml:space="preserve"> | </w:t>
      </w:r>
      <w:r w:rsidR="00185E15">
        <w:t>Indicative</w:t>
      </w:r>
      <w:r>
        <w:t xml:space="preserve"> </w:t>
      </w:r>
      <w:r w:rsidR="00185E15">
        <w:t>Annual Monitoring Report Card</w:t>
      </w:r>
    </w:p>
    <w:p w14:paraId="39FF1EFD" w14:textId="0F00260E" w:rsidR="005417D9" w:rsidRPr="005417D9" w:rsidRDefault="005417D9" w:rsidP="005417D9">
      <w:r w:rsidRPr="005417D9">
        <w:rPr>
          <w:noProof/>
        </w:rPr>
        <w:drawing>
          <wp:inline distT="0" distB="0" distL="0" distR="0" wp14:anchorId="25F2FB69" wp14:editId="471C9ABB">
            <wp:extent cx="8802370" cy="5915025"/>
            <wp:effectExtent l="0" t="0" r="0" b="9525"/>
            <wp:docPr id="10" name="Picture 10" descr="This figure shows the Annual Monitoring Report Card of the National Stillbirth Action and Implementation Plan. The scorecard asks implementers to report what activities they have completed against each priorit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shows the Annual Monitoring Report Card of the National Stillbirth Action and Implementation Plan. The scorecard asks implementers to report what activities they have completed against each priority area.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02370" cy="5915025"/>
                    </a:xfrm>
                    <a:prstGeom prst="rect">
                      <a:avLst/>
                    </a:prstGeom>
                    <a:noFill/>
                    <a:ln>
                      <a:noFill/>
                    </a:ln>
                  </pic:spPr>
                </pic:pic>
              </a:graphicData>
            </a:graphic>
          </wp:inline>
        </w:drawing>
      </w:r>
    </w:p>
    <w:p w14:paraId="6BBAA220" w14:textId="77777777" w:rsidR="000A2307" w:rsidRDefault="000A2307" w:rsidP="004D128E">
      <w:pPr>
        <w:pStyle w:val="Caption"/>
        <w:sectPr w:rsidR="000A2307" w:rsidSect="005417D9">
          <w:pgSz w:w="16839" w:h="11907" w:orient="landscape" w:code="9"/>
          <w:pgMar w:top="720" w:right="720" w:bottom="720" w:left="720" w:header="454" w:footer="720" w:gutter="0"/>
          <w:cols w:space="720"/>
          <w:docGrid w:linePitch="360"/>
        </w:sectPr>
      </w:pPr>
      <w:bookmarkStart w:id="57" w:name="_Ref88726825"/>
    </w:p>
    <w:p w14:paraId="5E576E1B" w14:textId="76280DE0" w:rsidR="004D128E" w:rsidRDefault="004D128E" w:rsidP="004D128E">
      <w:pPr>
        <w:pStyle w:val="Caption"/>
      </w:pPr>
      <w:bookmarkStart w:id="58" w:name="_Ref89077323"/>
      <w:r>
        <w:lastRenderedPageBreak/>
        <w:t xml:space="preserve">Table </w:t>
      </w:r>
      <w:r>
        <w:fldChar w:fldCharType="begin"/>
      </w:r>
      <w:r>
        <w:instrText xml:space="preserve"> SEQ Table \* ARABIC </w:instrText>
      </w:r>
      <w:r>
        <w:fldChar w:fldCharType="separate"/>
      </w:r>
      <w:r w:rsidR="00CF19E2">
        <w:rPr>
          <w:noProof/>
        </w:rPr>
        <w:t>8</w:t>
      </w:r>
      <w:r>
        <w:fldChar w:fldCharType="end"/>
      </w:r>
      <w:bookmarkEnd w:id="57"/>
      <w:bookmarkEnd w:id="58"/>
      <w:r>
        <w:t xml:space="preserve"> | </w:t>
      </w:r>
      <w:r w:rsidR="00464B1A">
        <w:t>Implementation Progress</w:t>
      </w:r>
      <w:r w:rsidR="000A1990">
        <w:t xml:space="preserve"> of </w:t>
      </w:r>
      <w:r w:rsidR="00284847">
        <w:t>Action Area</w:t>
      </w:r>
      <w:r w:rsidR="000A1990">
        <w:t xml:space="preserve"> </w:t>
      </w:r>
      <w:r w:rsidR="00284847">
        <w:t>tasks</w:t>
      </w:r>
      <w:r w:rsidR="00E21D4D">
        <w:rPr>
          <w:rStyle w:val="FootnoteReference"/>
        </w:rPr>
        <w:footnoteReference w:id="30"/>
      </w:r>
    </w:p>
    <w:tbl>
      <w:tblPr>
        <w:tblStyle w:val="TableGrid"/>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31"/>
        <w:gridCol w:w="3587"/>
        <w:gridCol w:w="1827"/>
        <w:gridCol w:w="1830"/>
        <w:gridCol w:w="1108"/>
      </w:tblGrid>
      <w:tr w:rsidR="006B0BFE" w:rsidRPr="00927059" w14:paraId="32F2A750" w14:textId="77777777" w:rsidTr="00060280">
        <w:trPr>
          <w:cnfStyle w:val="100000000000" w:firstRow="1" w:lastRow="0" w:firstColumn="0" w:lastColumn="0" w:oddVBand="0" w:evenVBand="0" w:oddHBand="0" w:evenHBand="0" w:firstRowFirstColumn="0" w:firstRowLastColumn="0" w:lastRowFirstColumn="0" w:lastRowLastColumn="0"/>
          <w:tblHeader/>
        </w:trPr>
        <w:tc>
          <w:tcPr>
            <w:tcW w:w="425" w:type="pct"/>
            <w:shd w:val="clear" w:color="auto" w:fill="3F4A75"/>
          </w:tcPr>
          <w:p w14:paraId="39A05017" w14:textId="50072D93" w:rsidR="006B0BFE" w:rsidRPr="00060280" w:rsidRDefault="006B0BFE" w:rsidP="00060280">
            <w:pPr>
              <w:pStyle w:val="TableNheader"/>
            </w:pPr>
            <w:r w:rsidRPr="00060280">
              <w:t>Action Area</w:t>
            </w:r>
          </w:p>
        </w:tc>
        <w:tc>
          <w:tcPr>
            <w:tcW w:w="1960" w:type="pct"/>
            <w:shd w:val="clear" w:color="auto" w:fill="3F4A75"/>
          </w:tcPr>
          <w:p w14:paraId="5386C805" w14:textId="4C49787E" w:rsidR="006B0BFE" w:rsidRPr="00060280" w:rsidRDefault="006B0BFE" w:rsidP="00060280">
            <w:pPr>
              <w:pStyle w:val="TableNheader"/>
            </w:pPr>
            <w:r w:rsidRPr="00060280">
              <w:t>Task</w:t>
            </w:r>
          </w:p>
        </w:tc>
        <w:tc>
          <w:tcPr>
            <w:tcW w:w="1002" w:type="pct"/>
            <w:shd w:val="clear" w:color="auto" w:fill="3F4A75"/>
          </w:tcPr>
          <w:p w14:paraId="11860BC9" w14:textId="55193AD0" w:rsidR="006B0BFE" w:rsidRPr="00060280" w:rsidRDefault="006B0BFE" w:rsidP="00060280">
            <w:pPr>
              <w:pStyle w:val="TableNheader"/>
            </w:pPr>
            <w:r w:rsidRPr="00060280">
              <w:t>Lead Agency</w:t>
            </w:r>
          </w:p>
        </w:tc>
        <w:tc>
          <w:tcPr>
            <w:tcW w:w="1003" w:type="pct"/>
            <w:shd w:val="clear" w:color="auto" w:fill="3F4A75"/>
          </w:tcPr>
          <w:p w14:paraId="77F6BD6B" w14:textId="77777777" w:rsidR="006B0BFE" w:rsidRPr="00060280" w:rsidRDefault="006B0BFE" w:rsidP="00060280">
            <w:pPr>
              <w:pStyle w:val="TableNheader"/>
            </w:pPr>
            <w:r w:rsidRPr="00060280">
              <w:t xml:space="preserve">Progress </w:t>
            </w:r>
          </w:p>
          <w:p w14:paraId="444184F1" w14:textId="6F4E26CC" w:rsidR="006B0BFE" w:rsidRPr="00060280" w:rsidRDefault="006B0BFE" w:rsidP="00060280">
            <w:pPr>
              <w:pStyle w:val="TableNheader"/>
            </w:pPr>
            <w:r w:rsidRPr="00060280">
              <w:t xml:space="preserve">(In </w:t>
            </w:r>
            <w:r w:rsidR="007D4400" w:rsidRPr="00060280">
              <w:t>P</w:t>
            </w:r>
            <w:r w:rsidRPr="00060280">
              <w:t xml:space="preserve">rogress, </w:t>
            </w:r>
            <w:r w:rsidR="007D4400" w:rsidRPr="00060280">
              <w:t>C</w:t>
            </w:r>
            <w:r w:rsidRPr="00060280">
              <w:t xml:space="preserve">omplete, </w:t>
            </w:r>
            <w:r w:rsidR="007D4400" w:rsidRPr="00060280">
              <w:t>N</w:t>
            </w:r>
            <w:r w:rsidRPr="00060280">
              <w:t xml:space="preserve">ot </w:t>
            </w:r>
            <w:r w:rsidR="007D4400" w:rsidRPr="00060280">
              <w:t>C</w:t>
            </w:r>
            <w:r w:rsidRPr="00060280">
              <w:t>ommenced)</w:t>
            </w:r>
          </w:p>
        </w:tc>
        <w:tc>
          <w:tcPr>
            <w:tcW w:w="610" w:type="pct"/>
            <w:shd w:val="clear" w:color="auto" w:fill="3F4A75"/>
          </w:tcPr>
          <w:p w14:paraId="2095EEB0" w14:textId="16E0D2D5" w:rsidR="006B0BFE" w:rsidRPr="00060280" w:rsidRDefault="006B0BFE" w:rsidP="00060280">
            <w:pPr>
              <w:pStyle w:val="TableNheader"/>
            </w:pPr>
            <w:r w:rsidRPr="00060280">
              <w:t>Funded (Y/N/Not required)</w:t>
            </w:r>
          </w:p>
        </w:tc>
      </w:tr>
      <w:tr w:rsidR="006B0BFE" w:rsidRPr="00927059" w14:paraId="4C3D4BCF" w14:textId="77777777" w:rsidTr="00377058">
        <w:tc>
          <w:tcPr>
            <w:tcW w:w="425" w:type="pct"/>
            <w:shd w:val="clear" w:color="auto" w:fill="3F4A75"/>
          </w:tcPr>
          <w:p w14:paraId="70753287" w14:textId="77777777" w:rsidR="006B0BFE" w:rsidRPr="00927059" w:rsidRDefault="006B0BFE" w:rsidP="00AD4A85">
            <w:pPr>
              <w:pStyle w:val="TableNheader"/>
              <w:rPr>
                <w:rFonts w:cs="Arial"/>
              </w:rPr>
            </w:pPr>
          </w:p>
        </w:tc>
        <w:tc>
          <w:tcPr>
            <w:tcW w:w="4575" w:type="pct"/>
            <w:gridSpan w:val="4"/>
            <w:shd w:val="clear" w:color="auto" w:fill="3F4A75"/>
          </w:tcPr>
          <w:p w14:paraId="748FD077" w14:textId="7A3623CC" w:rsidR="006B0BFE" w:rsidRPr="00927059" w:rsidRDefault="006B0BFE" w:rsidP="00AD4A85">
            <w:pPr>
              <w:pStyle w:val="TableNheader"/>
              <w:rPr>
                <w:rFonts w:cs="Arial"/>
              </w:rPr>
            </w:pPr>
            <w:r w:rsidRPr="00927059">
              <w:rPr>
                <w:rFonts w:cs="Arial"/>
              </w:rPr>
              <w:t>INTENDED TO BE IMPLEMENTED BETWEEN 2020 to 2023 (SHORT TERM)</w:t>
            </w:r>
          </w:p>
        </w:tc>
      </w:tr>
      <w:tr w:rsidR="006B0BFE" w:rsidRPr="00927059" w14:paraId="55BA6BD3" w14:textId="77777777" w:rsidTr="00345871">
        <w:tc>
          <w:tcPr>
            <w:tcW w:w="425" w:type="pct"/>
            <w:shd w:val="clear" w:color="auto" w:fill="E6E6E6"/>
          </w:tcPr>
          <w:p w14:paraId="7C390B8D" w14:textId="39DAC315" w:rsidR="006B0BFE" w:rsidRPr="00927059" w:rsidRDefault="006B0BFE" w:rsidP="006B0BFE">
            <w:pPr>
              <w:pStyle w:val="TableNText"/>
              <w:rPr>
                <w:rFonts w:cs="Arial"/>
              </w:rPr>
            </w:pPr>
            <w:r w:rsidRPr="00927059">
              <w:rPr>
                <w:rFonts w:cs="Arial"/>
              </w:rPr>
              <w:t>2</w:t>
            </w:r>
          </w:p>
        </w:tc>
        <w:tc>
          <w:tcPr>
            <w:tcW w:w="1960" w:type="pct"/>
            <w:shd w:val="clear" w:color="auto" w:fill="F2F2F2" w:themeFill="background1" w:themeFillShade="F2"/>
          </w:tcPr>
          <w:p w14:paraId="72DBD79E" w14:textId="5ADB23FD" w:rsidR="006B0BFE" w:rsidRPr="00927059" w:rsidRDefault="006B0BFE" w:rsidP="006B0BFE">
            <w:pPr>
              <w:pStyle w:val="TableNText"/>
              <w:rPr>
                <w:rFonts w:cs="Arial"/>
              </w:rPr>
            </w:pPr>
            <w:r w:rsidRPr="00927059">
              <w:rPr>
                <w:rFonts w:cs="Arial"/>
              </w:rPr>
              <w:t xml:space="preserve">Support the implementation of cultural safety in the </w:t>
            </w:r>
            <w:r w:rsidRPr="00927059">
              <w:rPr>
                <w:rFonts w:cs="Arial"/>
                <w:i/>
              </w:rPr>
              <w:t>Cultural respect framework for Aboriginal and Torres Strait Islander health 2016-2026 and Health Practitioner Regulation Law Act 2009</w:t>
            </w:r>
          </w:p>
        </w:tc>
        <w:tc>
          <w:tcPr>
            <w:tcW w:w="1002" w:type="pct"/>
            <w:shd w:val="clear" w:color="auto" w:fill="F2F2F2" w:themeFill="background1" w:themeFillShade="F2"/>
          </w:tcPr>
          <w:p w14:paraId="2CCA5C30" w14:textId="3D92E797" w:rsidR="006B0BFE" w:rsidRPr="00927059" w:rsidRDefault="00A97A4D" w:rsidP="006B0BFE">
            <w:pPr>
              <w:pStyle w:val="TableNText"/>
              <w:rPr>
                <w:rFonts w:cs="Arial"/>
              </w:rPr>
            </w:pPr>
            <w:r>
              <w:rPr>
                <w:rFonts w:cs="Arial"/>
              </w:rPr>
              <w:t>Australia</w:t>
            </w:r>
            <w:r w:rsidR="00AA6EFB">
              <w:rPr>
                <w:rFonts w:cs="Arial"/>
              </w:rPr>
              <w:t>n</w:t>
            </w:r>
            <w:r w:rsidR="006B0BFE" w:rsidRPr="00927059">
              <w:rPr>
                <w:rFonts w:cs="Arial"/>
              </w:rPr>
              <w:t xml:space="preserve"> and state and territory governments</w:t>
            </w:r>
          </w:p>
        </w:tc>
        <w:tc>
          <w:tcPr>
            <w:tcW w:w="1003" w:type="pct"/>
            <w:shd w:val="clear" w:color="auto" w:fill="F2F2F2" w:themeFill="background1" w:themeFillShade="F2"/>
          </w:tcPr>
          <w:p w14:paraId="4BE94B62" w14:textId="2AECA095" w:rsidR="006B0BFE" w:rsidRPr="00927059" w:rsidRDefault="006B0BFE" w:rsidP="006B0BFE">
            <w:pPr>
              <w:pStyle w:val="TableNText"/>
              <w:rPr>
                <w:rFonts w:cs="Arial"/>
              </w:rPr>
            </w:pPr>
          </w:p>
        </w:tc>
        <w:tc>
          <w:tcPr>
            <w:tcW w:w="610" w:type="pct"/>
            <w:shd w:val="clear" w:color="auto" w:fill="F2F2F2" w:themeFill="background1" w:themeFillShade="F2"/>
          </w:tcPr>
          <w:p w14:paraId="4FFDC6A4" w14:textId="77777777" w:rsidR="006B0BFE" w:rsidRPr="00927059" w:rsidRDefault="006B0BFE" w:rsidP="006B0BFE">
            <w:pPr>
              <w:pStyle w:val="TableNText"/>
              <w:rPr>
                <w:rFonts w:cs="Arial"/>
              </w:rPr>
            </w:pPr>
          </w:p>
        </w:tc>
      </w:tr>
      <w:tr w:rsidR="006B0BFE" w:rsidRPr="00927059" w14:paraId="3191D33E" w14:textId="77777777" w:rsidTr="00345871">
        <w:tc>
          <w:tcPr>
            <w:tcW w:w="425" w:type="pct"/>
            <w:shd w:val="clear" w:color="auto" w:fill="E6E6E6"/>
          </w:tcPr>
          <w:p w14:paraId="6CBF2557" w14:textId="320676B6" w:rsidR="006B0BFE" w:rsidRPr="00927059" w:rsidRDefault="006B0BFE" w:rsidP="006B0BFE">
            <w:pPr>
              <w:pStyle w:val="TableNText"/>
              <w:rPr>
                <w:rFonts w:cs="Arial"/>
              </w:rPr>
            </w:pPr>
            <w:r w:rsidRPr="00927059">
              <w:rPr>
                <w:rFonts w:cs="Arial"/>
              </w:rPr>
              <w:t>6</w:t>
            </w:r>
          </w:p>
        </w:tc>
        <w:tc>
          <w:tcPr>
            <w:tcW w:w="1960" w:type="pct"/>
            <w:shd w:val="clear" w:color="auto" w:fill="F2F2F2" w:themeFill="background1" w:themeFillShade="F2"/>
          </w:tcPr>
          <w:p w14:paraId="533A6793" w14:textId="4696D590" w:rsidR="006B0BFE" w:rsidRPr="00927059" w:rsidRDefault="006B0BFE" w:rsidP="006B0BFE">
            <w:pPr>
              <w:pStyle w:val="TableNText"/>
              <w:rPr>
                <w:rFonts w:cs="Arial"/>
              </w:rPr>
            </w:pPr>
            <w:r w:rsidRPr="00927059">
              <w:rPr>
                <w:rFonts w:cs="Arial"/>
              </w:rPr>
              <w:t xml:space="preserve">Develop, </w:t>
            </w:r>
            <w:proofErr w:type="gramStart"/>
            <w:r w:rsidRPr="00927059">
              <w:rPr>
                <w:rFonts w:cs="Arial"/>
              </w:rPr>
              <w:t>deliver</w:t>
            </w:r>
            <w:proofErr w:type="gramEnd"/>
            <w:r w:rsidRPr="00927059">
              <w:rPr>
                <w:rFonts w:cs="Arial"/>
              </w:rPr>
              <w:t xml:space="preserve"> and evaluate a community awareness package that provides consistent and considered messaging about stillbirth and informs expecting parents and the general public about the chances of stillbirth and factors that affect risk</w:t>
            </w:r>
          </w:p>
        </w:tc>
        <w:tc>
          <w:tcPr>
            <w:tcW w:w="1002" w:type="pct"/>
            <w:shd w:val="clear" w:color="auto" w:fill="F2F2F2" w:themeFill="background1" w:themeFillShade="F2"/>
          </w:tcPr>
          <w:p w14:paraId="13AD575D" w14:textId="48EDD8B1" w:rsidR="006B0BFE" w:rsidRPr="00927059" w:rsidRDefault="00460469" w:rsidP="006B0BFE">
            <w:pPr>
              <w:pStyle w:val="TableNText"/>
              <w:rPr>
                <w:rFonts w:cs="Arial"/>
              </w:rPr>
            </w:pPr>
            <w:r>
              <w:rPr>
                <w:rFonts w:cs="Arial"/>
              </w:rPr>
              <w:t>Australian</w:t>
            </w:r>
            <w:r w:rsidR="006B0BFE" w:rsidRPr="00927059">
              <w:rPr>
                <w:rFonts w:cs="Arial"/>
              </w:rPr>
              <w:t xml:space="preserve"> Government in partnership with NGOs</w:t>
            </w:r>
          </w:p>
        </w:tc>
        <w:tc>
          <w:tcPr>
            <w:tcW w:w="1003" w:type="pct"/>
            <w:shd w:val="clear" w:color="auto" w:fill="F2F2F2" w:themeFill="background1" w:themeFillShade="F2"/>
          </w:tcPr>
          <w:p w14:paraId="735B8036" w14:textId="52D9487F" w:rsidR="006B0BFE" w:rsidRPr="00927059" w:rsidRDefault="006B0BFE" w:rsidP="006B0BFE">
            <w:pPr>
              <w:pStyle w:val="TableNText"/>
              <w:rPr>
                <w:rFonts w:cs="Arial"/>
              </w:rPr>
            </w:pPr>
          </w:p>
        </w:tc>
        <w:tc>
          <w:tcPr>
            <w:tcW w:w="610" w:type="pct"/>
            <w:shd w:val="clear" w:color="auto" w:fill="F2F2F2" w:themeFill="background1" w:themeFillShade="F2"/>
          </w:tcPr>
          <w:p w14:paraId="18528A56" w14:textId="77777777" w:rsidR="006B0BFE" w:rsidRPr="00927059" w:rsidRDefault="006B0BFE" w:rsidP="006B0BFE">
            <w:pPr>
              <w:pStyle w:val="TableNText"/>
              <w:rPr>
                <w:rFonts w:cs="Arial"/>
              </w:rPr>
            </w:pPr>
          </w:p>
        </w:tc>
      </w:tr>
      <w:tr w:rsidR="006B0BFE" w:rsidRPr="00927059" w14:paraId="3E17B35D" w14:textId="77777777" w:rsidTr="00345871">
        <w:tc>
          <w:tcPr>
            <w:tcW w:w="425" w:type="pct"/>
            <w:shd w:val="clear" w:color="auto" w:fill="E6E6E6"/>
          </w:tcPr>
          <w:p w14:paraId="71A068F3" w14:textId="2CFFAFEB" w:rsidR="006B0BFE" w:rsidRPr="00927059" w:rsidRDefault="006B0BFE" w:rsidP="006B0BFE">
            <w:pPr>
              <w:pStyle w:val="TableNText"/>
              <w:rPr>
                <w:rFonts w:cs="Arial"/>
              </w:rPr>
            </w:pPr>
            <w:r w:rsidRPr="00927059">
              <w:rPr>
                <w:rFonts w:cs="Arial"/>
              </w:rPr>
              <w:t>7</w:t>
            </w:r>
          </w:p>
        </w:tc>
        <w:tc>
          <w:tcPr>
            <w:tcW w:w="1960" w:type="pct"/>
            <w:shd w:val="clear" w:color="auto" w:fill="F2F2F2" w:themeFill="background1" w:themeFillShade="F2"/>
          </w:tcPr>
          <w:p w14:paraId="31E714E2" w14:textId="454B6B6A" w:rsidR="006B0BFE" w:rsidRPr="00927059" w:rsidRDefault="006B0BFE" w:rsidP="006B0BFE">
            <w:pPr>
              <w:pStyle w:val="TableNText"/>
              <w:rPr>
                <w:rFonts w:cs="Arial"/>
              </w:rPr>
            </w:pPr>
            <w:r w:rsidRPr="00927059">
              <w:rPr>
                <w:rFonts w:cs="Arial"/>
              </w:rPr>
              <w:t>Develop a national clinical care standard for stillbirth prevention and clinical and bereavement care in maternity services</w:t>
            </w:r>
          </w:p>
        </w:tc>
        <w:tc>
          <w:tcPr>
            <w:tcW w:w="1002" w:type="pct"/>
            <w:shd w:val="clear" w:color="auto" w:fill="F2F2F2" w:themeFill="background1" w:themeFillShade="F2"/>
          </w:tcPr>
          <w:p w14:paraId="1E6E7B8A" w14:textId="55B3D948" w:rsidR="006B0BFE" w:rsidRPr="00927059" w:rsidRDefault="00460469" w:rsidP="006B0BFE">
            <w:pPr>
              <w:pStyle w:val="TableNText"/>
              <w:rPr>
                <w:rFonts w:cs="Arial"/>
              </w:rPr>
            </w:pPr>
            <w:r>
              <w:rPr>
                <w:rFonts w:cs="Arial"/>
              </w:rPr>
              <w:t>Australian</w:t>
            </w:r>
            <w:r w:rsidR="006B0BFE" w:rsidRPr="00927059">
              <w:rPr>
                <w:rFonts w:cs="Arial"/>
              </w:rPr>
              <w:t xml:space="preserve"> Government</w:t>
            </w:r>
          </w:p>
        </w:tc>
        <w:tc>
          <w:tcPr>
            <w:tcW w:w="1003" w:type="pct"/>
            <w:shd w:val="clear" w:color="auto" w:fill="F2F2F2" w:themeFill="background1" w:themeFillShade="F2"/>
          </w:tcPr>
          <w:p w14:paraId="1EBF9BA3" w14:textId="74BF1E34" w:rsidR="006B0BFE" w:rsidRPr="00927059" w:rsidRDefault="006B0BFE" w:rsidP="006B0BFE">
            <w:pPr>
              <w:pStyle w:val="TableNText"/>
              <w:rPr>
                <w:rFonts w:cs="Arial"/>
              </w:rPr>
            </w:pPr>
          </w:p>
        </w:tc>
        <w:tc>
          <w:tcPr>
            <w:tcW w:w="610" w:type="pct"/>
            <w:shd w:val="clear" w:color="auto" w:fill="F2F2F2" w:themeFill="background1" w:themeFillShade="F2"/>
          </w:tcPr>
          <w:p w14:paraId="37C28FE9" w14:textId="77777777" w:rsidR="006B0BFE" w:rsidRPr="00927059" w:rsidRDefault="006B0BFE" w:rsidP="006B0BFE">
            <w:pPr>
              <w:pStyle w:val="TableNText"/>
              <w:rPr>
                <w:rFonts w:cs="Arial"/>
              </w:rPr>
            </w:pPr>
          </w:p>
        </w:tc>
      </w:tr>
      <w:tr w:rsidR="006B0BFE" w:rsidRPr="00927059" w14:paraId="7D73923A" w14:textId="77777777" w:rsidTr="00345871">
        <w:tc>
          <w:tcPr>
            <w:tcW w:w="425" w:type="pct"/>
            <w:shd w:val="clear" w:color="auto" w:fill="E6E6E6"/>
          </w:tcPr>
          <w:p w14:paraId="6E768F6E" w14:textId="531FAA7F" w:rsidR="006B0BFE" w:rsidRPr="00927059" w:rsidRDefault="006B0BFE" w:rsidP="006B0BFE">
            <w:pPr>
              <w:pStyle w:val="TableNText"/>
              <w:rPr>
                <w:rFonts w:cs="Arial"/>
              </w:rPr>
            </w:pPr>
            <w:r w:rsidRPr="00927059">
              <w:rPr>
                <w:rFonts w:cs="Arial"/>
              </w:rPr>
              <w:t>8</w:t>
            </w:r>
          </w:p>
        </w:tc>
        <w:tc>
          <w:tcPr>
            <w:tcW w:w="1960" w:type="pct"/>
            <w:shd w:val="clear" w:color="auto" w:fill="F2F2F2" w:themeFill="background1" w:themeFillShade="F2"/>
          </w:tcPr>
          <w:p w14:paraId="556958D5" w14:textId="33CDE4C7" w:rsidR="006B0BFE" w:rsidRPr="00927059" w:rsidRDefault="006B0BFE" w:rsidP="006B0BFE">
            <w:pPr>
              <w:pStyle w:val="TableNText"/>
              <w:rPr>
                <w:rFonts w:cs="Arial"/>
              </w:rPr>
            </w:pPr>
            <w:r w:rsidRPr="00927059">
              <w:rPr>
                <w:rFonts w:cs="Arial"/>
              </w:rPr>
              <w:t>Update the information on bereavement care in the Clinical practice guideline for care around stillbirth and neonatal death</w:t>
            </w:r>
          </w:p>
        </w:tc>
        <w:tc>
          <w:tcPr>
            <w:tcW w:w="1002" w:type="pct"/>
            <w:shd w:val="clear" w:color="auto" w:fill="F2F2F2" w:themeFill="background1" w:themeFillShade="F2"/>
          </w:tcPr>
          <w:p w14:paraId="13725999" w14:textId="592E9922" w:rsidR="006B0BFE" w:rsidRPr="00927059" w:rsidRDefault="006B0BFE" w:rsidP="006B0BFE">
            <w:pPr>
              <w:pStyle w:val="TableNText"/>
              <w:rPr>
                <w:rFonts w:cs="Arial"/>
              </w:rPr>
            </w:pPr>
            <w:r w:rsidRPr="00927059">
              <w:rPr>
                <w:rFonts w:cs="Arial"/>
              </w:rPr>
              <w:t>PSANZ/Stillbirth CRE</w:t>
            </w:r>
          </w:p>
        </w:tc>
        <w:tc>
          <w:tcPr>
            <w:tcW w:w="1003" w:type="pct"/>
            <w:shd w:val="clear" w:color="auto" w:fill="F2F2F2" w:themeFill="background1" w:themeFillShade="F2"/>
          </w:tcPr>
          <w:p w14:paraId="2110734E" w14:textId="62F6AA93" w:rsidR="006B0BFE" w:rsidRPr="00927059" w:rsidRDefault="006B0BFE" w:rsidP="006B0BFE">
            <w:pPr>
              <w:pStyle w:val="TableNText"/>
              <w:rPr>
                <w:rFonts w:cs="Arial"/>
              </w:rPr>
            </w:pPr>
          </w:p>
        </w:tc>
        <w:tc>
          <w:tcPr>
            <w:tcW w:w="610" w:type="pct"/>
            <w:shd w:val="clear" w:color="auto" w:fill="F2F2F2" w:themeFill="background1" w:themeFillShade="F2"/>
          </w:tcPr>
          <w:p w14:paraId="0F2444E4" w14:textId="77777777" w:rsidR="006B0BFE" w:rsidRPr="00927059" w:rsidRDefault="006B0BFE" w:rsidP="006B0BFE">
            <w:pPr>
              <w:pStyle w:val="TableNText"/>
              <w:rPr>
                <w:rFonts w:cs="Arial"/>
              </w:rPr>
            </w:pPr>
          </w:p>
        </w:tc>
      </w:tr>
      <w:tr w:rsidR="006B0BFE" w:rsidRPr="00927059" w14:paraId="7F6687AB" w14:textId="77777777" w:rsidTr="00345871">
        <w:tc>
          <w:tcPr>
            <w:tcW w:w="425" w:type="pct"/>
            <w:shd w:val="clear" w:color="auto" w:fill="E6E6E6"/>
          </w:tcPr>
          <w:p w14:paraId="090DC915" w14:textId="00DCA70D" w:rsidR="006B0BFE" w:rsidRPr="00927059" w:rsidRDefault="006B0BFE" w:rsidP="006B0BFE">
            <w:pPr>
              <w:pStyle w:val="TableNText"/>
              <w:rPr>
                <w:rFonts w:cs="Arial"/>
              </w:rPr>
            </w:pPr>
            <w:r w:rsidRPr="00927059">
              <w:rPr>
                <w:rFonts w:cs="Arial"/>
              </w:rPr>
              <w:t>8</w:t>
            </w:r>
          </w:p>
        </w:tc>
        <w:tc>
          <w:tcPr>
            <w:tcW w:w="1960" w:type="pct"/>
            <w:shd w:val="clear" w:color="auto" w:fill="F2F2F2" w:themeFill="background1" w:themeFillShade="F2"/>
          </w:tcPr>
          <w:p w14:paraId="70E7D5C9" w14:textId="653EEE6A" w:rsidR="006B0BFE" w:rsidRPr="00927059" w:rsidRDefault="006B0BFE" w:rsidP="006B0BFE">
            <w:pPr>
              <w:pStyle w:val="TableNText"/>
              <w:rPr>
                <w:rFonts w:cs="Arial"/>
              </w:rPr>
            </w:pPr>
            <w:r w:rsidRPr="00927059">
              <w:rPr>
                <w:rFonts w:cs="Arial"/>
              </w:rPr>
              <w:t>Develop and implement protocols for information sharing between health professionals involved in the care of bereaved parents and incorporate into the Clinical practice guideline for care around stillbirth and neonatal death</w:t>
            </w:r>
          </w:p>
        </w:tc>
        <w:tc>
          <w:tcPr>
            <w:tcW w:w="1002" w:type="pct"/>
            <w:shd w:val="clear" w:color="auto" w:fill="F2F2F2" w:themeFill="background1" w:themeFillShade="F2"/>
          </w:tcPr>
          <w:p w14:paraId="1E5E280D" w14:textId="6BB5852A" w:rsidR="006B0BFE" w:rsidRPr="00927059" w:rsidRDefault="006B0BFE" w:rsidP="006B0BFE">
            <w:pPr>
              <w:pStyle w:val="TableNText"/>
              <w:rPr>
                <w:rFonts w:cs="Arial"/>
              </w:rPr>
            </w:pPr>
            <w:r w:rsidRPr="00927059">
              <w:rPr>
                <w:rFonts w:cs="Arial"/>
              </w:rPr>
              <w:t>PSANZ/Stillbirth CRE</w:t>
            </w:r>
          </w:p>
        </w:tc>
        <w:tc>
          <w:tcPr>
            <w:tcW w:w="1003" w:type="pct"/>
            <w:shd w:val="clear" w:color="auto" w:fill="F2F2F2" w:themeFill="background1" w:themeFillShade="F2"/>
          </w:tcPr>
          <w:p w14:paraId="1778F54A" w14:textId="2BFAA2A5" w:rsidR="006B0BFE" w:rsidRPr="00927059" w:rsidRDefault="006B0BFE" w:rsidP="006B0BFE">
            <w:pPr>
              <w:pStyle w:val="TableNText"/>
              <w:rPr>
                <w:rFonts w:cs="Arial"/>
              </w:rPr>
            </w:pPr>
          </w:p>
        </w:tc>
        <w:tc>
          <w:tcPr>
            <w:tcW w:w="610" w:type="pct"/>
            <w:shd w:val="clear" w:color="auto" w:fill="F2F2F2" w:themeFill="background1" w:themeFillShade="F2"/>
          </w:tcPr>
          <w:p w14:paraId="1666C37E" w14:textId="77777777" w:rsidR="006B0BFE" w:rsidRPr="00927059" w:rsidRDefault="006B0BFE" w:rsidP="006B0BFE">
            <w:pPr>
              <w:pStyle w:val="TableNText"/>
              <w:rPr>
                <w:rFonts w:cs="Arial"/>
              </w:rPr>
            </w:pPr>
          </w:p>
        </w:tc>
      </w:tr>
      <w:tr w:rsidR="006B0BFE" w:rsidRPr="00927059" w14:paraId="25D2FAB9" w14:textId="77777777" w:rsidTr="00345871">
        <w:tc>
          <w:tcPr>
            <w:tcW w:w="425" w:type="pct"/>
            <w:shd w:val="clear" w:color="auto" w:fill="E6E6E6"/>
          </w:tcPr>
          <w:p w14:paraId="09B25308" w14:textId="2C015A31" w:rsidR="006B0BFE" w:rsidRPr="00927059" w:rsidRDefault="006B0BFE" w:rsidP="006B0BFE">
            <w:pPr>
              <w:pStyle w:val="TableNText"/>
              <w:rPr>
                <w:rFonts w:cs="Arial"/>
              </w:rPr>
            </w:pPr>
            <w:r w:rsidRPr="00927059">
              <w:rPr>
                <w:rFonts w:cs="Arial"/>
              </w:rPr>
              <w:t>8</w:t>
            </w:r>
          </w:p>
        </w:tc>
        <w:tc>
          <w:tcPr>
            <w:tcW w:w="1960" w:type="pct"/>
            <w:shd w:val="clear" w:color="auto" w:fill="F2F2F2" w:themeFill="background1" w:themeFillShade="F2"/>
          </w:tcPr>
          <w:p w14:paraId="19280884" w14:textId="4F4E5FD8" w:rsidR="006B0BFE" w:rsidRPr="00927059" w:rsidRDefault="006B0BFE" w:rsidP="006B0BFE">
            <w:pPr>
              <w:pStyle w:val="TableNText"/>
              <w:rPr>
                <w:rFonts w:cs="Arial"/>
              </w:rPr>
            </w:pPr>
            <w:r w:rsidRPr="00927059">
              <w:rPr>
                <w:rFonts w:cs="Arial"/>
              </w:rPr>
              <w:t>Review and amend the National Employment Standards of the Fair Work Act 2009 (</w:t>
            </w:r>
            <w:proofErr w:type="spellStart"/>
            <w:r w:rsidRPr="00927059">
              <w:rPr>
                <w:rFonts w:cs="Arial"/>
              </w:rPr>
              <w:t>Cth</w:t>
            </w:r>
            <w:proofErr w:type="spellEnd"/>
            <w:r w:rsidRPr="00927059">
              <w:rPr>
                <w:rFonts w:cs="Arial"/>
              </w:rPr>
              <w:t>) to improve leave entitlements for parents who experience stillbirth</w:t>
            </w:r>
          </w:p>
        </w:tc>
        <w:tc>
          <w:tcPr>
            <w:tcW w:w="1002" w:type="pct"/>
            <w:shd w:val="clear" w:color="auto" w:fill="F2F2F2" w:themeFill="background1" w:themeFillShade="F2"/>
          </w:tcPr>
          <w:p w14:paraId="1B41B508" w14:textId="6E4B95F6" w:rsidR="006B0BFE" w:rsidRPr="00927059" w:rsidRDefault="00460469" w:rsidP="006B0BFE">
            <w:pPr>
              <w:pStyle w:val="TableNText"/>
              <w:rPr>
                <w:rFonts w:cs="Arial"/>
              </w:rPr>
            </w:pPr>
            <w:r>
              <w:rPr>
                <w:rFonts w:cs="Arial"/>
              </w:rPr>
              <w:t>Australian</w:t>
            </w:r>
            <w:r w:rsidR="006B0BFE" w:rsidRPr="00927059">
              <w:rPr>
                <w:rFonts w:cs="Arial"/>
              </w:rPr>
              <w:t xml:space="preserve"> Government</w:t>
            </w:r>
          </w:p>
        </w:tc>
        <w:tc>
          <w:tcPr>
            <w:tcW w:w="1003" w:type="pct"/>
            <w:shd w:val="clear" w:color="auto" w:fill="F2F2F2" w:themeFill="background1" w:themeFillShade="F2"/>
          </w:tcPr>
          <w:p w14:paraId="0E6585EE" w14:textId="493E543B" w:rsidR="006B0BFE" w:rsidRPr="00927059" w:rsidRDefault="006B0BFE" w:rsidP="006B0BFE">
            <w:pPr>
              <w:pStyle w:val="TableNText"/>
              <w:rPr>
                <w:rFonts w:cs="Arial"/>
              </w:rPr>
            </w:pPr>
          </w:p>
        </w:tc>
        <w:tc>
          <w:tcPr>
            <w:tcW w:w="610" w:type="pct"/>
            <w:shd w:val="clear" w:color="auto" w:fill="F2F2F2" w:themeFill="background1" w:themeFillShade="F2"/>
          </w:tcPr>
          <w:p w14:paraId="67CFB155" w14:textId="77777777" w:rsidR="006B0BFE" w:rsidRPr="00927059" w:rsidRDefault="006B0BFE" w:rsidP="006B0BFE">
            <w:pPr>
              <w:pStyle w:val="TableNText"/>
              <w:rPr>
                <w:rFonts w:cs="Arial"/>
              </w:rPr>
            </w:pPr>
          </w:p>
        </w:tc>
      </w:tr>
      <w:tr w:rsidR="006B0BFE" w:rsidRPr="00927059" w14:paraId="3E55D645" w14:textId="77777777" w:rsidTr="00345871">
        <w:tc>
          <w:tcPr>
            <w:tcW w:w="425" w:type="pct"/>
            <w:shd w:val="clear" w:color="auto" w:fill="E6E6E6"/>
          </w:tcPr>
          <w:p w14:paraId="2D319E86" w14:textId="4AEDD3AE" w:rsidR="006B0BFE" w:rsidRPr="00927059" w:rsidRDefault="006B0BFE" w:rsidP="006B0BFE">
            <w:pPr>
              <w:pStyle w:val="TableNText"/>
              <w:rPr>
                <w:rFonts w:cs="Arial"/>
              </w:rPr>
            </w:pPr>
            <w:r w:rsidRPr="00927059">
              <w:rPr>
                <w:rFonts w:cs="Arial"/>
              </w:rPr>
              <w:lastRenderedPageBreak/>
              <w:t>8</w:t>
            </w:r>
          </w:p>
        </w:tc>
        <w:tc>
          <w:tcPr>
            <w:tcW w:w="1960" w:type="pct"/>
            <w:shd w:val="clear" w:color="auto" w:fill="F2F2F2" w:themeFill="background1" w:themeFillShade="F2"/>
          </w:tcPr>
          <w:p w14:paraId="639B5318" w14:textId="70C8CEC6" w:rsidR="006B0BFE" w:rsidRPr="00927059" w:rsidRDefault="006B0BFE" w:rsidP="006B0BFE">
            <w:pPr>
              <w:pStyle w:val="TableNText"/>
              <w:rPr>
                <w:rFonts w:cs="Arial"/>
              </w:rPr>
            </w:pPr>
            <w:r w:rsidRPr="00927059">
              <w:rPr>
                <w:rFonts w:cs="Arial"/>
              </w:rPr>
              <w:t xml:space="preserve">Include information in the community awareness package (see Action area 6) to assist families, </w:t>
            </w:r>
            <w:proofErr w:type="gramStart"/>
            <w:r w:rsidRPr="00927059">
              <w:rPr>
                <w:rFonts w:cs="Arial"/>
              </w:rPr>
              <w:t>workplaces</w:t>
            </w:r>
            <w:proofErr w:type="gramEnd"/>
            <w:r w:rsidRPr="00927059">
              <w:rPr>
                <w:rFonts w:cs="Arial"/>
              </w:rPr>
              <w:t xml:space="preserve"> and the broader community to support bereaved families</w:t>
            </w:r>
          </w:p>
        </w:tc>
        <w:tc>
          <w:tcPr>
            <w:tcW w:w="1002" w:type="pct"/>
            <w:shd w:val="clear" w:color="auto" w:fill="F2F2F2" w:themeFill="background1" w:themeFillShade="F2"/>
          </w:tcPr>
          <w:p w14:paraId="1433F85F" w14:textId="70F1A09E" w:rsidR="006B0BFE" w:rsidRPr="00927059" w:rsidRDefault="00460469" w:rsidP="006B0BFE">
            <w:pPr>
              <w:pStyle w:val="TableNText"/>
              <w:rPr>
                <w:rFonts w:cs="Arial"/>
              </w:rPr>
            </w:pPr>
            <w:r>
              <w:rPr>
                <w:rFonts w:cs="Arial"/>
              </w:rPr>
              <w:t>Australian</w:t>
            </w:r>
            <w:r w:rsidR="006B0BFE" w:rsidRPr="00927059">
              <w:rPr>
                <w:rFonts w:cs="Arial"/>
              </w:rPr>
              <w:t xml:space="preserve"> Government in partnership with NGOs</w:t>
            </w:r>
          </w:p>
        </w:tc>
        <w:tc>
          <w:tcPr>
            <w:tcW w:w="1003" w:type="pct"/>
            <w:shd w:val="clear" w:color="auto" w:fill="F2F2F2" w:themeFill="background1" w:themeFillShade="F2"/>
          </w:tcPr>
          <w:p w14:paraId="31313E61" w14:textId="77322F6D" w:rsidR="006B0BFE" w:rsidRPr="00927059" w:rsidRDefault="006B0BFE" w:rsidP="006B0BFE">
            <w:pPr>
              <w:pStyle w:val="TableNText"/>
              <w:rPr>
                <w:rFonts w:cs="Arial"/>
              </w:rPr>
            </w:pPr>
          </w:p>
        </w:tc>
        <w:tc>
          <w:tcPr>
            <w:tcW w:w="610" w:type="pct"/>
            <w:shd w:val="clear" w:color="auto" w:fill="F2F2F2" w:themeFill="background1" w:themeFillShade="F2"/>
          </w:tcPr>
          <w:p w14:paraId="4932D658" w14:textId="77777777" w:rsidR="006B0BFE" w:rsidRPr="00927059" w:rsidRDefault="006B0BFE" w:rsidP="006B0BFE">
            <w:pPr>
              <w:pStyle w:val="TableNText"/>
              <w:rPr>
                <w:rFonts w:cs="Arial"/>
              </w:rPr>
            </w:pPr>
          </w:p>
        </w:tc>
      </w:tr>
      <w:tr w:rsidR="006B0BFE" w:rsidRPr="00927059" w14:paraId="7016E865" w14:textId="77777777" w:rsidTr="00345871">
        <w:tc>
          <w:tcPr>
            <w:tcW w:w="425" w:type="pct"/>
            <w:shd w:val="clear" w:color="auto" w:fill="E6E6E6"/>
          </w:tcPr>
          <w:p w14:paraId="0B9348B0" w14:textId="43BECD88" w:rsidR="006B0BFE" w:rsidRPr="00927059" w:rsidRDefault="006B0BFE" w:rsidP="006B0BFE">
            <w:pPr>
              <w:pStyle w:val="TableNText"/>
              <w:rPr>
                <w:rFonts w:cs="Arial"/>
              </w:rPr>
            </w:pPr>
            <w:r w:rsidRPr="00927059">
              <w:rPr>
                <w:rFonts w:cs="Arial"/>
              </w:rPr>
              <w:t>9</w:t>
            </w:r>
          </w:p>
        </w:tc>
        <w:tc>
          <w:tcPr>
            <w:tcW w:w="1960" w:type="pct"/>
            <w:shd w:val="clear" w:color="auto" w:fill="F2F2F2" w:themeFill="background1" w:themeFillShade="F2"/>
          </w:tcPr>
          <w:p w14:paraId="2C5842C2" w14:textId="7BCFAD62" w:rsidR="006B0BFE" w:rsidRPr="00927059" w:rsidRDefault="006B0BFE" w:rsidP="006B0BFE">
            <w:pPr>
              <w:pStyle w:val="TableNText"/>
              <w:rPr>
                <w:rFonts w:cs="Arial"/>
              </w:rPr>
            </w:pPr>
            <w:r w:rsidRPr="00927059">
              <w:rPr>
                <w:rFonts w:cs="Arial"/>
              </w:rPr>
              <w:t>Include information on care in subsequent pregnancies in the Clinical practice guideline for care around stillbirth and neonatal death</w:t>
            </w:r>
          </w:p>
        </w:tc>
        <w:tc>
          <w:tcPr>
            <w:tcW w:w="1002" w:type="pct"/>
            <w:shd w:val="clear" w:color="auto" w:fill="F2F2F2" w:themeFill="background1" w:themeFillShade="F2"/>
          </w:tcPr>
          <w:p w14:paraId="13851C98" w14:textId="22B091F5" w:rsidR="006B0BFE" w:rsidRPr="00927059" w:rsidRDefault="006B0BFE" w:rsidP="006B0BFE">
            <w:pPr>
              <w:pStyle w:val="TableNText"/>
              <w:rPr>
                <w:rFonts w:cs="Arial"/>
              </w:rPr>
            </w:pPr>
            <w:r w:rsidRPr="00927059">
              <w:rPr>
                <w:rFonts w:cs="Arial"/>
              </w:rPr>
              <w:t>PSANZ/Stillbirth CRE</w:t>
            </w:r>
          </w:p>
        </w:tc>
        <w:tc>
          <w:tcPr>
            <w:tcW w:w="1003" w:type="pct"/>
            <w:shd w:val="clear" w:color="auto" w:fill="F2F2F2" w:themeFill="background1" w:themeFillShade="F2"/>
          </w:tcPr>
          <w:p w14:paraId="6802FE62" w14:textId="5B525A30" w:rsidR="006B0BFE" w:rsidRPr="00927059" w:rsidRDefault="006B0BFE" w:rsidP="006B0BFE">
            <w:pPr>
              <w:pStyle w:val="TableNText"/>
              <w:rPr>
                <w:rFonts w:cs="Arial"/>
              </w:rPr>
            </w:pPr>
          </w:p>
        </w:tc>
        <w:tc>
          <w:tcPr>
            <w:tcW w:w="610" w:type="pct"/>
            <w:shd w:val="clear" w:color="auto" w:fill="F2F2F2" w:themeFill="background1" w:themeFillShade="F2"/>
          </w:tcPr>
          <w:p w14:paraId="55E5E88A" w14:textId="77777777" w:rsidR="006B0BFE" w:rsidRPr="00927059" w:rsidRDefault="006B0BFE" w:rsidP="006B0BFE">
            <w:pPr>
              <w:pStyle w:val="TableNText"/>
              <w:rPr>
                <w:rFonts w:cs="Arial"/>
              </w:rPr>
            </w:pPr>
          </w:p>
        </w:tc>
      </w:tr>
      <w:tr w:rsidR="006B0BFE" w:rsidRPr="00927059" w14:paraId="3C44846F" w14:textId="77777777" w:rsidTr="00345871">
        <w:tc>
          <w:tcPr>
            <w:tcW w:w="425" w:type="pct"/>
            <w:shd w:val="clear" w:color="auto" w:fill="E6E6E6"/>
          </w:tcPr>
          <w:p w14:paraId="194AD9D1" w14:textId="35BEEBF8" w:rsidR="006B0BFE" w:rsidRPr="00927059" w:rsidRDefault="006B0BFE" w:rsidP="006B0BFE">
            <w:pPr>
              <w:pStyle w:val="TableNText"/>
              <w:rPr>
                <w:rFonts w:cs="Arial"/>
              </w:rPr>
            </w:pPr>
            <w:r w:rsidRPr="00927059">
              <w:rPr>
                <w:rFonts w:cs="Arial"/>
              </w:rPr>
              <w:t>10</w:t>
            </w:r>
          </w:p>
        </w:tc>
        <w:tc>
          <w:tcPr>
            <w:tcW w:w="1960" w:type="pct"/>
            <w:shd w:val="clear" w:color="auto" w:fill="F2F2F2" w:themeFill="background1" w:themeFillShade="F2"/>
          </w:tcPr>
          <w:p w14:paraId="6792E9C2" w14:textId="6A5F06D6" w:rsidR="006B0BFE" w:rsidRPr="00927059" w:rsidRDefault="006B0BFE" w:rsidP="006B0BFE">
            <w:pPr>
              <w:pStyle w:val="TableNText"/>
              <w:rPr>
                <w:rFonts w:cs="Arial"/>
              </w:rPr>
            </w:pPr>
            <w:r w:rsidRPr="00927059">
              <w:rPr>
                <w:rFonts w:cs="Arial"/>
              </w:rPr>
              <w:t xml:space="preserve">Review and update the </w:t>
            </w:r>
            <w:r w:rsidRPr="00927059">
              <w:rPr>
                <w:rFonts w:cs="Arial"/>
                <w:i/>
              </w:rPr>
              <w:t>Clinical practice guideline for care around stillbirth and neonatal death</w:t>
            </w:r>
            <w:r w:rsidRPr="00927059">
              <w:rPr>
                <w:rFonts w:cs="Arial"/>
              </w:rPr>
              <w:t xml:space="preserve"> to incorporate other topics identified as relevant and seek NHMRC approval of the recommendations</w:t>
            </w:r>
          </w:p>
        </w:tc>
        <w:tc>
          <w:tcPr>
            <w:tcW w:w="1002" w:type="pct"/>
            <w:shd w:val="clear" w:color="auto" w:fill="F2F2F2" w:themeFill="background1" w:themeFillShade="F2"/>
          </w:tcPr>
          <w:p w14:paraId="77A1E27E" w14:textId="6ADC17A1" w:rsidR="006B0BFE" w:rsidRPr="00927059" w:rsidRDefault="006B0BFE" w:rsidP="006B0BFE">
            <w:pPr>
              <w:pStyle w:val="TableNText"/>
              <w:rPr>
                <w:rFonts w:cs="Arial"/>
              </w:rPr>
            </w:pPr>
            <w:r w:rsidRPr="00927059">
              <w:rPr>
                <w:rFonts w:cs="Arial"/>
              </w:rPr>
              <w:t>PSANZ/Stillbirth CRE</w:t>
            </w:r>
          </w:p>
        </w:tc>
        <w:tc>
          <w:tcPr>
            <w:tcW w:w="1003" w:type="pct"/>
            <w:shd w:val="clear" w:color="auto" w:fill="F2F2F2" w:themeFill="background1" w:themeFillShade="F2"/>
          </w:tcPr>
          <w:p w14:paraId="579BDE54" w14:textId="015ACB5E" w:rsidR="006B0BFE" w:rsidRPr="00927059" w:rsidRDefault="006B0BFE" w:rsidP="006B0BFE">
            <w:pPr>
              <w:pStyle w:val="TableNText"/>
              <w:rPr>
                <w:rFonts w:cs="Arial"/>
              </w:rPr>
            </w:pPr>
          </w:p>
        </w:tc>
        <w:tc>
          <w:tcPr>
            <w:tcW w:w="610" w:type="pct"/>
            <w:shd w:val="clear" w:color="auto" w:fill="F2F2F2" w:themeFill="background1" w:themeFillShade="F2"/>
          </w:tcPr>
          <w:p w14:paraId="11AD312F" w14:textId="77777777" w:rsidR="006B0BFE" w:rsidRPr="00927059" w:rsidRDefault="006B0BFE" w:rsidP="006B0BFE">
            <w:pPr>
              <w:pStyle w:val="TableNText"/>
              <w:rPr>
                <w:rFonts w:cs="Arial"/>
              </w:rPr>
            </w:pPr>
          </w:p>
        </w:tc>
      </w:tr>
      <w:tr w:rsidR="006B0BFE" w:rsidRPr="00927059" w14:paraId="58261A11" w14:textId="77777777" w:rsidTr="00345871">
        <w:tc>
          <w:tcPr>
            <w:tcW w:w="425" w:type="pct"/>
            <w:shd w:val="clear" w:color="auto" w:fill="E6E6E6"/>
          </w:tcPr>
          <w:p w14:paraId="74BC00D7" w14:textId="0891890F" w:rsidR="006B0BFE" w:rsidRPr="00927059" w:rsidRDefault="006B0BFE" w:rsidP="006B0BFE">
            <w:pPr>
              <w:pStyle w:val="TableNText"/>
              <w:rPr>
                <w:rFonts w:cs="Arial"/>
              </w:rPr>
            </w:pPr>
            <w:r w:rsidRPr="00927059">
              <w:rPr>
                <w:rFonts w:cs="Arial"/>
              </w:rPr>
              <w:t>11</w:t>
            </w:r>
          </w:p>
        </w:tc>
        <w:tc>
          <w:tcPr>
            <w:tcW w:w="1960" w:type="pct"/>
            <w:shd w:val="clear" w:color="auto" w:fill="F2F2F2" w:themeFill="background1" w:themeFillShade="F2"/>
          </w:tcPr>
          <w:p w14:paraId="6B791BD5" w14:textId="5243C7F5" w:rsidR="006B0BFE" w:rsidRPr="00927059" w:rsidRDefault="006B0BFE" w:rsidP="006B0BFE">
            <w:pPr>
              <w:pStyle w:val="TableNText"/>
              <w:rPr>
                <w:rFonts w:cs="Arial"/>
              </w:rPr>
            </w:pPr>
            <w:r w:rsidRPr="00927059">
              <w:rPr>
                <w:rFonts w:cs="Arial"/>
              </w:rPr>
              <w:t>Review and update the Clinical practice guideline for care around stillbirth and neonatal death and relevant training to ensure it supports standardised clinical pathways for appropriate investigations following stillbirth</w:t>
            </w:r>
          </w:p>
        </w:tc>
        <w:tc>
          <w:tcPr>
            <w:tcW w:w="1002" w:type="pct"/>
            <w:shd w:val="clear" w:color="auto" w:fill="F2F2F2" w:themeFill="background1" w:themeFillShade="F2"/>
          </w:tcPr>
          <w:p w14:paraId="7CBA256D" w14:textId="18835B19" w:rsidR="006B0BFE" w:rsidRPr="00927059" w:rsidRDefault="006B0BFE" w:rsidP="006B0BFE">
            <w:pPr>
              <w:pStyle w:val="TableNText"/>
              <w:rPr>
                <w:rFonts w:cs="Arial"/>
              </w:rPr>
            </w:pPr>
            <w:r w:rsidRPr="00927059">
              <w:rPr>
                <w:rFonts w:cs="Arial"/>
              </w:rPr>
              <w:t>PSANZ/Stillbirth CRE</w:t>
            </w:r>
          </w:p>
        </w:tc>
        <w:tc>
          <w:tcPr>
            <w:tcW w:w="1003" w:type="pct"/>
            <w:shd w:val="clear" w:color="auto" w:fill="F2F2F2" w:themeFill="background1" w:themeFillShade="F2"/>
          </w:tcPr>
          <w:p w14:paraId="1402C766" w14:textId="13388628" w:rsidR="006B0BFE" w:rsidRPr="00927059" w:rsidRDefault="006B0BFE" w:rsidP="006B0BFE">
            <w:pPr>
              <w:pStyle w:val="TableNText"/>
              <w:rPr>
                <w:rFonts w:cs="Arial"/>
              </w:rPr>
            </w:pPr>
          </w:p>
        </w:tc>
        <w:tc>
          <w:tcPr>
            <w:tcW w:w="610" w:type="pct"/>
            <w:shd w:val="clear" w:color="auto" w:fill="F2F2F2" w:themeFill="background1" w:themeFillShade="F2"/>
          </w:tcPr>
          <w:p w14:paraId="49A849DA" w14:textId="77777777" w:rsidR="006B0BFE" w:rsidRPr="00927059" w:rsidRDefault="006B0BFE" w:rsidP="006B0BFE">
            <w:pPr>
              <w:pStyle w:val="TableNText"/>
              <w:rPr>
                <w:rFonts w:cs="Arial"/>
              </w:rPr>
            </w:pPr>
          </w:p>
        </w:tc>
      </w:tr>
      <w:tr w:rsidR="006B0BFE" w:rsidRPr="00927059" w14:paraId="555AF96E" w14:textId="77777777" w:rsidTr="00345871">
        <w:tc>
          <w:tcPr>
            <w:tcW w:w="425" w:type="pct"/>
            <w:shd w:val="clear" w:color="auto" w:fill="E6E6E6"/>
          </w:tcPr>
          <w:p w14:paraId="6B5EA810" w14:textId="47548DE2" w:rsidR="006B0BFE" w:rsidRPr="00927059" w:rsidRDefault="006B0BFE" w:rsidP="006B0BFE">
            <w:pPr>
              <w:pStyle w:val="TableNText"/>
              <w:rPr>
                <w:rFonts w:cs="Arial"/>
              </w:rPr>
            </w:pPr>
            <w:r w:rsidRPr="00927059">
              <w:rPr>
                <w:rFonts w:cs="Arial"/>
              </w:rPr>
              <w:t>12</w:t>
            </w:r>
          </w:p>
        </w:tc>
        <w:tc>
          <w:tcPr>
            <w:tcW w:w="1960" w:type="pct"/>
            <w:shd w:val="clear" w:color="auto" w:fill="F2F2F2" w:themeFill="background1" w:themeFillShade="F2"/>
          </w:tcPr>
          <w:p w14:paraId="29626D32" w14:textId="5CB100E1" w:rsidR="006B0BFE" w:rsidRPr="00927059" w:rsidRDefault="006B0BFE" w:rsidP="006B0BFE">
            <w:pPr>
              <w:pStyle w:val="TableNText"/>
              <w:rPr>
                <w:rFonts w:cs="Arial"/>
              </w:rPr>
            </w:pPr>
            <w:r w:rsidRPr="00927059">
              <w:rPr>
                <w:rFonts w:cs="Arial"/>
              </w:rPr>
              <w:t>Implement annual reporting against the global score card</w:t>
            </w:r>
          </w:p>
        </w:tc>
        <w:tc>
          <w:tcPr>
            <w:tcW w:w="1002" w:type="pct"/>
            <w:shd w:val="clear" w:color="auto" w:fill="F2F2F2" w:themeFill="background1" w:themeFillShade="F2"/>
          </w:tcPr>
          <w:p w14:paraId="2F174188" w14:textId="010A914E" w:rsidR="006B0BFE" w:rsidRPr="00927059" w:rsidRDefault="006B0BFE" w:rsidP="006B0BFE">
            <w:pPr>
              <w:pStyle w:val="TableNText"/>
              <w:rPr>
                <w:rFonts w:cs="Arial"/>
              </w:rPr>
            </w:pPr>
            <w:r w:rsidRPr="00927059">
              <w:rPr>
                <w:rFonts w:cs="Arial"/>
              </w:rPr>
              <w:t>Stillbirth CRE</w:t>
            </w:r>
          </w:p>
        </w:tc>
        <w:tc>
          <w:tcPr>
            <w:tcW w:w="1003" w:type="pct"/>
            <w:shd w:val="clear" w:color="auto" w:fill="F2F2F2" w:themeFill="background1" w:themeFillShade="F2"/>
          </w:tcPr>
          <w:p w14:paraId="6EC0AD62" w14:textId="0375B9C0" w:rsidR="006B0BFE" w:rsidRPr="00927059" w:rsidRDefault="006B0BFE" w:rsidP="006B0BFE">
            <w:pPr>
              <w:pStyle w:val="TableNText"/>
              <w:rPr>
                <w:rFonts w:cs="Arial"/>
              </w:rPr>
            </w:pPr>
          </w:p>
        </w:tc>
        <w:tc>
          <w:tcPr>
            <w:tcW w:w="610" w:type="pct"/>
            <w:shd w:val="clear" w:color="auto" w:fill="F2F2F2" w:themeFill="background1" w:themeFillShade="F2"/>
          </w:tcPr>
          <w:p w14:paraId="70C875C5" w14:textId="77777777" w:rsidR="006B0BFE" w:rsidRPr="00927059" w:rsidRDefault="006B0BFE" w:rsidP="006B0BFE">
            <w:pPr>
              <w:pStyle w:val="TableNText"/>
              <w:rPr>
                <w:rFonts w:cs="Arial"/>
              </w:rPr>
            </w:pPr>
          </w:p>
        </w:tc>
      </w:tr>
      <w:tr w:rsidR="006B0BFE" w:rsidRPr="00927059" w14:paraId="6F64DBA8" w14:textId="77777777" w:rsidTr="00345871">
        <w:tc>
          <w:tcPr>
            <w:tcW w:w="425" w:type="pct"/>
            <w:shd w:val="clear" w:color="auto" w:fill="E6E6E6"/>
          </w:tcPr>
          <w:p w14:paraId="74A243C6" w14:textId="12062630" w:rsidR="006B0BFE" w:rsidRPr="00927059" w:rsidRDefault="006B0BFE" w:rsidP="006B0BFE">
            <w:pPr>
              <w:pStyle w:val="TableNText"/>
              <w:rPr>
                <w:rFonts w:cs="Arial"/>
              </w:rPr>
            </w:pPr>
            <w:r w:rsidRPr="00927059">
              <w:rPr>
                <w:rFonts w:cs="Arial"/>
              </w:rPr>
              <w:t>13</w:t>
            </w:r>
          </w:p>
        </w:tc>
        <w:tc>
          <w:tcPr>
            <w:tcW w:w="1960" w:type="pct"/>
            <w:shd w:val="clear" w:color="auto" w:fill="F2F2F2" w:themeFill="background1" w:themeFillShade="F2"/>
          </w:tcPr>
          <w:p w14:paraId="100F0323" w14:textId="44963F9F" w:rsidR="006B0BFE" w:rsidRPr="00927059" w:rsidRDefault="006B0BFE" w:rsidP="006B0BFE">
            <w:pPr>
              <w:pStyle w:val="TableNText"/>
              <w:rPr>
                <w:rFonts w:cs="Arial"/>
              </w:rPr>
            </w:pPr>
            <w:r w:rsidRPr="00927059">
              <w:rPr>
                <w:rFonts w:cs="Arial"/>
              </w:rPr>
              <w:t>Establish agreed national priorities for stillbirth research for the next five years, building on the work of PSANZ and the Stillbirth CRE</w:t>
            </w:r>
          </w:p>
        </w:tc>
        <w:tc>
          <w:tcPr>
            <w:tcW w:w="1002" w:type="pct"/>
            <w:shd w:val="clear" w:color="auto" w:fill="F2F2F2" w:themeFill="background1" w:themeFillShade="F2"/>
          </w:tcPr>
          <w:p w14:paraId="328BDFD6" w14:textId="0D74FFE2" w:rsidR="006B0BFE" w:rsidRPr="00927059" w:rsidRDefault="006B0BFE" w:rsidP="006B0BFE">
            <w:pPr>
              <w:pStyle w:val="TableNText"/>
              <w:rPr>
                <w:rFonts w:cs="Arial"/>
              </w:rPr>
            </w:pPr>
            <w:r w:rsidRPr="00927059">
              <w:rPr>
                <w:rFonts w:cs="Arial"/>
              </w:rPr>
              <w:t>Stillbirth CRE and PSANZ</w:t>
            </w:r>
          </w:p>
        </w:tc>
        <w:tc>
          <w:tcPr>
            <w:tcW w:w="1003" w:type="pct"/>
            <w:shd w:val="clear" w:color="auto" w:fill="F2F2F2" w:themeFill="background1" w:themeFillShade="F2"/>
          </w:tcPr>
          <w:p w14:paraId="074EFC72" w14:textId="5663B6C4" w:rsidR="006B0BFE" w:rsidRPr="00927059" w:rsidRDefault="006B0BFE" w:rsidP="006B0BFE">
            <w:pPr>
              <w:pStyle w:val="TableNText"/>
              <w:rPr>
                <w:rFonts w:cs="Arial"/>
              </w:rPr>
            </w:pPr>
          </w:p>
        </w:tc>
        <w:tc>
          <w:tcPr>
            <w:tcW w:w="610" w:type="pct"/>
            <w:shd w:val="clear" w:color="auto" w:fill="F2F2F2" w:themeFill="background1" w:themeFillShade="F2"/>
          </w:tcPr>
          <w:p w14:paraId="7C374527" w14:textId="77777777" w:rsidR="006B0BFE" w:rsidRPr="00927059" w:rsidRDefault="006B0BFE" w:rsidP="006B0BFE">
            <w:pPr>
              <w:pStyle w:val="TableNText"/>
              <w:rPr>
                <w:rFonts w:cs="Arial"/>
              </w:rPr>
            </w:pPr>
          </w:p>
        </w:tc>
      </w:tr>
      <w:tr w:rsidR="006B0BFE" w:rsidRPr="00927059" w14:paraId="255C0908" w14:textId="77777777" w:rsidTr="00345871">
        <w:tc>
          <w:tcPr>
            <w:tcW w:w="425" w:type="pct"/>
            <w:shd w:val="clear" w:color="auto" w:fill="E6E6E6"/>
          </w:tcPr>
          <w:p w14:paraId="4C82F72C" w14:textId="01395D7D" w:rsidR="006B0BFE" w:rsidRPr="00927059" w:rsidRDefault="006B0BFE" w:rsidP="006B0BFE">
            <w:pPr>
              <w:pStyle w:val="TableNText"/>
              <w:rPr>
                <w:rFonts w:cs="Arial"/>
              </w:rPr>
            </w:pPr>
            <w:r w:rsidRPr="00927059">
              <w:rPr>
                <w:rFonts w:cs="Arial"/>
              </w:rPr>
              <w:t>14</w:t>
            </w:r>
          </w:p>
        </w:tc>
        <w:tc>
          <w:tcPr>
            <w:tcW w:w="1960" w:type="pct"/>
            <w:shd w:val="clear" w:color="auto" w:fill="F2F2F2" w:themeFill="background1" w:themeFillShade="F2"/>
          </w:tcPr>
          <w:p w14:paraId="57512F12" w14:textId="0D515656" w:rsidR="006B0BFE" w:rsidRPr="00927059" w:rsidRDefault="006B0BFE" w:rsidP="006B0BFE">
            <w:pPr>
              <w:pStyle w:val="TableNText"/>
              <w:rPr>
                <w:rFonts w:cs="Arial"/>
              </w:rPr>
            </w:pPr>
            <w:r w:rsidRPr="00927059">
              <w:rPr>
                <w:rFonts w:cs="Arial"/>
              </w:rPr>
              <w:t>Develop a comprehensive, publicly accessible register of current research and guidelines relating to stillbirth</w:t>
            </w:r>
          </w:p>
        </w:tc>
        <w:tc>
          <w:tcPr>
            <w:tcW w:w="1002" w:type="pct"/>
            <w:shd w:val="clear" w:color="auto" w:fill="F2F2F2" w:themeFill="background1" w:themeFillShade="F2"/>
          </w:tcPr>
          <w:p w14:paraId="7328C3B8" w14:textId="55B4300A" w:rsidR="006B0BFE" w:rsidRPr="00927059" w:rsidRDefault="00460469" w:rsidP="006B0BFE">
            <w:pPr>
              <w:pStyle w:val="TableNText"/>
              <w:rPr>
                <w:rFonts w:cs="Arial"/>
              </w:rPr>
            </w:pPr>
            <w:r>
              <w:rPr>
                <w:rFonts w:cs="Arial"/>
              </w:rPr>
              <w:t>Australian</w:t>
            </w:r>
            <w:r w:rsidR="006B0BFE" w:rsidRPr="00927059">
              <w:rPr>
                <w:rFonts w:cs="Arial"/>
              </w:rPr>
              <w:t xml:space="preserve"> Government in partnership with NGOs</w:t>
            </w:r>
          </w:p>
        </w:tc>
        <w:tc>
          <w:tcPr>
            <w:tcW w:w="1003" w:type="pct"/>
            <w:shd w:val="clear" w:color="auto" w:fill="F2F2F2" w:themeFill="background1" w:themeFillShade="F2"/>
          </w:tcPr>
          <w:p w14:paraId="4F55EE43" w14:textId="4A676A00" w:rsidR="006B0BFE" w:rsidRPr="00927059" w:rsidRDefault="006B0BFE" w:rsidP="006B0BFE">
            <w:pPr>
              <w:pStyle w:val="TableNText"/>
              <w:rPr>
                <w:rFonts w:cs="Arial"/>
              </w:rPr>
            </w:pPr>
          </w:p>
        </w:tc>
        <w:tc>
          <w:tcPr>
            <w:tcW w:w="610" w:type="pct"/>
            <w:shd w:val="clear" w:color="auto" w:fill="F2F2F2" w:themeFill="background1" w:themeFillShade="F2"/>
          </w:tcPr>
          <w:p w14:paraId="2EA259CE" w14:textId="77777777" w:rsidR="006B0BFE" w:rsidRPr="00927059" w:rsidRDefault="006B0BFE" w:rsidP="006B0BFE">
            <w:pPr>
              <w:pStyle w:val="TableNText"/>
              <w:rPr>
                <w:rFonts w:cs="Arial"/>
              </w:rPr>
            </w:pPr>
          </w:p>
        </w:tc>
      </w:tr>
      <w:tr w:rsidR="006B0BFE" w:rsidRPr="00927059" w14:paraId="6FCB86D1" w14:textId="77777777" w:rsidTr="00377058">
        <w:tc>
          <w:tcPr>
            <w:tcW w:w="425" w:type="pct"/>
            <w:shd w:val="clear" w:color="auto" w:fill="3F4A75"/>
          </w:tcPr>
          <w:p w14:paraId="6F6F5C4B" w14:textId="77777777" w:rsidR="006B0BFE" w:rsidRPr="00927059" w:rsidRDefault="006B0BFE" w:rsidP="006B0BFE">
            <w:pPr>
              <w:pStyle w:val="TableNheader"/>
              <w:rPr>
                <w:rFonts w:cs="Arial"/>
              </w:rPr>
            </w:pPr>
          </w:p>
        </w:tc>
        <w:tc>
          <w:tcPr>
            <w:tcW w:w="4575" w:type="pct"/>
            <w:gridSpan w:val="4"/>
            <w:shd w:val="clear" w:color="auto" w:fill="3F4A75"/>
          </w:tcPr>
          <w:p w14:paraId="3EF8F493" w14:textId="25F87206" w:rsidR="006B0BFE" w:rsidRPr="00927059" w:rsidRDefault="006B0BFE" w:rsidP="006B0BFE">
            <w:pPr>
              <w:pStyle w:val="TableNheader"/>
              <w:rPr>
                <w:rFonts w:cs="Arial"/>
              </w:rPr>
            </w:pPr>
            <w:r w:rsidRPr="00927059">
              <w:rPr>
                <w:rFonts w:cs="Arial"/>
              </w:rPr>
              <w:t>INTENDED TO BE IMPLEMENTED BETWEEN 2024 to 2027 (MEDIUM TERM)</w:t>
            </w:r>
          </w:p>
        </w:tc>
      </w:tr>
      <w:tr w:rsidR="006B0BFE" w:rsidRPr="00927059" w14:paraId="4B68A7DE" w14:textId="77777777" w:rsidTr="00345871">
        <w:tc>
          <w:tcPr>
            <w:tcW w:w="425" w:type="pct"/>
            <w:shd w:val="clear" w:color="auto" w:fill="E6E6E6"/>
          </w:tcPr>
          <w:p w14:paraId="070D2C56" w14:textId="1D9D7BD2" w:rsidR="006B0BFE" w:rsidRPr="00927059" w:rsidRDefault="006B0BFE" w:rsidP="006B0BFE">
            <w:pPr>
              <w:pStyle w:val="TableNText"/>
              <w:rPr>
                <w:rFonts w:cs="Arial"/>
              </w:rPr>
            </w:pPr>
            <w:r w:rsidRPr="00927059">
              <w:rPr>
                <w:rFonts w:cs="Arial"/>
              </w:rPr>
              <w:t>1</w:t>
            </w:r>
          </w:p>
        </w:tc>
        <w:tc>
          <w:tcPr>
            <w:tcW w:w="1960" w:type="pct"/>
            <w:shd w:val="clear" w:color="auto" w:fill="F2F2F2" w:themeFill="background1" w:themeFillShade="F2"/>
          </w:tcPr>
          <w:p w14:paraId="78E8A503" w14:textId="14516F5B" w:rsidR="006B0BFE" w:rsidRPr="00927059" w:rsidRDefault="006B0BFE" w:rsidP="006B0BFE">
            <w:pPr>
              <w:pStyle w:val="TableNText"/>
              <w:rPr>
                <w:rFonts w:cs="Arial"/>
              </w:rPr>
            </w:pPr>
            <w:r w:rsidRPr="00927059">
              <w:rPr>
                <w:rFonts w:cs="Arial"/>
              </w:rPr>
              <w:t>Increase access to continuity of care models for all women, including midwifery continuity of care and/or carer</w:t>
            </w:r>
          </w:p>
        </w:tc>
        <w:tc>
          <w:tcPr>
            <w:tcW w:w="1002" w:type="pct"/>
            <w:shd w:val="clear" w:color="auto" w:fill="F2F2F2" w:themeFill="background1" w:themeFillShade="F2"/>
          </w:tcPr>
          <w:p w14:paraId="67A6A20A" w14:textId="06613C58" w:rsidR="006B0BFE" w:rsidRPr="00927059" w:rsidRDefault="006B0BFE" w:rsidP="006B0BFE">
            <w:pPr>
              <w:pStyle w:val="TableNText"/>
              <w:rPr>
                <w:rFonts w:cs="Arial"/>
              </w:rPr>
            </w:pPr>
            <w:r w:rsidRPr="00927059">
              <w:rPr>
                <w:rFonts w:cs="Arial"/>
              </w:rPr>
              <w:t>State and territory governments</w:t>
            </w:r>
          </w:p>
        </w:tc>
        <w:tc>
          <w:tcPr>
            <w:tcW w:w="1003" w:type="pct"/>
            <w:shd w:val="clear" w:color="auto" w:fill="F2F2F2" w:themeFill="background1" w:themeFillShade="F2"/>
          </w:tcPr>
          <w:p w14:paraId="3A59397A" w14:textId="51C14DEA" w:rsidR="006B0BFE" w:rsidRPr="00927059" w:rsidRDefault="006B0BFE" w:rsidP="006B0BFE">
            <w:pPr>
              <w:pStyle w:val="TableNText"/>
              <w:rPr>
                <w:rFonts w:cs="Arial"/>
              </w:rPr>
            </w:pPr>
          </w:p>
        </w:tc>
        <w:tc>
          <w:tcPr>
            <w:tcW w:w="610" w:type="pct"/>
            <w:shd w:val="clear" w:color="auto" w:fill="F2F2F2" w:themeFill="background1" w:themeFillShade="F2"/>
          </w:tcPr>
          <w:p w14:paraId="0BFEDCC8" w14:textId="77777777" w:rsidR="006B0BFE" w:rsidRPr="00927059" w:rsidRDefault="006B0BFE" w:rsidP="006B0BFE">
            <w:pPr>
              <w:pStyle w:val="TableNText"/>
              <w:rPr>
                <w:rFonts w:cs="Arial"/>
              </w:rPr>
            </w:pPr>
          </w:p>
        </w:tc>
      </w:tr>
      <w:tr w:rsidR="006B0BFE" w:rsidRPr="00927059" w14:paraId="39C8891D" w14:textId="77777777" w:rsidTr="00345871">
        <w:tc>
          <w:tcPr>
            <w:tcW w:w="425" w:type="pct"/>
            <w:shd w:val="clear" w:color="auto" w:fill="E6E6E6"/>
          </w:tcPr>
          <w:p w14:paraId="1E01F726" w14:textId="3DA3DDFD" w:rsidR="006B0BFE" w:rsidRPr="00927059" w:rsidRDefault="006B0BFE" w:rsidP="006B0BFE">
            <w:pPr>
              <w:pStyle w:val="TableNText"/>
              <w:rPr>
                <w:rFonts w:cs="Arial"/>
              </w:rPr>
            </w:pPr>
            <w:r w:rsidRPr="00927059">
              <w:rPr>
                <w:rFonts w:cs="Arial"/>
              </w:rPr>
              <w:lastRenderedPageBreak/>
              <w:t>1</w:t>
            </w:r>
          </w:p>
        </w:tc>
        <w:tc>
          <w:tcPr>
            <w:tcW w:w="1960" w:type="pct"/>
            <w:shd w:val="clear" w:color="auto" w:fill="F2F2F2" w:themeFill="background1" w:themeFillShade="F2"/>
          </w:tcPr>
          <w:p w14:paraId="69E8A6D5" w14:textId="58CEE721" w:rsidR="006B0BFE" w:rsidRPr="00927059" w:rsidRDefault="006B0BFE" w:rsidP="006B0BFE">
            <w:pPr>
              <w:pStyle w:val="TableNText"/>
              <w:rPr>
                <w:rFonts w:cs="Arial"/>
              </w:rPr>
            </w:pPr>
            <w:r w:rsidRPr="00927059">
              <w:rPr>
                <w:rFonts w:cs="Arial"/>
              </w:rPr>
              <w:t>Develop and implement approaches to enable parent-centred care and informed decision-making for women based on the presence of risk factors for stillbirth</w:t>
            </w:r>
          </w:p>
        </w:tc>
        <w:tc>
          <w:tcPr>
            <w:tcW w:w="1002" w:type="pct"/>
            <w:shd w:val="clear" w:color="auto" w:fill="F2F2F2" w:themeFill="background1" w:themeFillShade="F2"/>
          </w:tcPr>
          <w:p w14:paraId="15875E71" w14:textId="5B54BA15" w:rsidR="006B0BFE" w:rsidRPr="00927059" w:rsidRDefault="006B0BFE" w:rsidP="006B0BFE">
            <w:pPr>
              <w:pStyle w:val="TableNText"/>
              <w:rPr>
                <w:rFonts w:cs="Arial"/>
              </w:rPr>
            </w:pPr>
            <w:r w:rsidRPr="00927059">
              <w:rPr>
                <w:rFonts w:cs="Arial"/>
              </w:rPr>
              <w:t>State and territory governments</w:t>
            </w:r>
          </w:p>
        </w:tc>
        <w:tc>
          <w:tcPr>
            <w:tcW w:w="1003" w:type="pct"/>
            <w:shd w:val="clear" w:color="auto" w:fill="F2F2F2" w:themeFill="background1" w:themeFillShade="F2"/>
          </w:tcPr>
          <w:p w14:paraId="6653000B" w14:textId="7FD6F05B" w:rsidR="006B0BFE" w:rsidRPr="00927059" w:rsidRDefault="006B0BFE" w:rsidP="006B0BFE">
            <w:pPr>
              <w:pStyle w:val="TableNText"/>
              <w:rPr>
                <w:rFonts w:cs="Arial"/>
              </w:rPr>
            </w:pPr>
          </w:p>
        </w:tc>
        <w:tc>
          <w:tcPr>
            <w:tcW w:w="610" w:type="pct"/>
            <w:shd w:val="clear" w:color="auto" w:fill="F2F2F2" w:themeFill="background1" w:themeFillShade="F2"/>
          </w:tcPr>
          <w:p w14:paraId="1935A35B" w14:textId="77777777" w:rsidR="006B0BFE" w:rsidRPr="00927059" w:rsidRDefault="006B0BFE" w:rsidP="006B0BFE">
            <w:pPr>
              <w:pStyle w:val="TableNText"/>
              <w:rPr>
                <w:rFonts w:cs="Arial"/>
              </w:rPr>
            </w:pPr>
          </w:p>
        </w:tc>
      </w:tr>
      <w:tr w:rsidR="006B0BFE" w:rsidRPr="00927059" w14:paraId="70BABE30" w14:textId="77777777" w:rsidTr="00345871">
        <w:tc>
          <w:tcPr>
            <w:tcW w:w="425" w:type="pct"/>
            <w:shd w:val="clear" w:color="auto" w:fill="E6E6E6"/>
          </w:tcPr>
          <w:p w14:paraId="77AEAA58" w14:textId="579E418A" w:rsidR="006B0BFE" w:rsidRPr="00927059" w:rsidRDefault="006B0BFE" w:rsidP="006B0BFE">
            <w:pPr>
              <w:pStyle w:val="TableNText"/>
              <w:rPr>
                <w:rFonts w:cs="Arial"/>
              </w:rPr>
            </w:pPr>
            <w:r w:rsidRPr="00927059">
              <w:rPr>
                <w:rFonts w:cs="Arial"/>
              </w:rPr>
              <w:t>2</w:t>
            </w:r>
          </w:p>
        </w:tc>
        <w:tc>
          <w:tcPr>
            <w:tcW w:w="1960" w:type="pct"/>
            <w:shd w:val="clear" w:color="auto" w:fill="F2F2F2" w:themeFill="background1" w:themeFillShade="F2"/>
          </w:tcPr>
          <w:p w14:paraId="02C9F46C" w14:textId="24729A3F" w:rsidR="006B0BFE" w:rsidRPr="00927059" w:rsidRDefault="006B0BFE" w:rsidP="006B0BFE">
            <w:pPr>
              <w:pStyle w:val="TableNText"/>
              <w:rPr>
                <w:rFonts w:cs="Arial"/>
              </w:rPr>
            </w:pPr>
            <w:r w:rsidRPr="00927059">
              <w:rPr>
                <w:rFonts w:cs="Arial"/>
              </w:rPr>
              <w:t>Co-design stillbirth prevention messages and implementation strategies for community settings in partnership with Aboriginal Community Controlled Health Organisations</w:t>
            </w:r>
          </w:p>
        </w:tc>
        <w:tc>
          <w:tcPr>
            <w:tcW w:w="1002" w:type="pct"/>
            <w:shd w:val="clear" w:color="auto" w:fill="F2F2F2" w:themeFill="background1" w:themeFillShade="F2"/>
          </w:tcPr>
          <w:p w14:paraId="6F563352" w14:textId="5C73A7B8" w:rsidR="006B0BFE" w:rsidRPr="00927059" w:rsidRDefault="006B0BFE" w:rsidP="006B0BFE">
            <w:pPr>
              <w:pStyle w:val="TableNText"/>
              <w:rPr>
                <w:rFonts w:cs="Arial"/>
              </w:rPr>
            </w:pPr>
            <w:r w:rsidRPr="00927059">
              <w:rPr>
                <w:rFonts w:cs="Arial"/>
              </w:rPr>
              <w:t>Governments in partnership with NGOs</w:t>
            </w:r>
          </w:p>
        </w:tc>
        <w:tc>
          <w:tcPr>
            <w:tcW w:w="1003" w:type="pct"/>
            <w:shd w:val="clear" w:color="auto" w:fill="F2F2F2" w:themeFill="background1" w:themeFillShade="F2"/>
          </w:tcPr>
          <w:p w14:paraId="15457604" w14:textId="73CFD7E7" w:rsidR="006B0BFE" w:rsidRPr="00927059" w:rsidRDefault="006B0BFE" w:rsidP="006B0BFE">
            <w:pPr>
              <w:pStyle w:val="TableNText"/>
              <w:rPr>
                <w:rFonts w:cs="Arial"/>
              </w:rPr>
            </w:pPr>
          </w:p>
        </w:tc>
        <w:tc>
          <w:tcPr>
            <w:tcW w:w="610" w:type="pct"/>
            <w:shd w:val="clear" w:color="auto" w:fill="F2F2F2" w:themeFill="background1" w:themeFillShade="F2"/>
          </w:tcPr>
          <w:p w14:paraId="24CD3D70" w14:textId="77777777" w:rsidR="006B0BFE" w:rsidRPr="00927059" w:rsidRDefault="006B0BFE" w:rsidP="006B0BFE">
            <w:pPr>
              <w:pStyle w:val="TableNText"/>
              <w:rPr>
                <w:rFonts w:cs="Arial"/>
              </w:rPr>
            </w:pPr>
          </w:p>
        </w:tc>
      </w:tr>
      <w:tr w:rsidR="006B0BFE" w:rsidRPr="00927059" w14:paraId="24F23248" w14:textId="77777777" w:rsidTr="00345871">
        <w:tc>
          <w:tcPr>
            <w:tcW w:w="425" w:type="pct"/>
            <w:shd w:val="clear" w:color="auto" w:fill="E6E6E6"/>
          </w:tcPr>
          <w:p w14:paraId="3023FCF0" w14:textId="6D45295A" w:rsidR="006B0BFE" w:rsidRPr="00927059" w:rsidRDefault="006B0BFE" w:rsidP="006B0BFE">
            <w:pPr>
              <w:pStyle w:val="TableNText"/>
              <w:rPr>
                <w:rFonts w:cs="Arial"/>
              </w:rPr>
            </w:pPr>
            <w:r w:rsidRPr="00927059">
              <w:rPr>
                <w:rFonts w:cs="Arial"/>
              </w:rPr>
              <w:t>2</w:t>
            </w:r>
          </w:p>
        </w:tc>
        <w:tc>
          <w:tcPr>
            <w:tcW w:w="1960" w:type="pct"/>
            <w:shd w:val="clear" w:color="auto" w:fill="F2F2F2" w:themeFill="background1" w:themeFillShade="F2"/>
          </w:tcPr>
          <w:p w14:paraId="6FAB4C2A" w14:textId="2F8019F1" w:rsidR="006B0BFE" w:rsidRPr="00927059" w:rsidRDefault="006B0BFE" w:rsidP="006B0BFE">
            <w:pPr>
              <w:pStyle w:val="TableNText"/>
              <w:rPr>
                <w:rFonts w:cs="Arial"/>
              </w:rPr>
            </w:pPr>
            <w:r w:rsidRPr="00927059">
              <w:rPr>
                <w:rFonts w:cs="Arial"/>
              </w:rPr>
              <w:t>Increase access to and engagement of professional interpreters in maternity services providing care to Aboriginal and Torres Strait Islander women</w:t>
            </w:r>
          </w:p>
        </w:tc>
        <w:tc>
          <w:tcPr>
            <w:tcW w:w="1002" w:type="pct"/>
            <w:shd w:val="clear" w:color="auto" w:fill="F2F2F2" w:themeFill="background1" w:themeFillShade="F2"/>
          </w:tcPr>
          <w:p w14:paraId="771CF35F" w14:textId="5BF633DB" w:rsidR="006B0BFE" w:rsidRPr="00927059" w:rsidRDefault="006B0BFE" w:rsidP="006B0BFE">
            <w:pPr>
              <w:pStyle w:val="TableNText"/>
              <w:rPr>
                <w:rFonts w:cs="Arial"/>
              </w:rPr>
            </w:pPr>
            <w:r w:rsidRPr="00927059">
              <w:rPr>
                <w:rFonts w:cs="Arial"/>
              </w:rPr>
              <w:t>State and territory governments</w:t>
            </w:r>
          </w:p>
        </w:tc>
        <w:tc>
          <w:tcPr>
            <w:tcW w:w="1003" w:type="pct"/>
            <w:shd w:val="clear" w:color="auto" w:fill="F2F2F2" w:themeFill="background1" w:themeFillShade="F2"/>
          </w:tcPr>
          <w:p w14:paraId="2664B10C" w14:textId="079ABB12" w:rsidR="006B0BFE" w:rsidRPr="00927059" w:rsidRDefault="006B0BFE" w:rsidP="006B0BFE">
            <w:pPr>
              <w:pStyle w:val="TableNText"/>
              <w:rPr>
                <w:rFonts w:cs="Arial"/>
              </w:rPr>
            </w:pPr>
          </w:p>
        </w:tc>
        <w:tc>
          <w:tcPr>
            <w:tcW w:w="610" w:type="pct"/>
            <w:shd w:val="clear" w:color="auto" w:fill="F2F2F2" w:themeFill="background1" w:themeFillShade="F2"/>
          </w:tcPr>
          <w:p w14:paraId="7FE8E6FB" w14:textId="77777777" w:rsidR="006B0BFE" w:rsidRPr="00927059" w:rsidRDefault="006B0BFE" w:rsidP="006B0BFE">
            <w:pPr>
              <w:pStyle w:val="TableNText"/>
              <w:rPr>
                <w:rFonts w:cs="Arial"/>
              </w:rPr>
            </w:pPr>
          </w:p>
        </w:tc>
      </w:tr>
      <w:tr w:rsidR="006B0BFE" w:rsidRPr="00927059" w14:paraId="01609F74" w14:textId="77777777" w:rsidTr="00345871">
        <w:tc>
          <w:tcPr>
            <w:tcW w:w="425" w:type="pct"/>
            <w:shd w:val="clear" w:color="auto" w:fill="E6E6E6"/>
          </w:tcPr>
          <w:p w14:paraId="039CA671" w14:textId="1E08AF91" w:rsidR="006B0BFE" w:rsidRPr="00927059" w:rsidRDefault="006B0BFE" w:rsidP="006B0BFE">
            <w:pPr>
              <w:pStyle w:val="TableNText"/>
              <w:rPr>
                <w:rFonts w:cs="Arial"/>
              </w:rPr>
            </w:pPr>
            <w:r w:rsidRPr="00927059">
              <w:rPr>
                <w:rFonts w:cs="Arial"/>
              </w:rPr>
              <w:t>3</w:t>
            </w:r>
          </w:p>
        </w:tc>
        <w:tc>
          <w:tcPr>
            <w:tcW w:w="1960" w:type="pct"/>
            <w:shd w:val="clear" w:color="auto" w:fill="F2F2F2" w:themeFill="background1" w:themeFillShade="F2"/>
          </w:tcPr>
          <w:p w14:paraId="2BA9DD59" w14:textId="0F5FDCD9" w:rsidR="006B0BFE" w:rsidRPr="00927059" w:rsidRDefault="006B0BFE" w:rsidP="006B0BFE">
            <w:pPr>
              <w:pStyle w:val="TableNText"/>
              <w:rPr>
                <w:rFonts w:cs="Arial"/>
              </w:rPr>
            </w:pPr>
            <w:r w:rsidRPr="00927059">
              <w:rPr>
                <w:rFonts w:cs="Arial"/>
              </w:rPr>
              <w:t>Co-design stillbirth prevention messages and implementation strategies for community settings with migrant and refugee communities</w:t>
            </w:r>
          </w:p>
        </w:tc>
        <w:tc>
          <w:tcPr>
            <w:tcW w:w="1002" w:type="pct"/>
            <w:shd w:val="clear" w:color="auto" w:fill="F2F2F2" w:themeFill="background1" w:themeFillShade="F2"/>
          </w:tcPr>
          <w:p w14:paraId="5C6FE71B" w14:textId="0F30359F" w:rsidR="006B0BFE" w:rsidRPr="00927059" w:rsidRDefault="006B0BFE" w:rsidP="006B0BFE">
            <w:pPr>
              <w:pStyle w:val="TableNText"/>
              <w:rPr>
                <w:rFonts w:cs="Arial"/>
              </w:rPr>
            </w:pPr>
            <w:r w:rsidRPr="00927059">
              <w:rPr>
                <w:rFonts w:cs="Arial"/>
              </w:rPr>
              <w:t>Governments in partnership with NGOs</w:t>
            </w:r>
          </w:p>
        </w:tc>
        <w:tc>
          <w:tcPr>
            <w:tcW w:w="1003" w:type="pct"/>
            <w:shd w:val="clear" w:color="auto" w:fill="F2F2F2" w:themeFill="background1" w:themeFillShade="F2"/>
          </w:tcPr>
          <w:p w14:paraId="66252DDC" w14:textId="560768A5" w:rsidR="006B0BFE" w:rsidRPr="00927059" w:rsidRDefault="006B0BFE" w:rsidP="006B0BFE">
            <w:pPr>
              <w:pStyle w:val="TableNText"/>
              <w:rPr>
                <w:rFonts w:cs="Arial"/>
              </w:rPr>
            </w:pPr>
          </w:p>
        </w:tc>
        <w:tc>
          <w:tcPr>
            <w:tcW w:w="610" w:type="pct"/>
            <w:shd w:val="clear" w:color="auto" w:fill="F2F2F2" w:themeFill="background1" w:themeFillShade="F2"/>
          </w:tcPr>
          <w:p w14:paraId="3B5D3254" w14:textId="77777777" w:rsidR="006B0BFE" w:rsidRPr="00927059" w:rsidRDefault="006B0BFE" w:rsidP="006B0BFE">
            <w:pPr>
              <w:pStyle w:val="TableNText"/>
              <w:rPr>
                <w:rFonts w:cs="Arial"/>
              </w:rPr>
            </w:pPr>
          </w:p>
        </w:tc>
      </w:tr>
      <w:tr w:rsidR="006B0BFE" w:rsidRPr="00927059" w14:paraId="0DF6068F" w14:textId="77777777" w:rsidTr="00345871">
        <w:tc>
          <w:tcPr>
            <w:tcW w:w="425" w:type="pct"/>
            <w:shd w:val="clear" w:color="auto" w:fill="E6E6E6"/>
          </w:tcPr>
          <w:p w14:paraId="1FF10EF5" w14:textId="4E440F63" w:rsidR="006B0BFE" w:rsidRPr="00927059" w:rsidRDefault="006B0BFE" w:rsidP="006B0BFE">
            <w:pPr>
              <w:pStyle w:val="TableNText"/>
              <w:rPr>
                <w:rFonts w:cs="Arial"/>
              </w:rPr>
            </w:pPr>
            <w:r w:rsidRPr="00927059">
              <w:rPr>
                <w:rFonts w:cs="Arial"/>
              </w:rPr>
              <w:t>3</w:t>
            </w:r>
          </w:p>
        </w:tc>
        <w:tc>
          <w:tcPr>
            <w:tcW w:w="1960" w:type="pct"/>
            <w:shd w:val="clear" w:color="auto" w:fill="F2F2F2" w:themeFill="background1" w:themeFillShade="F2"/>
          </w:tcPr>
          <w:p w14:paraId="7DD79109" w14:textId="4E1DCAB8" w:rsidR="006B0BFE" w:rsidRPr="00927059" w:rsidRDefault="006B0BFE" w:rsidP="006B0BFE">
            <w:pPr>
              <w:pStyle w:val="TableNText"/>
              <w:rPr>
                <w:rFonts w:cs="Arial"/>
              </w:rPr>
            </w:pPr>
            <w:r w:rsidRPr="00927059">
              <w:rPr>
                <w:rFonts w:cs="Arial"/>
              </w:rPr>
              <w:t>Develop and implement culturally safe approaches to the provision of maternity care in partnership with migrant and refugee women and service stakeholders</w:t>
            </w:r>
          </w:p>
        </w:tc>
        <w:tc>
          <w:tcPr>
            <w:tcW w:w="1002" w:type="pct"/>
            <w:shd w:val="clear" w:color="auto" w:fill="F2F2F2" w:themeFill="background1" w:themeFillShade="F2"/>
          </w:tcPr>
          <w:p w14:paraId="375BC21B" w14:textId="4785DF2A" w:rsidR="006B0BFE" w:rsidRPr="00927059" w:rsidRDefault="006B0BFE" w:rsidP="006B0BFE">
            <w:pPr>
              <w:pStyle w:val="TableNText"/>
              <w:rPr>
                <w:rFonts w:cs="Arial"/>
              </w:rPr>
            </w:pPr>
            <w:r w:rsidRPr="00927059">
              <w:rPr>
                <w:rFonts w:cs="Arial"/>
              </w:rPr>
              <w:t>State and territory governments</w:t>
            </w:r>
          </w:p>
        </w:tc>
        <w:tc>
          <w:tcPr>
            <w:tcW w:w="1003" w:type="pct"/>
            <w:shd w:val="clear" w:color="auto" w:fill="F2F2F2" w:themeFill="background1" w:themeFillShade="F2"/>
          </w:tcPr>
          <w:p w14:paraId="3371A65C" w14:textId="75466A3D" w:rsidR="006B0BFE" w:rsidRPr="00927059" w:rsidRDefault="006B0BFE" w:rsidP="006B0BFE">
            <w:pPr>
              <w:pStyle w:val="TableNText"/>
              <w:rPr>
                <w:rFonts w:cs="Arial"/>
              </w:rPr>
            </w:pPr>
          </w:p>
        </w:tc>
        <w:tc>
          <w:tcPr>
            <w:tcW w:w="610" w:type="pct"/>
            <w:shd w:val="clear" w:color="auto" w:fill="F2F2F2" w:themeFill="background1" w:themeFillShade="F2"/>
          </w:tcPr>
          <w:p w14:paraId="2A07F2B0" w14:textId="77777777" w:rsidR="006B0BFE" w:rsidRPr="00927059" w:rsidRDefault="006B0BFE" w:rsidP="006B0BFE">
            <w:pPr>
              <w:pStyle w:val="TableNText"/>
              <w:rPr>
                <w:rFonts w:cs="Arial"/>
              </w:rPr>
            </w:pPr>
          </w:p>
        </w:tc>
      </w:tr>
      <w:tr w:rsidR="006B0BFE" w:rsidRPr="00927059" w14:paraId="174BF261" w14:textId="77777777" w:rsidTr="00345871">
        <w:tc>
          <w:tcPr>
            <w:tcW w:w="425" w:type="pct"/>
            <w:shd w:val="clear" w:color="auto" w:fill="E6E6E6"/>
          </w:tcPr>
          <w:p w14:paraId="2EB47A71" w14:textId="240F2E45" w:rsidR="006B0BFE" w:rsidRPr="00927059" w:rsidRDefault="006B0BFE" w:rsidP="006B0BFE">
            <w:pPr>
              <w:pStyle w:val="TableNText"/>
              <w:rPr>
                <w:rFonts w:cs="Arial"/>
              </w:rPr>
            </w:pPr>
            <w:r w:rsidRPr="00927059">
              <w:rPr>
                <w:rFonts w:cs="Arial"/>
              </w:rPr>
              <w:t>3</w:t>
            </w:r>
          </w:p>
        </w:tc>
        <w:tc>
          <w:tcPr>
            <w:tcW w:w="1960" w:type="pct"/>
            <w:shd w:val="clear" w:color="auto" w:fill="F2F2F2" w:themeFill="background1" w:themeFillShade="F2"/>
          </w:tcPr>
          <w:p w14:paraId="5CCA15B8" w14:textId="59257229" w:rsidR="006B0BFE" w:rsidRPr="00927059" w:rsidRDefault="006B0BFE" w:rsidP="006B0BFE">
            <w:pPr>
              <w:pStyle w:val="TableNText"/>
              <w:rPr>
                <w:rFonts w:cs="Arial"/>
              </w:rPr>
            </w:pPr>
            <w:r w:rsidRPr="00927059">
              <w:rPr>
                <w:rFonts w:cs="Arial"/>
              </w:rPr>
              <w:t>Increase access to and engagement of professional interpreters in maternity services providing care to migrant and refugee women</w:t>
            </w:r>
          </w:p>
        </w:tc>
        <w:tc>
          <w:tcPr>
            <w:tcW w:w="1002" w:type="pct"/>
            <w:shd w:val="clear" w:color="auto" w:fill="F2F2F2" w:themeFill="background1" w:themeFillShade="F2"/>
          </w:tcPr>
          <w:p w14:paraId="694AB0B7" w14:textId="75CF3641" w:rsidR="006B0BFE" w:rsidRPr="00927059" w:rsidRDefault="006B0BFE" w:rsidP="006B0BFE">
            <w:pPr>
              <w:pStyle w:val="TableNText"/>
              <w:rPr>
                <w:rFonts w:cs="Arial"/>
              </w:rPr>
            </w:pPr>
            <w:r w:rsidRPr="00927059">
              <w:rPr>
                <w:rFonts w:cs="Arial"/>
              </w:rPr>
              <w:t>State and territory governments</w:t>
            </w:r>
          </w:p>
        </w:tc>
        <w:tc>
          <w:tcPr>
            <w:tcW w:w="1003" w:type="pct"/>
            <w:shd w:val="clear" w:color="auto" w:fill="F2F2F2" w:themeFill="background1" w:themeFillShade="F2"/>
          </w:tcPr>
          <w:p w14:paraId="317F736F" w14:textId="2966A05F" w:rsidR="006B0BFE" w:rsidRPr="00927059" w:rsidRDefault="006B0BFE" w:rsidP="006B0BFE">
            <w:pPr>
              <w:pStyle w:val="TableNText"/>
              <w:rPr>
                <w:rFonts w:cs="Arial"/>
              </w:rPr>
            </w:pPr>
          </w:p>
        </w:tc>
        <w:tc>
          <w:tcPr>
            <w:tcW w:w="610" w:type="pct"/>
            <w:shd w:val="clear" w:color="auto" w:fill="F2F2F2" w:themeFill="background1" w:themeFillShade="F2"/>
          </w:tcPr>
          <w:p w14:paraId="017C4411" w14:textId="77777777" w:rsidR="006B0BFE" w:rsidRPr="00927059" w:rsidRDefault="006B0BFE" w:rsidP="006B0BFE">
            <w:pPr>
              <w:pStyle w:val="TableNText"/>
              <w:rPr>
                <w:rFonts w:cs="Arial"/>
              </w:rPr>
            </w:pPr>
          </w:p>
        </w:tc>
      </w:tr>
      <w:tr w:rsidR="006B0BFE" w:rsidRPr="00927059" w14:paraId="74D00C5B" w14:textId="77777777" w:rsidTr="00345871">
        <w:tc>
          <w:tcPr>
            <w:tcW w:w="425" w:type="pct"/>
            <w:shd w:val="clear" w:color="auto" w:fill="E6E6E6"/>
          </w:tcPr>
          <w:p w14:paraId="0B361886" w14:textId="6C770674" w:rsidR="006B0BFE" w:rsidRPr="00927059" w:rsidRDefault="006B0BFE" w:rsidP="006B0BFE">
            <w:pPr>
              <w:pStyle w:val="TableNText"/>
              <w:rPr>
                <w:rFonts w:cs="Arial"/>
              </w:rPr>
            </w:pPr>
            <w:r w:rsidRPr="00927059">
              <w:rPr>
                <w:rFonts w:cs="Arial"/>
              </w:rPr>
              <w:t>4</w:t>
            </w:r>
          </w:p>
        </w:tc>
        <w:tc>
          <w:tcPr>
            <w:tcW w:w="1960" w:type="pct"/>
            <w:shd w:val="clear" w:color="auto" w:fill="F2F2F2" w:themeFill="background1" w:themeFillShade="F2"/>
          </w:tcPr>
          <w:p w14:paraId="35578AF2" w14:textId="1BB7F638" w:rsidR="006B0BFE" w:rsidRPr="00927059" w:rsidRDefault="006B0BFE" w:rsidP="006B0BFE">
            <w:pPr>
              <w:pStyle w:val="TableNText"/>
              <w:rPr>
                <w:rFonts w:cs="Arial"/>
              </w:rPr>
            </w:pPr>
            <w:r w:rsidRPr="00927059">
              <w:rPr>
                <w:rFonts w:cs="Arial"/>
              </w:rPr>
              <w:t>Co-design and implement strategies and tools to reduce stillbirth with target communities</w:t>
            </w:r>
          </w:p>
        </w:tc>
        <w:tc>
          <w:tcPr>
            <w:tcW w:w="1002" w:type="pct"/>
            <w:shd w:val="clear" w:color="auto" w:fill="F2F2F2" w:themeFill="background1" w:themeFillShade="F2"/>
          </w:tcPr>
          <w:p w14:paraId="3226EA6E" w14:textId="29616050" w:rsidR="006B0BFE" w:rsidRPr="00927059" w:rsidRDefault="006B0BFE" w:rsidP="006B0BFE">
            <w:pPr>
              <w:pStyle w:val="TableNText"/>
              <w:rPr>
                <w:rFonts w:cs="Arial"/>
              </w:rPr>
            </w:pPr>
            <w:r w:rsidRPr="00927059">
              <w:rPr>
                <w:rFonts w:cs="Arial"/>
              </w:rPr>
              <w:t>Governments in partnership with NGOs</w:t>
            </w:r>
          </w:p>
        </w:tc>
        <w:tc>
          <w:tcPr>
            <w:tcW w:w="1003" w:type="pct"/>
            <w:shd w:val="clear" w:color="auto" w:fill="F2F2F2" w:themeFill="background1" w:themeFillShade="F2"/>
          </w:tcPr>
          <w:p w14:paraId="3E994489" w14:textId="612319E0" w:rsidR="006B0BFE" w:rsidRPr="00927059" w:rsidRDefault="006B0BFE" w:rsidP="006B0BFE">
            <w:pPr>
              <w:pStyle w:val="TableNText"/>
              <w:rPr>
                <w:rFonts w:cs="Arial"/>
              </w:rPr>
            </w:pPr>
          </w:p>
        </w:tc>
        <w:tc>
          <w:tcPr>
            <w:tcW w:w="610" w:type="pct"/>
            <w:shd w:val="clear" w:color="auto" w:fill="F2F2F2" w:themeFill="background1" w:themeFillShade="F2"/>
          </w:tcPr>
          <w:p w14:paraId="18E719A8" w14:textId="77777777" w:rsidR="006B0BFE" w:rsidRPr="00927059" w:rsidRDefault="006B0BFE" w:rsidP="006B0BFE">
            <w:pPr>
              <w:pStyle w:val="TableNText"/>
              <w:rPr>
                <w:rFonts w:cs="Arial"/>
              </w:rPr>
            </w:pPr>
          </w:p>
        </w:tc>
      </w:tr>
      <w:tr w:rsidR="006B0BFE" w:rsidRPr="00927059" w14:paraId="5B74EA43" w14:textId="77777777" w:rsidTr="00345871">
        <w:tc>
          <w:tcPr>
            <w:tcW w:w="425" w:type="pct"/>
            <w:shd w:val="clear" w:color="auto" w:fill="E6E6E6"/>
          </w:tcPr>
          <w:p w14:paraId="509A4666" w14:textId="1FC1DB62" w:rsidR="006B0BFE" w:rsidRPr="00927059" w:rsidRDefault="006B0BFE" w:rsidP="006B0BFE">
            <w:pPr>
              <w:pStyle w:val="TableNText"/>
              <w:rPr>
                <w:rFonts w:cs="Arial"/>
              </w:rPr>
            </w:pPr>
            <w:r w:rsidRPr="00927059">
              <w:rPr>
                <w:rFonts w:cs="Arial"/>
              </w:rPr>
              <w:t>5</w:t>
            </w:r>
          </w:p>
        </w:tc>
        <w:tc>
          <w:tcPr>
            <w:tcW w:w="1960" w:type="pct"/>
            <w:shd w:val="clear" w:color="auto" w:fill="F2F2F2" w:themeFill="background1" w:themeFillShade="F2"/>
          </w:tcPr>
          <w:p w14:paraId="498BA247" w14:textId="28A1D604" w:rsidR="006B0BFE" w:rsidRPr="00927059" w:rsidRDefault="006B0BFE" w:rsidP="006B0BFE">
            <w:pPr>
              <w:pStyle w:val="TableNText"/>
              <w:rPr>
                <w:rFonts w:cs="Arial"/>
              </w:rPr>
            </w:pPr>
            <w:r w:rsidRPr="00927059">
              <w:rPr>
                <w:rFonts w:cs="Arial"/>
              </w:rPr>
              <w:t xml:space="preserve">Include information on discussing risk factors for stillbirth with women in the national Clinical practice guidelines: Pregnancy care and ensure </w:t>
            </w:r>
            <w:r w:rsidRPr="00927059">
              <w:rPr>
                <w:rFonts w:cs="Arial"/>
              </w:rPr>
              <w:lastRenderedPageBreak/>
              <w:t>consistency between the Guidelines and the Safer Baby Bundle</w:t>
            </w:r>
          </w:p>
        </w:tc>
        <w:tc>
          <w:tcPr>
            <w:tcW w:w="1002" w:type="pct"/>
            <w:shd w:val="clear" w:color="auto" w:fill="F2F2F2" w:themeFill="background1" w:themeFillShade="F2"/>
          </w:tcPr>
          <w:p w14:paraId="3A373FE1" w14:textId="3410119A" w:rsidR="006B0BFE" w:rsidRPr="00927059" w:rsidRDefault="00460469" w:rsidP="006B0BFE">
            <w:pPr>
              <w:pStyle w:val="TableNText"/>
              <w:rPr>
                <w:rFonts w:cs="Arial"/>
              </w:rPr>
            </w:pPr>
            <w:r>
              <w:rPr>
                <w:rFonts w:cs="Arial"/>
              </w:rPr>
              <w:lastRenderedPageBreak/>
              <w:t>Australian</w:t>
            </w:r>
            <w:r w:rsidR="006B0BFE" w:rsidRPr="00927059">
              <w:rPr>
                <w:rFonts w:cs="Arial"/>
              </w:rPr>
              <w:t xml:space="preserve"> Government</w:t>
            </w:r>
          </w:p>
        </w:tc>
        <w:tc>
          <w:tcPr>
            <w:tcW w:w="1003" w:type="pct"/>
            <w:shd w:val="clear" w:color="auto" w:fill="F2F2F2" w:themeFill="background1" w:themeFillShade="F2"/>
          </w:tcPr>
          <w:p w14:paraId="220D5850" w14:textId="1AA49D83" w:rsidR="006B0BFE" w:rsidRPr="00927059" w:rsidRDefault="006B0BFE" w:rsidP="006B0BFE">
            <w:pPr>
              <w:pStyle w:val="TableNText"/>
              <w:rPr>
                <w:rFonts w:cs="Arial"/>
              </w:rPr>
            </w:pPr>
          </w:p>
        </w:tc>
        <w:tc>
          <w:tcPr>
            <w:tcW w:w="610" w:type="pct"/>
            <w:shd w:val="clear" w:color="auto" w:fill="F2F2F2" w:themeFill="background1" w:themeFillShade="F2"/>
          </w:tcPr>
          <w:p w14:paraId="7501A71D" w14:textId="77777777" w:rsidR="006B0BFE" w:rsidRPr="00927059" w:rsidRDefault="006B0BFE" w:rsidP="006B0BFE">
            <w:pPr>
              <w:pStyle w:val="TableNText"/>
              <w:rPr>
                <w:rFonts w:cs="Arial"/>
              </w:rPr>
            </w:pPr>
          </w:p>
        </w:tc>
      </w:tr>
      <w:tr w:rsidR="006B0BFE" w:rsidRPr="00927059" w14:paraId="4EC7EDCD" w14:textId="77777777" w:rsidTr="00345871">
        <w:tc>
          <w:tcPr>
            <w:tcW w:w="425" w:type="pct"/>
            <w:shd w:val="clear" w:color="auto" w:fill="E6E6E6"/>
          </w:tcPr>
          <w:p w14:paraId="0B520419" w14:textId="563DBD37" w:rsidR="006B0BFE" w:rsidRPr="00927059" w:rsidRDefault="006B0BFE" w:rsidP="006B0BFE">
            <w:pPr>
              <w:pStyle w:val="TableNText"/>
              <w:rPr>
                <w:rFonts w:cs="Arial"/>
              </w:rPr>
            </w:pPr>
            <w:r w:rsidRPr="00927059">
              <w:rPr>
                <w:rFonts w:cs="Arial"/>
              </w:rPr>
              <w:t>8</w:t>
            </w:r>
          </w:p>
        </w:tc>
        <w:tc>
          <w:tcPr>
            <w:tcW w:w="1960" w:type="pct"/>
            <w:shd w:val="clear" w:color="auto" w:fill="F2F2F2" w:themeFill="background1" w:themeFillShade="F2"/>
          </w:tcPr>
          <w:p w14:paraId="6473E535" w14:textId="5F897D07" w:rsidR="006B0BFE" w:rsidRPr="00927059" w:rsidRDefault="006B0BFE" w:rsidP="006B0BFE">
            <w:pPr>
              <w:pStyle w:val="TableNText"/>
              <w:rPr>
                <w:rFonts w:cs="Arial"/>
              </w:rPr>
            </w:pPr>
            <w:r w:rsidRPr="00927059">
              <w:rPr>
                <w:rFonts w:cs="Arial"/>
              </w:rPr>
              <w:t>Increase access to continuity of care and/or carer models, including pathways to community care following bereavement, and ensure that community supports are culturally sensitive and inclusive of all types of parenting</w:t>
            </w:r>
          </w:p>
        </w:tc>
        <w:tc>
          <w:tcPr>
            <w:tcW w:w="1002" w:type="pct"/>
            <w:shd w:val="clear" w:color="auto" w:fill="F2F2F2" w:themeFill="background1" w:themeFillShade="F2"/>
          </w:tcPr>
          <w:p w14:paraId="151D77C4" w14:textId="413E27B8" w:rsidR="006B0BFE" w:rsidRPr="00927059" w:rsidRDefault="006B0BFE" w:rsidP="006B0BFE">
            <w:pPr>
              <w:pStyle w:val="TableNText"/>
              <w:rPr>
                <w:rFonts w:cs="Arial"/>
              </w:rPr>
            </w:pPr>
            <w:r w:rsidRPr="00927059">
              <w:rPr>
                <w:rFonts w:cs="Arial"/>
              </w:rPr>
              <w:t>State and territory governments</w:t>
            </w:r>
          </w:p>
        </w:tc>
        <w:tc>
          <w:tcPr>
            <w:tcW w:w="1003" w:type="pct"/>
            <w:shd w:val="clear" w:color="auto" w:fill="F2F2F2" w:themeFill="background1" w:themeFillShade="F2"/>
          </w:tcPr>
          <w:p w14:paraId="54C9B41E" w14:textId="4606E149" w:rsidR="006B0BFE" w:rsidRPr="00927059" w:rsidRDefault="006B0BFE" w:rsidP="006B0BFE">
            <w:pPr>
              <w:pStyle w:val="TableNText"/>
              <w:rPr>
                <w:rFonts w:cs="Arial"/>
              </w:rPr>
            </w:pPr>
          </w:p>
        </w:tc>
        <w:tc>
          <w:tcPr>
            <w:tcW w:w="610" w:type="pct"/>
            <w:shd w:val="clear" w:color="auto" w:fill="F2F2F2" w:themeFill="background1" w:themeFillShade="F2"/>
          </w:tcPr>
          <w:p w14:paraId="590FD0BE" w14:textId="77777777" w:rsidR="006B0BFE" w:rsidRPr="00927059" w:rsidRDefault="006B0BFE" w:rsidP="006B0BFE">
            <w:pPr>
              <w:pStyle w:val="TableNText"/>
              <w:rPr>
                <w:rFonts w:cs="Arial"/>
              </w:rPr>
            </w:pPr>
          </w:p>
        </w:tc>
      </w:tr>
      <w:tr w:rsidR="006B0BFE" w:rsidRPr="00927059" w14:paraId="02A6B506" w14:textId="77777777" w:rsidTr="00345871">
        <w:tc>
          <w:tcPr>
            <w:tcW w:w="425" w:type="pct"/>
            <w:shd w:val="clear" w:color="auto" w:fill="E6E6E6"/>
          </w:tcPr>
          <w:p w14:paraId="70525660" w14:textId="40176194" w:rsidR="006B0BFE" w:rsidRPr="00927059" w:rsidRDefault="006B0BFE" w:rsidP="006B0BFE">
            <w:pPr>
              <w:pStyle w:val="TableNText"/>
              <w:rPr>
                <w:rFonts w:cs="Arial"/>
              </w:rPr>
            </w:pPr>
            <w:r w:rsidRPr="00927059">
              <w:rPr>
                <w:rFonts w:cs="Arial"/>
              </w:rPr>
              <w:t>9</w:t>
            </w:r>
          </w:p>
        </w:tc>
        <w:tc>
          <w:tcPr>
            <w:tcW w:w="1960" w:type="pct"/>
            <w:shd w:val="clear" w:color="auto" w:fill="F2F2F2" w:themeFill="background1" w:themeFillShade="F2"/>
          </w:tcPr>
          <w:p w14:paraId="21C89B4F" w14:textId="72D2A9A0" w:rsidR="006B0BFE" w:rsidRPr="00927059" w:rsidRDefault="006B0BFE" w:rsidP="006B0BFE">
            <w:pPr>
              <w:pStyle w:val="TableNText"/>
              <w:rPr>
                <w:rFonts w:cs="Arial"/>
              </w:rPr>
            </w:pPr>
            <w:r w:rsidRPr="00927059">
              <w:rPr>
                <w:rFonts w:cs="Arial"/>
              </w:rPr>
              <w:t>Improve access to specialised pregnancy care services for women who have previously experienced stillbirth, including in rural and remote areas</w:t>
            </w:r>
          </w:p>
        </w:tc>
        <w:tc>
          <w:tcPr>
            <w:tcW w:w="1002" w:type="pct"/>
            <w:shd w:val="clear" w:color="auto" w:fill="F2F2F2" w:themeFill="background1" w:themeFillShade="F2"/>
          </w:tcPr>
          <w:p w14:paraId="1E4975AE" w14:textId="08869DFB" w:rsidR="006B0BFE" w:rsidRPr="00927059" w:rsidRDefault="006B0BFE" w:rsidP="006B0BFE">
            <w:pPr>
              <w:pStyle w:val="TableNText"/>
              <w:rPr>
                <w:rFonts w:cs="Arial"/>
              </w:rPr>
            </w:pPr>
            <w:r w:rsidRPr="00927059">
              <w:rPr>
                <w:rFonts w:cs="Arial"/>
              </w:rPr>
              <w:t>State and territory governments</w:t>
            </w:r>
          </w:p>
        </w:tc>
        <w:tc>
          <w:tcPr>
            <w:tcW w:w="1003" w:type="pct"/>
            <w:shd w:val="clear" w:color="auto" w:fill="F2F2F2" w:themeFill="background1" w:themeFillShade="F2"/>
          </w:tcPr>
          <w:p w14:paraId="620AAFBC" w14:textId="10FD9560" w:rsidR="006B0BFE" w:rsidRPr="00927059" w:rsidRDefault="006B0BFE" w:rsidP="006B0BFE">
            <w:pPr>
              <w:pStyle w:val="TableNText"/>
              <w:rPr>
                <w:rFonts w:cs="Arial"/>
              </w:rPr>
            </w:pPr>
          </w:p>
        </w:tc>
        <w:tc>
          <w:tcPr>
            <w:tcW w:w="610" w:type="pct"/>
            <w:shd w:val="clear" w:color="auto" w:fill="F2F2F2" w:themeFill="background1" w:themeFillShade="F2"/>
          </w:tcPr>
          <w:p w14:paraId="4F04B529" w14:textId="77777777" w:rsidR="006B0BFE" w:rsidRPr="00927059" w:rsidRDefault="006B0BFE" w:rsidP="006B0BFE">
            <w:pPr>
              <w:pStyle w:val="TableNText"/>
              <w:rPr>
                <w:rFonts w:cs="Arial"/>
              </w:rPr>
            </w:pPr>
          </w:p>
        </w:tc>
      </w:tr>
      <w:tr w:rsidR="006B0BFE" w:rsidRPr="00927059" w14:paraId="6634E4E7" w14:textId="77777777" w:rsidTr="00345871">
        <w:tc>
          <w:tcPr>
            <w:tcW w:w="425" w:type="pct"/>
            <w:shd w:val="clear" w:color="auto" w:fill="E6E6E6"/>
          </w:tcPr>
          <w:p w14:paraId="0A7D59C5" w14:textId="742E929C" w:rsidR="006B0BFE" w:rsidRPr="00927059" w:rsidRDefault="006B0BFE" w:rsidP="006B0BFE">
            <w:pPr>
              <w:pStyle w:val="TableNText"/>
              <w:rPr>
                <w:rFonts w:cs="Arial"/>
              </w:rPr>
            </w:pPr>
            <w:r w:rsidRPr="00927059">
              <w:rPr>
                <w:rFonts w:cs="Arial"/>
              </w:rPr>
              <w:t>11</w:t>
            </w:r>
          </w:p>
        </w:tc>
        <w:tc>
          <w:tcPr>
            <w:tcW w:w="1960" w:type="pct"/>
            <w:shd w:val="clear" w:color="auto" w:fill="F2F2F2" w:themeFill="background1" w:themeFillShade="F2"/>
          </w:tcPr>
          <w:p w14:paraId="05E99A1C" w14:textId="18E0E914" w:rsidR="006B0BFE" w:rsidRPr="00927059" w:rsidRDefault="006B0BFE" w:rsidP="006B0BFE">
            <w:pPr>
              <w:pStyle w:val="TableNText"/>
              <w:rPr>
                <w:rFonts w:cs="Arial"/>
              </w:rPr>
            </w:pPr>
            <w:r w:rsidRPr="00927059">
              <w:rPr>
                <w:rFonts w:cs="Arial"/>
              </w:rPr>
              <w:t>Develop and implement a standardised approach to data collection on causes and contributing factors for perinatal deaths, across maternity services linked to perinatal mortality review committees to ensure timely review and reporting of stillbirth deaths</w:t>
            </w:r>
          </w:p>
        </w:tc>
        <w:tc>
          <w:tcPr>
            <w:tcW w:w="1002" w:type="pct"/>
            <w:shd w:val="clear" w:color="auto" w:fill="F2F2F2" w:themeFill="background1" w:themeFillShade="F2"/>
          </w:tcPr>
          <w:p w14:paraId="7DCE3F84" w14:textId="353D88F9" w:rsidR="006B0BFE" w:rsidRPr="00927059" w:rsidRDefault="00460469" w:rsidP="006B0BFE">
            <w:pPr>
              <w:pStyle w:val="TableNText"/>
              <w:rPr>
                <w:rFonts w:cs="Arial"/>
              </w:rPr>
            </w:pPr>
            <w:r>
              <w:rPr>
                <w:rFonts w:cs="Arial"/>
              </w:rPr>
              <w:t>Australian</w:t>
            </w:r>
            <w:r w:rsidR="006B0BFE" w:rsidRPr="00927059">
              <w:rPr>
                <w:rFonts w:cs="Arial"/>
              </w:rPr>
              <w:t xml:space="preserve"> Government</w:t>
            </w:r>
          </w:p>
        </w:tc>
        <w:tc>
          <w:tcPr>
            <w:tcW w:w="1003" w:type="pct"/>
            <w:shd w:val="clear" w:color="auto" w:fill="F2F2F2" w:themeFill="background1" w:themeFillShade="F2"/>
          </w:tcPr>
          <w:p w14:paraId="7390CAE8" w14:textId="6B582DE8" w:rsidR="006B0BFE" w:rsidRPr="00927059" w:rsidRDefault="006B0BFE" w:rsidP="006B0BFE">
            <w:pPr>
              <w:pStyle w:val="TableNText"/>
              <w:rPr>
                <w:rFonts w:cs="Arial"/>
              </w:rPr>
            </w:pPr>
          </w:p>
        </w:tc>
        <w:tc>
          <w:tcPr>
            <w:tcW w:w="610" w:type="pct"/>
            <w:shd w:val="clear" w:color="auto" w:fill="F2F2F2" w:themeFill="background1" w:themeFillShade="F2"/>
          </w:tcPr>
          <w:p w14:paraId="14C50A9D" w14:textId="77777777" w:rsidR="006B0BFE" w:rsidRPr="00927059" w:rsidRDefault="006B0BFE" w:rsidP="006B0BFE">
            <w:pPr>
              <w:pStyle w:val="TableNText"/>
              <w:rPr>
                <w:rFonts w:cs="Arial"/>
              </w:rPr>
            </w:pPr>
          </w:p>
        </w:tc>
      </w:tr>
      <w:tr w:rsidR="006B0BFE" w:rsidRPr="00927059" w14:paraId="6376489A" w14:textId="77777777" w:rsidTr="00345871">
        <w:tc>
          <w:tcPr>
            <w:tcW w:w="425" w:type="pct"/>
            <w:shd w:val="clear" w:color="auto" w:fill="E6E6E6"/>
          </w:tcPr>
          <w:p w14:paraId="53E8717F" w14:textId="2AA486D8" w:rsidR="006B0BFE" w:rsidRPr="00927059" w:rsidRDefault="006B0BFE" w:rsidP="006B0BFE">
            <w:pPr>
              <w:pStyle w:val="TableNText"/>
              <w:rPr>
                <w:rFonts w:cs="Arial"/>
              </w:rPr>
            </w:pPr>
            <w:r w:rsidRPr="00927059">
              <w:rPr>
                <w:rFonts w:cs="Arial"/>
              </w:rPr>
              <w:t>11</w:t>
            </w:r>
          </w:p>
        </w:tc>
        <w:tc>
          <w:tcPr>
            <w:tcW w:w="1960" w:type="pct"/>
            <w:shd w:val="clear" w:color="auto" w:fill="F2F2F2" w:themeFill="background1" w:themeFillShade="F2"/>
          </w:tcPr>
          <w:p w14:paraId="175708D4" w14:textId="2BC8FC30" w:rsidR="006B0BFE" w:rsidRPr="00927059" w:rsidRDefault="006B0BFE" w:rsidP="006B0BFE">
            <w:pPr>
              <w:pStyle w:val="TableNText"/>
              <w:rPr>
                <w:rFonts w:cs="Arial"/>
              </w:rPr>
            </w:pPr>
            <w:r w:rsidRPr="00927059">
              <w:rPr>
                <w:rFonts w:cs="Arial"/>
              </w:rPr>
              <w:t>Expand training that supports the uptake of the Clinical practice guideline for care around stillbirth and neonatal death</w:t>
            </w:r>
          </w:p>
        </w:tc>
        <w:tc>
          <w:tcPr>
            <w:tcW w:w="1002" w:type="pct"/>
            <w:shd w:val="clear" w:color="auto" w:fill="F2F2F2" w:themeFill="background1" w:themeFillShade="F2"/>
          </w:tcPr>
          <w:p w14:paraId="3133307A" w14:textId="2B299718" w:rsidR="006B0BFE" w:rsidRPr="00927059" w:rsidRDefault="006B0BFE" w:rsidP="006B0BFE">
            <w:pPr>
              <w:pStyle w:val="TableNText"/>
              <w:rPr>
                <w:rFonts w:cs="Arial"/>
              </w:rPr>
            </w:pPr>
            <w:r w:rsidRPr="00927059">
              <w:rPr>
                <w:rFonts w:cs="Arial"/>
              </w:rPr>
              <w:t>PSANZ/Stillbirth CRE</w:t>
            </w:r>
          </w:p>
        </w:tc>
        <w:tc>
          <w:tcPr>
            <w:tcW w:w="1003" w:type="pct"/>
            <w:shd w:val="clear" w:color="auto" w:fill="F2F2F2" w:themeFill="background1" w:themeFillShade="F2"/>
          </w:tcPr>
          <w:p w14:paraId="22EF7572" w14:textId="30E619AA" w:rsidR="006B0BFE" w:rsidRPr="00927059" w:rsidRDefault="006B0BFE" w:rsidP="006B0BFE">
            <w:pPr>
              <w:pStyle w:val="TableNText"/>
              <w:rPr>
                <w:rFonts w:cs="Arial"/>
              </w:rPr>
            </w:pPr>
          </w:p>
        </w:tc>
        <w:tc>
          <w:tcPr>
            <w:tcW w:w="610" w:type="pct"/>
            <w:shd w:val="clear" w:color="auto" w:fill="F2F2F2" w:themeFill="background1" w:themeFillShade="F2"/>
          </w:tcPr>
          <w:p w14:paraId="57794C70" w14:textId="77777777" w:rsidR="006B0BFE" w:rsidRPr="00927059" w:rsidRDefault="006B0BFE" w:rsidP="006B0BFE">
            <w:pPr>
              <w:pStyle w:val="TableNText"/>
              <w:rPr>
                <w:rFonts w:cs="Arial"/>
              </w:rPr>
            </w:pPr>
          </w:p>
        </w:tc>
      </w:tr>
      <w:tr w:rsidR="006B0BFE" w:rsidRPr="00927059" w14:paraId="7CFA9E87" w14:textId="77777777" w:rsidTr="00345871">
        <w:tc>
          <w:tcPr>
            <w:tcW w:w="425" w:type="pct"/>
            <w:shd w:val="clear" w:color="auto" w:fill="E6E6E6"/>
          </w:tcPr>
          <w:p w14:paraId="0B83A6C1" w14:textId="5D26C6AA" w:rsidR="006B0BFE" w:rsidRPr="00927059" w:rsidRDefault="006B0BFE" w:rsidP="006B0BFE">
            <w:pPr>
              <w:pStyle w:val="TableNText"/>
              <w:rPr>
                <w:rFonts w:cs="Arial"/>
              </w:rPr>
            </w:pPr>
            <w:r w:rsidRPr="00927059">
              <w:rPr>
                <w:rFonts w:cs="Arial"/>
              </w:rPr>
              <w:t>11</w:t>
            </w:r>
          </w:p>
        </w:tc>
        <w:tc>
          <w:tcPr>
            <w:tcW w:w="1960" w:type="pct"/>
            <w:shd w:val="clear" w:color="auto" w:fill="F2F2F2" w:themeFill="background1" w:themeFillShade="F2"/>
          </w:tcPr>
          <w:p w14:paraId="54A0F18F" w14:textId="23CAE344" w:rsidR="006B0BFE" w:rsidRPr="00927059" w:rsidRDefault="006B0BFE" w:rsidP="006B0BFE">
            <w:pPr>
              <w:pStyle w:val="TableNText"/>
              <w:rPr>
                <w:rFonts w:cs="Arial"/>
              </w:rPr>
            </w:pPr>
            <w:r w:rsidRPr="00927059">
              <w:rPr>
                <w:rFonts w:cs="Arial"/>
              </w:rPr>
              <w:t>Identify strategies to increase the number of perinatal pathologists and radiologists available to undertake stillbirth investigations in Australia, in in areas of need (</w:t>
            </w:r>
            <w:r w:rsidR="00F25AB4">
              <w:rPr>
                <w:rFonts w:cs="Arial"/>
              </w:rPr>
              <w:t>e.g.</w:t>
            </w:r>
            <w:r w:rsidRPr="00927059">
              <w:rPr>
                <w:rFonts w:cs="Arial"/>
              </w:rPr>
              <w:t>, in rural areas)</w:t>
            </w:r>
          </w:p>
        </w:tc>
        <w:tc>
          <w:tcPr>
            <w:tcW w:w="1002" w:type="pct"/>
            <w:shd w:val="clear" w:color="auto" w:fill="F2F2F2" w:themeFill="background1" w:themeFillShade="F2"/>
          </w:tcPr>
          <w:p w14:paraId="35B5B9E7" w14:textId="415C72B4" w:rsidR="006B0BFE" w:rsidRPr="00927059" w:rsidRDefault="00460469" w:rsidP="006B0BFE">
            <w:pPr>
              <w:pStyle w:val="TableNText"/>
              <w:rPr>
                <w:rFonts w:cs="Arial"/>
              </w:rPr>
            </w:pPr>
            <w:r>
              <w:rPr>
                <w:rFonts w:cs="Arial"/>
              </w:rPr>
              <w:t>Australian</w:t>
            </w:r>
            <w:r w:rsidR="006B0BFE" w:rsidRPr="00927059">
              <w:rPr>
                <w:rFonts w:cs="Arial"/>
              </w:rPr>
              <w:t xml:space="preserve"> Government</w:t>
            </w:r>
          </w:p>
        </w:tc>
        <w:tc>
          <w:tcPr>
            <w:tcW w:w="1003" w:type="pct"/>
            <w:shd w:val="clear" w:color="auto" w:fill="F2F2F2" w:themeFill="background1" w:themeFillShade="F2"/>
          </w:tcPr>
          <w:p w14:paraId="22D47FA4" w14:textId="06735651" w:rsidR="006B0BFE" w:rsidRPr="00927059" w:rsidRDefault="006B0BFE" w:rsidP="006B0BFE">
            <w:pPr>
              <w:pStyle w:val="TableNText"/>
              <w:rPr>
                <w:rFonts w:cs="Arial"/>
              </w:rPr>
            </w:pPr>
          </w:p>
        </w:tc>
        <w:tc>
          <w:tcPr>
            <w:tcW w:w="610" w:type="pct"/>
            <w:shd w:val="clear" w:color="auto" w:fill="F2F2F2" w:themeFill="background1" w:themeFillShade="F2"/>
          </w:tcPr>
          <w:p w14:paraId="4D31724C" w14:textId="77777777" w:rsidR="006B0BFE" w:rsidRPr="00927059" w:rsidRDefault="006B0BFE" w:rsidP="006B0BFE">
            <w:pPr>
              <w:pStyle w:val="TableNText"/>
              <w:rPr>
                <w:rFonts w:cs="Arial"/>
              </w:rPr>
            </w:pPr>
          </w:p>
        </w:tc>
      </w:tr>
      <w:tr w:rsidR="006B0BFE" w:rsidRPr="00927059" w14:paraId="2C7D51D6" w14:textId="77777777" w:rsidTr="00345871">
        <w:tc>
          <w:tcPr>
            <w:tcW w:w="425" w:type="pct"/>
            <w:shd w:val="clear" w:color="auto" w:fill="E6E6E6"/>
          </w:tcPr>
          <w:p w14:paraId="57A50B1E" w14:textId="448966D0" w:rsidR="006B0BFE" w:rsidRPr="00927059" w:rsidRDefault="006B0BFE" w:rsidP="006B0BFE">
            <w:pPr>
              <w:pStyle w:val="TableNText"/>
              <w:rPr>
                <w:rFonts w:cs="Arial"/>
              </w:rPr>
            </w:pPr>
            <w:r w:rsidRPr="00927059">
              <w:rPr>
                <w:rFonts w:cs="Arial"/>
              </w:rPr>
              <w:t>11</w:t>
            </w:r>
          </w:p>
        </w:tc>
        <w:tc>
          <w:tcPr>
            <w:tcW w:w="1960" w:type="pct"/>
            <w:shd w:val="clear" w:color="auto" w:fill="F2F2F2" w:themeFill="background1" w:themeFillShade="F2"/>
          </w:tcPr>
          <w:p w14:paraId="71A85231" w14:textId="1F9D7A19" w:rsidR="006B0BFE" w:rsidRPr="00927059" w:rsidRDefault="006B0BFE" w:rsidP="006B0BFE">
            <w:pPr>
              <w:pStyle w:val="TableNText"/>
              <w:rPr>
                <w:rFonts w:cs="Arial"/>
              </w:rPr>
            </w:pPr>
            <w:r w:rsidRPr="00927059">
              <w:rPr>
                <w:rFonts w:cs="Arial"/>
              </w:rPr>
              <w:t xml:space="preserve">In partnership with bereaved parents, </w:t>
            </w:r>
            <w:proofErr w:type="gramStart"/>
            <w:r w:rsidRPr="00927059">
              <w:rPr>
                <w:rFonts w:cs="Arial"/>
              </w:rPr>
              <w:t>clinicians</w:t>
            </w:r>
            <w:proofErr w:type="gramEnd"/>
            <w:r w:rsidRPr="00927059">
              <w:rPr>
                <w:rFonts w:cs="Arial"/>
              </w:rPr>
              <w:t xml:space="preserve"> and policy makers, identify strategies to increase uptake of stillbirth investigations</w:t>
            </w:r>
          </w:p>
        </w:tc>
        <w:tc>
          <w:tcPr>
            <w:tcW w:w="1002" w:type="pct"/>
            <w:shd w:val="clear" w:color="auto" w:fill="F2F2F2" w:themeFill="background1" w:themeFillShade="F2"/>
          </w:tcPr>
          <w:p w14:paraId="5F343B9C" w14:textId="03BE19AB" w:rsidR="006B0BFE" w:rsidRPr="00927059" w:rsidRDefault="00460469" w:rsidP="006B0BFE">
            <w:pPr>
              <w:pStyle w:val="TableNText"/>
              <w:rPr>
                <w:rFonts w:cs="Arial"/>
              </w:rPr>
            </w:pPr>
            <w:r>
              <w:rPr>
                <w:rFonts w:cs="Arial"/>
              </w:rPr>
              <w:t>Australian</w:t>
            </w:r>
            <w:r w:rsidR="006B0BFE" w:rsidRPr="00927059">
              <w:rPr>
                <w:rFonts w:cs="Arial"/>
              </w:rPr>
              <w:t xml:space="preserve"> Government</w:t>
            </w:r>
          </w:p>
        </w:tc>
        <w:tc>
          <w:tcPr>
            <w:tcW w:w="1003" w:type="pct"/>
            <w:shd w:val="clear" w:color="auto" w:fill="F2F2F2" w:themeFill="background1" w:themeFillShade="F2"/>
          </w:tcPr>
          <w:p w14:paraId="25E2D5BC" w14:textId="11C326D0" w:rsidR="006B0BFE" w:rsidRPr="00927059" w:rsidRDefault="006B0BFE" w:rsidP="006B0BFE">
            <w:pPr>
              <w:pStyle w:val="TableNText"/>
              <w:rPr>
                <w:rFonts w:cs="Arial"/>
              </w:rPr>
            </w:pPr>
          </w:p>
        </w:tc>
        <w:tc>
          <w:tcPr>
            <w:tcW w:w="610" w:type="pct"/>
            <w:shd w:val="clear" w:color="auto" w:fill="F2F2F2" w:themeFill="background1" w:themeFillShade="F2"/>
          </w:tcPr>
          <w:p w14:paraId="0A2E4798" w14:textId="77777777" w:rsidR="006B0BFE" w:rsidRPr="00927059" w:rsidRDefault="006B0BFE" w:rsidP="006B0BFE">
            <w:pPr>
              <w:pStyle w:val="TableNText"/>
              <w:rPr>
                <w:rFonts w:cs="Arial"/>
              </w:rPr>
            </w:pPr>
          </w:p>
        </w:tc>
      </w:tr>
      <w:tr w:rsidR="006B0BFE" w:rsidRPr="00927059" w14:paraId="32850FA2" w14:textId="77777777" w:rsidTr="00345871">
        <w:tc>
          <w:tcPr>
            <w:tcW w:w="425" w:type="pct"/>
            <w:shd w:val="clear" w:color="auto" w:fill="E6E6E6"/>
          </w:tcPr>
          <w:p w14:paraId="40BD87F3" w14:textId="0F51FD1C" w:rsidR="006B0BFE" w:rsidRPr="00927059" w:rsidRDefault="006B0BFE" w:rsidP="006B0BFE">
            <w:pPr>
              <w:pStyle w:val="TableNText"/>
              <w:rPr>
                <w:rFonts w:cs="Arial"/>
              </w:rPr>
            </w:pPr>
            <w:r w:rsidRPr="00927059">
              <w:rPr>
                <w:rFonts w:cs="Arial"/>
              </w:rPr>
              <w:t>11</w:t>
            </w:r>
          </w:p>
        </w:tc>
        <w:tc>
          <w:tcPr>
            <w:tcW w:w="1960" w:type="pct"/>
            <w:shd w:val="clear" w:color="auto" w:fill="F2F2F2" w:themeFill="background1" w:themeFillShade="F2"/>
          </w:tcPr>
          <w:p w14:paraId="42153D22" w14:textId="65BD7CF4" w:rsidR="006B0BFE" w:rsidRPr="00927059" w:rsidRDefault="006B0BFE" w:rsidP="006B0BFE">
            <w:pPr>
              <w:pStyle w:val="TableNText"/>
              <w:rPr>
                <w:rFonts w:cs="Arial"/>
              </w:rPr>
            </w:pPr>
            <w:r w:rsidRPr="00927059">
              <w:rPr>
                <w:rFonts w:cs="Arial"/>
              </w:rPr>
              <w:t xml:space="preserve">Partner with bereaved parents to develop resources for parents and </w:t>
            </w:r>
            <w:r w:rsidRPr="00927059">
              <w:rPr>
                <w:rFonts w:cs="Arial"/>
              </w:rPr>
              <w:lastRenderedPageBreak/>
              <w:t>families to support decision-making about stillbirth investigations</w:t>
            </w:r>
          </w:p>
        </w:tc>
        <w:tc>
          <w:tcPr>
            <w:tcW w:w="1002" w:type="pct"/>
            <w:shd w:val="clear" w:color="auto" w:fill="F2F2F2" w:themeFill="background1" w:themeFillShade="F2"/>
          </w:tcPr>
          <w:p w14:paraId="0F1700EA" w14:textId="1649BC14" w:rsidR="006B0BFE" w:rsidRPr="00927059" w:rsidRDefault="00460469" w:rsidP="006B0BFE">
            <w:pPr>
              <w:pStyle w:val="TableNText"/>
              <w:rPr>
                <w:rFonts w:cs="Arial"/>
              </w:rPr>
            </w:pPr>
            <w:r>
              <w:rPr>
                <w:rFonts w:cs="Arial"/>
              </w:rPr>
              <w:lastRenderedPageBreak/>
              <w:t>Australian</w:t>
            </w:r>
            <w:r w:rsidR="006B0BFE" w:rsidRPr="00927059">
              <w:rPr>
                <w:rFonts w:cs="Arial"/>
              </w:rPr>
              <w:t xml:space="preserve"> Government in </w:t>
            </w:r>
            <w:r w:rsidR="006B0BFE" w:rsidRPr="00927059">
              <w:rPr>
                <w:rFonts w:cs="Arial"/>
              </w:rPr>
              <w:lastRenderedPageBreak/>
              <w:t>partnership with NGOs</w:t>
            </w:r>
          </w:p>
        </w:tc>
        <w:tc>
          <w:tcPr>
            <w:tcW w:w="1003" w:type="pct"/>
            <w:shd w:val="clear" w:color="auto" w:fill="F2F2F2" w:themeFill="background1" w:themeFillShade="F2"/>
          </w:tcPr>
          <w:p w14:paraId="2F578BAC" w14:textId="06B4B4AF" w:rsidR="006B0BFE" w:rsidRPr="00927059" w:rsidRDefault="006B0BFE" w:rsidP="006B0BFE">
            <w:pPr>
              <w:pStyle w:val="TableNText"/>
              <w:rPr>
                <w:rFonts w:cs="Arial"/>
              </w:rPr>
            </w:pPr>
          </w:p>
        </w:tc>
        <w:tc>
          <w:tcPr>
            <w:tcW w:w="610" w:type="pct"/>
            <w:shd w:val="clear" w:color="auto" w:fill="F2F2F2" w:themeFill="background1" w:themeFillShade="F2"/>
          </w:tcPr>
          <w:p w14:paraId="4C960686" w14:textId="77777777" w:rsidR="006B0BFE" w:rsidRPr="00927059" w:rsidRDefault="006B0BFE" w:rsidP="006B0BFE">
            <w:pPr>
              <w:pStyle w:val="TableNText"/>
              <w:rPr>
                <w:rFonts w:cs="Arial"/>
              </w:rPr>
            </w:pPr>
          </w:p>
        </w:tc>
      </w:tr>
      <w:tr w:rsidR="006B0BFE" w:rsidRPr="00927059" w14:paraId="4E9C7C4D" w14:textId="77777777" w:rsidTr="00377058">
        <w:tc>
          <w:tcPr>
            <w:tcW w:w="425" w:type="pct"/>
            <w:shd w:val="clear" w:color="auto" w:fill="3F4A75"/>
          </w:tcPr>
          <w:p w14:paraId="0C81E059" w14:textId="77777777" w:rsidR="006B0BFE" w:rsidRPr="00927059" w:rsidRDefault="006B0BFE" w:rsidP="006B0BFE">
            <w:pPr>
              <w:pStyle w:val="TableNheader"/>
              <w:rPr>
                <w:rFonts w:cs="Arial"/>
              </w:rPr>
            </w:pPr>
          </w:p>
        </w:tc>
        <w:tc>
          <w:tcPr>
            <w:tcW w:w="4575" w:type="pct"/>
            <w:gridSpan w:val="4"/>
            <w:shd w:val="clear" w:color="auto" w:fill="3F4A75"/>
          </w:tcPr>
          <w:p w14:paraId="2AD52941" w14:textId="2EB4CBA4" w:rsidR="006B0BFE" w:rsidRPr="00927059" w:rsidRDefault="006B0BFE" w:rsidP="006B0BFE">
            <w:pPr>
              <w:pStyle w:val="TableNheader"/>
              <w:rPr>
                <w:rFonts w:cs="Arial"/>
              </w:rPr>
            </w:pPr>
            <w:r w:rsidRPr="00927059">
              <w:rPr>
                <w:rFonts w:cs="Arial"/>
              </w:rPr>
              <w:t>INTENDED TO BE IMPLEMENTED BETWEEN 2027 to 2030 (LONG TERM)</w:t>
            </w:r>
          </w:p>
        </w:tc>
      </w:tr>
      <w:tr w:rsidR="006B0BFE" w:rsidRPr="00927059" w14:paraId="5244D04C" w14:textId="77777777" w:rsidTr="00345871">
        <w:tc>
          <w:tcPr>
            <w:tcW w:w="425" w:type="pct"/>
            <w:shd w:val="clear" w:color="auto" w:fill="E6E6E6"/>
          </w:tcPr>
          <w:p w14:paraId="54858A94" w14:textId="3C1D4283" w:rsidR="006B0BFE" w:rsidRPr="00927059" w:rsidRDefault="006B0BFE" w:rsidP="006B0BFE">
            <w:pPr>
              <w:pStyle w:val="TableNText"/>
              <w:rPr>
                <w:rFonts w:cs="Arial"/>
              </w:rPr>
            </w:pPr>
            <w:r w:rsidRPr="00927059">
              <w:rPr>
                <w:rFonts w:cs="Arial"/>
              </w:rPr>
              <w:t>7</w:t>
            </w:r>
          </w:p>
        </w:tc>
        <w:tc>
          <w:tcPr>
            <w:tcW w:w="1960" w:type="pct"/>
            <w:shd w:val="clear" w:color="auto" w:fill="F2F2F2" w:themeFill="background1" w:themeFillShade="F2"/>
          </w:tcPr>
          <w:p w14:paraId="0FC956B9" w14:textId="6A532C00" w:rsidR="006B0BFE" w:rsidRPr="00927059" w:rsidRDefault="006B0BFE" w:rsidP="006B0BFE">
            <w:pPr>
              <w:pStyle w:val="TableNText"/>
              <w:rPr>
                <w:rFonts w:cs="Arial"/>
              </w:rPr>
            </w:pPr>
            <w:r w:rsidRPr="00927059">
              <w:rPr>
                <w:rFonts w:cs="Arial"/>
              </w:rPr>
              <w:t xml:space="preserve">Include education about stillbirth – including how to have potentially difficult and balanced conversations – in all training and orientation related to maternity care, including for midwives, nurses, obstetricians, general practitioners, the Aboriginal and Torres Strait Islander workforce, rural generalists, bilingual/bicultural health workers, </w:t>
            </w:r>
            <w:proofErr w:type="gramStart"/>
            <w:r w:rsidRPr="00927059">
              <w:rPr>
                <w:rFonts w:cs="Arial"/>
              </w:rPr>
              <w:t>sonographers</w:t>
            </w:r>
            <w:proofErr w:type="gramEnd"/>
            <w:r w:rsidRPr="00927059">
              <w:rPr>
                <w:rFonts w:cs="Arial"/>
              </w:rPr>
              <w:t xml:space="preserve"> and allied health professionals</w:t>
            </w:r>
          </w:p>
        </w:tc>
        <w:tc>
          <w:tcPr>
            <w:tcW w:w="1002" w:type="pct"/>
            <w:shd w:val="clear" w:color="auto" w:fill="F2F2F2" w:themeFill="background1" w:themeFillShade="F2"/>
          </w:tcPr>
          <w:p w14:paraId="10D12FA6" w14:textId="799A5DF1" w:rsidR="006B0BFE" w:rsidRPr="00927059" w:rsidRDefault="00460469" w:rsidP="006B0BFE">
            <w:pPr>
              <w:pStyle w:val="TableNText"/>
              <w:rPr>
                <w:rFonts w:cs="Arial"/>
              </w:rPr>
            </w:pPr>
            <w:r>
              <w:rPr>
                <w:rFonts w:cs="Arial"/>
              </w:rPr>
              <w:t>Australian</w:t>
            </w:r>
            <w:r w:rsidR="00970AB5">
              <w:rPr>
                <w:rFonts w:cs="Arial"/>
              </w:rPr>
              <w:t xml:space="preserve"> Government</w:t>
            </w:r>
            <w:r w:rsidR="006B0BFE" w:rsidRPr="00927059">
              <w:rPr>
                <w:rFonts w:cs="Arial"/>
              </w:rPr>
              <w:t xml:space="preserve"> and state and territory governments</w:t>
            </w:r>
          </w:p>
        </w:tc>
        <w:tc>
          <w:tcPr>
            <w:tcW w:w="1003" w:type="pct"/>
            <w:shd w:val="clear" w:color="auto" w:fill="F2F2F2" w:themeFill="background1" w:themeFillShade="F2"/>
          </w:tcPr>
          <w:p w14:paraId="2BF532CF" w14:textId="2FAD3447" w:rsidR="006B0BFE" w:rsidRPr="00927059" w:rsidRDefault="006B0BFE" w:rsidP="006B0BFE">
            <w:pPr>
              <w:pStyle w:val="TableNText"/>
              <w:rPr>
                <w:rFonts w:cs="Arial"/>
              </w:rPr>
            </w:pPr>
          </w:p>
        </w:tc>
        <w:tc>
          <w:tcPr>
            <w:tcW w:w="610" w:type="pct"/>
            <w:shd w:val="clear" w:color="auto" w:fill="F2F2F2" w:themeFill="background1" w:themeFillShade="F2"/>
          </w:tcPr>
          <w:p w14:paraId="78AAF9F9" w14:textId="77777777" w:rsidR="006B0BFE" w:rsidRPr="00927059" w:rsidRDefault="006B0BFE" w:rsidP="006B0BFE">
            <w:pPr>
              <w:pStyle w:val="TableNText"/>
              <w:rPr>
                <w:rFonts w:cs="Arial"/>
              </w:rPr>
            </w:pPr>
          </w:p>
        </w:tc>
      </w:tr>
      <w:tr w:rsidR="006B0BFE" w:rsidRPr="00927059" w14:paraId="20E556BD" w14:textId="77777777" w:rsidTr="00345871">
        <w:tc>
          <w:tcPr>
            <w:tcW w:w="425" w:type="pct"/>
            <w:shd w:val="clear" w:color="auto" w:fill="E6E6E6"/>
          </w:tcPr>
          <w:p w14:paraId="0F0E369E" w14:textId="7C54BE3C" w:rsidR="006B0BFE" w:rsidRPr="00927059" w:rsidRDefault="006B0BFE" w:rsidP="006B0BFE">
            <w:pPr>
              <w:pStyle w:val="TableNText"/>
              <w:rPr>
                <w:rFonts w:cs="Arial"/>
              </w:rPr>
            </w:pPr>
            <w:r w:rsidRPr="00927059">
              <w:rPr>
                <w:rFonts w:cs="Arial"/>
              </w:rPr>
              <w:t>13</w:t>
            </w:r>
          </w:p>
        </w:tc>
        <w:tc>
          <w:tcPr>
            <w:tcW w:w="1960" w:type="pct"/>
            <w:shd w:val="clear" w:color="auto" w:fill="F2F2F2" w:themeFill="background1" w:themeFillShade="F2"/>
          </w:tcPr>
          <w:p w14:paraId="2F51F4FC" w14:textId="6FD2044A" w:rsidR="006B0BFE" w:rsidRPr="00927059" w:rsidRDefault="006B0BFE" w:rsidP="006B0BFE">
            <w:pPr>
              <w:pStyle w:val="TableNText"/>
              <w:rPr>
                <w:rFonts w:cs="Arial"/>
              </w:rPr>
            </w:pPr>
            <w:r w:rsidRPr="00927059">
              <w:rPr>
                <w:rFonts w:cs="Arial"/>
              </w:rPr>
              <w:t>Establish a national placenta biobank as an enabler for research into stillbirth</w:t>
            </w:r>
          </w:p>
        </w:tc>
        <w:tc>
          <w:tcPr>
            <w:tcW w:w="1002" w:type="pct"/>
            <w:shd w:val="clear" w:color="auto" w:fill="F2F2F2" w:themeFill="background1" w:themeFillShade="F2"/>
          </w:tcPr>
          <w:p w14:paraId="1A718343" w14:textId="16CA12DD" w:rsidR="006B0BFE" w:rsidRPr="00927059" w:rsidRDefault="00460469" w:rsidP="006B0BFE">
            <w:pPr>
              <w:pStyle w:val="TableNText"/>
              <w:rPr>
                <w:rFonts w:cs="Arial"/>
              </w:rPr>
            </w:pPr>
            <w:r>
              <w:rPr>
                <w:rFonts w:cs="Arial"/>
              </w:rPr>
              <w:t>Australian</w:t>
            </w:r>
            <w:r w:rsidR="006B0BFE" w:rsidRPr="00927059">
              <w:rPr>
                <w:rFonts w:cs="Arial"/>
              </w:rPr>
              <w:t xml:space="preserve"> Government</w:t>
            </w:r>
          </w:p>
        </w:tc>
        <w:tc>
          <w:tcPr>
            <w:tcW w:w="1003" w:type="pct"/>
            <w:shd w:val="clear" w:color="auto" w:fill="F2F2F2" w:themeFill="background1" w:themeFillShade="F2"/>
          </w:tcPr>
          <w:p w14:paraId="3332712F" w14:textId="22BB66A8" w:rsidR="006B0BFE" w:rsidRPr="00927059" w:rsidRDefault="006B0BFE" w:rsidP="006B0BFE">
            <w:pPr>
              <w:pStyle w:val="TableNText"/>
              <w:rPr>
                <w:rFonts w:cs="Arial"/>
              </w:rPr>
            </w:pPr>
          </w:p>
        </w:tc>
        <w:tc>
          <w:tcPr>
            <w:tcW w:w="610" w:type="pct"/>
            <w:shd w:val="clear" w:color="auto" w:fill="F2F2F2" w:themeFill="background1" w:themeFillShade="F2"/>
          </w:tcPr>
          <w:p w14:paraId="312CDB49" w14:textId="77777777" w:rsidR="006B0BFE" w:rsidRPr="00927059" w:rsidRDefault="006B0BFE" w:rsidP="006B0BFE">
            <w:pPr>
              <w:pStyle w:val="TableNText"/>
              <w:rPr>
                <w:rFonts w:cs="Arial"/>
              </w:rPr>
            </w:pPr>
          </w:p>
        </w:tc>
      </w:tr>
      <w:tr w:rsidR="006B0BFE" w:rsidRPr="00927059" w14:paraId="72288D10" w14:textId="77777777" w:rsidTr="00345871">
        <w:tc>
          <w:tcPr>
            <w:tcW w:w="425" w:type="pct"/>
            <w:shd w:val="clear" w:color="auto" w:fill="E6E6E6"/>
          </w:tcPr>
          <w:p w14:paraId="23C93CD3" w14:textId="239F0794" w:rsidR="006B0BFE" w:rsidRPr="00927059" w:rsidRDefault="006B0BFE" w:rsidP="006B0BFE">
            <w:pPr>
              <w:pStyle w:val="TableNText"/>
              <w:rPr>
                <w:rFonts w:cs="Arial"/>
              </w:rPr>
            </w:pPr>
            <w:r w:rsidRPr="00927059">
              <w:rPr>
                <w:rFonts w:cs="Arial"/>
              </w:rPr>
              <w:t>13</w:t>
            </w:r>
          </w:p>
        </w:tc>
        <w:tc>
          <w:tcPr>
            <w:tcW w:w="1960" w:type="pct"/>
            <w:shd w:val="clear" w:color="auto" w:fill="F2F2F2" w:themeFill="background1" w:themeFillShade="F2"/>
          </w:tcPr>
          <w:p w14:paraId="7A2F41CA" w14:textId="04626779" w:rsidR="006B0BFE" w:rsidRPr="00927059" w:rsidRDefault="006B0BFE" w:rsidP="006B0BFE">
            <w:pPr>
              <w:pStyle w:val="TableNText"/>
              <w:rPr>
                <w:rFonts w:cs="Arial"/>
              </w:rPr>
            </w:pPr>
            <w:r w:rsidRPr="00927059">
              <w:rPr>
                <w:rFonts w:cs="Arial"/>
              </w:rPr>
              <w:t>Develop and implement a risk stratification tool to inform clinical care for women with risk factors for stillbirth</w:t>
            </w:r>
          </w:p>
        </w:tc>
        <w:tc>
          <w:tcPr>
            <w:tcW w:w="1002" w:type="pct"/>
            <w:shd w:val="clear" w:color="auto" w:fill="F2F2F2" w:themeFill="background1" w:themeFillShade="F2"/>
          </w:tcPr>
          <w:p w14:paraId="5FE6F15C" w14:textId="4DB80C1E" w:rsidR="006B0BFE" w:rsidRPr="00927059" w:rsidRDefault="00460469" w:rsidP="006B0BFE">
            <w:pPr>
              <w:pStyle w:val="TableNText"/>
              <w:rPr>
                <w:rFonts w:cs="Arial"/>
              </w:rPr>
            </w:pPr>
            <w:r>
              <w:rPr>
                <w:rFonts w:cs="Arial"/>
              </w:rPr>
              <w:t>Australian</w:t>
            </w:r>
            <w:r w:rsidR="006B0BFE" w:rsidRPr="00927059">
              <w:rPr>
                <w:rFonts w:cs="Arial"/>
              </w:rPr>
              <w:t xml:space="preserve"> Government</w:t>
            </w:r>
          </w:p>
        </w:tc>
        <w:tc>
          <w:tcPr>
            <w:tcW w:w="1003" w:type="pct"/>
            <w:shd w:val="clear" w:color="auto" w:fill="F2F2F2" w:themeFill="background1" w:themeFillShade="F2"/>
          </w:tcPr>
          <w:p w14:paraId="389D75E4" w14:textId="0A5DECDD" w:rsidR="006B0BFE" w:rsidRPr="00927059" w:rsidRDefault="006B0BFE" w:rsidP="006B0BFE">
            <w:pPr>
              <w:pStyle w:val="TableNText"/>
              <w:rPr>
                <w:rFonts w:cs="Arial"/>
              </w:rPr>
            </w:pPr>
          </w:p>
        </w:tc>
        <w:tc>
          <w:tcPr>
            <w:tcW w:w="610" w:type="pct"/>
            <w:shd w:val="clear" w:color="auto" w:fill="F2F2F2" w:themeFill="background1" w:themeFillShade="F2"/>
          </w:tcPr>
          <w:p w14:paraId="0BC07A82" w14:textId="77777777" w:rsidR="006B0BFE" w:rsidRPr="00927059" w:rsidRDefault="006B0BFE" w:rsidP="006B0BFE">
            <w:pPr>
              <w:pStyle w:val="TableNText"/>
              <w:rPr>
                <w:rFonts w:cs="Arial"/>
              </w:rPr>
            </w:pPr>
          </w:p>
        </w:tc>
      </w:tr>
      <w:tr w:rsidR="006B0BFE" w:rsidRPr="00927059" w14:paraId="095D6160" w14:textId="77777777" w:rsidTr="00377058">
        <w:tc>
          <w:tcPr>
            <w:tcW w:w="425" w:type="pct"/>
            <w:shd w:val="clear" w:color="auto" w:fill="3F4A75"/>
          </w:tcPr>
          <w:p w14:paraId="67ADE60F" w14:textId="77777777" w:rsidR="006B0BFE" w:rsidRPr="00927059" w:rsidRDefault="006B0BFE" w:rsidP="006B0BFE">
            <w:pPr>
              <w:pStyle w:val="TableNheader"/>
              <w:rPr>
                <w:rFonts w:cs="Arial"/>
              </w:rPr>
            </w:pPr>
          </w:p>
        </w:tc>
        <w:tc>
          <w:tcPr>
            <w:tcW w:w="4575" w:type="pct"/>
            <w:gridSpan w:val="4"/>
            <w:shd w:val="clear" w:color="auto" w:fill="3F4A75"/>
          </w:tcPr>
          <w:p w14:paraId="2F69D000" w14:textId="1DDC24FC" w:rsidR="006B0BFE" w:rsidRPr="00927059" w:rsidRDefault="006B0BFE" w:rsidP="006B0BFE">
            <w:pPr>
              <w:pStyle w:val="TableNheader"/>
              <w:rPr>
                <w:rFonts w:cs="Arial"/>
              </w:rPr>
            </w:pPr>
            <w:r w:rsidRPr="00927059">
              <w:rPr>
                <w:rFonts w:cs="Arial"/>
              </w:rPr>
              <w:t>INTENDED TO BE IMPLEMENTED ONGOING</w:t>
            </w:r>
          </w:p>
        </w:tc>
      </w:tr>
      <w:tr w:rsidR="006B0BFE" w:rsidRPr="00927059" w14:paraId="300D48CF" w14:textId="77777777" w:rsidTr="00345871">
        <w:tc>
          <w:tcPr>
            <w:tcW w:w="425" w:type="pct"/>
            <w:shd w:val="clear" w:color="auto" w:fill="E6E6E6"/>
          </w:tcPr>
          <w:p w14:paraId="56D08732" w14:textId="2E41D38B" w:rsidR="006B0BFE" w:rsidRPr="00927059" w:rsidRDefault="006B0BFE" w:rsidP="006B0BFE">
            <w:pPr>
              <w:pStyle w:val="TableNText"/>
              <w:rPr>
                <w:rFonts w:cs="Arial"/>
              </w:rPr>
            </w:pPr>
            <w:r w:rsidRPr="00927059">
              <w:rPr>
                <w:rFonts w:cs="Arial"/>
              </w:rPr>
              <w:t>1</w:t>
            </w:r>
          </w:p>
        </w:tc>
        <w:tc>
          <w:tcPr>
            <w:tcW w:w="1960" w:type="pct"/>
            <w:shd w:val="clear" w:color="auto" w:fill="F2F2F2" w:themeFill="background1" w:themeFillShade="F2"/>
          </w:tcPr>
          <w:p w14:paraId="348F4C9F" w14:textId="3C799209" w:rsidR="006B0BFE" w:rsidRPr="00927059" w:rsidRDefault="006B0BFE" w:rsidP="006B0BFE">
            <w:pPr>
              <w:pStyle w:val="TableNText"/>
              <w:rPr>
                <w:rFonts w:cs="Arial"/>
              </w:rPr>
            </w:pPr>
            <w:r w:rsidRPr="00927059">
              <w:rPr>
                <w:rFonts w:cs="Arial"/>
              </w:rPr>
              <w:t>Implement and evaluate the Safer Baby Bundle across Australia</w:t>
            </w:r>
          </w:p>
        </w:tc>
        <w:tc>
          <w:tcPr>
            <w:tcW w:w="1002" w:type="pct"/>
            <w:shd w:val="clear" w:color="auto" w:fill="F2F2F2" w:themeFill="background1" w:themeFillShade="F2"/>
          </w:tcPr>
          <w:p w14:paraId="7E8C6D70" w14:textId="405D9325" w:rsidR="006B0BFE" w:rsidRPr="00927059" w:rsidRDefault="006B0BFE" w:rsidP="006B0BFE">
            <w:pPr>
              <w:pStyle w:val="TableNText"/>
              <w:rPr>
                <w:rFonts w:cs="Arial"/>
              </w:rPr>
            </w:pPr>
            <w:r w:rsidRPr="00927059">
              <w:rPr>
                <w:rFonts w:cs="Arial"/>
              </w:rPr>
              <w:t>Stillbirth CRE</w:t>
            </w:r>
          </w:p>
        </w:tc>
        <w:tc>
          <w:tcPr>
            <w:tcW w:w="1003" w:type="pct"/>
            <w:shd w:val="clear" w:color="auto" w:fill="F2F2F2" w:themeFill="background1" w:themeFillShade="F2"/>
          </w:tcPr>
          <w:p w14:paraId="2AD7E0BC" w14:textId="72061348" w:rsidR="006B0BFE" w:rsidRPr="00927059" w:rsidRDefault="006B0BFE" w:rsidP="006B0BFE">
            <w:pPr>
              <w:pStyle w:val="TableNText"/>
              <w:rPr>
                <w:rFonts w:cs="Arial"/>
              </w:rPr>
            </w:pPr>
          </w:p>
        </w:tc>
        <w:tc>
          <w:tcPr>
            <w:tcW w:w="610" w:type="pct"/>
            <w:shd w:val="clear" w:color="auto" w:fill="F2F2F2" w:themeFill="background1" w:themeFillShade="F2"/>
          </w:tcPr>
          <w:p w14:paraId="36D54D8F" w14:textId="24341BBD" w:rsidR="006B0BFE" w:rsidRPr="00927059" w:rsidRDefault="006B0BFE" w:rsidP="006B0BFE">
            <w:pPr>
              <w:pStyle w:val="TableNText"/>
              <w:rPr>
                <w:rFonts w:cs="Arial"/>
              </w:rPr>
            </w:pPr>
          </w:p>
        </w:tc>
      </w:tr>
      <w:tr w:rsidR="006B0BFE" w:rsidRPr="00927059" w14:paraId="319366ED" w14:textId="77777777" w:rsidTr="00345871">
        <w:tc>
          <w:tcPr>
            <w:tcW w:w="425" w:type="pct"/>
            <w:shd w:val="clear" w:color="auto" w:fill="E6E6E6"/>
          </w:tcPr>
          <w:p w14:paraId="508A2B59" w14:textId="7088A568" w:rsidR="006B0BFE" w:rsidRPr="00927059" w:rsidRDefault="006B0BFE" w:rsidP="006B0BFE">
            <w:pPr>
              <w:pStyle w:val="TableNText"/>
              <w:rPr>
                <w:rFonts w:cs="Arial"/>
              </w:rPr>
            </w:pPr>
            <w:r w:rsidRPr="00927059">
              <w:rPr>
                <w:rFonts w:cs="Arial"/>
              </w:rPr>
              <w:t>1</w:t>
            </w:r>
          </w:p>
        </w:tc>
        <w:tc>
          <w:tcPr>
            <w:tcW w:w="1960" w:type="pct"/>
            <w:shd w:val="clear" w:color="auto" w:fill="F2F2F2" w:themeFill="background1" w:themeFillShade="F2"/>
          </w:tcPr>
          <w:p w14:paraId="5FADD4B7" w14:textId="1BFA3ECA" w:rsidR="006B0BFE" w:rsidRPr="00927059" w:rsidRDefault="006B0BFE" w:rsidP="006B0BFE">
            <w:pPr>
              <w:pStyle w:val="TableNText"/>
              <w:rPr>
                <w:rFonts w:cs="Arial"/>
              </w:rPr>
            </w:pPr>
            <w:r w:rsidRPr="00927059">
              <w:rPr>
                <w:rFonts w:cs="Arial"/>
              </w:rPr>
              <w:t>Develop and implement smoking cessation in pregnancy resources and measures tailored to different groups and individuals</w:t>
            </w:r>
          </w:p>
        </w:tc>
        <w:tc>
          <w:tcPr>
            <w:tcW w:w="1002" w:type="pct"/>
            <w:shd w:val="clear" w:color="auto" w:fill="F2F2F2" w:themeFill="background1" w:themeFillShade="F2"/>
          </w:tcPr>
          <w:p w14:paraId="764209F2" w14:textId="60E2C05D" w:rsidR="006B0BFE" w:rsidRPr="00927059" w:rsidRDefault="006B0BFE" w:rsidP="006B0BFE">
            <w:pPr>
              <w:pStyle w:val="TableNText"/>
              <w:rPr>
                <w:rFonts w:cs="Arial"/>
              </w:rPr>
            </w:pPr>
            <w:r w:rsidRPr="00927059">
              <w:rPr>
                <w:rFonts w:cs="Arial"/>
              </w:rPr>
              <w:t>Governments in partnership with NGOs</w:t>
            </w:r>
          </w:p>
        </w:tc>
        <w:tc>
          <w:tcPr>
            <w:tcW w:w="1003" w:type="pct"/>
            <w:shd w:val="clear" w:color="auto" w:fill="F2F2F2" w:themeFill="background1" w:themeFillShade="F2"/>
          </w:tcPr>
          <w:p w14:paraId="156E4E55" w14:textId="6E1EB04F" w:rsidR="006B0BFE" w:rsidRPr="00927059" w:rsidRDefault="006B0BFE" w:rsidP="006B0BFE">
            <w:pPr>
              <w:pStyle w:val="TableNText"/>
              <w:rPr>
                <w:rFonts w:cs="Arial"/>
              </w:rPr>
            </w:pPr>
          </w:p>
        </w:tc>
        <w:tc>
          <w:tcPr>
            <w:tcW w:w="610" w:type="pct"/>
            <w:shd w:val="clear" w:color="auto" w:fill="F2F2F2" w:themeFill="background1" w:themeFillShade="F2"/>
          </w:tcPr>
          <w:p w14:paraId="43BFD677" w14:textId="77777777" w:rsidR="006B0BFE" w:rsidRPr="00927059" w:rsidRDefault="006B0BFE" w:rsidP="006B0BFE">
            <w:pPr>
              <w:pStyle w:val="TableNText"/>
              <w:rPr>
                <w:rFonts w:cs="Arial"/>
              </w:rPr>
            </w:pPr>
          </w:p>
        </w:tc>
      </w:tr>
      <w:tr w:rsidR="006B0BFE" w:rsidRPr="00927059" w14:paraId="607C6D85" w14:textId="77777777" w:rsidTr="00345871">
        <w:tc>
          <w:tcPr>
            <w:tcW w:w="425" w:type="pct"/>
            <w:shd w:val="clear" w:color="auto" w:fill="E6E6E6"/>
          </w:tcPr>
          <w:p w14:paraId="684A8AD6" w14:textId="2B51A170" w:rsidR="006B0BFE" w:rsidRPr="00927059" w:rsidRDefault="006B0BFE" w:rsidP="006B0BFE">
            <w:pPr>
              <w:pStyle w:val="TableNText"/>
              <w:rPr>
                <w:rFonts w:cs="Arial"/>
              </w:rPr>
            </w:pPr>
            <w:r w:rsidRPr="00927059">
              <w:rPr>
                <w:rFonts w:cs="Arial"/>
              </w:rPr>
              <w:t>2</w:t>
            </w:r>
          </w:p>
        </w:tc>
        <w:tc>
          <w:tcPr>
            <w:tcW w:w="1960" w:type="pct"/>
            <w:shd w:val="clear" w:color="auto" w:fill="F2F2F2" w:themeFill="background1" w:themeFillShade="F2"/>
          </w:tcPr>
          <w:p w14:paraId="0EBD1E12" w14:textId="33F10EE2" w:rsidR="006B0BFE" w:rsidRPr="00927059" w:rsidRDefault="006B0BFE" w:rsidP="006B0BFE">
            <w:pPr>
              <w:pStyle w:val="TableNText"/>
              <w:rPr>
                <w:rFonts w:cs="Arial"/>
              </w:rPr>
            </w:pPr>
            <w:r w:rsidRPr="00927059">
              <w:rPr>
                <w:rFonts w:cs="Arial"/>
              </w:rPr>
              <w:t xml:space="preserve">Support implementation of the strategies in the </w:t>
            </w:r>
            <w:r w:rsidRPr="00927059">
              <w:rPr>
                <w:rFonts w:cs="Arial"/>
                <w:i/>
              </w:rPr>
              <w:t>National Aboriginal and Torres Strait Islander health workforce strategic framework 2016–2023</w:t>
            </w:r>
          </w:p>
        </w:tc>
        <w:tc>
          <w:tcPr>
            <w:tcW w:w="1002" w:type="pct"/>
            <w:shd w:val="clear" w:color="auto" w:fill="F2F2F2" w:themeFill="background1" w:themeFillShade="F2"/>
          </w:tcPr>
          <w:p w14:paraId="59F1C7E8" w14:textId="75FAAC63" w:rsidR="006B0BFE" w:rsidRPr="00927059" w:rsidRDefault="006B0BFE" w:rsidP="006B0BFE">
            <w:pPr>
              <w:pStyle w:val="TableNText"/>
              <w:rPr>
                <w:rFonts w:cs="Arial"/>
              </w:rPr>
            </w:pPr>
            <w:r w:rsidRPr="00927059">
              <w:rPr>
                <w:rFonts w:cs="Arial"/>
              </w:rPr>
              <w:t xml:space="preserve">Governments in partnership with </w:t>
            </w:r>
            <w:proofErr w:type="spellStart"/>
            <w:r w:rsidRPr="00927059">
              <w:rPr>
                <w:rFonts w:cs="Arial"/>
              </w:rPr>
              <w:t>CATSINaM</w:t>
            </w:r>
            <w:proofErr w:type="spellEnd"/>
            <w:r w:rsidRPr="00927059">
              <w:rPr>
                <w:rFonts w:cs="Arial"/>
              </w:rPr>
              <w:t xml:space="preserve"> and other NGOs</w:t>
            </w:r>
          </w:p>
        </w:tc>
        <w:tc>
          <w:tcPr>
            <w:tcW w:w="1003" w:type="pct"/>
            <w:shd w:val="clear" w:color="auto" w:fill="F2F2F2" w:themeFill="background1" w:themeFillShade="F2"/>
          </w:tcPr>
          <w:p w14:paraId="4AF937CF" w14:textId="2A5EA9FB" w:rsidR="006B0BFE" w:rsidRPr="00927059" w:rsidRDefault="006B0BFE" w:rsidP="006B0BFE">
            <w:pPr>
              <w:pStyle w:val="TableNText"/>
              <w:rPr>
                <w:rFonts w:cs="Arial"/>
              </w:rPr>
            </w:pPr>
          </w:p>
        </w:tc>
        <w:tc>
          <w:tcPr>
            <w:tcW w:w="610" w:type="pct"/>
            <w:shd w:val="clear" w:color="auto" w:fill="F2F2F2" w:themeFill="background1" w:themeFillShade="F2"/>
          </w:tcPr>
          <w:p w14:paraId="55DED41E" w14:textId="77777777" w:rsidR="006B0BFE" w:rsidRPr="00927059" w:rsidRDefault="006B0BFE" w:rsidP="006B0BFE">
            <w:pPr>
              <w:pStyle w:val="TableNText"/>
              <w:rPr>
                <w:rFonts w:cs="Arial"/>
              </w:rPr>
            </w:pPr>
          </w:p>
        </w:tc>
      </w:tr>
      <w:tr w:rsidR="006B0BFE" w:rsidRPr="00927059" w14:paraId="601CE27F" w14:textId="77777777" w:rsidTr="00345871">
        <w:tc>
          <w:tcPr>
            <w:tcW w:w="425" w:type="pct"/>
            <w:shd w:val="clear" w:color="auto" w:fill="E6E6E6"/>
          </w:tcPr>
          <w:p w14:paraId="1FAAC94E" w14:textId="75AB0825" w:rsidR="006B0BFE" w:rsidRPr="00927059" w:rsidRDefault="006B0BFE" w:rsidP="006B0BFE">
            <w:pPr>
              <w:pStyle w:val="TableNText"/>
              <w:rPr>
                <w:rFonts w:cs="Arial"/>
              </w:rPr>
            </w:pPr>
            <w:r w:rsidRPr="00927059">
              <w:rPr>
                <w:rFonts w:cs="Arial"/>
              </w:rPr>
              <w:t>2</w:t>
            </w:r>
          </w:p>
        </w:tc>
        <w:tc>
          <w:tcPr>
            <w:tcW w:w="1960" w:type="pct"/>
            <w:shd w:val="clear" w:color="auto" w:fill="F2F2F2" w:themeFill="background1" w:themeFillShade="F2"/>
          </w:tcPr>
          <w:p w14:paraId="75F96AAF" w14:textId="4BEBC4EB" w:rsidR="006B0BFE" w:rsidRPr="00927059" w:rsidRDefault="006B0BFE" w:rsidP="006B0BFE">
            <w:pPr>
              <w:pStyle w:val="TableNText"/>
              <w:rPr>
                <w:rFonts w:cs="Arial"/>
              </w:rPr>
            </w:pPr>
            <w:r w:rsidRPr="00927059">
              <w:rPr>
                <w:rFonts w:cs="Arial"/>
              </w:rPr>
              <w:t xml:space="preserve">Implement consistent cultural respect and safety training for undergraduates and health professionals involved in maternity </w:t>
            </w:r>
            <w:r w:rsidRPr="00927059">
              <w:rPr>
                <w:rFonts w:cs="Arial"/>
              </w:rPr>
              <w:lastRenderedPageBreak/>
              <w:t xml:space="preserve">care, with </w:t>
            </w:r>
            <w:proofErr w:type="gramStart"/>
            <w:r w:rsidRPr="00927059">
              <w:rPr>
                <w:rFonts w:cs="Arial"/>
              </w:rPr>
              <w:t>particular reference</w:t>
            </w:r>
            <w:proofErr w:type="gramEnd"/>
            <w:r w:rsidRPr="00927059">
              <w:rPr>
                <w:rFonts w:cs="Arial"/>
              </w:rPr>
              <w:t xml:space="preserve"> to stillbirth prevention and bereavement care </w:t>
            </w:r>
          </w:p>
        </w:tc>
        <w:tc>
          <w:tcPr>
            <w:tcW w:w="1002" w:type="pct"/>
            <w:shd w:val="clear" w:color="auto" w:fill="F2F2F2" w:themeFill="background1" w:themeFillShade="F2"/>
          </w:tcPr>
          <w:p w14:paraId="0EFFEB54" w14:textId="5F845594" w:rsidR="006B0BFE" w:rsidRPr="00927059" w:rsidRDefault="00460469" w:rsidP="006B0BFE">
            <w:pPr>
              <w:pStyle w:val="TableNText"/>
              <w:rPr>
                <w:rFonts w:cs="Arial"/>
              </w:rPr>
            </w:pPr>
            <w:r>
              <w:rPr>
                <w:rFonts w:cs="Arial"/>
              </w:rPr>
              <w:lastRenderedPageBreak/>
              <w:t>Australian Government</w:t>
            </w:r>
          </w:p>
        </w:tc>
        <w:tc>
          <w:tcPr>
            <w:tcW w:w="1003" w:type="pct"/>
            <w:shd w:val="clear" w:color="auto" w:fill="F2F2F2" w:themeFill="background1" w:themeFillShade="F2"/>
          </w:tcPr>
          <w:p w14:paraId="2119BF88" w14:textId="0CABCF97" w:rsidR="006B0BFE" w:rsidRPr="00927059" w:rsidRDefault="006B0BFE" w:rsidP="006B0BFE">
            <w:pPr>
              <w:pStyle w:val="TableNText"/>
              <w:rPr>
                <w:rFonts w:cs="Arial"/>
              </w:rPr>
            </w:pPr>
          </w:p>
        </w:tc>
        <w:tc>
          <w:tcPr>
            <w:tcW w:w="610" w:type="pct"/>
            <w:shd w:val="clear" w:color="auto" w:fill="F2F2F2" w:themeFill="background1" w:themeFillShade="F2"/>
          </w:tcPr>
          <w:p w14:paraId="73D57CAD" w14:textId="77777777" w:rsidR="006B0BFE" w:rsidRPr="00927059" w:rsidRDefault="006B0BFE" w:rsidP="006B0BFE">
            <w:pPr>
              <w:pStyle w:val="TableNText"/>
              <w:rPr>
                <w:rFonts w:cs="Arial"/>
              </w:rPr>
            </w:pPr>
          </w:p>
        </w:tc>
      </w:tr>
      <w:tr w:rsidR="006B0BFE" w:rsidRPr="00927059" w14:paraId="3185AE9E" w14:textId="77777777" w:rsidTr="00345871">
        <w:tc>
          <w:tcPr>
            <w:tcW w:w="425" w:type="pct"/>
            <w:shd w:val="clear" w:color="auto" w:fill="E6E6E6"/>
          </w:tcPr>
          <w:p w14:paraId="322981D6" w14:textId="6EA1693F" w:rsidR="006B0BFE" w:rsidRPr="00927059" w:rsidRDefault="006B0BFE" w:rsidP="006B0BFE">
            <w:pPr>
              <w:pStyle w:val="TableNText"/>
              <w:rPr>
                <w:rFonts w:cs="Arial"/>
              </w:rPr>
            </w:pPr>
            <w:r w:rsidRPr="00927059">
              <w:rPr>
                <w:rFonts w:cs="Arial"/>
              </w:rPr>
              <w:t>7</w:t>
            </w:r>
          </w:p>
        </w:tc>
        <w:tc>
          <w:tcPr>
            <w:tcW w:w="1960" w:type="pct"/>
            <w:shd w:val="clear" w:color="auto" w:fill="F2F2F2" w:themeFill="background1" w:themeFillShade="F2"/>
          </w:tcPr>
          <w:p w14:paraId="7D66CCEC" w14:textId="10EFE096" w:rsidR="006B0BFE" w:rsidRPr="00927059" w:rsidRDefault="006B0BFE" w:rsidP="006B0BFE">
            <w:pPr>
              <w:pStyle w:val="TableNText"/>
              <w:rPr>
                <w:rFonts w:cs="Arial"/>
              </w:rPr>
            </w:pPr>
            <w:r w:rsidRPr="00927059">
              <w:rPr>
                <w:rFonts w:cs="Arial"/>
              </w:rPr>
              <w:t>To complement implementation of the Safer Baby Bundle, deliver and evaluate a national health professional education program to improve consistency in stillbirth prevention and care</w:t>
            </w:r>
          </w:p>
        </w:tc>
        <w:tc>
          <w:tcPr>
            <w:tcW w:w="1002" w:type="pct"/>
            <w:shd w:val="clear" w:color="auto" w:fill="F2F2F2" w:themeFill="background1" w:themeFillShade="F2"/>
          </w:tcPr>
          <w:p w14:paraId="0C53472F" w14:textId="1D25A8EB" w:rsidR="006B0BFE" w:rsidRPr="00927059" w:rsidRDefault="006B0BFE" w:rsidP="006B0BFE">
            <w:pPr>
              <w:pStyle w:val="TableNText"/>
              <w:rPr>
                <w:rFonts w:cs="Arial"/>
              </w:rPr>
            </w:pPr>
            <w:r w:rsidRPr="00927059">
              <w:rPr>
                <w:rFonts w:cs="Arial"/>
              </w:rPr>
              <w:t>Stillbirth CRE</w:t>
            </w:r>
          </w:p>
        </w:tc>
        <w:tc>
          <w:tcPr>
            <w:tcW w:w="1003" w:type="pct"/>
            <w:shd w:val="clear" w:color="auto" w:fill="F2F2F2" w:themeFill="background1" w:themeFillShade="F2"/>
          </w:tcPr>
          <w:p w14:paraId="39BD0885" w14:textId="36477952" w:rsidR="006B0BFE" w:rsidRPr="00927059" w:rsidRDefault="006B0BFE" w:rsidP="006B0BFE">
            <w:pPr>
              <w:pStyle w:val="TableNText"/>
              <w:rPr>
                <w:rFonts w:cs="Arial"/>
              </w:rPr>
            </w:pPr>
          </w:p>
        </w:tc>
        <w:tc>
          <w:tcPr>
            <w:tcW w:w="610" w:type="pct"/>
            <w:shd w:val="clear" w:color="auto" w:fill="F2F2F2" w:themeFill="background1" w:themeFillShade="F2"/>
          </w:tcPr>
          <w:p w14:paraId="23FCBA59" w14:textId="77777777" w:rsidR="006B0BFE" w:rsidRPr="00927059" w:rsidRDefault="006B0BFE" w:rsidP="006B0BFE">
            <w:pPr>
              <w:pStyle w:val="TableNText"/>
              <w:rPr>
                <w:rFonts w:cs="Arial"/>
              </w:rPr>
            </w:pPr>
          </w:p>
        </w:tc>
      </w:tr>
      <w:tr w:rsidR="006B0BFE" w:rsidRPr="00927059" w14:paraId="43CE57D7" w14:textId="77777777" w:rsidTr="00345871">
        <w:tc>
          <w:tcPr>
            <w:tcW w:w="425" w:type="pct"/>
            <w:shd w:val="clear" w:color="auto" w:fill="E6E6E6"/>
          </w:tcPr>
          <w:p w14:paraId="7B46304D" w14:textId="5E0CA214" w:rsidR="006B0BFE" w:rsidRPr="00927059" w:rsidRDefault="006B0BFE" w:rsidP="006B0BFE">
            <w:pPr>
              <w:pStyle w:val="TableNText"/>
              <w:rPr>
                <w:rFonts w:cs="Arial"/>
              </w:rPr>
            </w:pPr>
            <w:r w:rsidRPr="00927059">
              <w:rPr>
                <w:rFonts w:cs="Arial"/>
              </w:rPr>
              <w:t>8</w:t>
            </w:r>
          </w:p>
        </w:tc>
        <w:tc>
          <w:tcPr>
            <w:tcW w:w="1960" w:type="pct"/>
            <w:shd w:val="clear" w:color="auto" w:fill="F2F2F2" w:themeFill="background1" w:themeFillShade="F2"/>
          </w:tcPr>
          <w:p w14:paraId="4EB7EF4F" w14:textId="1A748046" w:rsidR="006B0BFE" w:rsidRPr="00927059" w:rsidRDefault="006B0BFE" w:rsidP="006B0BFE">
            <w:pPr>
              <w:pStyle w:val="TableNText"/>
              <w:rPr>
                <w:rFonts w:cs="Arial"/>
              </w:rPr>
            </w:pPr>
            <w:r w:rsidRPr="00927059">
              <w:rPr>
                <w:rFonts w:cs="Arial"/>
              </w:rPr>
              <w:t>Support maternity facilities (current and planned) to provide quiet, private, appropriate spaces where bereaved parents can receive physical and emotional care</w:t>
            </w:r>
          </w:p>
        </w:tc>
        <w:tc>
          <w:tcPr>
            <w:tcW w:w="1002" w:type="pct"/>
            <w:shd w:val="clear" w:color="auto" w:fill="F2F2F2" w:themeFill="background1" w:themeFillShade="F2"/>
          </w:tcPr>
          <w:p w14:paraId="64554B93" w14:textId="48CE098D" w:rsidR="006B0BFE" w:rsidRPr="00927059" w:rsidRDefault="006B0BFE" w:rsidP="006B0BFE">
            <w:pPr>
              <w:pStyle w:val="TableNText"/>
              <w:rPr>
                <w:rFonts w:cs="Arial"/>
              </w:rPr>
            </w:pPr>
            <w:r w:rsidRPr="00927059">
              <w:rPr>
                <w:rFonts w:cs="Arial"/>
              </w:rPr>
              <w:t>State and territory governments</w:t>
            </w:r>
          </w:p>
        </w:tc>
        <w:tc>
          <w:tcPr>
            <w:tcW w:w="1003" w:type="pct"/>
            <w:shd w:val="clear" w:color="auto" w:fill="F2F2F2" w:themeFill="background1" w:themeFillShade="F2"/>
          </w:tcPr>
          <w:p w14:paraId="0AB1F8CE" w14:textId="6F0611BB" w:rsidR="006B0BFE" w:rsidRPr="00927059" w:rsidRDefault="006B0BFE" w:rsidP="006B0BFE">
            <w:pPr>
              <w:pStyle w:val="TableNText"/>
              <w:rPr>
                <w:rFonts w:cs="Arial"/>
              </w:rPr>
            </w:pPr>
          </w:p>
        </w:tc>
        <w:tc>
          <w:tcPr>
            <w:tcW w:w="610" w:type="pct"/>
            <w:shd w:val="clear" w:color="auto" w:fill="F2F2F2" w:themeFill="background1" w:themeFillShade="F2"/>
          </w:tcPr>
          <w:p w14:paraId="68A2ACDC" w14:textId="77777777" w:rsidR="006B0BFE" w:rsidRPr="00927059" w:rsidRDefault="006B0BFE" w:rsidP="006B0BFE">
            <w:pPr>
              <w:pStyle w:val="TableNText"/>
              <w:rPr>
                <w:rFonts w:cs="Arial"/>
              </w:rPr>
            </w:pPr>
          </w:p>
        </w:tc>
      </w:tr>
    </w:tbl>
    <w:p w14:paraId="119548F2" w14:textId="6198A270" w:rsidR="001342C3" w:rsidRDefault="001342C3" w:rsidP="001342C3">
      <w:pPr>
        <w:pStyle w:val="Caption"/>
      </w:pPr>
      <w:bookmarkStart w:id="59" w:name="_Ref88727459"/>
      <w:r>
        <w:t xml:space="preserve">Table </w:t>
      </w:r>
      <w:r>
        <w:fldChar w:fldCharType="begin"/>
      </w:r>
      <w:r>
        <w:instrText xml:space="preserve"> SEQ Table \* ARABIC </w:instrText>
      </w:r>
      <w:r>
        <w:fldChar w:fldCharType="separate"/>
      </w:r>
      <w:r w:rsidR="00CF19E2">
        <w:rPr>
          <w:noProof/>
        </w:rPr>
        <w:t>9</w:t>
      </w:r>
      <w:r>
        <w:fldChar w:fldCharType="end"/>
      </w:r>
      <w:bookmarkEnd w:id="59"/>
      <w:r>
        <w:t xml:space="preserve"> | Update on national evaluation indicators</w:t>
      </w:r>
    </w:p>
    <w:tbl>
      <w:tblPr>
        <w:tblStyle w:val="PlainTable1"/>
        <w:tblW w:w="0" w:type="auto"/>
        <w:tblLook w:val="04A0" w:firstRow="1" w:lastRow="0" w:firstColumn="1" w:lastColumn="0" w:noHBand="0" w:noVBand="1"/>
      </w:tblPr>
      <w:tblGrid>
        <w:gridCol w:w="490"/>
        <w:gridCol w:w="3537"/>
        <w:gridCol w:w="2685"/>
        <w:gridCol w:w="2456"/>
        <w:gridCol w:w="15"/>
      </w:tblGrid>
      <w:tr w:rsidR="00CB6CF4" w:rsidRPr="00C97BF3" w14:paraId="489F6819" w14:textId="77777777" w:rsidTr="00CC3881">
        <w:trPr>
          <w:gridAfter w:val="1"/>
          <w:cnfStyle w:val="100000000000" w:firstRow="1" w:lastRow="0" w:firstColumn="0" w:lastColumn="0" w:oddVBand="0" w:evenVBand="0" w:oddHBand="0" w:evenHBand="0" w:firstRowFirstColumn="0" w:firstRowLastColumn="0" w:lastRowFirstColumn="0" w:lastRowLastColumn="0"/>
          <w:wAfter w:w="15" w:type="dxa"/>
          <w:trHeight w:val="567"/>
          <w:tblHeader/>
        </w:trPr>
        <w:tc>
          <w:tcPr>
            <w:cnfStyle w:val="001000000000" w:firstRow="0" w:lastRow="0" w:firstColumn="1" w:lastColumn="0" w:oddVBand="0" w:evenVBand="0" w:oddHBand="0" w:evenHBand="0" w:firstRowFirstColumn="0" w:firstRowLastColumn="0" w:lastRowFirstColumn="0" w:lastRowLastColumn="0"/>
            <w:tcW w:w="490" w:type="dxa"/>
            <w:vAlign w:val="center"/>
          </w:tcPr>
          <w:p w14:paraId="1EC6B12A" w14:textId="15B43441" w:rsidR="00CB6CF4" w:rsidRPr="009943A2" w:rsidRDefault="00CB6CF4" w:rsidP="00CC3881">
            <w:pPr>
              <w:pStyle w:val="TableNheader"/>
            </w:pPr>
            <w:r w:rsidRPr="009943A2">
              <w:t>#</w:t>
            </w:r>
          </w:p>
        </w:tc>
        <w:tc>
          <w:tcPr>
            <w:tcW w:w="3537" w:type="dxa"/>
            <w:vAlign w:val="center"/>
          </w:tcPr>
          <w:p w14:paraId="47874C68" w14:textId="4D01CBED" w:rsidR="00CB6CF4" w:rsidRPr="009943A2" w:rsidRDefault="00CB6CF4" w:rsidP="00CC3881">
            <w:pPr>
              <w:pStyle w:val="TableNheader"/>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sidRPr="009943A2">
              <w:rPr>
                <w:rFonts w:ascii="Arial" w:hAnsi="Arial" w:cs="Arial"/>
                <w:b/>
                <w:sz w:val="18"/>
                <w:szCs w:val="18"/>
              </w:rPr>
              <w:t>Indicator</w:t>
            </w:r>
          </w:p>
        </w:tc>
        <w:tc>
          <w:tcPr>
            <w:tcW w:w="2685" w:type="dxa"/>
            <w:vAlign w:val="center"/>
          </w:tcPr>
          <w:p w14:paraId="2C8B1BCE" w14:textId="51EB5376" w:rsidR="00CB6CF4" w:rsidRPr="009943A2" w:rsidRDefault="00CB6CF4" w:rsidP="00CC3881">
            <w:pPr>
              <w:pStyle w:val="TableNheader"/>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sidRPr="009943A2">
              <w:rPr>
                <w:rFonts w:ascii="Arial" w:hAnsi="Arial" w:cs="Arial"/>
                <w:b/>
                <w:sz w:val="18"/>
                <w:szCs w:val="18"/>
              </w:rPr>
              <w:t>Finding or data point</w:t>
            </w:r>
          </w:p>
        </w:tc>
        <w:tc>
          <w:tcPr>
            <w:tcW w:w="2456" w:type="dxa"/>
            <w:vAlign w:val="center"/>
          </w:tcPr>
          <w:p w14:paraId="6FB6887F" w14:textId="5510F8E4" w:rsidR="00CB6CF4" w:rsidRPr="009943A2" w:rsidRDefault="00CB6CF4" w:rsidP="00CC3881">
            <w:pPr>
              <w:pStyle w:val="TableNheader"/>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sidRPr="009943A2">
              <w:rPr>
                <w:rFonts w:ascii="Arial" w:hAnsi="Arial" w:cs="Arial"/>
                <w:b/>
                <w:sz w:val="18"/>
                <w:szCs w:val="18"/>
              </w:rPr>
              <w:t>Commentary</w:t>
            </w:r>
          </w:p>
        </w:tc>
      </w:tr>
      <w:tr w:rsidR="001342C3" w:rsidRPr="00C97BF3" w14:paraId="0C48F137" w14:textId="77777777" w:rsidTr="0006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26695994" w14:textId="4BEDBDA4" w:rsidR="001342C3" w:rsidRPr="00C97BF3" w:rsidRDefault="001342C3" w:rsidP="00CC3881">
            <w:pPr>
              <w:pStyle w:val="TableNText"/>
            </w:pPr>
            <w:r w:rsidRPr="00C97BF3">
              <w:t>1</w:t>
            </w:r>
          </w:p>
        </w:tc>
        <w:tc>
          <w:tcPr>
            <w:tcW w:w="3537" w:type="dxa"/>
          </w:tcPr>
          <w:p w14:paraId="329E5C15" w14:textId="29C4B171"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r w:rsidRPr="00C97BF3">
              <w:t>Decrease in the rates of stillbirth at greater than or equal to 28 weeks (disaggregated by target cohorts</w:t>
            </w:r>
            <w:r w:rsidR="0017414C" w:rsidRPr="0000596C">
              <w:t>, data also reported for greater than or equal to 20 weeks</w:t>
            </w:r>
            <w:r w:rsidRPr="00C97BF3">
              <w:t>).</w:t>
            </w:r>
          </w:p>
        </w:tc>
        <w:tc>
          <w:tcPr>
            <w:tcW w:w="2685" w:type="dxa"/>
          </w:tcPr>
          <w:p w14:paraId="003F58E4"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471" w:type="dxa"/>
            <w:gridSpan w:val="2"/>
          </w:tcPr>
          <w:p w14:paraId="1941CC57"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1342C3" w:rsidRPr="00C97BF3" w14:paraId="00A96CCD" w14:textId="77777777" w:rsidTr="00060280">
        <w:tc>
          <w:tcPr>
            <w:cnfStyle w:val="001000000000" w:firstRow="0" w:lastRow="0" w:firstColumn="1" w:lastColumn="0" w:oddVBand="0" w:evenVBand="0" w:oddHBand="0" w:evenHBand="0" w:firstRowFirstColumn="0" w:firstRowLastColumn="0" w:lastRowFirstColumn="0" w:lastRowLastColumn="0"/>
            <w:tcW w:w="490" w:type="dxa"/>
          </w:tcPr>
          <w:p w14:paraId="655A7106" w14:textId="7A912C5E" w:rsidR="001342C3" w:rsidRPr="00C97BF3" w:rsidRDefault="001342C3" w:rsidP="00CC3881">
            <w:pPr>
              <w:pStyle w:val="TableNText"/>
            </w:pPr>
            <w:r w:rsidRPr="00C97BF3">
              <w:t>2</w:t>
            </w:r>
          </w:p>
        </w:tc>
        <w:tc>
          <w:tcPr>
            <w:tcW w:w="3537" w:type="dxa"/>
          </w:tcPr>
          <w:p w14:paraId="59AEDF5B" w14:textId="40D0834C" w:rsidR="001342C3" w:rsidRPr="00C97BF3" w:rsidRDefault="001342C3" w:rsidP="00060280">
            <w:pPr>
              <w:pStyle w:val="TableNText"/>
              <w:cnfStyle w:val="000000000000" w:firstRow="0" w:lastRow="0" w:firstColumn="0" w:lastColumn="0" w:oddVBand="0" w:evenVBand="0" w:oddHBand="0" w:evenHBand="0" w:firstRowFirstColumn="0" w:firstRowLastColumn="0" w:lastRowFirstColumn="0" w:lastRowLastColumn="0"/>
            </w:pPr>
            <w:r w:rsidRPr="00C97BF3">
              <w:t xml:space="preserve">Increase in the proportion of women </w:t>
            </w:r>
            <w:r w:rsidR="00FD071A" w:rsidRPr="0000596C">
              <w:t>who receive care via</w:t>
            </w:r>
            <w:r w:rsidRPr="00C97BF3">
              <w:t xml:space="preserve"> continuity of care models.</w:t>
            </w:r>
            <w:r w:rsidR="00FD071A" w:rsidRPr="0000596C">
              <w:t xml:space="preserve"> </w:t>
            </w:r>
          </w:p>
        </w:tc>
        <w:tc>
          <w:tcPr>
            <w:tcW w:w="2685" w:type="dxa"/>
          </w:tcPr>
          <w:p w14:paraId="24BB92DB" w14:textId="77777777" w:rsidR="001342C3" w:rsidRPr="00C97BF3" w:rsidRDefault="001342C3" w:rsidP="001342C3">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471" w:type="dxa"/>
            <w:gridSpan w:val="2"/>
          </w:tcPr>
          <w:p w14:paraId="4AFDAB82" w14:textId="77777777" w:rsidR="001342C3" w:rsidRPr="00C97BF3" w:rsidRDefault="001342C3" w:rsidP="001342C3">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r w:rsidR="001342C3" w:rsidRPr="00C97BF3" w14:paraId="07A33DFC" w14:textId="77777777" w:rsidTr="0006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7EBFAE64" w14:textId="2E6012A7" w:rsidR="001342C3" w:rsidRPr="00C97BF3" w:rsidRDefault="001342C3" w:rsidP="00CC3881">
            <w:pPr>
              <w:pStyle w:val="TableNText"/>
            </w:pPr>
            <w:r w:rsidRPr="00C97BF3">
              <w:t>3</w:t>
            </w:r>
          </w:p>
        </w:tc>
        <w:tc>
          <w:tcPr>
            <w:tcW w:w="3537" w:type="dxa"/>
          </w:tcPr>
          <w:p w14:paraId="1A921BD5" w14:textId="43938B9C"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r w:rsidRPr="00C97BF3">
              <w:t xml:space="preserve">Increase in the proportion of women </w:t>
            </w:r>
            <w:r w:rsidR="005B13D5" w:rsidRPr="0000596C">
              <w:t>who have had</w:t>
            </w:r>
            <w:r w:rsidRPr="00C97BF3">
              <w:t xml:space="preserve"> continuity of carer during antenatal, </w:t>
            </w:r>
            <w:r w:rsidR="005B13D5" w:rsidRPr="0000596C">
              <w:t>birth</w:t>
            </w:r>
            <w:r w:rsidRPr="00C97BF3">
              <w:t xml:space="preserve"> and postnatal care.</w:t>
            </w:r>
          </w:p>
        </w:tc>
        <w:tc>
          <w:tcPr>
            <w:tcW w:w="2685" w:type="dxa"/>
          </w:tcPr>
          <w:p w14:paraId="72426FCD"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471" w:type="dxa"/>
            <w:gridSpan w:val="2"/>
          </w:tcPr>
          <w:p w14:paraId="79C7F8DD"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1342C3" w:rsidRPr="00C97BF3" w14:paraId="60050CAF" w14:textId="77777777" w:rsidTr="00060280">
        <w:tc>
          <w:tcPr>
            <w:cnfStyle w:val="001000000000" w:firstRow="0" w:lastRow="0" w:firstColumn="1" w:lastColumn="0" w:oddVBand="0" w:evenVBand="0" w:oddHBand="0" w:evenHBand="0" w:firstRowFirstColumn="0" w:firstRowLastColumn="0" w:lastRowFirstColumn="0" w:lastRowLastColumn="0"/>
            <w:tcW w:w="490" w:type="dxa"/>
          </w:tcPr>
          <w:p w14:paraId="1C8D9E3A" w14:textId="36B857ED" w:rsidR="001342C3" w:rsidRPr="00C97BF3" w:rsidRDefault="001342C3" w:rsidP="00CC3881">
            <w:pPr>
              <w:pStyle w:val="TableNText"/>
            </w:pPr>
            <w:r w:rsidRPr="00C97BF3">
              <w:t>4</w:t>
            </w:r>
          </w:p>
        </w:tc>
        <w:tc>
          <w:tcPr>
            <w:tcW w:w="3537" w:type="dxa"/>
          </w:tcPr>
          <w:p w14:paraId="7FFBDAF4" w14:textId="124B12B4" w:rsidR="001342C3" w:rsidRPr="00C97BF3" w:rsidRDefault="001342C3" w:rsidP="00060280">
            <w:pPr>
              <w:pStyle w:val="TableNText"/>
              <w:cnfStyle w:val="000000000000" w:firstRow="0" w:lastRow="0" w:firstColumn="0" w:lastColumn="0" w:oddVBand="0" w:evenVBand="0" w:oddHBand="0" w:evenHBand="0" w:firstRowFirstColumn="0" w:firstRowLastColumn="0" w:lastRowFirstColumn="0" w:lastRowLastColumn="0"/>
            </w:pPr>
            <w:r w:rsidRPr="00C97BF3">
              <w:t>Increase in the proportion of women (overall and in target cohorts) attending 7 or more and 10 or more antenatal care visits.</w:t>
            </w:r>
          </w:p>
        </w:tc>
        <w:tc>
          <w:tcPr>
            <w:tcW w:w="2685" w:type="dxa"/>
          </w:tcPr>
          <w:p w14:paraId="7C0BB235" w14:textId="77777777" w:rsidR="001342C3" w:rsidRPr="00C97BF3" w:rsidRDefault="001342C3" w:rsidP="001342C3">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471" w:type="dxa"/>
            <w:gridSpan w:val="2"/>
          </w:tcPr>
          <w:p w14:paraId="67C086EC" w14:textId="77777777" w:rsidR="001342C3" w:rsidRPr="00C97BF3" w:rsidRDefault="001342C3" w:rsidP="001342C3">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r w:rsidR="001342C3" w:rsidRPr="00C97BF3" w14:paraId="57EADF41" w14:textId="77777777" w:rsidTr="0006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3CC48691" w14:textId="5911EEF8" w:rsidR="001342C3" w:rsidRPr="00C97BF3" w:rsidRDefault="001342C3" w:rsidP="00CC3881">
            <w:pPr>
              <w:pStyle w:val="TableNText"/>
            </w:pPr>
            <w:r w:rsidRPr="00C97BF3">
              <w:t>5</w:t>
            </w:r>
          </w:p>
        </w:tc>
        <w:tc>
          <w:tcPr>
            <w:tcW w:w="3537" w:type="dxa"/>
          </w:tcPr>
          <w:p w14:paraId="5A6B3F37" w14:textId="3796039B"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r w:rsidRPr="00C97BF3">
              <w:rPr>
                <w:lang w:val="en-US"/>
              </w:rPr>
              <w:t xml:space="preserve">Increase in the proportion of women </w:t>
            </w:r>
            <w:r w:rsidRPr="00C97BF3">
              <w:t>(overall and in target cohorts)</w:t>
            </w:r>
            <w:r w:rsidRPr="00C97BF3">
              <w:rPr>
                <w:lang w:val="en-US"/>
              </w:rPr>
              <w:t xml:space="preserve"> attending their first antenatal visit </w:t>
            </w:r>
            <w:r w:rsidRPr="00C97BF3">
              <w:rPr>
                <w:lang w:val="en-US"/>
              </w:rPr>
              <w:lastRenderedPageBreak/>
              <w:t>within the first 10 weeks of pregnancy.</w:t>
            </w:r>
          </w:p>
        </w:tc>
        <w:tc>
          <w:tcPr>
            <w:tcW w:w="2685" w:type="dxa"/>
          </w:tcPr>
          <w:p w14:paraId="5F651950"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471" w:type="dxa"/>
            <w:gridSpan w:val="2"/>
          </w:tcPr>
          <w:p w14:paraId="44890753"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1342C3" w:rsidRPr="00C97BF3" w14:paraId="378B7A56" w14:textId="77777777" w:rsidTr="00060280">
        <w:tc>
          <w:tcPr>
            <w:cnfStyle w:val="001000000000" w:firstRow="0" w:lastRow="0" w:firstColumn="1" w:lastColumn="0" w:oddVBand="0" w:evenVBand="0" w:oddHBand="0" w:evenHBand="0" w:firstRowFirstColumn="0" w:firstRowLastColumn="0" w:lastRowFirstColumn="0" w:lastRowLastColumn="0"/>
            <w:tcW w:w="490" w:type="dxa"/>
          </w:tcPr>
          <w:p w14:paraId="6883B43A" w14:textId="20099210" w:rsidR="001342C3" w:rsidRPr="00C97BF3" w:rsidRDefault="001342C3" w:rsidP="00060280">
            <w:pPr>
              <w:pStyle w:val="TableNText"/>
            </w:pPr>
            <w:r w:rsidRPr="00C97BF3">
              <w:t>6</w:t>
            </w:r>
          </w:p>
        </w:tc>
        <w:tc>
          <w:tcPr>
            <w:tcW w:w="3537" w:type="dxa"/>
          </w:tcPr>
          <w:p w14:paraId="1FA5F954" w14:textId="529AB360" w:rsidR="001342C3" w:rsidRPr="00C97BF3" w:rsidRDefault="00D21249" w:rsidP="00060280">
            <w:pPr>
              <w:pStyle w:val="TableNText"/>
              <w:cnfStyle w:val="000000000000" w:firstRow="0" w:lastRow="0" w:firstColumn="0" w:lastColumn="0" w:oddVBand="0" w:evenVBand="0" w:oddHBand="0" w:evenHBand="0" w:firstRowFirstColumn="0" w:firstRowLastColumn="0" w:lastRowFirstColumn="0" w:lastRowLastColumn="0"/>
            </w:pPr>
            <w:r w:rsidRPr="0000596C">
              <w:t>Increase in availability maternity services specific to target cohorts (as defined in the Plan).</w:t>
            </w:r>
          </w:p>
        </w:tc>
        <w:tc>
          <w:tcPr>
            <w:tcW w:w="2685" w:type="dxa"/>
          </w:tcPr>
          <w:p w14:paraId="3D5AC057" w14:textId="77777777" w:rsidR="001342C3" w:rsidRPr="00C97BF3" w:rsidRDefault="001342C3" w:rsidP="00060280">
            <w:pPr>
              <w:pStyle w:val="TableNText"/>
              <w:cnfStyle w:val="000000000000" w:firstRow="0" w:lastRow="0" w:firstColumn="0" w:lastColumn="0" w:oddVBand="0" w:evenVBand="0" w:oddHBand="0" w:evenHBand="0" w:firstRowFirstColumn="0" w:firstRowLastColumn="0" w:lastRowFirstColumn="0" w:lastRowLastColumn="0"/>
            </w:pPr>
          </w:p>
        </w:tc>
        <w:tc>
          <w:tcPr>
            <w:tcW w:w="2471" w:type="dxa"/>
            <w:gridSpan w:val="2"/>
          </w:tcPr>
          <w:p w14:paraId="5D91A59E" w14:textId="77777777" w:rsidR="001342C3" w:rsidRPr="00C97BF3" w:rsidRDefault="001342C3" w:rsidP="001342C3">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r w:rsidR="001342C3" w:rsidRPr="00C97BF3" w14:paraId="45B2CCC0" w14:textId="77777777" w:rsidTr="0006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7CE10A35" w14:textId="2A352DDB" w:rsidR="001342C3" w:rsidRPr="00C97BF3" w:rsidRDefault="001342C3" w:rsidP="00060280">
            <w:pPr>
              <w:pStyle w:val="TableNText"/>
            </w:pPr>
            <w:r w:rsidRPr="00C97BF3">
              <w:t>7</w:t>
            </w:r>
          </w:p>
        </w:tc>
        <w:tc>
          <w:tcPr>
            <w:tcW w:w="3537" w:type="dxa"/>
          </w:tcPr>
          <w:p w14:paraId="605192B5" w14:textId="655EEAF6"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r w:rsidRPr="00C97BF3">
              <w:t xml:space="preserve">Increase in </w:t>
            </w:r>
            <w:r w:rsidR="008172B2" w:rsidRPr="0000596C">
              <w:t xml:space="preserve">the number of </w:t>
            </w:r>
            <w:r w:rsidRPr="00C97BF3">
              <w:t>Aboriginal and Torres Strait Islander maternity care professionals.</w:t>
            </w:r>
          </w:p>
        </w:tc>
        <w:tc>
          <w:tcPr>
            <w:tcW w:w="2685" w:type="dxa"/>
          </w:tcPr>
          <w:p w14:paraId="3476028C" w14:textId="77777777"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p>
        </w:tc>
        <w:tc>
          <w:tcPr>
            <w:tcW w:w="2471" w:type="dxa"/>
            <w:gridSpan w:val="2"/>
          </w:tcPr>
          <w:p w14:paraId="2E4C71B4"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90113A" w:rsidRPr="00C97BF3" w14:paraId="758F4803" w14:textId="77777777" w:rsidTr="00060280">
        <w:tc>
          <w:tcPr>
            <w:cnfStyle w:val="001000000000" w:firstRow="0" w:lastRow="0" w:firstColumn="1" w:lastColumn="0" w:oddVBand="0" w:evenVBand="0" w:oddHBand="0" w:evenHBand="0" w:firstRowFirstColumn="0" w:firstRowLastColumn="0" w:lastRowFirstColumn="0" w:lastRowLastColumn="0"/>
            <w:tcW w:w="490" w:type="dxa"/>
          </w:tcPr>
          <w:p w14:paraId="1ACE2B5F" w14:textId="49666981" w:rsidR="0090113A" w:rsidRPr="0000596C" w:rsidRDefault="0000596C" w:rsidP="00060280">
            <w:pPr>
              <w:pStyle w:val="TableNText"/>
            </w:pPr>
            <w:r w:rsidRPr="0000596C">
              <w:t>8</w:t>
            </w:r>
          </w:p>
        </w:tc>
        <w:tc>
          <w:tcPr>
            <w:tcW w:w="3537" w:type="dxa"/>
          </w:tcPr>
          <w:p w14:paraId="7262AA2F" w14:textId="75C12683" w:rsidR="0090113A" w:rsidRPr="0000596C" w:rsidRDefault="0090113A" w:rsidP="00060280">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sidRPr="0000596C">
              <w:rPr>
                <w:rFonts w:eastAsiaTheme="minorEastAsia"/>
                <w:color w:val="1E1545" w:themeColor="dark1"/>
                <w:kern w:val="24"/>
              </w:rPr>
              <w:t xml:space="preserve">Increase in the availability of culturally </w:t>
            </w:r>
            <w:r w:rsidR="009174F2">
              <w:rPr>
                <w:rFonts w:eastAsiaTheme="minorEastAsia"/>
                <w:color w:val="1E1545" w:themeColor="dark1"/>
                <w:kern w:val="24"/>
              </w:rPr>
              <w:t>safe maternity care.</w:t>
            </w:r>
          </w:p>
        </w:tc>
        <w:tc>
          <w:tcPr>
            <w:tcW w:w="2685" w:type="dxa"/>
          </w:tcPr>
          <w:p w14:paraId="4E27C2A3" w14:textId="77777777" w:rsidR="0090113A" w:rsidRPr="0000596C" w:rsidRDefault="0090113A" w:rsidP="00060280">
            <w:pPr>
              <w:pStyle w:val="TableNText"/>
              <w:cnfStyle w:val="000000000000" w:firstRow="0" w:lastRow="0" w:firstColumn="0" w:lastColumn="0" w:oddVBand="0" w:evenVBand="0" w:oddHBand="0" w:evenHBand="0" w:firstRowFirstColumn="0" w:firstRowLastColumn="0" w:lastRowFirstColumn="0" w:lastRowLastColumn="0"/>
            </w:pPr>
          </w:p>
        </w:tc>
        <w:tc>
          <w:tcPr>
            <w:tcW w:w="2471" w:type="dxa"/>
            <w:gridSpan w:val="2"/>
          </w:tcPr>
          <w:p w14:paraId="6662C0E7" w14:textId="77777777" w:rsidR="0090113A" w:rsidRPr="0000596C" w:rsidRDefault="0090113A" w:rsidP="00AE368A">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r w:rsidR="001342C3" w:rsidRPr="00C97BF3" w14:paraId="0CC21ED8" w14:textId="77777777" w:rsidTr="0006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1D16D253" w14:textId="51BF24DF" w:rsidR="001342C3" w:rsidRPr="00C97BF3" w:rsidRDefault="0000596C" w:rsidP="00060280">
            <w:pPr>
              <w:pStyle w:val="TableNText"/>
            </w:pPr>
            <w:r w:rsidRPr="0000596C">
              <w:t>9</w:t>
            </w:r>
          </w:p>
        </w:tc>
        <w:tc>
          <w:tcPr>
            <w:tcW w:w="3537" w:type="dxa"/>
          </w:tcPr>
          <w:p w14:paraId="0F8F7041" w14:textId="27A08717"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r w:rsidRPr="00C97BF3">
              <w:rPr>
                <w:rFonts w:eastAsiaTheme="minorEastAsia"/>
                <w:color w:val="1E1545" w:themeColor="dark1"/>
                <w:kern w:val="24"/>
              </w:rPr>
              <w:t>Decrease in the proportion of women smoking tobacco during pregnancy.</w:t>
            </w:r>
          </w:p>
        </w:tc>
        <w:tc>
          <w:tcPr>
            <w:tcW w:w="2685" w:type="dxa"/>
          </w:tcPr>
          <w:p w14:paraId="0CD226A3" w14:textId="77777777"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p>
        </w:tc>
        <w:tc>
          <w:tcPr>
            <w:tcW w:w="2471" w:type="dxa"/>
            <w:gridSpan w:val="2"/>
          </w:tcPr>
          <w:p w14:paraId="7520F774"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1342C3" w:rsidRPr="00C97BF3" w14:paraId="330BD0F9" w14:textId="77777777" w:rsidTr="00060280">
        <w:tc>
          <w:tcPr>
            <w:cnfStyle w:val="001000000000" w:firstRow="0" w:lastRow="0" w:firstColumn="1" w:lastColumn="0" w:oddVBand="0" w:evenVBand="0" w:oddHBand="0" w:evenHBand="0" w:firstRowFirstColumn="0" w:firstRowLastColumn="0" w:lastRowFirstColumn="0" w:lastRowLastColumn="0"/>
            <w:tcW w:w="490" w:type="dxa"/>
          </w:tcPr>
          <w:p w14:paraId="0E260822" w14:textId="73E5E049" w:rsidR="001342C3" w:rsidRPr="00C97BF3" w:rsidRDefault="0000596C" w:rsidP="00060280">
            <w:pPr>
              <w:pStyle w:val="TableNText"/>
            </w:pPr>
            <w:r w:rsidRPr="0000596C">
              <w:t>10</w:t>
            </w:r>
          </w:p>
        </w:tc>
        <w:tc>
          <w:tcPr>
            <w:tcW w:w="3537" w:type="dxa"/>
          </w:tcPr>
          <w:p w14:paraId="6412B4A6" w14:textId="6DCA35B6" w:rsidR="001342C3" w:rsidRPr="00C97BF3" w:rsidRDefault="001342C3" w:rsidP="00060280">
            <w:pPr>
              <w:pStyle w:val="TableNText"/>
              <w:cnfStyle w:val="000000000000" w:firstRow="0" w:lastRow="0" w:firstColumn="0" w:lastColumn="0" w:oddVBand="0" w:evenVBand="0" w:oddHBand="0" w:evenHBand="0" w:firstRowFirstColumn="0" w:firstRowLastColumn="0" w:lastRowFirstColumn="0" w:lastRowLastColumn="0"/>
            </w:pPr>
            <w:r w:rsidRPr="00C97BF3">
              <w:t>Increase in the number and reach of publicly funded programs promoting awareness of stillbirth, risk factors and prevention strategies.</w:t>
            </w:r>
          </w:p>
        </w:tc>
        <w:tc>
          <w:tcPr>
            <w:tcW w:w="2685" w:type="dxa"/>
          </w:tcPr>
          <w:p w14:paraId="3CA93C44" w14:textId="77777777" w:rsidR="001342C3" w:rsidRPr="00C97BF3" w:rsidRDefault="001342C3" w:rsidP="00060280">
            <w:pPr>
              <w:pStyle w:val="TableNText"/>
              <w:cnfStyle w:val="000000000000" w:firstRow="0" w:lastRow="0" w:firstColumn="0" w:lastColumn="0" w:oddVBand="0" w:evenVBand="0" w:oddHBand="0" w:evenHBand="0" w:firstRowFirstColumn="0" w:firstRowLastColumn="0" w:lastRowFirstColumn="0" w:lastRowLastColumn="0"/>
            </w:pPr>
          </w:p>
        </w:tc>
        <w:tc>
          <w:tcPr>
            <w:tcW w:w="2471" w:type="dxa"/>
            <w:gridSpan w:val="2"/>
          </w:tcPr>
          <w:p w14:paraId="4379CF20" w14:textId="77777777" w:rsidR="001342C3" w:rsidRPr="00C97BF3" w:rsidRDefault="001342C3" w:rsidP="001342C3">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r w:rsidR="001342C3" w:rsidRPr="00C97BF3" w14:paraId="623A9C87" w14:textId="77777777" w:rsidTr="0006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675CABD5" w14:textId="55801BA8" w:rsidR="001342C3" w:rsidRPr="00C97BF3" w:rsidRDefault="00AE368A" w:rsidP="00060280">
            <w:pPr>
              <w:pStyle w:val="TableNText"/>
            </w:pPr>
            <w:r w:rsidRPr="0000596C">
              <w:t>1</w:t>
            </w:r>
            <w:r w:rsidR="0000596C" w:rsidRPr="0000596C">
              <w:t>1</w:t>
            </w:r>
          </w:p>
        </w:tc>
        <w:tc>
          <w:tcPr>
            <w:tcW w:w="3537" w:type="dxa"/>
          </w:tcPr>
          <w:p w14:paraId="6939003D" w14:textId="3864023E"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r w:rsidRPr="00C97BF3">
              <w:t xml:space="preserve">Increase in alignment of hospital, </w:t>
            </w:r>
            <w:proofErr w:type="gramStart"/>
            <w:r w:rsidRPr="00C97BF3">
              <w:t>organisation</w:t>
            </w:r>
            <w:proofErr w:type="gramEnd"/>
            <w:r w:rsidRPr="00C97BF3">
              <w:t xml:space="preserve"> and professional body guidelines with PSANZ </w:t>
            </w:r>
            <w:r w:rsidR="00A32CB8" w:rsidRPr="0000596C">
              <w:rPr>
                <w:i/>
                <w:iCs/>
              </w:rPr>
              <w:t>Clinical practice guideline for care around stillbirth and neonatal death</w:t>
            </w:r>
            <w:r w:rsidRPr="00C97BF3">
              <w:t xml:space="preserve"> and the national </w:t>
            </w:r>
            <w:r w:rsidRPr="0000596C">
              <w:rPr>
                <w:i/>
              </w:rPr>
              <w:t>Clinical Practice Guidelines – Pregnancy Care</w:t>
            </w:r>
            <w:r w:rsidRPr="00C97BF3">
              <w:t>.</w:t>
            </w:r>
          </w:p>
        </w:tc>
        <w:tc>
          <w:tcPr>
            <w:tcW w:w="2685" w:type="dxa"/>
          </w:tcPr>
          <w:p w14:paraId="4ACB19A6" w14:textId="77777777"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p>
        </w:tc>
        <w:tc>
          <w:tcPr>
            <w:tcW w:w="2471" w:type="dxa"/>
            <w:gridSpan w:val="2"/>
          </w:tcPr>
          <w:p w14:paraId="6CA3C7F3"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1342C3" w:rsidRPr="00C97BF3" w14:paraId="3C5FC68D" w14:textId="77777777" w:rsidTr="00060280">
        <w:tc>
          <w:tcPr>
            <w:cnfStyle w:val="001000000000" w:firstRow="0" w:lastRow="0" w:firstColumn="1" w:lastColumn="0" w:oddVBand="0" w:evenVBand="0" w:oddHBand="0" w:evenHBand="0" w:firstRowFirstColumn="0" w:firstRowLastColumn="0" w:lastRowFirstColumn="0" w:lastRowLastColumn="0"/>
            <w:tcW w:w="490" w:type="dxa"/>
          </w:tcPr>
          <w:p w14:paraId="7D93CC91" w14:textId="77583E54" w:rsidR="001342C3" w:rsidRPr="00C97BF3" w:rsidRDefault="00AE368A" w:rsidP="00060280">
            <w:pPr>
              <w:pStyle w:val="TableNText"/>
            </w:pPr>
            <w:r w:rsidRPr="0000596C">
              <w:t>1</w:t>
            </w:r>
            <w:r w:rsidR="0000596C" w:rsidRPr="0000596C">
              <w:t>2</w:t>
            </w:r>
          </w:p>
        </w:tc>
        <w:tc>
          <w:tcPr>
            <w:tcW w:w="3537" w:type="dxa"/>
          </w:tcPr>
          <w:p w14:paraId="2A1BDB9A" w14:textId="569BCF96" w:rsidR="001342C3" w:rsidRPr="00C97BF3" w:rsidRDefault="001342C3" w:rsidP="00060280">
            <w:pPr>
              <w:pStyle w:val="TableNText"/>
              <w:cnfStyle w:val="000000000000" w:firstRow="0" w:lastRow="0" w:firstColumn="0" w:lastColumn="0" w:oddVBand="0" w:evenVBand="0" w:oddHBand="0" w:evenHBand="0" w:firstRowFirstColumn="0" w:firstRowLastColumn="0" w:lastRowFirstColumn="0" w:lastRowLastColumn="0"/>
            </w:pPr>
            <w:r w:rsidRPr="00C97BF3">
              <w:t xml:space="preserve">Increase in the </w:t>
            </w:r>
            <w:r w:rsidR="00DB1658" w:rsidRPr="0000596C">
              <w:t>proportion</w:t>
            </w:r>
            <w:r w:rsidRPr="00C97BF3">
              <w:t xml:space="preserve"> of health professionals completing the IMPROVE training program.</w:t>
            </w:r>
          </w:p>
        </w:tc>
        <w:tc>
          <w:tcPr>
            <w:tcW w:w="2685" w:type="dxa"/>
          </w:tcPr>
          <w:p w14:paraId="09C45F6B" w14:textId="77777777" w:rsidR="001342C3" w:rsidRPr="00C97BF3" w:rsidRDefault="001342C3" w:rsidP="00060280">
            <w:pPr>
              <w:pStyle w:val="TableNText"/>
              <w:cnfStyle w:val="000000000000" w:firstRow="0" w:lastRow="0" w:firstColumn="0" w:lastColumn="0" w:oddVBand="0" w:evenVBand="0" w:oddHBand="0" w:evenHBand="0" w:firstRowFirstColumn="0" w:firstRowLastColumn="0" w:lastRowFirstColumn="0" w:lastRowLastColumn="0"/>
            </w:pPr>
          </w:p>
        </w:tc>
        <w:tc>
          <w:tcPr>
            <w:tcW w:w="2471" w:type="dxa"/>
            <w:gridSpan w:val="2"/>
          </w:tcPr>
          <w:p w14:paraId="4D8D2F63" w14:textId="77777777" w:rsidR="001342C3" w:rsidRPr="00C97BF3" w:rsidRDefault="001342C3" w:rsidP="001342C3">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r w:rsidR="001342C3" w:rsidRPr="00C97BF3" w14:paraId="6F0FA709" w14:textId="77777777" w:rsidTr="0006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4150E40B" w14:textId="590C0FF1" w:rsidR="001342C3" w:rsidRPr="00C97BF3" w:rsidRDefault="00AE368A" w:rsidP="00060280">
            <w:pPr>
              <w:pStyle w:val="TableNText"/>
            </w:pPr>
            <w:r w:rsidRPr="0000596C">
              <w:t>1</w:t>
            </w:r>
            <w:r w:rsidR="0000596C" w:rsidRPr="0000596C">
              <w:t>3</w:t>
            </w:r>
          </w:p>
        </w:tc>
        <w:tc>
          <w:tcPr>
            <w:tcW w:w="3537" w:type="dxa"/>
          </w:tcPr>
          <w:p w14:paraId="57494526" w14:textId="71D51650" w:rsidR="001342C3" w:rsidRPr="00C97BF3" w:rsidRDefault="00741236" w:rsidP="00060280">
            <w:pPr>
              <w:pStyle w:val="TableNText"/>
              <w:cnfStyle w:val="000000100000" w:firstRow="0" w:lastRow="0" w:firstColumn="0" w:lastColumn="0" w:oddVBand="0" w:evenVBand="0" w:oddHBand="1" w:evenHBand="0" w:firstRowFirstColumn="0" w:firstRowLastColumn="0" w:lastRowFirstColumn="0" w:lastRowLastColumn="0"/>
            </w:pPr>
            <w:r w:rsidRPr="0000596C">
              <w:t>Increase in awareness</w:t>
            </w:r>
            <w:r w:rsidR="001342C3" w:rsidRPr="00C97BF3">
              <w:t xml:space="preserve"> and </w:t>
            </w:r>
            <w:r w:rsidRPr="0000596C">
              <w:t>ability for bereaved women</w:t>
            </w:r>
            <w:r w:rsidR="001342C3" w:rsidRPr="00C97BF3">
              <w:t xml:space="preserve"> and </w:t>
            </w:r>
            <w:r w:rsidRPr="0000596C">
              <w:t>families to access</w:t>
            </w:r>
            <w:r w:rsidR="001342C3" w:rsidRPr="00C97BF3">
              <w:t xml:space="preserve"> bereavement care (overall and in target cohorts).</w:t>
            </w:r>
          </w:p>
        </w:tc>
        <w:tc>
          <w:tcPr>
            <w:tcW w:w="2685" w:type="dxa"/>
          </w:tcPr>
          <w:p w14:paraId="30EEA3C3" w14:textId="77777777"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p>
        </w:tc>
        <w:tc>
          <w:tcPr>
            <w:tcW w:w="2471" w:type="dxa"/>
            <w:gridSpan w:val="2"/>
          </w:tcPr>
          <w:p w14:paraId="4E0D4B54"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1342C3" w:rsidRPr="00C97BF3" w14:paraId="1D776DD7" w14:textId="77777777" w:rsidTr="00060280">
        <w:tc>
          <w:tcPr>
            <w:cnfStyle w:val="001000000000" w:firstRow="0" w:lastRow="0" w:firstColumn="1" w:lastColumn="0" w:oddVBand="0" w:evenVBand="0" w:oddHBand="0" w:evenHBand="0" w:firstRowFirstColumn="0" w:firstRowLastColumn="0" w:lastRowFirstColumn="0" w:lastRowLastColumn="0"/>
            <w:tcW w:w="490" w:type="dxa"/>
          </w:tcPr>
          <w:p w14:paraId="4687F616" w14:textId="43A169EC" w:rsidR="001342C3" w:rsidRPr="00C97BF3" w:rsidRDefault="00AE368A" w:rsidP="00060280">
            <w:pPr>
              <w:pStyle w:val="TableNText"/>
            </w:pPr>
            <w:r w:rsidRPr="0000596C">
              <w:t>1</w:t>
            </w:r>
            <w:r w:rsidR="0000596C" w:rsidRPr="0000596C">
              <w:t>4</w:t>
            </w:r>
          </w:p>
        </w:tc>
        <w:tc>
          <w:tcPr>
            <w:tcW w:w="3537" w:type="dxa"/>
          </w:tcPr>
          <w:p w14:paraId="68F88088" w14:textId="478188DD" w:rsidR="001342C3" w:rsidRPr="00C97BF3" w:rsidRDefault="001342C3" w:rsidP="00060280">
            <w:pPr>
              <w:pStyle w:val="TableNText"/>
              <w:cnfStyle w:val="000000000000" w:firstRow="0" w:lastRow="0" w:firstColumn="0" w:lastColumn="0" w:oddVBand="0" w:evenVBand="0" w:oddHBand="0" w:evenHBand="0" w:firstRowFirstColumn="0" w:firstRowLastColumn="0" w:lastRowFirstColumn="0" w:lastRowLastColumn="0"/>
            </w:pPr>
            <w:r w:rsidRPr="0000596C">
              <w:t>Increase in the proportion of women and/or families who are offered stillbirth investigation</w:t>
            </w:r>
            <w:r w:rsidR="00125AC5" w:rsidRPr="0000596C">
              <w:t>(s).</w:t>
            </w:r>
          </w:p>
        </w:tc>
        <w:tc>
          <w:tcPr>
            <w:tcW w:w="2685" w:type="dxa"/>
          </w:tcPr>
          <w:p w14:paraId="2067D9BE" w14:textId="77777777" w:rsidR="001342C3" w:rsidRPr="00C97BF3" w:rsidRDefault="001342C3" w:rsidP="00060280">
            <w:pPr>
              <w:pStyle w:val="TableNText"/>
              <w:cnfStyle w:val="000000000000" w:firstRow="0" w:lastRow="0" w:firstColumn="0" w:lastColumn="0" w:oddVBand="0" w:evenVBand="0" w:oddHBand="0" w:evenHBand="0" w:firstRowFirstColumn="0" w:firstRowLastColumn="0" w:lastRowFirstColumn="0" w:lastRowLastColumn="0"/>
            </w:pPr>
          </w:p>
        </w:tc>
        <w:tc>
          <w:tcPr>
            <w:tcW w:w="2471" w:type="dxa"/>
            <w:gridSpan w:val="2"/>
          </w:tcPr>
          <w:p w14:paraId="4B191CEC" w14:textId="77777777" w:rsidR="001342C3" w:rsidRPr="00C97BF3" w:rsidRDefault="001342C3" w:rsidP="001342C3">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r w:rsidR="001342C3" w:rsidRPr="00C97BF3" w14:paraId="11A6E648" w14:textId="77777777" w:rsidTr="00060280">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490" w:type="dxa"/>
          </w:tcPr>
          <w:p w14:paraId="09BD9E5C" w14:textId="3EB82915" w:rsidR="001342C3" w:rsidRPr="00C97BF3" w:rsidRDefault="00AE368A" w:rsidP="00060280">
            <w:pPr>
              <w:pStyle w:val="TableNText"/>
            </w:pPr>
            <w:r w:rsidRPr="0000596C">
              <w:t>1</w:t>
            </w:r>
            <w:r w:rsidR="0000596C" w:rsidRPr="0000596C">
              <w:t>5</w:t>
            </w:r>
          </w:p>
        </w:tc>
        <w:tc>
          <w:tcPr>
            <w:tcW w:w="3537" w:type="dxa"/>
          </w:tcPr>
          <w:p w14:paraId="4A70ED50" w14:textId="7D235C5E"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r w:rsidRPr="0000596C">
              <w:t>Increase in the proportion of women and/or families who consent to a stillbirth investigation.</w:t>
            </w:r>
          </w:p>
        </w:tc>
        <w:tc>
          <w:tcPr>
            <w:tcW w:w="2685" w:type="dxa"/>
          </w:tcPr>
          <w:p w14:paraId="694CF13F" w14:textId="77777777"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p>
        </w:tc>
        <w:tc>
          <w:tcPr>
            <w:tcW w:w="2456" w:type="dxa"/>
          </w:tcPr>
          <w:p w14:paraId="47D00043"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1342C3" w:rsidRPr="00C97BF3" w14:paraId="18FD6A6F" w14:textId="77777777" w:rsidTr="00060280">
        <w:tc>
          <w:tcPr>
            <w:cnfStyle w:val="001000000000" w:firstRow="0" w:lastRow="0" w:firstColumn="1" w:lastColumn="0" w:oddVBand="0" w:evenVBand="0" w:oddHBand="0" w:evenHBand="0" w:firstRowFirstColumn="0" w:firstRowLastColumn="0" w:lastRowFirstColumn="0" w:lastRowLastColumn="0"/>
            <w:tcW w:w="490" w:type="dxa"/>
          </w:tcPr>
          <w:p w14:paraId="4759AAAE" w14:textId="1D7A2C30" w:rsidR="001342C3" w:rsidRPr="00C97BF3" w:rsidRDefault="00AE368A" w:rsidP="00060280">
            <w:pPr>
              <w:pStyle w:val="TableNText"/>
            </w:pPr>
            <w:r w:rsidRPr="0000596C">
              <w:t>1</w:t>
            </w:r>
            <w:r w:rsidR="0000596C" w:rsidRPr="0000596C">
              <w:t>6</w:t>
            </w:r>
          </w:p>
        </w:tc>
        <w:tc>
          <w:tcPr>
            <w:tcW w:w="3537" w:type="dxa"/>
          </w:tcPr>
          <w:p w14:paraId="55F5B93D" w14:textId="2EB7A69B" w:rsidR="001342C3" w:rsidRPr="00C97BF3" w:rsidRDefault="001342C3" w:rsidP="00060280">
            <w:pPr>
              <w:pStyle w:val="TableNText"/>
              <w:cnfStyle w:val="000000000000" w:firstRow="0" w:lastRow="0" w:firstColumn="0" w:lastColumn="0" w:oddVBand="0" w:evenVBand="0" w:oddHBand="0" w:evenHBand="0" w:firstRowFirstColumn="0" w:firstRowLastColumn="0" w:lastRowFirstColumn="0" w:lastRowLastColumn="0"/>
            </w:pPr>
            <w:r w:rsidRPr="00C97BF3">
              <w:t>Decrease in the proportion of stillbirths that are unexplained.</w:t>
            </w:r>
          </w:p>
        </w:tc>
        <w:tc>
          <w:tcPr>
            <w:tcW w:w="2685" w:type="dxa"/>
          </w:tcPr>
          <w:p w14:paraId="4ED045CE" w14:textId="77777777" w:rsidR="001342C3" w:rsidRPr="00C97BF3" w:rsidRDefault="001342C3" w:rsidP="00060280">
            <w:pPr>
              <w:pStyle w:val="TableNText"/>
              <w:cnfStyle w:val="000000000000" w:firstRow="0" w:lastRow="0" w:firstColumn="0" w:lastColumn="0" w:oddVBand="0" w:evenVBand="0" w:oddHBand="0" w:evenHBand="0" w:firstRowFirstColumn="0" w:firstRowLastColumn="0" w:lastRowFirstColumn="0" w:lastRowLastColumn="0"/>
            </w:pPr>
          </w:p>
        </w:tc>
        <w:tc>
          <w:tcPr>
            <w:tcW w:w="2471" w:type="dxa"/>
            <w:gridSpan w:val="2"/>
          </w:tcPr>
          <w:p w14:paraId="2712D837" w14:textId="77777777" w:rsidR="001342C3" w:rsidRPr="00C97BF3" w:rsidRDefault="001342C3" w:rsidP="001342C3">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r w:rsidR="001342C3" w:rsidRPr="00C97BF3" w14:paraId="291FE81B" w14:textId="77777777" w:rsidTr="0006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4CE8DD7E" w14:textId="136A82FF" w:rsidR="001342C3" w:rsidRPr="00C97BF3" w:rsidRDefault="00AE368A" w:rsidP="00060280">
            <w:pPr>
              <w:pStyle w:val="TableNText"/>
            </w:pPr>
            <w:r w:rsidRPr="0000596C">
              <w:lastRenderedPageBreak/>
              <w:t>1</w:t>
            </w:r>
            <w:r w:rsidR="0000596C" w:rsidRPr="0000596C">
              <w:t>7</w:t>
            </w:r>
          </w:p>
        </w:tc>
        <w:tc>
          <w:tcPr>
            <w:tcW w:w="3537" w:type="dxa"/>
          </w:tcPr>
          <w:p w14:paraId="1C861B51" w14:textId="501F88BD" w:rsidR="001342C3" w:rsidRPr="00C97BF3" w:rsidRDefault="00E31F1F" w:rsidP="00060280">
            <w:pPr>
              <w:pStyle w:val="TableNText"/>
              <w:cnfStyle w:val="000000100000" w:firstRow="0" w:lastRow="0" w:firstColumn="0" w:lastColumn="0" w:oddVBand="0" w:evenVBand="0" w:oddHBand="1" w:evenHBand="0" w:firstRowFirstColumn="0" w:firstRowLastColumn="0" w:lastRowFirstColumn="0" w:lastRowLastColumn="0"/>
            </w:pPr>
            <w:r w:rsidRPr="0000596C">
              <w:t xml:space="preserve">Increase in the timeliness of published stillbirth data.  </w:t>
            </w:r>
          </w:p>
        </w:tc>
        <w:tc>
          <w:tcPr>
            <w:tcW w:w="2685" w:type="dxa"/>
          </w:tcPr>
          <w:p w14:paraId="5FD2C585" w14:textId="77777777" w:rsidR="001342C3" w:rsidRPr="00C97BF3" w:rsidRDefault="001342C3" w:rsidP="00060280">
            <w:pPr>
              <w:pStyle w:val="TableNText"/>
              <w:cnfStyle w:val="000000100000" w:firstRow="0" w:lastRow="0" w:firstColumn="0" w:lastColumn="0" w:oddVBand="0" w:evenVBand="0" w:oddHBand="1" w:evenHBand="0" w:firstRowFirstColumn="0" w:firstRowLastColumn="0" w:lastRowFirstColumn="0" w:lastRowLastColumn="0"/>
            </w:pPr>
          </w:p>
        </w:tc>
        <w:tc>
          <w:tcPr>
            <w:tcW w:w="2471" w:type="dxa"/>
            <w:gridSpan w:val="2"/>
          </w:tcPr>
          <w:p w14:paraId="33F06A04" w14:textId="77777777" w:rsidR="001342C3" w:rsidRPr="00C97BF3" w:rsidRDefault="001342C3" w:rsidP="001342C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E31F1F" w:rsidRPr="00C97BF3" w14:paraId="250B1C83" w14:textId="77777777" w:rsidTr="00060280">
        <w:tc>
          <w:tcPr>
            <w:cnfStyle w:val="001000000000" w:firstRow="0" w:lastRow="0" w:firstColumn="1" w:lastColumn="0" w:oddVBand="0" w:evenVBand="0" w:oddHBand="0" w:evenHBand="0" w:firstRowFirstColumn="0" w:firstRowLastColumn="0" w:lastRowFirstColumn="0" w:lastRowLastColumn="0"/>
            <w:tcW w:w="490" w:type="dxa"/>
          </w:tcPr>
          <w:p w14:paraId="5B44A7A3" w14:textId="6DC311B7" w:rsidR="00E31F1F" w:rsidRPr="0000596C" w:rsidRDefault="0000596C" w:rsidP="00060280">
            <w:pPr>
              <w:pStyle w:val="TableNText"/>
            </w:pPr>
            <w:r w:rsidRPr="0000596C">
              <w:t>18</w:t>
            </w:r>
          </w:p>
        </w:tc>
        <w:tc>
          <w:tcPr>
            <w:tcW w:w="3537" w:type="dxa"/>
          </w:tcPr>
          <w:p w14:paraId="73DFF486" w14:textId="5F56DE72" w:rsidR="00E31F1F" w:rsidRPr="0000596C" w:rsidRDefault="0000596C" w:rsidP="00060280">
            <w:pPr>
              <w:pStyle w:val="TableNText"/>
              <w:cnfStyle w:val="000000000000" w:firstRow="0" w:lastRow="0" w:firstColumn="0" w:lastColumn="0" w:oddVBand="0" w:evenVBand="0" w:oddHBand="0" w:evenHBand="0" w:firstRowFirstColumn="0" w:firstRowLastColumn="0" w:lastRowFirstColumn="0" w:lastRowLastColumn="0"/>
            </w:pPr>
            <w:r w:rsidRPr="0000596C">
              <w:t>Increase in the number of research projects in, and amount of funding granted to, the stillbirth priority research areas.</w:t>
            </w:r>
          </w:p>
        </w:tc>
        <w:tc>
          <w:tcPr>
            <w:tcW w:w="2685" w:type="dxa"/>
          </w:tcPr>
          <w:p w14:paraId="71B4B07D" w14:textId="77777777" w:rsidR="00E31F1F" w:rsidRPr="0000596C" w:rsidRDefault="00E31F1F" w:rsidP="00060280">
            <w:pPr>
              <w:pStyle w:val="TableNText"/>
              <w:cnfStyle w:val="000000000000" w:firstRow="0" w:lastRow="0" w:firstColumn="0" w:lastColumn="0" w:oddVBand="0" w:evenVBand="0" w:oddHBand="0" w:evenHBand="0" w:firstRowFirstColumn="0" w:firstRowLastColumn="0" w:lastRowFirstColumn="0" w:lastRowLastColumn="0"/>
            </w:pPr>
          </w:p>
        </w:tc>
        <w:tc>
          <w:tcPr>
            <w:tcW w:w="2471" w:type="dxa"/>
            <w:gridSpan w:val="2"/>
          </w:tcPr>
          <w:p w14:paraId="3BE39655" w14:textId="77777777" w:rsidR="00E31F1F" w:rsidRPr="0000596C" w:rsidRDefault="00E31F1F" w:rsidP="00AE368A">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bl>
    <w:p w14:paraId="6BAE9BEE" w14:textId="112CCC33" w:rsidR="00EF7A63" w:rsidRPr="00284847" w:rsidRDefault="00EF7A63" w:rsidP="00904E0D">
      <w:pPr>
        <w:sectPr w:rsidR="00EF7A63" w:rsidRPr="00284847" w:rsidSect="00DD093C">
          <w:headerReference w:type="default" r:id="rId70"/>
          <w:pgSz w:w="11907" w:h="16839" w:code="9"/>
          <w:pgMar w:top="1276" w:right="1418" w:bottom="1701" w:left="1276" w:header="454" w:footer="720" w:gutter="0"/>
          <w:cols w:space="720"/>
          <w:docGrid w:linePitch="360"/>
        </w:sectPr>
      </w:pPr>
    </w:p>
    <w:p w14:paraId="0661F58D" w14:textId="07C215A3" w:rsidR="00570F13" w:rsidRDefault="00570F13" w:rsidP="00F21D30">
      <w:pPr>
        <w:pStyle w:val="xAppendixLevel1"/>
        <w:tabs>
          <w:tab w:val="clear" w:pos="7938"/>
        </w:tabs>
      </w:pPr>
      <w:bookmarkStart w:id="60" w:name="_Ref86911526"/>
      <w:bookmarkStart w:id="61" w:name="_Ref88659648"/>
      <w:bookmarkStart w:id="62" w:name="_Ref88659678"/>
      <w:bookmarkStart w:id="63" w:name="_Toc121303903"/>
      <w:r>
        <w:lastRenderedPageBreak/>
        <w:t xml:space="preserve">Detail on </w:t>
      </w:r>
      <w:r w:rsidR="00E419D7">
        <w:t xml:space="preserve">national evaluation </w:t>
      </w:r>
      <w:r>
        <w:t>indicators</w:t>
      </w:r>
      <w:bookmarkEnd w:id="53"/>
      <w:bookmarkEnd w:id="60"/>
      <w:bookmarkEnd w:id="61"/>
      <w:bookmarkEnd w:id="62"/>
      <w:bookmarkEnd w:id="63"/>
    </w:p>
    <w:p w14:paraId="4A461785" w14:textId="44350C8F" w:rsidR="00E9058E" w:rsidRPr="00D0129E" w:rsidRDefault="00111B94" w:rsidP="00570F13">
      <w:pPr>
        <w:rPr>
          <w:rFonts w:ascii="Arial" w:hAnsi="Arial" w:cs="Arial"/>
          <w:lang w:eastAsia="en-AU"/>
        </w:rPr>
      </w:pPr>
      <w:r w:rsidRPr="00D0129E">
        <w:rPr>
          <w:rFonts w:ascii="Arial" w:hAnsi="Arial" w:cs="Arial"/>
          <w:lang w:eastAsia="en-AU"/>
        </w:rPr>
        <w:fldChar w:fldCharType="begin"/>
      </w:r>
      <w:r w:rsidRPr="00D0129E">
        <w:rPr>
          <w:rFonts w:ascii="Arial" w:hAnsi="Arial" w:cs="Arial"/>
          <w:lang w:eastAsia="en-AU"/>
        </w:rPr>
        <w:instrText xml:space="preserve"> REF _Ref86839288 \h </w:instrText>
      </w:r>
      <w:r w:rsidR="00D0129E">
        <w:rPr>
          <w:rFonts w:ascii="Arial" w:hAnsi="Arial" w:cs="Arial"/>
          <w:lang w:eastAsia="en-AU"/>
        </w:rPr>
        <w:instrText xml:space="preserve"> \* MERGEFORMAT </w:instrText>
      </w:r>
      <w:r w:rsidRPr="00D0129E">
        <w:rPr>
          <w:rFonts w:ascii="Arial" w:hAnsi="Arial" w:cs="Arial"/>
          <w:lang w:eastAsia="en-AU"/>
        </w:rPr>
      </w:r>
      <w:r w:rsidRPr="00D0129E">
        <w:rPr>
          <w:rFonts w:ascii="Arial" w:hAnsi="Arial" w:cs="Arial"/>
          <w:lang w:eastAsia="en-AU"/>
        </w:rPr>
        <w:fldChar w:fldCharType="separate"/>
      </w:r>
      <w:r w:rsidR="00CF19E2" w:rsidRPr="00CF19E2">
        <w:rPr>
          <w:rFonts w:ascii="Arial" w:hAnsi="Arial" w:cs="Arial"/>
        </w:rPr>
        <w:t xml:space="preserve">Table </w:t>
      </w:r>
      <w:r w:rsidR="00CF19E2" w:rsidRPr="00CF19E2">
        <w:rPr>
          <w:rFonts w:ascii="Arial" w:hAnsi="Arial" w:cs="Arial"/>
          <w:noProof/>
        </w:rPr>
        <w:t>10</w:t>
      </w:r>
      <w:r w:rsidRPr="00D0129E">
        <w:rPr>
          <w:rFonts w:ascii="Arial" w:hAnsi="Arial" w:cs="Arial"/>
          <w:lang w:eastAsia="en-AU"/>
        </w:rPr>
        <w:fldChar w:fldCharType="end"/>
      </w:r>
      <w:r w:rsidRPr="00D0129E">
        <w:rPr>
          <w:rFonts w:ascii="Arial" w:hAnsi="Arial" w:cs="Arial"/>
          <w:lang w:eastAsia="en-AU"/>
        </w:rPr>
        <w:t xml:space="preserve"> </w:t>
      </w:r>
      <w:r w:rsidR="00075633" w:rsidRPr="00D0129E">
        <w:rPr>
          <w:rFonts w:ascii="Arial" w:hAnsi="Arial" w:cs="Arial"/>
          <w:lang w:eastAsia="en-AU"/>
        </w:rPr>
        <w:t>provides further detail</w:t>
      </w:r>
      <w:r w:rsidR="00570F13" w:rsidRPr="00D0129E">
        <w:rPr>
          <w:rFonts w:ascii="Arial" w:hAnsi="Arial" w:cs="Arial"/>
          <w:lang w:eastAsia="en-AU"/>
        </w:rPr>
        <w:t xml:space="preserve"> on the indicators </w:t>
      </w:r>
      <w:r w:rsidR="00075633" w:rsidRPr="00D0129E">
        <w:rPr>
          <w:rFonts w:ascii="Arial" w:hAnsi="Arial" w:cs="Arial"/>
          <w:lang w:eastAsia="en-AU"/>
        </w:rPr>
        <w:t xml:space="preserve">including </w:t>
      </w:r>
      <w:r w:rsidR="00332E76" w:rsidRPr="00D0129E">
        <w:rPr>
          <w:rFonts w:ascii="Arial" w:hAnsi="Arial" w:cs="Arial"/>
          <w:lang w:eastAsia="en-AU"/>
        </w:rPr>
        <w:t>their rationale, challenges or limitation an</w:t>
      </w:r>
      <w:r w:rsidRPr="00D0129E">
        <w:rPr>
          <w:rFonts w:ascii="Arial" w:hAnsi="Arial" w:cs="Arial"/>
          <w:lang w:eastAsia="en-AU"/>
        </w:rPr>
        <w:t>d the data sources that will be used</w:t>
      </w:r>
      <w:r w:rsidR="00877A16">
        <w:rPr>
          <w:rFonts w:ascii="Arial" w:hAnsi="Arial" w:cs="Arial"/>
          <w:lang w:eastAsia="en-AU"/>
        </w:rPr>
        <w:t xml:space="preserve"> based on sources known at the time of publishing</w:t>
      </w:r>
      <w:r w:rsidR="00FC67BD">
        <w:rPr>
          <w:rFonts w:ascii="Arial" w:hAnsi="Arial" w:cs="Arial"/>
          <w:lang w:eastAsia="en-AU"/>
        </w:rPr>
        <w:t>, noting that new data sources will become available in the future.</w:t>
      </w:r>
      <w:r w:rsidRPr="00D0129E" w:rsidDel="00877A16">
        <w:rPr>
          <w:rFonts w:ascii="Arial" w:hAnsi="Arial" w:cs="Arial"/>
          <w:lang w:eastAsia="en-AU"/>
        </w:rPr>
        <w:t xml:space="preserve"> </w:t>
      </w:r>
      <w:r w:rsidR="00943633" w:rsidRPr="00D0129E">
        <w:rPr>
          <w:rFonts w:ascii="Arial" w:hAnsi="Arial" w:cs="Arial"/>
          <w:lang w:eastAsia="en-AU"/>
        </w:rPr>
        <w:t xml:space="preserve">Section </w:t>
      </w:r>
      <w:r w:rsidR="0060587B" w:rsidRPr="00D0129E">
        <w:rPr>
          <w:rFonts w:ascii="Arial" w:hAnsi="Arial" w:cs="Arial"/>
          <w:lang w:eastAsia="en-AU"/>
        </w:rPr>
        <w:fldChar w:fldCharType="begin"/>
      </w:r>
      <w:r w:rsidR="0060587B" w:rsidRPr="00D0129E">
        <w:rPr>
          <w:rFonts w:ascii="Arial" w:hAnsi="Arial" w:cs="Arial"/>
          <w:lang w:eastAsia="en-AU"/>
        </w:rPr>
        <w:instrText xml:space="preserve"> REF _Ref88115434 \w \h </w:instrText>
      </w:r>
      <w:r w:rsidR="00D0129E">
        <w:rPr>
          <w:rFonts w:ascii="Arial" w:hAnsi="Arial" w:cs="Arial"/>
          <w:lang w:eastAsia="en-AU"/>
        </w:rPr>
        <w:instrText xml:space="preserve"> \* MERGEFORMAT </w:instrText>
      </w:r>
      <w:r w:rsidR="0060587B" w:rsidRPr="00D0129E">
        <w:rPr>
          <w:rFonts w:ascii="Arial" w:hAnsi="Arial" w:cs="Arial"/>
          <w:lang w:eastAsia="en-AU"/>
        </w:rPr>
      </w:r>
      <w:r w:rsidR="0060587B" w:rsidRPr="00D0129E">
        <w:rPr>
          <w:rFonts w:ascii="Arial" w:hAnsi="Arial" w:cs="Arial"/>
          <w:lang w:eastAsia="en-AU"/>
        </w:rPr>
        <w:fldChar w:fldCharType="separate"/>
      </w:r>
      <w:r w:rsidR="00CF19E2">
        <w:rPr>
          <w:rFonts w:ascii="Arial" w:hAnsi="Arial" w:cs="Arial"/>
          <w:lang w:eastAsia="en-AU"/>
        </w:rPr>
        <w:t>2.5</w:t>
      </w:r>
      <w:r w:rsidR="0060587B" w:rsidRPr="00D0129E">
        <w:rPr>
          <w:rFonts w:ascii="Arial" w:hAnsi="Arial" w:cs="Arial"/>
          <w:lang w:eastAsia="en-AU"/>
        </w:rPr>
        <w:fldChar w:fldCharType="end"/>
      </w:r>
      <w:r w:rsidR="0060587B" w:rsidRPr="00D0129E">
        <w:rPr>
          <w:rFonts w:ascii="Arial" w:hAnsi="Arial" w:cs="Arial"/>
          <w:lang w:eastAsia="en-AU"/>
        </w:rPr>
        <w:t xml:space="preserve"> </w:t>
      </w:r>
      <w:r w:rsidR="00943633" w:rsidRPr="00D0129E">
        <w:rPr>
          <w:rFonts w:ascii="Arial" w:hAnsi="Arial" w:cs="Arial"/>
          <w:lang w:eastAsia="en-AU"/>
        </w:rPr>
        <w:t>provides more detail regarding the rationale and some examples for each data source.</w:t>
      </w:r>
      <w:r w:rsidR="00E9058E" w:rsidRPr="00D0129E">
        <w:rPr>
          <w:rFonts w:ascii="Arial" w:hAnsi="Arial" w:cs="Arial"/>
          <w:lang w:eastAsia="en-AU"/>
        </w:rPr>
        <w:t xml:space="preserve"> This table lists data sources </w:t>
      </w:r>
      <w:r w:rsidR="00374856">
        <w:rPr>
          <w:rFonts w:ascii="Arial" w:hAnsi="Arial" w:cs="Arial"/>
          <w:lang w:eastAsia="en-AU"/>
        </w:rPr>
        <w:t>available</w:t>
      </w:r>
      <w:r w:rsidR="00E9058E" w:rsidRPr="00D0129E">
        <w:rPr>
          <w:rFonts w:ascii="Arial" w:hAnsi="Arial" w:cs="Arial"/>
          <w:lang w:eastAsia="en-AU"/>
        </w:rPr>
        <w:t xml:space="preserve"> </w:t>
      </w:r>
      <w:proofErr w:type="gramStart"/>
      <w:r w:rsidR="00792F37">
        <w:rPr>
          <w:rFonts w:ascii="Arial" w:hAnsi="Arial" w:cs="Arial"/>
          <w:lang w:eastAsia="en-AU"/>
        </w:rPr>
        <w:t>at</w:t>
      </w:r>
      <w:proofErr w:type="gramEnd"/>
      <w:r w:rsidR="00E9058E" w:rsidRPr="00D0129E">
        <w:rPr>
          <w:rFonts w:ascii="Arial" w:hAnsi="Arial" w:cs="Arial"/>
          <w:lang w:eastAsia="en-AU"/>
        </w:rPr>
        <w:t xml:space="preserve"> </w:t>
      </w:r>
      <w:r w:rsidR="00F968F2">
        <w:rPr>
          <w:rFonts w:ascii="Arial" w:hAnsi="Arial" w:cs="Arial"/>
          <w:lang w:eastAsia="en-AU"/>
        </w:rPr>
        <w:t>March</w:t>
      </w:r>
      <w:r w:rsidR="00E9058E" w:rsidRPr="00D0129E">
        <w:rPr>
          <w:rFonts w:ascii="Arial" w:hAnsi="Arial" w:cs="Arial"/>
          <w:lang w:eastAsia="en-AU"/>
        </w:rPr>
        <w:t xml:space="preserve"> 2021</w:t>
      </w:r>
      <w:r w:rsidR="00F968F2">
        <w:rPr>
          <w:rFonts w:ascii="Arial" w:hAnsi="Arial" w:cs="Arial"/>
          <w:lang w:eastAsia="en-AU"/>
        </w:rPr>
        <w:t>. I</w:t>
      </w:r>
      <w:r w:rsidR="00E9058E" w:rsidRPr="00D0129E">
        <w:rPr>
          <w:rFonts w:ascii="Arial" w:hAnsi="Arial" w:cs="Arial"/>
          <w:lang w:eastAsia="en-AU"/>
        </w:rPr>
        <w:t>t is likely new data sources will become available over the life of monitoring and evaluation to inform key questions and indicators.</w:t>
      </w:r>
    </w:p>
    <w:p w14:paraId="639FE786" w14:textId="59DC20D0" w:rsidR="00732DB6" w:rsidRPr="00D0129E" w:rsidRDefault="00EF3174" w:rsidP="00570F13">
      <w:pPr>
        <w:rPr>
          <w:rFonts w:ascii="Arial" w:hAnsi="Arial" w:cs="Arial"/>
          <w:lang w:eastAsia="en-AU"/>
        </w:rPr>
      </w:pPr>
      <w:r w:rsidRPr="00D0129E">
        <w:rPr>
          <w:rFonts w:ascii="Arial" w:hAnsi="Arial" w:cs="Arial"/>
          <w:lang w:eastAsia="en-AU"/>
        </w:rPr>
        <w:t>The definitions, including the numerators and denominators for rates and any inclusions and exclusions</w:t>
      </w:r>
      <w:r w:rsidR="00CE4378" w:rsidRPr="00D0129E">
        <w:rPr>
          <w:rFonts w:ascii="Arial" w:hAnsi="Arial" w:cs="Arial"/>
          <w:lang w:eastAsia="en-AU"/>
        </w:rPr>
        <w:t>, will align to the data sources used to obtain information against each indicator.</w:t>
      </w:r>
    </w:p>
    <w:p w14:paraId="300977BD" w14:textId="2287E67B" w:rsidR="006226D6" w:rsidRDefault="00111B94" w:rsidP="00111B94">
      <w:pPr>
        <w:pStyle w:val="Caption"/>
        <w:rPr>
          <w:lang w:eastAsia="en-AU"/>
        </w:rPr>
      </w:pPr>
      <w:bookmarkStart w:id="64" w:name="_Ref86839288"/>
      <w:r>
        <w:t xml:space="preserve">Table </w:t>
      </w:r>
      <w:r>
        <w:fldChar w:fldCharType="begin"/>
      </w:r>
      <w:r>
        <w:instrText xml:space="preserve"> SEQ Table \* ARABIC </w:instrText>
      </w:r>
      <w:r>
        <w:fldChar w:fldCharType="separate"/>
      </w:r>
      <w:r w:rsidR="00CF19E2">
        <w:rPr>
          <w:noProof/>
        </w:rPr>
        <w:t>10</w:t>
      </w:r>
      <w:r>
        <w:fldChar w:fldCharType="end"/>
      </w:r>
      <w:bookmarkEnd w:id="64"/>
      <w:r>
        <w:t xml:space="preserve"> | Detail on indicators</w:t>
      </w:r>
    </w:p>
    <w:tbl>
      <w:tblPr>
        <w:tblStyle w:val="PlainTable1"/>
        <w:tblW w:w="13720" w:type="dxa"/>
        <w:tblLayout w:type="fixed"/>
        <w:tblLook w:val="04A0" w:firstRow="1" w:lastRow="0" w:firstColumn="1" w:lastColumn="0" w:noHBand="0" w:noVBand="1"/>
      </w:tblPr>
      <w:tblGrid>
        <w:gridCol w:w="567"/>
        <w:gridCol w:w="1828"/>
        <w:gridCol w:w="4678"/>
        <w:gridCol w:w="4252"/>
        <w:gridCol w:w="2395"/>
      </w:tblGrid>
      <w:tr w:rsidR="002E7848" w14:paraId="56684FCE" w14:textId="366DDB2A" w:rsidTr="00CC388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F0AA079" w14:textId="77777777" w:rsidR="00B808A8" w:rsidRPr="000B681C" w:rsidRDefault="00B808A8" w:rsidP="00CC3881">
            <w:pPr>
              <w:pStyle w:val="TableNheader"/>
            </w:pPr>
            <w:r w:rsidRPr="000B681C">
              <w:t>#</w:t>
            </w:r>
          </w:p>
        </w:tc>
        <w:tc>
          <w:tcPr>
            <w:tcW w:w="1828" w:type="dxa"/>
            <w:vAlign w:val="center"/>
          </w:tcPr>
          <w:p w14:paraId="65BB1D84" w14:textId="77777777" w:rsidR="00B808A8" w:rsidRPr="000B681C" w:rsidRDefault="00B808A8" w:rsidP="00CC3881">
            <w:pPr>
              <w:spacing w:before="60" w:after="60" w:line="257"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B681C">
              <w:rPr>
                <w:rFonts w:ascii="Arial" w:hAnsi="Arial" w:cs="Arial"/>
                <w:color w:val="FFFFFF" w:themeColor="background1"/>
              </w:rPr>
              <w:t>Indicator</w:t>
            </w:r>
          </w:p>
        </w:tc>
        <w:tc>
          <w:tcPr>
            <w:tcW w:w="4678" w:type="dxa"/>
            <w:vAlign w:val="center"/>
          </w:tcPr>
          <w:p w14:paraId="79CE7A2F" w14:textId="04F3C4D0" w:rsidR="00B808A8" w:rsidRPr="000B681C" w:rsidRDefault="00B808A8" w:rsidP="00CC3881">
            <w:pPr>
              <w:spacing w:before="60" w:after="60" w:line="257"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B681C">
              <w:rPr>
                <w:rFonts w:ascii="Arial" w:hAnsi="Arial" w:cs="Arial"/>
                <w:color w:val="FFFFFF" w:themeColor="background1"/>
              </w:rPr>
              <w:t>Rationale for inclusion</w:t>
            </w:r>
          </w:p>
        </w:tc>
        <w:tc>
          <w:tcPr>
            <w:tcW w:w="4252" w:type="dxa"/>
            <w:vAlign w:val="center"/>
          </w:tcPr>
          <w:p w14:paraId="3BDA5910" w14:textId="2F31D785" w:rsidR="00B808A8" w:rsidRPr="000B681C" w:rsidRDefault="00B808A8" w:rsidP="00CC3881">
            <w:pPr>
              <w:spacing w:before="60" w:after="60" w:line="257"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B681C">
              <w:rPr>
                <w:rFonts w:ascii="Arial" w:hAnsi="Arial" w:cs="Arial"/>
                <w:color w:val="FFFFFF" w:themeColor="background1"/>
              </w:rPr>
              <w:t>Challenges or limitations</w:t>
            </w:r>
          </w:p>
        </w:tc>
        <w:tc>
          <w:tcPr>
            <w:tcW w:w="2395" w:type="dxa"/>
            <w:vAlign w:val="center"/>
          </w:tcPr>
          <w:p w14:paraId="2F7DBA3E" w14:textId="3DB4C5BC" w:rsidR="00B808A8" w:rsidRPr="000B681C" w:rsidRDefault="00B808A8" w:rsidP="00CC3881">
            <w:pPr>
              <w:spacing w:before="60" w:after="60" w:line="257"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B681C">
              <w:rPr>
                <w:rFonts w:ascii="Arial" w:hAnsi="Arial" w:cs="Arial"/>
                <w:color w:val="FFFFFF" w:themeColor="background1"/>
              </w:rPr>
              <w:t>Data source(s)</w:t>
            </w:r>
          </w:p>
        </w:tc>
      </w:tr>
      <w:tr w:rsidR="005E39FC" w14:paraId="458B5B40" w14:textId="2361F8B8" w:rsidTr="00CC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0" w:type="dxa"/>
            <w:gridSpan w:val="5"/>
            <w:shd w:val="clear" w:color="auto" w:fill="1E1545" w:themeFill="text1"/>
          </w:tcPr>
          <w:p w14:paraId="008F625F" w14:textId="377FCF38" w:rsidR="005E39FC" w:rsidRPr="00726C84" w:rsidRDefault="005E39FC" w:rsidP="00CC3881">
            <w:pPr>
              <w:pStyle w:val="TableNheader"/>
              <w:rPr>
                <w:b/>
                <w:bCs w:val="0"/>
                <w:color w:val="EEEEEE" w:themeColor="background2"/>
              </w:rPr>
            </w:pPr>
            <w:r w:rsidRPr="00726C84">
              <w:rPr>
                <w:b/>
              </w:rPr>
              <w:t>Priority 1: Ensuring high quality stillbirth prevention and care</w:t>
            </w:r>
          </w:p>
        </w:tc>
      </w:tr>
      <w:tr w:rsidR="00B808A8" w14:paraId="1FCE2C9D" w14:textId="225919A8" w:rsidTr="00CC3881">
        <w:tc>
          <w:tcPr>
            <w:cnfStyle w:val="001000000000" w:firstRow="0" w:lastRow="0" w:firstColumn="1" w:lastColumn="0" w:oddVBand="0" w:evenVBand="0" w:oddHBand="0" w:evenHBand="0" w:firstRowFirstColumn="0" w:firstRowLastColumn="0" w:lastRowFirstColumn="0" w:lastRowLastColumn="0"/>
            <w:tcW w:w="567" w:type="dxa"/>
          </w:tcPr>
          <w:p w14:paraId="0E386DCF" w14:textId="77777777" w:rsidR="00B808A8" w:rsidRPr="00D0129E" w:rsidRDefault="00B808A8" w:rsidP="00CC3881">
            <w:pPr>
              <w:pStyle w:val="TableNText"/>
            </w:pPr>
            <w:r w:rsidRPr="00D0129E">
              <w:t>1</w:t>
            </w:r>
          </w:p>
        </w:tc>
        <w:tc>
          <w:tcPr>
            <w:tcW w:w="1828" w:type="dxa"/>
          </w:tcPr>
          <w:p w14:paraId="25D96396" w14:textId="190039D7" w:rsidR="00B808A8" w:rsidRPr="00D0129E" w:rsidRDefault="00B808A8" w:rsidP="00CC3881">
            <w:pPr>
              <w:pStyle w:val="TableNText"/>
              <w:cnfStyle w:val="000000000000" w:firstRow="0" w:lastRow="0" w:firstColumn="0" w:lastColumn="0" w:oddVBand="0" w:evenVBand="0" w:oddHBand="0" w:evenHBand="0" w:firstRowFirstColumn="0" w:firstRowLastColumn="0" w:lastRowFirstColumn="0" w:lastRowLastColumn="0"/>
            </w:pPr>
            <w:r w:rsidRPr="00D0129E">
              <w:t>Decrease in the rates of stillbirth at greater than or equal to 28 weeks (disaggregated by target cohorts</w:t>
            </w:r>
            <w:r w:rsidR="00AE7D9D">
              <w:t xml:space="preserve">, data also reported for stillbirths greater than or equal to </w:t>
            </w:r>
            <w:r w:rsidR="00457859">
              <w:t>20 weeks</w:t>
            </w:r>
            <w:r w:rsidRPr="00D0129E">
              <w:t>).</w:t>
            </w:r>
          </w:p>
        </w:tc>
        <w:tc>
          <w:tcPr>
            <w:tcW w:w="4678" w:type="dxa"/>
          </w:tcPr>
          <w:p w14:paraId="2CAA11EC" w14:textId="77777777" w:rsidR="00B808A8" w:rsidRPr="00D0129E" w:rsidRDefault="005A066A" w:rsidP="00CC3881">
            <w:pPr>
              <w:pStyle w:val="TableNText"/>
              <w:cnfStyle w:val="000000000000" w:firstRow="0" w:lastRow="0" w:firstColumn="0" w:lastColumn="0" w:oddVBand="0" w:evenVBand="0" w:oddHBand="0" w:evenHBand="0" w:firstRowFirstColumn="0" w:firstRowLastColumn="0" w:lastRowFirstColumn="0" w:lastRowLastColumn="0"/>
            </w:pPr>
            <w:r w:rsidRPr="00D0129E">
              <w:t xml:space="preserve">This is </w:t>
            </w:r>
            <w:r w:rsidR="006D3C19" w:rsidRPr="00D0129E">
              <w:t>one of the overarching goals of the Plan.</w:t>
            </w:r>
          </w:p>
          <w:p w14:paraId="791C5457" w14:textId="77777777" w:rsidR="008A1AD4" w:rsidRDefault="006D3C19" w:rsidP="00CC3881">
            <w:pPr>
              <w:pStyle w:val="TableNText"/>
              <w:cnfStyle w:val="000000000000" w:firstRow="0" w:lastRow="0" w:firstColumn="0" w:lastColumn="0" w:oddVBand="0" w:evenVBand="0" w:oddHBand="0" w:evenHBand="0" w:firstRowFirstColumn="0" w:firstRowLastColumn="0" w:lastRowFirstColumn="0" w:lastRowLastColumn="0"/>
            </w:pPr>
            <w:r w:rsidRPr="00D0129E">
              <w:t xml:space="preserve">As described in the Plan, the focus is on </w:t>
            </w:r>
            <w:r w:rsidR="007273A2" w:rsidRPr="00D0129E">
              <w:t>late gestation stillbirth (</w:t>
            </w:r>
            <w:r w:rsidR="006F6890" w:rsidRPr="00D0129E">
              <w:t>28 weeks</w:t>
            </w:r>
            <w:r w:rsidR="002272AD" w:rsidRPr="00D0129E">
              <w:t xml:space="preserve"> or more)</w:t>
            </w:r>
            <w:r w:rsidR="00963DA6" w:rsidRPr="00D0129E">
              <w:t xml:space="preserve"> as most preventive interventions are specific to the third trimester.</w:t>
            </w:r>
          </w:p>
          <w:p w14:paraId="4AE6F098" w14:textId="6696A51D" w:rsidR="00457859" w:rsidRPr="00D0129E" w:rsidRDefault="00CC532F" w:rsidP="00CC3881">
            <w:pPr>
              <w:pStyle w:val="TableNText"/>
              <w:cnfStyle w:val="000000000000" w:firstRow="0" w:lastRow="0" w:firstColumn="0" w:lastColumn="0" w:oddVBand="0" w:evenVBand="0" w:oddHBand="0" w:evenHBand="0" w:firstRowFirstColumn="0" w:firstRowLastColumn="0" w:lastRowFirstColumn="0" w:lastRowLastColumn="0"/>
            </w:pPr>
            <w:r w:rsidRPr="00CC532F">
              <w:t>As the actions of the Plan may impact earlier stillbirth rates, the monitoring and evaluation will also disaggregate stillbirth rates at or post 20 weeks gestation.</w:t>
            </w:r>
            <w:r>
              <w:t xml:space="preserve"> </w:t>
            </w:r>
            <w:r w:rsidR="00457859">
              <w:t xml:space="preserve">Data on the stillbirth rate for greater than or equal to 20 weeks gestation will also be presented to </w:t>
            </w:r>
            <w:r w:rsidR="005264FA">
              <w:t>ensure broader change</w:t>
            </w:r>
            <w:r w:rsidR="007A1558">
              <w:t>s</w:t>
            </w:r>
            <w:r w:rsidR="00803CEF">
              <w:t xml:space="preserve"> in the stillbirth rate are</w:t>
            </w:r>
            <w:r w:rsidR="007A1558">
              <w:t xml:space="preserve"> </w:t>
            </w:r>
            <w:r w:rsidR="005264FA">
              <w:t>captured, and</w:t>
            </w:r>
            <w:r w:rsidR="007A1558">
              <w:t xml:space="preserve"> to</w:t>
            </w:r>
            <w:r w:rsidR="005264FA">
              <w:t xml:space="preserve"> increase the availability of data relevant to the</w:t>
            </w:r>
            <w:r w:rsidR="00E3603E">
              <w:t xml:space="preserve"> Australian</w:t>
            </w:r>
            <w:r w:rsidR="005264FA">
              <w:t xml:space="preserve"> definition of still</w:t>
            </w:r>
            <w:r w:rsidR="00E3603E">
              <w:t>birth.</w:t>
            </w:r>
            <w:r w:rsidR="005264FA">
              <w:t xml:space="preserve"> </w:t>
            </w:r>
          </w:p>
        </w:tc>
        <w:tc>
          <w:tcPr>
            <w:tcW w:w="4252" w:type="dxa"/>
          </w:tcPr>
          <w:p w14:paraId="68637A93" w14:textId="645E6BA0" w:rsidR="008507A5" w:rsidRPr="00D0129E" w:rsidRDefault="00DE09DB" w:rsidP="00CC3881">
            <w:pPr>
              <w:pStyle w:val="TableNText"/>
              <w:cnfStyle w:val="000000000000" w:firstRow="0" w:lastRow="0" w:firstColumn="0" w:lastColumn="0" w:oddVBand="0" w:evenVBand="0" w:oddHBand="0" w:evenHBand="0" w:firstRowFirstColumn="0" w:firstRowLastColumn="0" w:lastRowFirstColumn="0" w:lastRowLastColumn="0"/>
            </w:pPr>
            <w:r>
              <w:t>Current</w:t>
            </w:r>
            <w:r w:rsidR="00327722">
              <w:t>ly, data on</w:t>
            </w:r>
            <w:r>
              <w:t xml:space="preserve"> stillbirth rates provided </w:t>
            </w:r>
            <w:r w:rsidR="00327722">
              <w:t>to the AIHW</w:t>
            </w:r>
            <w:r>
              <w:t xml:space="preserve"> by jurisdictions may include t</w:t>
            </w:r>
            <w:r w:rsidR="00BD5DC0" w:rsidRPr="00D0129E">
              <w:t>er</w:t>
            </w:r>
            <w:r w:rsidR="005A066A" w:rsidRPr="00D0129E">
              <w:t>minations.</w:t>
            </w:r>
            <w:r w:rsidR="00C90ACF" w:rsidRPr="00D0129E">
              <w:t xml:space="preserve"> </w:t>
            </w:r>
            <w:r w:rsidR="001F2DD9">
              <w:t xml:space="preserve">Data that does not include terminations is the preference for this evaluation. </w:t>
            </w:r>
            <w:r w:rsidR="00327722">
              <w:t>M</w:t>
            </w:r>
            <w:r w:rsidR="00C90ACF" w:rsidRPr="00D0129E">
              <w:t xml:space="preserve">ost jurisdictions </w:t>
            </w:r>
            <w:r w:rsidR="005878D8" w:rsidRPr="00D0129E">
              <w:t>can</w:t>
            </w:r>
            <w:r w:rsidR="00C90ACF" w:rsidRPr="00D0129E">
              <w:t xml:space="preserve"> share data on </w:t>
            </w:r>
            <w:r w:rsidR="00BE0599" w:rsidRPr="00D0129E">
              <w:t>the number of terminations that occurred</w:t>
            </w:r>
            <w:r w:rsidR="00327722">
              <w:t>, which ena</w:t>
            </w:r>
            <w:r w:rsidR="00D50FE5">
              <w:t>bled terminations to be removed</w:t>
            </w:r>
            <w:r w:rsidR="00BE0599" w:rsidRPr="00D0129E">
              <w:t xml:space="preserve"> from </w:t>
            </w:r>
            <w:r w:rsidR="00D50FE5">
              <w:t xml:space="preserve">the </w:t>
            </w:r>
            <w:r w:rsidR="00BE0599" w:rsidRPr="00D0129E">
              <w:t xml:space="preserve">stillbirth rates, </w:t>
            </w:r>
            <w:r w:rsidR="00D50FE5">
              <w:t>however</w:t>
            </w:r>
            <w:r w:rsidR="00BE0599" w:rsidRPr="00D0129E">
              <w:t xml:space="preserve">, the </w:t>
            </w:r>
            <w:r w:rsidR="00475CAA" w:rsidRPr="00D0129E">
              <w:t xml:space="preserve">completeness </w:t>
            </w:r>
            <w:r w:rsidR="00B550E9">
              <w:t xml:space="preserve">and quality </w:t>
            </w:r>
            <w:r w:rsidR="00475CAA" w:rsidRPr="00D0129E">
              <w:t xml:space="preserve">of this information is </w:t>
            </w:r>
            <w:r w:rsidR="006E1FA6" w:rsidRPr="00D0129E">
              <w:t>unclear.</w:t>
            </w:r>
          </w:p>
          <w:p w14:paraId="5A6B5FE7" w14:textId="611CE4AE" w:rsidR="008507A5" w:rsidRPr="00D0129E" w:rsidRDefault="008507A5" w:rsidP="00CC3881">
            <w:pPr>
              <w:pStyle w:val="TableNText"/>
              <w:cnfStyle w:val="000000000000" w:firstRow="0" w:lastRow="0" w:firstColumn="0" w:lastColumn="0" w:oddVBand="0" w:evenVBand="0" w:oddHBand="0" w:evenHBand="0" w:firstRowFirstColumn="0" w:firstRowLastColumn="0" w:lastRowFirstColumn="0" w:lastRowLastColumn="0"/>
            </w:pPr>
            <w:r w:rsidRPr="00D0129E">
              <w:t xml:space="preserve">Termination data </w:t>
            </w:r>
            <w:r w:rsidR="0072405A" w:rsidRPr="00D0129E">
              <w:t xml:space="preserve">reporting may also </w:t>
            </w:r>
            <w:r w:rsidR="00BB2D07" w:rsidRPr="00D0129E">
              <w:t>lag</w:t>
            </w:r>
            <w:r w:rsidR="0072405A" w:rsidRPr="00D0129E">
              <w:t xml:space="preserve"> preliminary stillbirth rate reporting by</w:t>
            </w:r>
            <w:r w:rsidR="000341B6" w:rsidRPr="00D0129E">
              <w:t xml:space="preserve"> six months to one year</w:t>
            </w:r>
            <w:r w:rsidR="00BF6D12" w:rsidRPr="00D0129E">
              <w:t xml:space="preserve"> meaning any analysis </w:t>
            </w:r>
            <w:r w:rsidR="00C14B36" w:rsidRPr="00D0129E">
              <w:t>that accounts for terminations may be done retrospectively.</w:t>
            </w:r>
          </w:p>
        </w:tc>
        <w:tc>
          <w:tcPr>
            <w:tcW w:w="2395" w:type="dxa"/>
          </w:tcPr>
          <w:p w14:paraId="4F39F7AE" w14:textId="43DFD6A5" w:rsidR="00B808A8" w:rsidRPr="00D0129E" w:rsidRDefault="00BD486B" w:rsidP="00CC3881">
            <w:pPr>
              <w:pStyle w:val="TableNText"/>
              <w:cnfStyle w:val="000000000000" w:firstRow="0" w:lastRow="0" w:firstColumn="0" w:lastColumn="0" w:oddVBand="0" w:evenVBand="0" w:oddHBand="0" w:evenHBand="0" w:firstRowFirstColumn="0" w:firstRowLastColumn="0" w:lastRowFirstColumn="0" w:lastRowLastColumn="0"/>
            </w:pPr>
            <w:r w:rsidRPr="00D0129E">
              <w:t>Existing datasets</w:t>
            </w:r>
            <w:r w:rsidR="005E0F5F" w:rsidRPr="00D0129E">
              <w:t xml:space="preserve"> – AIHW N</w:t>
            </w:r>
            <w:r w:rsidR="009E61DF">
              <w:t xml:space="preserve">ational </w:t>
            </w:r>
            <w:r w:rsidR="005E0F5F" w:rsidRPr="00D0129E">
              <w:t>P</w:t>
            </w:r>
            <w:r w:rsidR="009E61DF">
              <w:t xml:space="preserve">erinatal </w:t>
            </w:r>
            <w:r w:rsidR="005E0F5F" w:rsidRPr="00D0129E">
              <w:t>D</w:t>
            </w:r>
            <w:r w:rsidR="009E61DF">
              <w:t xml:space="preserve">ata </w:t>
            </w:r>
            <w:r w:rsidR="005E0F5F" w:rsidRPr="00D0129E">
              <w:t>C</w:t>
            </w:r>
            <w:r w:rsidR="009E61DF">
              <w:t>ollection</w:t>
            </w:r>
            <w:r w:rsidR="00D45240">
              <w:t xml:space="preserve"> (</w:t>
            </w:r>
            <w:r w:rsidR="005E0F5F" w:rsidRPr="00D0129E">
              <w:t>NPDC</w:t>
            </w:r>
            <w:r w:rsidR="00D45240">
              <w:t>)</w:t>
            </w:r>
            <w:r w:rsidR="00FF00EF">
              <w:t>.</w:t>
            </w:r>
          </w:p>
        </w:tc>
      </w:tr>
      <w:tr w:rsidR="00B808A8" w14:paraId="6AE5A920" w14:textId="7BE7AD2A" w:rsidTr="00CC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3924293" w14:textId="77777777" w:rsidR="00B808A8" w:rsidRPr="00D0129E" w:rsidRDefault="00B808A8" w:rsidP="00CC3881">
            <w:pPr>
              <w:pStyle w:val="TableNText"/>
            </w:pPr>
            <w:r w:rsidRPr="00D0129E">
              <w:lastRenderedPageBreak/>
              <w:t>2</w:t>
            </w:r>
          </w:p>
        </w:tc>
        <w:tc>
          <w:tcPr>
            <w:tcW w:w="1828" w:type="dxa"/>
          </w:tcPr>
          <w:p w14:paraId="5D10DC70" w14:textId="5CC57C09" w:rsidR="00B808A8" w:rsidRPr="00D0129E" w:rsidRDefault="00B808A8" w:rsidP="00CC3881">
            <w:pPr>
              <w:pStyle w:val="TableNText"/>
              <w:cnfStyle w:val="000000100000" w:firstRow="0" w:lastRow="0" w:firstColumn="0" w:lastColumn="0" w:oddVBand="0" w:evenVBand="0" w:oddHBand="1" w:evenHBand="0" w:firstRowFirstColumn="0" w:firstRowLastColumn="0" w:lastRowFirstColumn="0" w:lastRowLastColumn="0"/>
            </w:pPr>
            <w:r w:rsidRPr="00D0129E">
              <w:t xml:space="preserve">Increase in the proportion of women </w:t>
            </w:r>
            <w:r w:rsidR="005C192E">
              <w:t xml:space="preserve">who receive care via </w:t>
            </w:r>
            <w:r w:rsidRPr="00D0129E">
              <w:t>continuity of care models.</w:t>
            </w:r>
          </w:p>
        </w:tc>
        <w:tc>
          <w:tcPr>
            <w:tcW w:w="4678" w:type="dxa"/>
          </w:tcPr>
          <w:p w14:paraId="297A7AFD" w14:textId="77777777" w:rsidR="00575355" w:rsidRPr="00D0129E" w:rsidRDefault="007370F3" w:rsidP="00CC3881">
            <w:pPr>
              <w:pStyle w:val="TableNText"/>
              <w:cnfStyle w:val="000000100000" w:firstRow="0" w:lastRow="0" w:firstColumn="0" w:lastColumn="0" w:oddVBand="0" w:evenVBand="0" w:oddHBand="1" w:evenHBand="0" w:firstRowFirstColumn="0" w:firstRowLastColumn="0" w:lastRowFirstColumn="0" w:lastRowLastColumn="0"/>
            </w:pPr>
            <w:r w:rsidRPr="00D0129E">
              <w:t>Improved access to continuity of care</w:t>
            </w:r>
            <w:r w:rsidR="00ED2682" w:rsidRPr="00D0129E">
              <w:t xml:space="preserve"> is a principle of the </w:t>
            </w:r>
            <w:r w:rsidR="00ED2682" w:rsidRPr="00D0129E">
              <w:rPr>
                <w:i/>
              </w:rPr>
              <w:t>Women-centred care: Strategic Directions for Australian Maternity Services</w:t>
            </w:r>
            <w:r w:rsidR="006F27BC" w:rsidRPr="00D0129E">
              <w:rPr>
                <w:i/>
              </w:rPr>
              <w:t>,</w:t>
            </w:r>
            <w:r w:rsidR="00BA7B6F" w:rsidRPr="00D0129E">
              <w:t xml:space="preserve"> is valued by women and </w:t>
            </w:r>
            <w:r w:rsidR="00167F2E" w:rsidRPr="00D0129E">
              <w:t>leads to improved outcomes.</w:t>
            </w:r>
          </w:p>
          <w:p w14:paraId="3F8E19DF" w14:textId="52CDB3E0" w:rsidR="00E9259C" w:rsidRPr="00D0129E" w:rsidRDefault="00575355" w:rsidP="00CC3881">
            <w:pPr>
              <w:pStyle w:val="TableNText"/>
              <w:cnfStyle w:val="000000100000" w:firstRow="0" w:lastRow="0" w:firstColumn="0" w:lastColumn="0" w:oddVBand="0" w:evenVBand="0" w:oddHBand="1" w:evenHBand="0" w:firstRowFirstColumn="0" w:firstRowLastColumn="0" w:lastRowFirstColumn="0" w:lastRowLastColumn="0"/>
            </w:pPr>
            <w:r w:rsidRPr="00D0129E">
              <w:t xml:space="preserve">Both continuity of care and continuity of carer are included as they refer to different </w:t>
            </w:r>
            <w:r w:rsidR="002F5392" w:rsidRPr="00D0129E">
              <w:t>models and delivery of care, each of which have benefits.</w:t>
            </w:r>
            <w:r w:rsidR="00E9259C" w:rsidRPr="00D0129E">
              <w:t xml:space="preserve"> </w:t>
            </w:r>
          </w:p>
        </w:tc>
        <w:tc>
          <w:tcPr>
            <w:tcW w:w="4252" w:type="dxa"/>
          </w:tcPr>
          <w:p w14:paraId="52C3C330" w14:textId="3D7FC816" w:rsidR="00F17AC1" w:rsidRDefault="00716C88" w:rsidP="00CC3881">
            <w:pPr>
              <w:pStyle w:val="TableNText"/>
              <w:cnfStyle w:val="000000100000" w:firstRow="0" w:lastRow="0" w:firstColumn="0" w:lastColumn="0" w:oddVBand="0" w:evenVBand="0" w:oddHBand="1" w:evenHBand="0" w:firstRowFirstColumn="0" w:firstRowLastColumn="0" w:lastRowFirstColumn="0" w:lastRowLastColumn="0"/>
            </w:pPr>
            <w:r>
              <w:t xml:space="preserve">Current data includes </w:t>
            </w:r>
            <w:r w:rsidR="0082150D">
              <w:t xml:space="preserve">information about the </w:t>
            </w:r>
            <w:r w:rsidR="00D50FE5">
              <w:t xml:space="preserve">different </w:t>
            </w:r>
            <w:r w:rsidR="0082150D">
              <w:t xml:space="preserve">models of </w:t>
            </w:r>
            <w:r w:rsidR="00D50FE5">
              <w:t xml:space="preserve">maternity </w:t>
            </w:r>
            <w:r w:rsidR="0082150D">
              <w:t>care available in Australia</w:t>
            </w:r>
            <w:r w:rsidR="00755E39">
              <w:t xml:space="preserve">. </w:t>
            </w:r>
            <w:r w:rsidR="00D50FE5">
              <w:t>The data set classify</w:t>
            </w:r>
            <w:r w:rsidR="007334B7">
              <w:t xml:space="preserve"> these models against the Maternity Care Classification System (</w:t>
            </w:r>
            <w:proofErr w:type="spellStart"/>
            <w:r w:rsidR="007334B7">
              <w:t>MaCCS</w:t>
            </w:r>
            <w:proofErr w:type="spellEnd"/>
            <w:r w:rsidR="007334B7">
              <w:t>)</w:t>
            </w:r>
            <w:r w:rsidR="003E5DE7">
              <w:t xml:space="preserve">. </w:t>
            </w:r>
            <w:r w:rsidR="00D50FE5">
              <w:t>It</w:t>
            </w:r>
            <w:r w:rsidR="003E5DE7">
              <w:t xml:space="preserve"> does not </w:t>
            </w:r>
            <w:r w:rsidR="006A5007">
              <w:t xml:space="preserve">currently </w:t>
            </w:r>
            <w:r w:rsidR="00F17AC1">
              <w:t xml:space="preserve">contain data on the number of women accessing each </w:t>
            </w:r>
            <w:r w:rsidR="00D50FE5">
              <w:t>model</w:t>
            </w:r>
            <w:r w:rsidR="00F17AC1">
              <w:t xml:space="preserve"> of care.</w:t>
            </w:r>
            <w:r w:rsidR="003E4500">
              <w:t xml:space="preserve"> </w:t>
            </w:r>
          </w:p>
          <w:p w14:paraId="1B67E4B4" w14:textId="7F63009D" w:rsidR="0021126F" w:rsidRDefault="005B5A62" w:rsidP="00CC3881">
            <w:pPr>
              <w:pStyle w:val="TableNText"/>
              <w:cnfStyle w:val="000000100000" w:firstRow="0" w:lastRow="0" w:firstColumn="0" w:lastColumn="0" w:oddVBand="0" w:evenVBand="0" w:oddHBand="1" w:evenHBand="0" w:firstRowFirstColumn="0" w:firstRowLastColumn="0" w:lastRowFirstColumn="0" w:lastRowLastColumn="0"/>
            </w:pPr>
            <w:r>
              <w:t xml:space="preserve">Future reports will be able to link data from the </w:t>
            </w:r>
            <w:r w:rsidR="009B33BD">
              <w:t xml:space="preserve">NPDC with </w:t>
            </w:r>
            <w:r w:rsidR="009E6427">
              <w:t xml:space="preserve">models of care to enable analyses on the number and characteristics of women using </w:t>
            </w:r>
            <w:r w:rsidR="008D6E6A">
              <w:t>each</w:t>
            </w:r>
            <w:r w:rsidR="009E6427">
              <w:t xml:space="preserve"> model of care</w:t>
            </w:r>
            <w:r w:rsidR="0021126F">
              <w:t xml:space="preserve"> and mapping and analysis at smaller geographic levels.</w:t>
            </w:r>
          </w:p>
          <w:p w14:paraId="09F8910A" w14:textId="77777777" w:rsidR="008D6E6A" w:rsidRDefault="000F0CBB" w:rsidP="00CC3881">
            <w:pPr>
              <w:pStyle w:val="TableNText"/>
              <w:cnfStyle w:val="000000100000" w:firstRow="0" w:lastRow="0" w:firstColumn="0" w:lastColumn="0" w:oddVBand="0" w:evenVBand="0" w:oddHBand="1" w:evenHBand="0" w:firstRowFirstColumn="0" w:firstRowLastColumn="0" w:lastRowFirstColumn="0" w:lastRowLastColumn="0"/>
            </w:pPr>
            <w:r w:rsidRPr="00D0129E">
              <w:t xml:space="preserve">Data on the model of </w:t>
            </w:r>
            <w:r w:rsidR="00845D93" w:rsidRPr="00D0129E">
              <w:t>care during pregnancy and during birth is newly collected</w:t>
            </w:r>
            <w:r w:rsidR="00F17702">
              <w:t xml:space="preserve"> and </w:t>
            </w:r>
            <w:r w:rsidR="008041DE">
              <w:t xml:space="preserve">providing data for the model of care data set is voluntary. </w:t>
            </w:r>
            <w:r w:rsidR="0008400F">
              <w:t>Data is primarily collected from maternity services so there is a gap in data on private midwifery care.</w:t>
            </w:r>
            <w:r w:rsidR="002F0B1A">
              <w:t xml:space="preserve"> It is expected that completeness and quality of available data will improve </w:t>
            </w:r>
            <w:r w:rsidR="007215C9">
              <w:t>as familiarity with this new data set increases and model of care data elements are included in the NPDC.</w:t>
            </w:r>
          </w:p>
          <w:p w14:paraId="13FD7725" w14:textId="727F5F60" w:rsidR="00B808A8" w:rsidRPr="00D0129E" w:rsidRDefault="008D6E6A" w:rsidP="00CC3881">
            <w:pPr>
              <w:pStyle w:val="TableNText"/>
              <w:cnfStyle w:val="000000100000" w:firstRow="0" w:lastRow="0" w:firstColumn="0" w:lastColumn="0" w:oddVBand="0" w:evenVBand="0" w:oddHBand="1" w:evenHBand="0" w:firstRowFirstColumn="0" w:firstRowLastColumn="0" w:lastRowFirstColumn="0" w:lastRowLastColumn="0"/>
            </w:pPr>
            <w:r>
              <w:t xml:space="preserve">This data set will also not include information on </w:t>
            </w:r>
            <w:r w:rsidR="00150928">
              <w:t>if women can access their preferred model of care.</w:t>
            </w:r>
          </w:p>
        </w:tc>
        <w:tc>
          <w:tcPr>
            <w:tcW w:w="2395" w:type="dxa"/>
          </w:tcPr>
          <w:p w14:paraId="01EB3147" w14:textId="7E52A70F" w:rsidR="00B808A8" w:rsidRPr="00D0129E" w:rsidRDefault="00E51F54" w:rsidP="00CC3881">
            <w:pPr>
              <w:pStyle w:val="TableNText"/>
              <w:cnfStyle w:val="000000100000" w:firstRow="0" w:lastRow="0" w:firstColumn="0" w:lastColumn="0" w:oddVBand="0" w:evenVBand="0" w:oddHBand="1" w:evenHBand="0" w:firstRowFirstColumn="0" w:firstRowLastColumn="0" w:lastRowFirstColumn="0" w:lastRowLastColumn="0"/>
            </w:pPr>
            <w:r w:rsidRPr="00D0129E">
              <w:t>Existing datasets</w:t>
            </w:r>
            <w:r w:rsidR="005E0F5F" w:rsidRPr="00D0129E">
              <w:t xml:space="preserve"> – AIHW M</w:t>
            </w:r>
            <w:r w:rsidR="000F005A">
              <w:t xml:space="preserve">odel </w:t>
            </w:r>
            <w:r w:rsidR="005E0F5F" w:rsidRPr="00D0129E">
              <w:t>o</w:t>
            </w:r>
            <w:r w:rsidR="000F005A">
              <w:t xml:space="preserve">f </w:t>
            </w:r>
            <w:r w:rsidR="005E0F5F" w:rsidRPr="00D0129E">
              <w:t>C</w:t>
            </w:r>
            <w:r w:rsidR="000F005A">
              <w:t>are</w:t>
            </w:r>
            <w:r w:rsidR="005E0F5F" w:rsidRPr="00D0129E">
              <w:t xml:space="preserve"> </w:t>
            </w:r>
            <w:r w:rsidR="00D45240">
              <w:t>(</w:t>
            </w:r>
            <w:proofErr w:type="spellStart"/>
            <w:r w:rsidR="005E0F5F" w:rsidRPr="00D0129E">
              <w:t>MoC</w:t>
            </w:r>
            <w:proofErr w:type="spellEnd"/>
            <w:r w:rsidR="00D45240">
              <w:t xml:space="preserve">) </w:t>
            </w:r>
            <w:r w:rsidR="005E0F5F" w:rsidRPr="00D0129E">
              <w:t>N</w:t>
            </w:r>
            <w:r w:rsidR="000F005A">
              <w:t xml:space="preserve">ational </w:t>
            </w:r>
            <w:r w:rsidR="005E0F5F" w:rsidRPr="00D0129E">
              <w:t>B</w:t>
            </w:r>
            <w:r w:rsidR="00D45240">
              <w:t xml:space="preserve">est </w:t>
            </w:r>
            <w:r w:rsidR="005E0F5F" w:rsidRPr="00D0129E">
              <w:t>P</w:t>
            </w:r>
            <w:r w:rsidR="00D45240">
              <w:t xml:space="preserve">ractice </w:t>
            </w:r>
            <w:r w:rsidR="005E0F5F" w:rsidRPr="00D0129E">
              <w:t>D</w:t>
            </w:r>
            <w:r w:rsidR="00D45240">
              <w:t xml:space="preserve">ata </w:t>
            </w:r>
            <w:r w:rsidR="005E0F5F" w:rsidRPr="00D0129E">
              <w:t>S</w:t>
            </w:r>
            <w:r w:rsidR="00D45240">
              <w:t>et (</w:t>
            </w:r>
            <w:r w:rsidR="005E0F5F" w:rsidRPr="00D0129E">
              <w:t>NBPDS</w:t>
            </w:r>
            <w:r w:rsidR="00D45240">
              <w:t>)</w:t>
            </w:r>
            <w:r w:rsidR="00FF00EF">
              <w:t>.</w:t>
            </w:r>
          </w:p>
        </w:tc>
      </w:tr>
      <w:tr w:rsidR="00B808A8" w14:paraId="241D9417" w14:textId="3A099F5D" w:rsidTr="00CC3881">
        <w:tc>
          <w:tcPr>
            <w:cnfStyle w:val="001000000000" w:firstRow="0" w:lastRow="0" w:firstColumn="1" w:lastColumn="0" w:oddVBand="0" w:evenVBand="0" w:oddHBand="0" w:evenHBand="0" w:firstRowFirstColumn="0" w:firstRowLastColumn="0" w:lastRowFirstColumn="0" w:lastRowLastColumn="0"/>
            <w:tcW w:w="567" w:type="dxa"/>
          </w:tcPr>
          <w:p w14:paraId="079614CF" w14:textId="77777777" w:rsidR="00B808A8" w:rsidRPr="00D0129E" w:rsidRDefault="00B808A8" w:rsidP="00CC3881">
            <w:pPr>
              <w:pStyle w:val="TableNText"/>
            </w:pPr>
            <w:r w:rsidRPr="00D0129E">
              <w:lastRenderedPageBreak/>
              <w:t>3</w:t>
            </w:r>
          </w:p>
        </w:tc>
        <w:tc>
          <w:tcPr>
            <w:tcW w:w="1828" w:type="dxa"/>
          </w:tcPr>
          <w:p w14:paraId="23A8F722" w14:textId="34ECA9BF" w:rsidR="00B808A8" w:rsidRPr="00D0129E" w:rsidRDefault="00B808A8" w:rsidP="00CC3881">
            <w:pPr>
              <w:pStyle w:val="TableNText"/>
              <w:cnfStyle w:val="000000000000" w:firstRow="0" w:lastRow="0" w:firstColumn="0" w:lastColumn="0" w:oddVBand="0" w:evenVBand="0" w:oddHBand="0" w:evenHBand="0" w:firstRowFirstColumn="0" w:firstRowLastColumn="0" w:lastRowFirstColumn="0" w:lastRowLastColumn="0"/>
            </w:pPr>
            <w:r w:rsidRPr="00D0129E">
              <w:rPr>
                <w:rFonts w:eastAsiaTheme="minorEastAsia"/>
                <w:color w:val="1E1545" w:themeColor="dark1"/>
                <w:kern w:val="24"/>
              </w:rPr>
              <w:t xml:space="preserve">Increase in the proportion of women </w:t>
            </w:r>
            <w:r w:rsidR="00C33E63">
              <w:rPr>
                <w:rFonts w:eastAsiaTheme="minorEastAsia"/>
                <w:color w:val="1E1545" w:themeColor="dark1"/>
                <w:kern w:val="24"/>
              </w:rPr>
              <w:t xml:space="preserve">who </w:t>
            </w:r>
            <w:r w:rsidR="0040790D">
              <w:rPr>
                <w:rFonts w:eastAsiaTheme="minorEastAsia"/>
                <w:color w:val="1E1545" w:themeColor="dark1"/>
                <w:kern w:val="24"/>
              </w:rPr>
              <w:t>have had</w:t>
            </w:r>
            <w:r w:rsidRPr="00D0129E">
              <w:rPr>
                <w:rFonts w:eastAsiaTheme="minorEastAsia"/>
                <w:color w:val="1E1545" w:themeColor="dark1"/>
                <w:kern w:val="24"/>
              </w:rPr>
              <w:t xml:space="preserve"> continuity of carer</w:t>
            </w:r>
            <w:r w:rsidR="001238D5" w:rsidRPr="00D0129E">
              <w:rPr>
                <w:rFonts w:eastAsiaTheme="minorEastAsia"/>
                <w:color w:val="1E1545" w:themeColor="dark1"/>
                <w:kern w:val="24"/>
              </w:rPr>
              <w:t xml:space="preserve"> during antenatal, </w:t>
            </w:r>
            <w:r w:rsidR="0040790D">
              <w:rPr>
                <w:rFonts w:eastAsiaTheme="minorEastAsia"/>
                <w:color w:val="1E1545" w:themeColor="dark1"/>
                <w:kern w:val="24"/>
              </w:rPr>
              <w:t>birth</w:t>
            </w:r>
            <w:r w:rsidR="0040790D" w:rsidRPr="00D0129E">
              <w:rPr>
                <w:rFonts w:eastAsiaTheme="minorEastAsia"/>
                <w:color w:val="1E1545" w:themeColor="dark1"/>
                <w:kern w:val="24"/>
              </w:rPr>
              <w:t xml:space="preserve"> </w:t>
            </w:r>
            <w:r w:rsidR="001238D5" w:rsidRPr="00D0129E">
              <w:rPr>
                <w:rFonts w:eastAsiaTheme="minorEastAsia"/>
                <w:color w:val="1E1545" w:themeColor="dark1"/>
                <w:kern w:val="24"/>
              </w:rPr>
              <w:t>and postnatal care</w:t>
            </w:r>
            <w:r w:rsidRPr="00D0129E">
              <w:rPr>
                <w:rFonts w:eastAsiaTheme="minorEastAsia"/>
                <w:color w:val="1E1545" w:themeColor="dark1"/>
                <w:kern w:val="24"/>
              </w:rPr>
              <w:t>.</w:t>
            </w:r>
          </w:p>
        </w:tc>
        <w:tc>
          <w:tcPr>
            <w:tcW w:w="4678" w:type="dxa"/>
          </w:tcPr>
          <w:p w14:paraId="5BC3D1F8" w14:textId="19811EEF" w:rsidR="00B808A8" w:rsidRPr="00D0129E" w:rsidRDefault="00546B71"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 xml:space="preserve">Improved access to continuity of carer is a principle of the </w:t>
            </w:r>
            <w:r w:rsidRPr="00D0129E">
              <w:rPr>
                <w:rFonts w:eastAsiaTheme="minorEastAsia"/>
                <w:i/>
                <w:color w:val="1E1545" w:themeColor="dark1"/>
                <w:kern w:val="24"/>
              </w:rPr>
              <w:t>Women-centred care: Strategic Directions for Australian Maternity Services</w:t>
            </w:r>
            <w:r w:rsidRPr="00D0129E">
              <w:rPr>
                <w:rFonts w:eastAsiaTheme="minorEastAsia"/>
                <w:color w:val="1E1545" w:themeColor="dark1"/>
                <w:kern w:val="24"/>
              </w:rPr>
              <w:t xml:space="preserve"> as this is valued by women and leads to improved outcomes.</w:t>
            </w:r>
          </w:p>
          <w:p w14:paraId="0A6E9B68" w14:textId="686611F8" w:rsidR="003E67A0" w:rsidRPr="00D0129E" w:rsidRDefault="001D1F03"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The</w:t>
            </w:r>
            <w:r w:rsidR="00157DCC" w:rsidRPr="00D0129E">
              <w:rPr>
                <w:rFonts w:eastAsiaTheme="minorEastAsia"/>
                <w:color w:val="1E1545" w:themeColor="dark1"/>
                <w:kern w:val="24"/>
              </w:rPr>
              <w:t xml:space="preserve"> postpartum period is the period that involves bereavement care</w:t>
            </w:r>
            <w:r>
              <w:rPr>
                <w:rFonts w:eastAsiaTheme="minorEastAsia"/>
                <w:color w:val="1E1545" w:themeColor="dark1"/>
                <w:kern w:val="24"/>
              </w:rPr>
              <w:t xml:space="preserve"> and evidence suggests</w:t>
            </w:r>
            <w:r w:rsidR="00157DCC" w:rsidRPr="00D0129E">
              <w:rPr>
                <w:rFonts w:eastAsiaTheme="minorEastAsia"/>
                <w:color w:val="1E1545" w:themeColor="dark1"/>
                <w:kern w:val="24"/>
              </w:rPr>
              <w:t xml:space="preserve"> continuity of carer </w:t>
            </w:r>
            <w:r w:rsidR="00267673" w:rsidRPr="00D0129E">
              <w:rPr>
                <w:rFonts w:eastAsiaTheme="minorEastAsia"/>
                <w:color w:val="1E1545" w:themeColor="dark1"/>
                <w:kern w:val="24"/>
              </w:rPr>
              <w:t xml:space="preserve">is </w:t>
            </w:r>
            <w:r>
              <w:rPr>
                <w:rFonts w:eastAsiaTheme="minorEastAsia"/>
                <w:color w:val="1E1545" w:themeColor="dark1"/>
                <w:kern w:val="24"/>
              </w:rPr>
              <w:t>still required</w:t>
            </w:r>
            <w:r w:rsidR="00370C76">
              <w:rPr>
                <w:rFonts w:eastAsiaTheme="minorEastAsia"/>
                <w:color w:val="1E1545" w:themeColor="dark1"/>
                <w:kern w:val="24"/>
              </w:rPr>
              <w:t>.</w:t>
            </w:r>
            <w:r w:rsidR="00267673" w:rsidRPr="00D0129E">
              <w:rPr>
                <w:rFonts w:eastAsiaTheme="minorEastAsia"/>
                <w:color w:val="1E1545" w:themeColor="dark1"/>
                <w:kern w:val="24"/>
              </w:rPr>
              <w:t xml:space="preserve"> Therefore, the monitoring and evaluation will monitor continuity of care between antenatal and intrapartum</w:t>
            </w:r>
            <w:r w:rsidR="00FB6ADB" w:rsidRPr="00D0129E">
              <w:rPr>
                <w:rFonts w:eastAsiaTheme="minorEastAsia"/>
                <w:color w:val="1E1545" w:themeColor="dark1"/>
                <w:kern w:val="24"/>
              </w:rPr>
              <w:t xml:space="preserve">, as well as continuity of care through the antenatal, </w:t>
            </w:r>
            <w:proofErr w:type="gramStart"/>
            <w:r w:rsidR="00FB6ADB" w:rsidRPr="00D0129E">
              <w:rPr>
                <w:rFonts w:eastAsiaTheme="minorEastAsia"/>
                <w:color w:val="1E1545" w:themeColor="dark1"/>
                <w:kern w:val="24"/>
              </w:rPr>
              <w:t>intrapartum</w:t>
            </w:r>
            <w:proofErr w:type="gramEnd"/>
            <w:r w:rsidR="00FB6ADB" w:rsidRPr="00D0129E">
              <w:rPr>
                <w:rFonts w:eastAsiaTheme="minorEastAsia"/>
                <w:color w:val="1E1545" w:themeColor="dark1"/>
                <w:kern w:val="24"/>
              </w:rPr>
              <w:t xml:space="preserve"> and postpartum periods.</w:t>
            </w:r>
          </w:p>
        </w:tc>
        <w:tc>
          <w:tcPr>
            <w:tcW w:w="4252" w:type="dxa"/>
          </w:tcPr>
          <w:p w14:paraId="72063EB7" w14:textId="57F832C2" w:rsidR="00806300" w:rsidRDefault="00806300"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 xml:space="preserve">Current data is about the </w:t>
            </w:r>
            <w:r w:rsidR="00704F1D">
              <w:rPr>
                <w:rFonts w:eastAsiaTheme="minorEastAsia"/>
                <w:color w:val="1E1545" w:themeColor="dark1"/>
                <w:kern w:val="24"/>
              </w:rPr>
              <w:t xml:space="preserve">proportion of </w:t>
            </w:r>
            <w:r>
              <w:rPr>
                <w:rFonts w:eastAsiaTheme="minorEastAsia"/>
                <w:color w:val="1E1545" w:themeColor="dark1"/>
                <w:kern w:val="24"/>
              </w:rPr>
              <w:t xml:space="preserve">models of care available </w:t>
            </w:r>
            <w:r w:rsidR="00F8198C">
              <w:rPr>
                <w:rFonts w:eastAsiaTheme="minorEastAsia"/>
                <w:color w:val="1E1545" w:themeColor="dark1"/>
                <w:kern w:val="24"/>
              </w:rPr>
              <w:t>which have continuity of carer</w:t>
            </w:r>
            <w:r w:rsidR="00166EC8">
              <w:rPr>
                <w:rFonts w:eastAsiaTheme="minorEastAsia"/>
                <w:color w:val="1E1545" w:themeColor="dark1"/>
                <w:kern w:val="24"/>
              </w:rPr>
              <w:t xml:space="preserve"> based on how carers work within the model</w:t>
            </w:r>
            <w:r>
              <w:rPr>
                <w:rFonts w:eastAsiaTheme="minorEastAsia"/>
                <w:color w:val="1E1545" w:themeColor="dark1"/>
                <w:kern w:val="24"/>
              </w:rPr>
              <w:t xml:space="preserve">. </w:t>
            </w:r>
            <w:r w:rsidR="00267C0B">
              <w:rPr>
                <w:rFonts w:eastAsiaTheme="minorEastAsia"/>
                <w:color w:val="1E1545" w:themeColor="dark1"/>
                <w:kern w:val="24"/>
              </w:rPr>
              <w:t>It</w:t>
            </w:r>
            <w:r>
              <w:rPr>
                <w:rFonts w:eastAsiaTheme="minorEastAsia"/>
                <w:color w:val="1E1545" w:themeColor="dark1"/>
                <w:kern w:val="24"/>
              </w:rPr>
              <w:t xml:space="preserve"> does not currently contain data on the number of women </w:t>
            </w:r>
            <w:r w:rsidR="00267C0B">
              <w:rPr>
                <w:rFonts w:eastAsiaTheme="minorEastAsia"/>
                <w:color w:val="1E1545" w:themeColor="dark1"/>
                <w:kern w:val="24"/>
              </w:rPr>
              <w:t>who have received continuity of carer</w:t>
            </w:r>
            <w:r>
              <w:rPr>
                <w:rFonts w:eastAsiaTheme="minorEastAsia"/>
                <w:color w:val="1E1545" w:themeColor="dark1"/>
                <w:kern w:val="24"/>
              </w:rPr>
              <w:t xml:space="preserve">. </w:t>
            </w:r>
          </w:p>
          <w:p w14:paraId="4AF2E6C0" w14:textId="4DC7FF1E" w:rsidR="00267C0B" w:rsidRDefault="00267C0B"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 xml:space="preserve">As stated above, </w:t>
            </w:r>
            <w:r w:rsidR="00924F59">
              <w:rPr>
                <w:rFonts w:eastAsiaTheme="minorEastAsia"/>
                <w:color w:val="1E1545" w:themeColor="dark1"/>
                <w:kern w:val="24"/>
              </w:rPr>
              <w:t xml:space="preserve">it is expected that </w:t>
            </w:r>
            <w:r w:rsidR="006A01FE">
              <w:rPr>
                <w:rFonts w:eastAsiaTheme="minorEastAsia"/>
                <w:color w:val="1E1545" w:themeColor="dark1"/>
                <w:kern w:val="24"/>
              </w:rPr>
              <w:t xml:space="preserve">model of care data will be linked to the NPDC enabling </w:t>
            </w:r>
            <w:r w:rsidR="00A40021">
              <w:rPr>
                <w:rFonts w:eastAsiaTheme="minorEastAsia"/>
                <w:color w:val="1E1545" w:themeColor="dark1"/>
                <w:kern w:val="24"/>
              </w:rPr>
              <w:t>analysis of the number of women who have received continuity of carer.</w:t>
            </w:r>
          </w:p>
          <w:p w14:paraId="078EBA9D" w14:textId="6DAD2596" w:rsidR="00B808A8" w:rsidRPr="00D0129E" w:rsidRDefault="00C647B0"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It is also expected that the quality and completeness of models of care data will improve over time.</w:t>
            </w:r>
          </w:p>
        </w:tc>
        <w:tc>
          <w:tcPr>
            <w:tcW w:w="2395" w:type="dxa"/>
          </w:tcPr>
          <w:p w14:paraId="1E3381D6" w14:textId="6A2DE90E" w:rsidR="00B808A8" w:rsidRPr="00D0129E" w:rsidRDefault="002A47D8"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Existing datasets</w:t>
            </w:r>
            <w:r w:rsidR="005E0F5F" w:rsidRPr="00D0129E">
              <w:rPr>
                <w:rFonts w:eastAsiaTheme="minorEastAsia"/>
                <w:color w:val="1E1545" w:themeColor="dark1"/>
                <w:kern w:val="24"/>
              </w:rPr>
              <w:t xml:space="preserve"> – AIHW </w:t>
            </w:r>
            <w:proofErr w:type="spellStart"/>
            <w:r w:rsidR="005E0F5F" w:rsidRPr="00D0129E">
              <w:rPr>
                <w:rFonts w:eastAsiaTheme="minorEastAsia"/>
                <w:color w:val="1E1545" w:themeColor="dark1"/>
                <w:kern w:val="24"/>
              </w:rPr>
              <w:t>MoC</w:t>
            </w:r>
            <w:proofErr w:type="spellEnd"/>
            <w:r w:rsidR="005E0F5F" w:rsidRPr="00D0129E">
              <w:rPr>
                <w:rFonts w:eastAsiaTheme="minorEastAsia"/>
                <w:color w:val="1E1545" w:themeColor="dark1"/>
                <w:kern w:val="24"/>
              </w:rPr>
              <w:t xml:space="preserve"> NBPDS</w:t>
            </w:r>
            <w:r w:rsidR="00FF00EF">
              <w:rPr>
                <w:rFonts w:eastAsiaTheme="minorEastAsia"/>
                <w:color w:val="1E1545" w:themeColor="dark1"/>
                <w:kern w:val="24"/>
              </w:rPr>
              <w:t>.</w:t>
            </w:r>
          </w:p>
        </w:tc>
      </w:tr>
      <w:tr w:rsidR="00B808A8" w14:paraId="7495F1A1" w14:textId="3FFEDD87" w:rsidTr="00CC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DC70DCD" w14:textId="77777777" w:rsidR="00B808A8" w:rsidRPr="00D0129E" w:rsidRDefault="00B808A8" w:rsidP="00CC3881">
            <w:pPr>
              <w:pStyle w:val="TableNText"/>
            </w:pPr>
            <w:r w:rsidRPr="00D0129E">
              <w:t>4</w:t>
            </w:r>
          </w:p>
        </w:tc>
        <w:tc>
          <w:tcPr>
            <w:tcW w:w="1828" w:type="dxa"/>
          </w:tcPr>
          <w:p w14:paraId="786923F9" w14:textId="49871B44" w:rsidR="00B808A8" w:rsidRPr="00D0129E" w:rsidRDefault="00B808A8" w:rsidP="00CC3881">
            <w:pPr>
              <w:pStyle w:val="TableNText"/>
              <w:cnfStyle w:val="000000100000" w:firstRow="0" w:lastRow="0" w:firstColumn="0" w:lastColumn="0" w:oddVBand="0" w:evenVBand="0" w:oddHBand="1" w:evenHBand="0" w:firstRowFirstColumn="0" w:firstRowLastColumn="0" w:lastRowFirstColumn="0" w:lastRowLastColumn="0"/>
            </w:pPr>
            <w:r w:rsidRPr="00D0129E">
              <w:rPr>
                <w:rFonts w:eastAsiaTheme="minorEastAsia"/>
                <w:color w:val="1E1545" w:themeColor="dark1"/>
                <w:kern w:val="24"/>
              </w:rPr>
              <w:t xml:space="preserve">Increase in the proportion of women (overall and in target cohorts) attending 7 or more </w:t>
            </w:r>
            <w:r w:rsidR="00A6756B" w:rsidRPr="00D0129E">
              <w:rPr>
                <w:rFonts w:eastAsiaTheme="minorEastAsia"/>
                <w:color w:val="1E1545" w:themeColor="dark1"/>
                <w:kern w:val="24"/>
              </w:rPr>
              <w:t xml:space="preserve">and 10 or more </w:t>
            </w:r>
            <w:r w:rsidRPr="00D0129E">
              <w:rPr>
                <w:rFonts w:eastAsiaTheme="minorEastAsia"/>
                <w:color w:val="1E1545" w:themeColor="dark1"/>
                <w:kern w:val="24"/>
              </w:rPr>
              <w:t>antenatal care visits.</w:t>
            </w:r>
          </w:p>
        </w:tc>
        <w:tc>
          <w:tcPr>
            <w:tcW w:w="4678" w:type="dxa"/>
          </w:tcPr>
          <w:p w14:paraId="4A06DA6F" w14:textId="0B2A4569" w:rsidR="00B808A8" w:rsidRPr="00D0129E" w:rsidRDefault="00210620"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lang w:val="en-US"/>
              </w:rPr>
            </w:pPr>
            <w:r w:rsidRPr="00D0129E">
              <w:rPr>
                <w:rFonts w:eastAsiaTheme="minorEastAsia"/>
                <w:color w:val="1E1545" w:themeColor="dark1"/>
                <w:kern w:val="24"/>
              </w:rPr>
              <w:t xml:space="preserve">NICE </w:t>
            </w:r>
            <w:r w:rsidR="002534BD" w:rsidRPr="00D0129E">
              <w:rPr>
                <w:rFonts w:eastAsiaTheme="minorEastAsia"/>
                <w:color w:val="1E1545" w:themeColor="dark1"/>
                <w:kern w:val="24"/>
              </w:rPr>
              <w:t xml:space="preserve">guidelines </w:t>
            </w:r>
            <w:r w:rsidR="00BA53AB" w:rsidRPr="00D0129E">
              <w:rPr>
                <w:rFonts w:eastAsiaTheme="minorEastAsia"/>
                <w:color w:val="1E1545" w:themeColor="dark1"/>
                <w:kern w:val="24"/>
              </w:rPr>
              <w:t xml:space="preserve">and the </w:t>
            </w:r>
            <w:r w:rsidR="008D17F0" w:rsidRPr="00D0129E">
              <w:rPr>
                <w:rFonts w:eastAsiaTheme="minorEastAsia"/>
                <w:color w:val="1E1545" w:themeColor="dark1"/>
                <w:kern w:val="24"/>
                <w:lang w:val="en-US"/>
              </w:rPr>
              <w:t>Department of Health</w:t>
            </w:r>
            <w:r w:rsidR="00A42E65">
              <w:rPr>
                <w:rFonts w:eastAsiaTheme="minorEastAsia"/>
                <w:color w:val="1E1545" w:themeColor="dark1"/>
                <w:kern w:val="24"/>
                <w:lang w:val="en-US"/>
              </w:rPr>
              <w:t xml:space="preserve"> and Aged Care</w:t>
            </w:r>
            <w:r w:rsidR="008D17F0" w:rsidRPr="00D0129E">
              <w:rPr>
                <w:rFonts w:eastAsiaTheme="minorEastAsia"/>
                <w:color w:val="1E1545" w:themeColor="dark1"/>
                <w:kern w:val="24"/>
                <w:lang w:val="en-US"/>
              </w:rPr>
              <w:t>’s 2020 Australian Pregnancy Care Guidelines recommend first-time mothers with uncomplicated pregnancy have 10 antenatal visits</w:t>
            </w:r>
            <w:r w:rsidR="00081343" w:rsidRPr="00D0129E">
              <w:rPr>
                <w:rFonts w:eastAsiaTheme="minorEastAsia"/>
                <w:color w:val="1E1545" w:themeColor="dark1"/>
                <w:kern w:val="24"/>
                <w:lang w:val="en-US"/>
              </w:rPr>
              <w:t xml:space="preserve"> and </w:t>
            </w:r>
            <w:r w:rsidR="001D733E" w:rsidRPr="00D0129E">
              <w:rPr>
                <w:rFonts w:eastAsiaTheme="minorEastAsia"/>
                <w:color w:val="1E1545" w:themeColor="dark1"/>
                <w:kern w:val="24"/>
                <w:lang w:val="en-US"/>
              </w:rPr>
              <w:t>7 visits for subsequent uncomplicated pregnancies.</w:t>
            </w:r>
          </w:p>
          <w:p w14:paraId="46E8E4BF" w14:textId="70DB4F9C" w:rsidR="00B111B4" w:rsidRPr="00D0129E" w:rsidRDefault="00B111B4"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lang w:val="en-US"/>
              </w:rPr>
            </w:pPr>
            <w:r w:rsidRPr="00D0129E">
              <w:rPr>
                <w:rFonts w:eastAsiaTheme="minorEastAsia"/>
                <w:color w:val="1E1545" w:themeColor="dark1"/>
                <w:kern w:val="24"/>
              </w:rPr>
              <w:t xml:space="preserve">It is important to note that the number of minimum visits for </w:t>
            </w:r>
            <w:r w:rsidR="001C7C52">
              <w:rPr>
                <w:rFonts w:eastAsiaTheme="minorEastAsia"/>
                <w:color w:val="1E1545" w:themeColor="dark1"/>
                <w:kern w:val="24"/>
              </w:rPr>
              <w:t>women who</w:t>
            </w:r>
            <w:r w:rsidRPr="00D0129E">
              <w:rPr>
                <w:rFonts w:eastAsiaTheme="minorEastAsia"/>
                <w:color w:val="1E1545" w:themeColor="dark1"/>
                <w:kern w:val="24"/>
              </w:rPr>
              <w:t xml:space="preserve"> give birth pre-term maybe (is) different to </w:t>
            </w:r>
            <w:r w:rsidR="001C7C52">
              <w:rPr>
                <w:rFonts w:eastAsiaTheme="minorEastAsia"/>
                <w:color w:val="1E1545" w:themeColor="dark1"/>
                <w:kern w:val="24"/>
              </w:rPr>
              <w:t>women who</w:t>
            </w:r>
            <w:r w:rsidRPr="00D0129E">
              <w:rPr>
                <w:rFonts w:eastAsiaTheme="minorEastAsia"/>
                <w:color w:val="1E1545" w:themeColor="dark1"/>
                <w:kern w:val="24"/>
              </w:rPr>
              <w:t xml:space="preserve"> birth at 42 weeks gestation.</w:t>
            </w:r>
          </w:p>
          <w:p w14:paraId="60565DFA" w14:textId="724910D4" w:rsidR="00B808A8" w:rsidRPr="00D0129E" w:rsidRDefault="00510EBD"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 xml:space="preserve">Disaggregation by target cohorts will support the monitoring and evaluation to get a picture of </w:t>
            </w:r>
            <w:r w:rsidRPr="00D0129E">
              <w:rPr>
                <w:rFonts w:eastAsiaTheme="minorEastAsia"/>
                <w:color w:val="1E1545" w:themeColor="dark1"/>
                <w:kern w:val="24"/>
              </w:rPr>
              <w:lastRenderedPageBreak/>
              <w:t>other factors, such as cultural safety in care.</w:t>
            </w:r>
            <w:r w:rsidR="00C50227" w:rsidRPr="00D0129E">
              <w:rPr>
                <w:rFonts w:eastAsiaTheme="minorEastAsia"/>
                <w:color w:val="1E1545" w:themeColor="dark1"/>
                <w:kern w:val="24"/>
              </w:rPr>
              <w:t xml:space="preserve"> Rates of antenatal care attendance are also lower in some target cohorts</w:t>
            </w:r>
            <w:r w:rsidR="00AD547D" w:rsidRPr="00D0129E">
              <w:rPr>
                <w:rFonts w:eastAsiaTheme="minorEastAsia"/>
                <w:color w:val="1E1545" w:themeColor="dark1"/>
                <w:kern w:val="24"/>
              </w:rPr>
              <w:t xml:space="preserve"> and</w:t>
            </w:r>
            <w:r w:rsidR="00071776" w:rsidRPr="00D0129E">
              <w:rPr>
                <w:rFonts w:eastAsiaTheme="minorEastAsia"/>
                <w:color w:val="1E1545" w:themeColor="dark1"/>
                <w:kern w:val="24"/>
              </w:rPr>
              <w:t xml:space="preserve"> this is important to monitor.</w:t>
            </w:r>
          </w:p>
        </w:tc>
        <w:tc>
          <w:tcPr>
            <w:tcW w:w="4252" w:type="dxa"/>
          </w:tcPr>
          <w:p w14:paraId="40427D91" w14:textId="1DC78D14" w:rsidR="00F87F15" w:rsidRDefault="00CF5256"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lastRenderedPageBreak/>
              <w:t>The</w:t>
            </w:r>
            <w:r w:rsidR="00B55BFB">
              <w:rPr>
                <w:rFonts w:eastAsiaTheme="minorEastAsia"/>
                <w:color w:val="1E1545" w:themeColor="dark1"/>
                <w:kern w:val="24"/>
              </w:rPr>
              <w:t xml:space="preserve"> </w:t>
            </w:r>
            <w:r>
              <w:rPr>
                <w:rFonts w:eastAsiaTheme="minorEastAsia"/>
                <w:color w:val="1E1545" w:themeColor="dark1"/>
                <w:kern w:val="24"/>
              </w:rPr>
              <w:t xml:space="preserve">definition of the </w:t>
            </w:r>
            <w:r w:rsidR="004935B0">
              <w:rPr>
                <w:rFonts w:eastAsiaTheme="minorEastAsia"/>
                <w:color w:val="1E1545" w:themeColor="dark1"/>
                <w:kern w:val="24"/>
              </w:rPr>
              <w:t xml:space="preserve">AIHW </w:t>
            </w:r>
            <w:r>
              <w:rPr>
                <w:rFonts w:eastAsiaTheme="minorEastAsia"/>
                <w:color w:val="1E1545" w:themeColor="dark1"/>
                <w:kern w:val="24"/>
              </w:rPr>
              <w:t>antenatal care visit data item includes</w:t>
            </w:r>
            <w:r w:rsidR="004935B0">
              <w:rPr>
                <w:rFonts w:eastAsiaTheme="minorEastAsia"/>
                <w:color w:val="1E1545" w:themeColor="dark1"/>
                <w:kern w:val="24"/>
              </w:rPr>
              <w:t xml:space="preserve"> a visit </w:t>
            </w:r>
            <w:r w:rsidR="0001390B">
              <w:rPr>
                <w:rFonts w:eastAsiaTheme="minorEastAsia"/>
                <w:color w:val="1E1545" w:themeColor="dark1"/>
                <w:kern w:val="24"/>
              </w:rPr>
              <w:t xml:space="preserve">in an antenatal outpatient clinic, specialist outpatient clinic, general practitioner (GP) surgery, obstetrician private room, community health centre, rural and remote health </w:t>
            </w:r>
            <w:proofErr w:type="gramStart"/>
            <w:r w:rsidR="0001390B">
              <w:rPr>
                <w:rFonts w:eastAsiaTheme="minorEastAsia"/>
                <w:color w:val="1E1545" w:themeColor="dark1"/>
                <w:kern w:val="24"/>
              </w:rPr>
              <w:t>clinic</w:t>
            </w:r>
            <w:proofErr w:type="gramEnd"/>
            <w:r w:rsidR="0001390B">
              <w:rPr>
                <w:rFonts w:eastAsiaTheme="minorEastAsia"/>
                <w:color w:val="1E1545" w:themeColor="dark1"/>
                <w:kern w:val="24"/>
              </w:rPr>
              <w:t xml:space="preserve"> and independent midwife practice setting</w:t>
            </w:r>
            <w:r w:rsidR="00F87F15">
              <w:rPr>
                <w:rFonts w:eastAsiaTheme="minorEastAsia"/>
                <w:color w:val="1E1545" w:themeColor="dark1"/>
                <w:kern w:val="24"/>
              </w:rPr>
              <w:t>. However, t</w:t>
            </w:r>
            <w:r w:rsidR="00805510" w:rsidRPr="00D0129E">
              <w:rPr>
                <w:rFonts w:eastAsiaTheme="minorEastAsia"/>
                <w:color w:val="1E1545" w:themeColor="dark1"/>
                <w:kern w:val="24"/>
              </w:rPr>
              <w:t>here are differences in the definitions and methods used for data collection across jurisdictions.</w:t>
            </w:r>
            <w:r w:rsidR="00CE2358">
              <w:rPr>
                <w:rFonts w:eastAsiaTheme="minorEastAsia"/>
                <w:color w:val="1E1545" w:themeColor="dark1"/>
                <w:kern w:val="24"/>
              </w:rPr>
              <w:t xml:space="preserve"> </w:t>
            </w:r>
          </w:p>
          <w:p w14:paraId="60AD226B" w14:textId="6DC8CCC6" w:rsidR="002D4FD7" w:rsidRPr="00D0129E" w:rsidRDefault="00CE2358"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 xml:space="preserve">For example, WA reports </w:t>
            </w:r>
            <w:r w:rsidR="0026729E">
              <w:rPr>
                <w:rFonts w:eastAsiaTheme="minorEastAsia"/>
                <w:color w:val="1E1545" w:themeColor="dark1"/>
                <w:kern w:val="24"/>
              </w:rPr>
              <w:t xml:space="preserve">the gestational age at first antenatal visit in the birth hospital. Therefore, data may not be available for women who attend their first antenatal visit </w:t>
            </w:r>
            <w:r w:rsidR="0026729E">
              <w:rPr>
                <w:rFonts w:eastAsiaTheme="minorEastAsia"/>
                <w:color w:val="1E1545" w:themeColor="dark1"/>
                <w:kern w:val="24"/>
              </w:rPr>
              <w:lastRenderedPageBreak/>
              <w:t xml:space="preserve">outside the birth hospital. In the ACT, </w:t>
            </w:r>
            <w:r w:rsidR="00417480">
              <w:rPr>
                <w:rFonts w:eastAsiaTheme="minorEastAsia"/>
                <w:color w:val="1E1545" w:themeColor="dark1"/>
                <w:kern w:val="24"/>
              </w:rPr>
              <w:t xml:space="preserve">first antenatal visit is often recorded as the first </w:t>
            </w:r>
            <w:r w:rsidR="00B32E5A">
              <w:rPr>
                <w:rFonts w:eastAsiaTheme="minorEastAsia"/>
                <w:color w:val="1E1545" w:themeColor="dark1"/>
                <w:kern w:val="24"/>
              </w:rPr>
              <w:t>hospital</w:t>
            </w:r>
            <w:r w:rsidR="00417480">
              <w:rPr>
                <w:rFonts w:eastAsiaTheme="minorEastAsia"/>
                <w:color w:val="1E1545" w:themeColor="dark1"/>
                <w:kern w:val="24"/>
              </w:rPr>
              <w:t xml:space="preserve"> antenatal clinic </w:t>
            </w:r>
            <w:r w:rsidR="00A1782B">
              <w:rPr>
                <w:rFonts w:eastAsiaTheme="minorEastAsia"/>
                <w:color w:val="1E1545" w:themeColor="dark1"/>
                <w:kern w:val="24"/>
              </w:rPr>
              <w:t>visit</w:t>
            </w:r>
            <w:r w:rsidR="00417480">
              <w:rPr>
                <w:rFonts w:eastAsiaTheme="minorEastAsia"/>
                <w:color w:val="1E1545" w:themeColor="dark1"/>
                <w:kern w:val="24"/>
              </w:rPr>
              <w:t>. Earlier antenatal care provided by a woman’s GP is o</w:t>
            </w:r>
            <w:r w:rsidR="00A1782B">
              <w:rPr>
                <w:rFonts w:eastAsiaTheme="minorEastAsia"/>
                <w:color w:val="1E1545" w:themeColor="dark1"/>
                <w:kern w:val="24"/>
              </w:rPr>
              <w:t>ften not reported.</w:t>
            </w:r>
          </w:p>
        </w:tc>
        <w:tc>
          <w:tcPr>
            <w:tcW w:w="2395" w:type="dxa"/>
          </w:tcPr>
          <w:p w14:paraId="2F855830" w14:textId="3110BCF6" w:rsidR="00B808A8" w:rsidRPr="00D0129E" w:rsidRDefault="00F3391A"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lastRenderedPageBreak/>
              <w:t>Existing datasets</w:t>
            </w:r>
            <w:r w:rsidR="005E0F5F" w:rsidRPr="00D0129E">
              <w:rPr>
                <w:rFonts w:eastAsiaTheme="minorEastAsia"/>
                <w:color w:val="1E1545" w:themeColor="dark1"/>
                <w:kern w:val="24"/>
              </w:rPr>
              <w:t xml:space="preserve"> – AIHW NPDC</w:t>
            </w:r>
            <w:r w:rsidR="00FF00EF">
              <w:rPr>
                <w:rFonts w:eastAsiaTheme="minorEastAsia"/>
                <w:color w:val="1E1545" w:themeColor="dark1"/>
                <w:kern w:val="24"/>
              </w:rPr>
              <w:t>.</w:t>
            </w:r>
          </w:p>
        </w:tc>
      </w:tr>
      <w:tr w:rsidR="00B808A8" w14:paraId="3407980D" w14:textId="73BED19A" w:rsidTr="00CC3881">
        <w:tc>
          <w:tcPr>
            <w:cnfStyle w:val="001000000000" w:firstRow="0" w:lastRow="0" w:firstColumn="1" w:lastColumn="0" w:oddVBand="0" w:evenVBand="0" w:oddHBand="0" w:evenHBand="0" w:firstRowFirstColumn="0" w:firstRowLastColumn="0" w:lastRowFirstColumn="0" w:lastRowLastColumn="0"/>
            <w:tcW w:w="567" w:type="dxa"/>
          </w:tcPr>
          <w:p w14:paraId="3763962A" w14:textId="77777777" w:rsidR="00B808A8" w:rsidRPr="00D0129E" w:rsidRDefault="00B808A8" w:rsidP="00CC3881">
            <w:pPr>
              <w:pStyle w:val="TableNText"/>
            </w:pPr>
            <w:r w:rsidRPr="00D0129E">
              <w:t>5</w:t>
            </w:r>
          </w:p>
        </w:tc>
        <w:tc>
          <w:tcPr>
            <w:tcW w:w="1828" w:type="dxa"/>
          </w:tcPr>
          <w:p w14:paraId="028499A9" w14:textId="0F682362" w:rsidR="00B808A8" w:rsidRPr="00D0129E" w:rsidRDefault="00B808A8" w:rsidP="00CC3881">
            <w:pPr>
              <w:pStyle w:val="TableNText"/>
              <w:cnfStyle w:val="000000000000" w:firstRow="0" w:lastRow="0" w:firstColumn="0" w:lastColumn="0" w:oddVBand="0" w:evenVBand="0" w:oddHBand="0" w:evenHBand="0" w:firstRowFirstColumn="0" w:firstRowLastColumn="0" w:lastRowFirstColumn="0" w:lastRowLastColumn="0"/>
            </w:pPr>
            <w:r w:rsidRPr="00D0129E">
              <w:rPr>
                <w:rFonts w:eastAsiaTheme="minorEastAsia"/>
                <w:color w:val="1E1545" w:themeColor="dark1"/>
                <w:kern w:val="24"/>
                <w:lang w:val="en-US"/>
              </w:rPr>
              <w:t xml:space="preserve">Increase in the proportion of women </w:t>
            </w:r>
            <w:r w:rsidRPr="00D0129E">
              <w:rPr>
                <w:rFonts w:eastAsiaTheme="minorEastAsia"/>
                <w:color w:val="1E1545" w:themeColor="dark1"/>
                <w:kern w:val="24"/>
              </w:rPr>
              <w:t>(overall and in target cohorts</w:t>
            </w:r>
            <w:r w:rsidR="00293FAA" w:rsidRPr="00D0129E">
              <w:rPr>
                <w:rFonts w:eastAsiaTheme="minorEastAsia"/>
                <w:color w:val="1E1545" w:themeColor="dark1"/>
                <w:kern w:val="24"/>
              </w:rPr>
              <w:t>)</w:t>
            </w:r>
            <w:r w:rsidRPr="00D0129E">
              <w:rPr>
                <w:rFonts w:eastAsiaTheme="minorEastAsia"/>
                <w:color w:val="1E1545" w:themeColor="dark1"/>
                <w:kern w:val="24"/>
                <w:lang w:val="en-US"/>
              </w:rPr>
              <w:t xml:space="preserve"> attending their first antenatal visit </w:t>
            </w:r>
            <w:r w:rsidR="00BC677D" w:rsidRPr="00D0129E">
              <w:rPr>
                <w:rFonts w:eastAsiaTheme="minorEastAsia"/>
                <w:color w:val="1E1545" w:themeColor="dark1"/>
                <w:kern w:val="24"/>
                <w:lang w:val="en-US"/>
              </w:rPr>
              <w:t>within</w:t>
            </w:r>
            <w:r w:rsidRPr="00D0129E">
              <w:rPr>
                <w:rFonts w:eastAsiaTheme="minorEastAsia"/>
                <w:color w:val="1E1545" w:themeColor="dark1"/>
                <w:kern w:val="24"/>
                <w:lang w:val="en-US"/>
              </w:rPr>
              <w:t xml:space="preserve"> the first </w:t>
            </w:r>
            <w:r w:rsidR="00BC677D" w:rsidRPr="00D0129E">
              <w:rPr>
                <w:rFonts w:eastAsiaTheme="minorEastAsia"/>
                <w:color w:val="1E1545" w:themeColor="dark1"/>
                <w:kern w:val="24"/>
                <w:lang w:val="en-US"/>
              </w:rPr>
              <w:t>10</w:t>
            </w:r>
            <w:r w:rsidRPr="00D0129E">
              <w:rPr>
                <w:rFonts w:eastAsiaTheme="minorEastAsia"/>
                <w:color w:val="1E1545" w:themeColor="dark1"/>
                <w:kern w:val="24"/>
                <w:lang w:val="en-US"/>
              </w:rPr>
              <w:t xml:space="preserve"> weeks </w:t>
            </w:r>
            <w:r w:rsidR="00BC677D" w:rsidRPr="00D0129E">
              <w:rPr>
                <w:rFonts w:eastAsiaTheme="minorEastAsia"/>
                <w:color w:val="1E1545" w:themeColor="dark1"/>
                <w:kern w:val="24"/>
                <w:lang w:val="en-US"/>
              </w:rPr>
              <w:t>of pregnancy.</w:t>
            </w:r>
          </w:p>
        </w:tc>
        <w:tc>
          <w:tcPr>
            <w:tcW w:w="4678" w:type="dxa"/>
          </w:tcPr>
          <w:p w14:paraId="2622021B" w14:textId="168571A2" w:rsidR="00B808A8" w:rsidRPr="00D0129E" w:rsidRDefault="006E198D"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lang w:val="en-US"/>
              </w:rPr>
            </w:pPr>
            <w:r w:rsidRPr="00D0129E">
              <w:rPr>
                <w:rFonts w:eastAsiaTheme="minorEastAsia"/>
                <w:color w:val="1E1545" w:themeColor="dark1"/>
                <w:kern w:val="24"/>
                <w:lang w:val="en-US"/>
              </w:rPr>
              <w:t>NICE guidelines and the Department of Health</w:t>
            </w:r>
            <w:r w:rsidR="00A42E65">
              <w:rPr>
                <w:rFonts w:eastAsiaTheme="minorEastAsia"/>
                <w:color w:val="1E1545" w:themeColor="dark1"/>
                <w:kern w:val="24"/>
                <w:lang w:val="en-US"/>
              </w:rPr>
              <w:t xml:space="preserve"> and Aged Care</w:t>
            </w:r>
            <w:r w:rsidRPr="00D0129E">
              <w:rPr>
                <w:rFonts w:eastAsiaTheme="minorEastAsia"/>
                <w:color w:val="1E1545" w:themeColor="dark1"/>
                <w:kern w:val="24"/>
                <w:lang w:val="en-US"/>
              </w:rPr>
              <w:t xml:space="preserve">’s </w:t>
            </w:r>
            <w:r w:rsidR="008D17F0" w:rsidRPr="00D0129E">
              <w:rPr>
                <w:rFonts w:eastAsiaTheme="minorEastAsia"/>
                <w:color w:val="1E1545" w:themeColor="dark1"/>
                <w:kern w:val="24"/>
                <w:lang w:val="en-US"/>
              </w:rPr>
              <w:t xml:space="preserve">2020 </w:t>
            </w:r>
            <w:r w:rsidRPr="00D0129E">
              <w:rPr>
                <w:rFonts w:eastAsiaTheme="minorEastAsia"/>
                <w:color w:val="1E1545" w:themeColor="dark1"/>
                <w:kern w:val="24"/>
                <w:lang w:val="en-US"/>
              </w:rPr>
              <w:t>Australian Pregnancy Care Guidelines</w:t>
            </w:r>
            <w:r w:rsidR="0039350D" w:rsidRPr="00D0129E">
              <w:rPr>
                <w:rFonts w:eastAsiaTheme="minorEastAsia"/>
                <w:color w:val="1E1545" w:themeColor="dark1"/>
                <w:kern w:val="24"/>
                <w:lang w:val="en-US"/>
              </w:rPr>
              <w:t xml:space="preserve"> recommend that a woman has her first antenatal visit within the first 10 weeks of pregnancy.</w:t>
            </w:r>
          </w:p>
          <w:p w14:paraId="244C9462" w14:textId="3990F070" w:rsidR="0039350D" w:rsidRPr="00D0129E" w:rsidRDefault="00510EBD"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lang w:val="en-US"/>
              </w:rPr>
            </w:pPr>
            <w:r w:rsidRPr="00D0129E">
              <w:rPr>
                <w:rFonts w:eastAsiaTheme="minorEastAsia"/>
                <w:color w:val="1E1545" w:themeColor="dark1"/>
                <w:kern w:val="24"/>
              </w:rPr>
              <w:t>Disaggregation by target cohorts will support the monitoring and evaluation to get a picture of other factors, such as cultural safety in care.</w:t>
            </w:r>
            <w:r w:rsidR="00071776" w:rsidRPr="00D0129E">
              <w:rPr>
                <w:rFonts w:eastAsiaTheme="minorEastAsia"/>
                <w:color w:val="1E1545" w:themeColor="dark1"/>
                <w:kern w:val="24"/>
              </w:rPr>
              <w:t xml:space="preserve"> Rates of antenatal care attendance are also lower in some target cohorts</w:t>
            </w:r>
            <w:r w:rsidR="00AD547D" w:rsidRPr="00D0129E">
              <w:rPr>
                <w:rFonts w:eastAsiaTheme="minorEastAsia"/>
                <w:color w:val="1E1545" w:themeColor="dark1"/>
                <w:kern w:val="24"/>
              </w:rPr>
              <w:t xml:space="preserve"> and</w:t>
            </w:r>
            <w:r w:rsidR="00071776" w:rsidRPr="00D0129E">
              <w:rPr>
                <w:rFonts w:eastAsiaTheme="minorEastAsia"/>
                <w:color w:val="1E1545" w:themeColor="dark1"/>
                <w:kern w:val="24"/>
              </w:rPr>
              <w:t xml:space="preserve"> this is important to monitor.</w:t>
            </w:r>
          </w:p>
        </w:tc>
        <w:tc>
          <w:tcPr>
            <w:tcW w:w="4252" w:type="dxa"/>
          </w:tcPr>
          <w:p w14:paraId="01569878" w14:textId="03324238" w:rsidR="00B808A8" w:rsidRPr="00D0129E" w:rsidRDefault="00880EAA"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There are differences in the definitions and methods used for data collection across jurisdictions.</w:t>
            </w:r>
          </w:p>
        </w:tc>
        <w:tc>
          <w:tcPr>
            <w:tcW w:w="2395" w:type="dxa"/>
          </w:tcPr>
          <w:p w14:paraId="7A7BF229" w14:textId="3C364B19" w:rsidR="00B808A8" w:rsidRPr="00D0129E" w:rsidRDefault="00F3391A"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lang w:val="en-US"/>
              </w:rPr>
            </w:pPr>
            <w:r w:rsidRPr="00D0129E">
              <w:rPr>
                <w:rFonts w:eastAsiaTheme="minorEastAsia"/>
                <w:color w:val="1E1545" w:themeColor="dark1"/>
                <w:kern w:val="24"/>
              </w:rPr>
              <w:t>Existing datasets</w:t>
            </w:r>
            <w:r w:rsidR="005E0F5F" w:rsidRPr="00D0129E">
              <w:rPr>
                <w:rFonts w:eastAsiaTheme="minorEastAsia"/>
                <w:color w:val="1E1545" w:themeColor="dark1"/>
                <w:kern w:val="24"/>
              </w:rPr>
              <w:t xml:space="preserve"> – AIHW NPDC</w:t>
            </w:r>
            <w:r w:rsidR="00084FC3">
              <w:rPr>
                <w:rFonts w:eastAsiaTheme="minorEastAsia"/>
                <w:color w:val="1E1545" w:themeColor="dark1"/>
                <w:kern w:val="24"/>
              </w:rPr>
              <w:t xml:space="preserve"> and AIHW national Key Performance Indicators (</w:t>
            </w:r>
            <w:proofErr w:type="spellStart"/>
            <w:r w:rsidR="00084FC3">
              <w:rPr>
                <w:rFonts w:eastAsiaTheme="minorEastAsia"/>
                <w:color w:val="1E1545" w:themeColor="dark1"/>
                <w:kern w:val="24"/>
              </w:rPr>
              <w:t>nKPI</w:t>
            </w:r>
            <w:proofErr w:type="spellEnd"/>
            <w:r w:rsidR="00084FC3">
              <w:rPr>
                <w:rFonts w:eastAsiaTheme="minorEastAsia"/>
                <w:color w:val="1E1545" w:themeColor="dark1"/>
                <w:kern w:val="24"/>
              </w:rPr>
              <w:t>)</w:t>
            </w:r>
            <w:r w:rsidR="00E047EE">
              <w:rPr>
                <w:rFonts w:eastAsiaTheme="minorEastAsia"/>
                <w:color w:val="1E1545" w:themeColor="dark1"/>
                <w:kern w:val="24"/>
              </w:rPr>
              <w:t>.</w:t>
            </w:r>
          </w:p>
        </w:tc>
      </w:tr>
      <w:tr w:rsidR="00B808A8" w14:paraId="1424FCEA" w14:textId="307B928E" w:rsidTr="00CC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260F249" w14:textId="77777777" w:rsidR="00B808A8" w:rsidRPr="00D0129E" w:rsidRDefault="00B808A8" w:rsidP="00CC3881">
            <w:pPr>
              <w:pStyle w:val="TableNText"/>
            </w:pPr>
            <w:r w:rsidRPr="00D0129E">
              <w:t>6</w:t>
            </w:r>
          </w:p>
        </w:tc>
        <w:tc>
          <w:tcPr>
            <w:tcW w:w="1828" w:type="dxa"/>
          </w:tcPr>
          <w:p w14:paraId="7C3B908A" w14:textId="3509A2CE" w:rsidR="00B808A8" w:rsidRPr="00D0129E" w:rsidRDefault="00B808A8" w:rsidP="00CC3881">
            <w:pPr>
              <w:pStyle w:val="TableNText"/>
              <w:cnfStyle w:val="000000100000" w:firstRow="0" w:lastRow="0" w:firstColumn="0" w:lastColumn="0" w:oddVBand="0" w:evenVBand="0" w:oddHBand="1" w:evenHBand="0" w:firstRowFirstColumn="0" w:firstRowLastColumn="0" w:lastRowFirstColumn="0" w:lastRowLastColumn="0"/>
            </w:pPr>
            <w:r w:rsidRPr="00D0129E">
              <w:rPr>
                <w:rFonts w:eastAsiaTheme="minorEastAsia"/>
                <w:color w:val="1E1545" w:themeColor="dark1"/>
                <w:kern w:val="24"/>
              </w:rPr>
              <w:t xml:space="preserve">Increase in </w:t>
            </w:r>
            <w:r w:rsidR="00BD2117">
              <w:rPr>
                <w:rFonts w:eastAsiaTheme="minorEastAsia"/>
                <w:color w:val="1E1545" w:themeColor="dark1"/>
                <w:kern w:val="24"/>
              </w:rPr>
              <w:t>available</w:t>
            </w:r>
            <w:r w:rsidRPr="00D0129E">
              <w:rPr>
                <w:rFonts w:eastAsiaTheme="minorEastAsia"/>
                <w:color w:val="1E1545" w:themeColor="dark1"/>
                <w:kern w:val="24"/>
              </w:rPr>
              <w:t xml:space="preserve"> </w:t>
            </w:r>
            <w:r w:rsidR="006B16BC">
              <w:rPr>
                <w:rFonts w:eastAsiaTheme="minorEastAsia"/>
                <w:color w:val="1E1545" w:themeColor="dark1"/>
                <w:kern w:val="24"/>
              </w:rPr>
              <w:t>maternity</w:t>
            </w:r>
            <w:r w:rsidRPr="00D0129E">
              <w:rPr>
                <w:rFonts w:eastAsiaTheme="minorEastAsia"/>
                <w:color w:val="1E1545" w:themeColor="dark1"/>
                <w:kern w:val="24"/>
              </w:rPr>
              <w:t xml:space="preserve"> </w:t>
            </w:r>
            <w:r w:rsidR="00C21B8D" w:rsidRPr="00D0129E">
              <w:rPr>
                <w:rFonts w:eastAsiaTheme="minorEastAsia"/>
                <w:color w:val="1E1545" w:themeColor="dark1"/>
                <w:kern w:val="24"/>
              </w:rPr>
              <w:t>services</w:t>
            </w:r>
            <w:r w:rsidRPr="00D0129E">
              <w:rPr>
                <w:rFonts w:eastAsiaTheme="minorEastAsia"/>
                <w:color w:val="1E1545" w:themeColor="dark1"/>
                <w:kern w:val="24"/>
              </w:rPr>
              <w:t xml:space="preserve"> </w:t>
            </w:r>
            <w:r w:rsidR="009D79A9">
              <w:rPr>
                <w:rFonts w:eastAsiaTheme="minorEastAsia"/>
                <w:color w:val="1E1545" w:themeColor="dark1"/>
                <w:kern w:val="24"/>
              </w:rPr>
              <w:t>specific to target cohorts (as defined in the Plan).</w:t>
            </w:r>
          </w:p>
        </w:tc>
        <w:tc>
          <w:tcPr>
            <w:tcW w:w="4678" w:type="dxa"/>
          </w:tcPr>
          <w:p w14:paraId="173B8450" w14:textId="01A608F6" w:rsidR="006F7527" w:rsidRDefault="006F7527"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The Plan refers to the following groups</w:t>
            </w:r>
            <w:r w:rsidR="000B2766">
              <w:rPr>
                <w:rFonts w:eastAsiaTheme="minorEastAsia"/>
                <w:color w:val="1E1545" w:themeColor="dark1"/>
                <w:kern w:val="24"/>
              </w:rPr>
              <w:t>,</w:t>
            </w:r>
            <w:r w:rsidR="00216905">
              <w:rPr>
                <w:rFonts w:eastAsiaTheme="minorEastAsia"/>
                <w:color w:val="1E1545" w:themeColor="dark1"/>
                <w:kern w:val="24"/>
              </w:rPr>
              <w:t xml:space="preserve"> who are at higher risk of </w:t>
            </w:r>
            <w:r w:rsidR="000B2766">
              <w:rPr>
                <w:rFonts w:eastAsiaTheme="minorEastAsia"/>
                <w:color w:val="1E1545" w:themeColor="dark1"/>
                <w:kern w:val="24"/>
              </w:rPr>
              <w:t>experience</w:t>
            </w:r>
            <w:r w:rsidR="00216905">
              <w:rPr>
                <w:rFonts w:eastAsiaTheme="minorEastAsia"/>
                <w:color w:val="1E1545" w:themeColor="dark1"/>
                <w:kern w:val="24"/>
              </w:rPr>
              <w:t xml:space="preserve"> stillbirth</w:t>
            </w:r>
            <w:r w:rsidR="000B2766">
              <w:rPr>
                <w:rFonts w:eastAsiaTheme="minorEastAsia"/>
                <w:color w:val="1E1545" w:themeColor="dark1"/>
                <w:kern w:val="24"/>
              </w:rPr>
              <w:t>,</w:t>
            </w:r>
            <w:r>
              <w:rPr>
                <w:rFonts w:eastAsiaTheme="minorEastAsia"/>
                <w:color w:val="1E1545" w:themeColor="dark1"/>
                <w:kern w:val="24"/>
              </w:rPr>
              <w:t xml:space="preserve"> as ‘target cohorts’: Aboriginal and Torres Strait Islander women, migrant and refugee women, women living in very remote and remote areas, women living the most socially disadvantaged areas</w:t>
            </w:r>
            <w:r w:rsidR="00216905">
              <w:rPr>
                <w:rFonts w:eastAsiaTheme="minorEastAsia"/>
                <w:color w:val="1E1545" w:themeColor="dark1"/>
                <w:kern w:val="24"/>
              </w:rPr>
              <w:t>,</w:t>
            </w:r>
            <w:r>
              <w:rPr>
                <w:rFonts w:eastAsiaTheme="minorEastAsia"/>
                <w:color w:val="1E1545" w:themeColor="dark1"/>
                <w:kern w:val="24"/>
              </w:rPr>
              <w:t xml:space="preserve"> women aged under </w:t>
            </w:r>
            <w:r w:rsidR="00194402">
              <w:rPr>
                <w:rFonts w:eastAsiaTheme="minorEastAsia"/>
                <w:color w:val="1E1545" w:themeColor="dark1"/>
                <w:kern w:val="24"/>
              </w:rPr>
              <w:t xml:space="preserve">20 and women who have previously experienced a stillbirth. </w:t>
            </w:r>
          </w:p>
          <w:p w14:paraId="38BC3BEF" w14:textId="2F45C2F8" w:rsidR="00ED1600" w:rsidRPr="00D0129E" w:rsidRDefault="00194402"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lastRenderedPageBreak/>
              <w:t>This indicator considers services specific to target cohorts</w:t>
            </w:r>
            <w:r w:rsidR="006A68D2">
              <w:rPr>
                <w:rFonts w:eastAsiaTheme="minorEastAsia"/>
                <w:color w:val="1E1545" w:themeColor="dark1"/>
                <w:kern w:val="24"/>
              </w:rPr>
              <w:t xml:space="preserve"> where</w:t>
            </w:r>
            <w:r w:rsidR="00ED1600" w:rsidRPr="00D0129E">
              <w:rPr>
                <w:rFonts w:eastAsiaTheme="minorEastAsia"/>
                <w:color w:val="1E1545" w:themeColor="dark1"/>
                <w:kern w:val="24"/>
              </w:rPr>
              <w:t xml:space="preserve"> a targeted cohort service is defined as a health or maternity service that </w:t>
            </w:r>
            <w:r w:rsidR="00027825">
              <w:rPr>
                <w:rFonts w:eastAsiaTheme="minorEastAsia"/>
                <w:color w:val="1E1545" w:themeColor="dark1"/>
                <w:kern w:val="24"/>
              </w:rPr>
              <w:t xml:space="preserve">is </w:t>
            </w:r>
            <w:r w:rsidR="00ED1600" w:rsidRPr="00D0129E">
              <w:rPr>
                <w:rFonts w:eastAsiaTheme="minorEastAsia"/>
                <w:color w:val="1E1545" w:themeColor="dark1"/>
                <w:kern w:val="24"/>
              </w:rPr>
              <w:t>specifically designed to provide care to specific cohorts</w:t>
            </w:r>
            <w:r w:rsidR="00AE1E4B">
              <w:rPr>
                <w:rFonts w:eastAsiaTheme="minorEastAsia"/>
                <w:color w:val="1E1545" w:themeColor="dark1"/>
                <w:kern w:val="24"/>
              </w:rPr>
              <w:t xml:space="preserve">. This may include </w:t>
            </w:r>
            <w:r w:rsidR="006E763A">
              <w:rPr>
                <w:rFonts w:eastAsiaTheme="minorEastAsia"/>
                <w:color w:val="1E1545" w:themeColor="dark1"/>
                <w:kern w:val="24"/>
              </w:rPr>
              <w:t>mainstream</w:t>
            </w:r>
            <w:r w:rsidR="004C454D">
              <w:rPr>
                <w:rFonts w:eastAsiaTheme="minorEastAsia"/>
                <w:color w:val="1E1545" w:themeColor="dark1"/>
                <w:kern w:val="24"/>
              </w:rPr>
              <w:t xml:space="preserve"> services that </w:t>
            </w:r>
            <w:r w:rsidR="006E763A">
              <w:rPr>
                <w:rFonts w:eastAsiaTheme="minorEastAsia"/>
                <w:color w:val="1E1545" w:themeColor="dark1"/>
                <w:kern w:val="24"/>
              </w:rPr>
              <w:t>provide exemplary care to target cohorts</w:t>
            </w:r>
            <w:r w:rsidR="00ED1600" w:rsidRPr="00D0129E">
              <w:rPr>
                <w:rFonts w:eastAsiaTheme="minorEastAsia"/>
                <w:color w:val="1E1545" w:themeColor="dark1"/>
                <w:kern w:val="24"/>
              </w:rPr>
              <w:t>. An example would be Aboriginal Medical Services that receive funding from the Indigenous Australians’ Health Programme</w:t>
            </w:r>
            <w:r w:rsidR="006A68D2">
              <w:rPr>
                <w:rFonts w:eastAsiaTheme="minorEastAsia"/>
                <w:color w:val="1E1545" w:themeColor="dark1"/>
                <w:kern w:val="24"/>
              </w:rPr>
              <w:t xml:space="preserve"> or antenatal care programs specifically designed for adolescents or women who have previously experienced loss. </w:t>
            </w:r>
          </w:p>
          <w:p w14:paraId="78EA0397" w14:textId="77777777" w:rsidR="000B39FD" w:rsidRDefault="006A68D2"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 xml:space="preserve">The purpose of this indicator is to identify any trends in the number of services available to target cohorts. </w:t>
            </w:r>
            <w:r w:rsidR="00B00C39">
              <w:rPr>
                <w:rFonts w:eastAsiaTheme="minorEastAsia"/>
                <w:color w:val="1E1545" w:themeColor="dark1"/>
                <w:kern w:val="24"/>
              </w:rPr>
              <w:t xml:space="preserve">This may include some analysis of </w:t>
            </w:r>
            <w:r w:rsidR="00A17A42">
              <w:rPr>
                <w:rFonts w:eastAsiaTheme="minorEastAsia"/>
                <w:color w:val="1E1545" w:themeColor="dark1"/>
                <w:kern w:val="24"/>
              </w:rPr>
              <w:t xml:space="preserve">trends </w:t>
            </w:r>
            <w:r w:rsidR="00E929BD">
              <w:rPr>
                <w:rFonts w:eastAsiaTheme="minorEastAsia"/>
                <w:color w:val="1E1545" w:themeColor="dark1"/>
                <w:kern w:val="24"/>
              </w:rPr>
              <w:t>in service</w:t>
            </w:r>
            <w:r w:rsidR="009C03AA">
              <w:rPr>
                <w:rFonts w:eastAsiaTheme="minorEastAsia"/>
                <w:color w:val="1E1545" w:themeColor="dark1"/>
                <w:kern w:val="24"/>
              </w:rPr>
              <w:t xml:space="preserve"> availability </w:t>
            </w:r>
            <w:r w:rsidR="00A17A42">
              <w:rPr>
                <w:rFonts w:eastAsiaTheme="minorEastAsia"/>
                <w:color w:val="1E1545" w:themeColor="dark1"/>
                <w:kern w:val="24"/>
              </w:rPr>
              <w:t xml:space="preserve">for </w:t>
            </w:r>
            <w:r w:rsidR="00165B6B">
              <w:rPr>
                <w:rFonts w:eastAsiaTheme="minorEastAsia"/>
                <w:color w:val="1E1545" w:themeColor="dark1"/>
                <w:kern w:val="24"/>
              </w:rPr>
              <w:t>each</w:t>
            </w:r>
            <w:r w:rsidR="00A17A42">
              <w:rPr>
                <w:rFonts w:eastAsiaTheme="minorEastAsia"/>
                <w:color w:val="1E1545" w:themeColor="dark1"/>
                <w:kern w:val="24"/>
              </w:rPr>
              <w:t xml:space="preserve"> target cohort and </w:t>
            </w:r>
            <w:r w:rsidR="00E549BC">
              <w:rPr>
                <w:rFonts w:eastAsiaTheme="minorEastAsia"/>
                <w:color w:val="1E1545" w:themeColor="dark1"/>
                <w:kern w:val="24"/>
              </w:rPr>
              <w:t xml:space="preserve">the impact of this on </w:t>
            </w:r>
            <w:r w:rsidR="0079388F">
              <w:rPr>
                <w:rFonts w:eastAsiaTheme="minorEastAsia"/>
                <w:color w:val="1E1545" w:themeColor="dark1"/>
                <w:kern w:val="24"/>
              </w:rPr>
              <w:t>outcomes</w:t>
            </w:r>
            <w:r w:rsidR="00165B6B">
              <w:rPr>
                <w:rFonts w:eastAsiaTheme="minorEastAsia"/>
                <w:color w:val="1E1545" w:themeColor="dark1"/>
                <w:kern w:val="24"/>
              </w:rPr>
              <w:t>. However, its primary purpose is not to assess if target services are in the right area of need</w:t>
            </w:r>
            <w:r w:rsidR="002D3D7F">
              <w:rPr>
                <w:rFonts w:eastAsiaTheme="minorEastAsia"/>
                <w:color w:val="1E1545" w:themeColor="dark1"/>
                <w:kern w:val="24"/>
              </w:rPr>
              <w:t xml:space="preserve">. Rather, the aim of this indicator is to assess if </w:t>
            </w:r>
            <w:r w:rsidR="00722F01">
              <w:rPr>
                <w:rFonts w:eastAsiaTheme="minorEastAsia"/>
                <w:color w:val="1E1545" w:themeColor="dark1"/>
                <w:kern w:val="24"/>
              </w:rPr>
              <w:t xml:space="preserve">women in target cohorts identified in the Plan have access to </w:t>
            </w:r>
            <w:r w:rsidR="008E4DD5">
              <w:rPr>
                <w:rFonts w:eastAsiaTheme="minorEastAsia"/>
                <w:color w:val="1E1545" w:themeColor="dark1"/>
                <w:kern w:val="24"/>
              </w:rPr>
              <w:t>maternity services that address their specific needs.</w:t>
            </w:r>
            <w:r>
              <w:rPr>
                <w:rFonts w:eastAsiaTheme="minorEastAsia"/>
                <w:color w:val="1E1545" w:themeColor="dark1"/>
                <w:kern w:val="24"/>
              </w:rPr>
              <w:t xml:space="preserve"> </w:t>
            </w:r>
          </w:p>
          <w:p w14:paraId="74D2B904" w14:textId="68D37407" w:rsidR="003627E2" w:rsidRPr="00D0129E" w:rsidRDefault="003627E2"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 xml:space="preserve">This indicator will also inform the indicator </w:t>
            </w:r>
            <w:r w:rsidR="00623D54">
              <w:rPr>
                <w:rFonts w:eastAsiaTheme="minorEastAsia"/>
                <w:color w:val="1E1545" w:themeColor="dark1"/>
                <w:kern w:val="24"/>
              </w:rPr>
              <w:t xml:space="preserve">regarding culturally safe maternity care </w:t>
            </w:r>
            <w:r w:rsidR="005F3651">
              <w:rPr>
                <w:rFonts w:eastAsiaTheme="minorEastAsia"/>
                <w:color w:val="1E1545" w:themeColor="dark1"/>
                <w:kern w:val="24"/>
              </w:rPr>
              <w:t xml:space="preserve">by identifying the proportion of </w:t>
            </w:r>
            <w:r w:rsidR="00675038">
              <w:rPr>
                <w:rFonts w:eastAsiaTheme="minorEastAsia"/>
                <w:color w:val="1E1545" w:themeColor="dark1"/>
                <w:kern w:val="24"/>
              </w:rPr>
              <w:t>maternity care models that are</w:t>
            </w:r>
            <w:r w:rsidR="00623D54">
              <w:rPr>
                <w:rFonts w:eastAsiaTheme="minorEastAsia"/>
                <w:color w:val="1E1545" w:themeColor="dark1"/>
                <w:kern w:val="24"/>
              </w:rPr>
              <w:t xml:space="preserve"> targeted towards Aboriginal and </w:t>
            </w:r>
            <w:r w:rsidR="00623D54">
              <w:rPr>
                <w:rFonts w:eastAsiaTheme="minorEastAsia"/>
                <w:color w:val="1E1545" w:themeColor="dark1"/>
                <w:kern w:val="24"/>
              </w:rPr>
              <w:lastRenderedPageBreak/>
              <w:t>Torres Strait Islander women</w:t>
            </w:r>
            <w:r w:rsidR="00DC0A76">
              <w:rPr>
                <w:rFonts w:eastAsiaTheme="minorEastAsia"/>
                <w:color w:val="1E1545" w:themeColor="dark1"/>
                <w:kern w:val="24"/>
              </w:rPr>
              <w:t xml:space="preserve"> or women from migrant and refugee backgrounds</w:t>
            </w:r>
            <w:r w:rsidR="0095129C">
              <w:rPr>
                <w:rFonts w:eastAsiaTheme="minorEastAsia"/>
                <w:color w:val="1E1545" w:themeColor="dark1"/>
                <w:kern w:val="24"/>
              </w:rPr>
              <w:t>.</w:t>
            </w:r>
          </w:p>
        </w:tc>
        <w:tc>
          <w:tcPr>
            <w:tcW w:w="4252" w:type="dxa"/>
          </w:tcPr>
          <w:p w14:paraId="34AE8FB4" w14:textId="77777777" w:rsidR="00850165" w:rsidRDefault="00910F2B"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lastRenderedPageBreak/>
              <w:t xml:space="preserve">Current data </w:t>
            </w:r>
            <w:r w:rsidR="00FE1896">
              <w:rPr>
                <w:rFonts w:eastAsiaTheme="minorEastAsia"/>
                <w:color w:val="1E1545" w:themeColor="dark1"/>
                <w:kern w:val="24"/>
              </w:rPr>
              <w:t xml:space="preserve">on models of care includes the proportion of care models that targeted a specific group. </w:t>
            </w:r>
            <w:r w:rsidR="00850165">
              <w:rPr>
                <w:rFonts w:eastAsiaTheme="minorEastAsia"/>
                <w:color w:val="1E1545" w:themeColor="dark1"/>
                <w:kern w:val="24"/>
              </w:rPr>
              <w:t>Models of care may have more than one target group.</w:t>
            </w:r>
          </w:p>
          <w:p w14:paraId="00C4ABA6" w14:textId="05870170" w:rsidR="00AE1E4B" w:rsidRDefault="00FB3AEA"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Current data also does not include the experience</w:t>
            </w:r>
            <w:r w:rsidR="00E66E38">
              <w:rPr>
                <w:rFonts w:eastAsiaTheme="minorEastAsia"/>
                <w:color w:val="1E1545" w:themeColor="dark1"/>
                <w:kern w:val="24"/>
              </w:rPr>
              <w:t xml:space="preserve"> and outcomes</w:t>
            </w:r>
            <w:r>
              <w:rPr>
                <w:rFonts w:eastAsiaTheme="minorEastAsia"/>
                <w:color w:val="1E1545" w:themeColor="dark1"/>
                <w:kern w:val="24"/>
              </w:rPr>
              <w:t xml:space="preserve"> of women </w:t>
            </w:r>
            <w:r w:rsidR="00D42673">
              <w:rPr>
                <w:rFonts w:eastAsiaTheme="minorEastAsia"/>
                <w:color w:val="1E1545" w:themeColor="dark1"/>
                <w:kern w:val="24"/>
              </w:rPr>
              <w:t xml:space="preserve">in targeted services and whether these services address their needs. </w:t>
            </w:r>
            <w:r w:rsidR="005D48E6">
              <w:rPr>
                <w:rFonts w:eastAsiaTheme="minorEastAsia"/>
                <w:color w:val="1E1545" w:themeColor="dark1"/>
                <w:kern w:val="24"/>
              </w:rPr>
              <w:t xml:space="preserve">Therefore, this indicator will also </w:t>
            </w:r>
            <w:r w:rsidR="002D419A">
              <w:rPr>
                <w:rFonts w:eastAsiaTheme="minorEastAsia"/>
                <w:color w:val="1E1545" w:themeColor="dark1"/>
                <w:kern w:val="24"/>
              </w:rPr>
              <w:t>draw on case stud</w:t>
            </w:r>
            <w:r w:rsidR="004F4B03">
              <w:rPr>
                <w:rFonts w:eastAsiaTheme="minorEastAsia"/>
                <w:color w:val="1E1545" w:themeColor="dark1"/>
                <w:kern w:val="24"/>
              </w:rPr>
              <w:t>y</w:t>
            </w:r>
            <w:r w:rsidR="002D419A">
              <w:rPr>
                <w:rFonts w:eastAsiaTheme="minorEastAsia"/>
                <w:color w:val="1E1545" w:themeColor="dark1"/>
                <w:kern w:val="24"/>
              </w:rPr>
              <w:t xml:space="preserve"> examples that </w:t>
            </w:r>
            <w:r w:rsidR="002D419A">
              <w:rPr>
                <w:rFonts w:eastAsiaTheme="minorEastAsia"/>
                <w:color w:val="1E1545" w:themeColor="dark1"/>
                <w:kern w:val="24"/>
              </w:rPr>
              <w:lastRenderedPageBreak/>
              <w:t>demonstrate</w:t>
            </w:r>
            <w:r w:rsidR="004F4B03">
              <w:rPr>
                <w:rFonts w:eastAsiaTheme="minorEastAsia"/>
                <w:color w:val="1E1545" w:themeColor="dark1"/>
                <w:kern w:val="24"/>
              </w:rPr>
              <w:t xml:space="preserve"> how</w:t>
            </w:r>
            <w:r w:rsidR="002D419A">
              <w:rPr>
                <w:rFonts w:eastAsiaTheme="minorEastAsia"/>
                <w:color w:val="1E1545" w:themeColor="dark1"/>
                <w:kern w:val="24"/>
              </w:rPr>
              <w:t xml:space="preserve"> quality stillbirth prevention care</w:t>
            </w:r>
            <w:r w:rsidR="004F4B03">
              <w:rPr>
                <w:rFonts w:eastAsiaTheme="minorEastAsia"/>
                <w:color w:val="1E1545" w:themeColor="dark1"/>
                <w:kern w:val="24"/>
              </w:rPr>
              <w:t xml:space="preserve"> can impact outcomes</w:t>
            </w:r>
            <w:r w:rsidR="002D419A">
              <w:rPr>
                <w:rFonts w:eastAsiaTheme="minorEastAsia"/>
                <w:color w:val="1E1545" w:themeColor="dark1"/>
                <w:kern w:val="24"/>
              </w:rPr>
              <w:t xml:space="preserve"> relevant to target cohorts.</w:t>
            </w:r>
          </w:p>
          <w:p w14:paraId="2D9C4402" w14:textId="19147819" w:rsidR="00B808A8" w:rsidRDefault="003E765B"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sidRPr="003E765B">
              <w:rPr>
                <w:rFonts w:eastAsiaTheme="minorEastAsia"/>
                <w:color w:val="1E1545" w:themeColor="dark1"/>
                <w:kern w:val="24"/>
              </w:rPr>
              <w:t xml:space="preserve">There </w:t>
            </w:r>
            <w:r w:rsidR="006A68D2">
              <w:rPr>
                <w:rFonts w:eastAsiaTheme="minorEastAsia"/>
                <w:color w:val="1E1545" w:themeColor="dark1"/>
                <w:kern w:val="24"/>
              </w:rPr>
              <w:t>is likely to be limited data and service availability for some target cohorts and potentially more for others</w:t>
            </w:r>
            <w:r w:rsidR="009065D4">
              <w:rPr>
                <w:rFonts w:eastAsiaTheme="minorEastAsia"/>
                <w:color w:val="1E1545" w:themeColor="dark1"/>
                <w:kern w:val="24"/>
              </w:rPr>
              <w:t>.</w:t>
            </w:r>
            <w:r w:rsidR="00AA79AD">
              <w:rPr>
                <w:rFonts w:eastAsiaTheme="minorEastAsia"/>
                <w:color w:val="1E1545" w:themeColor="dark1"/>
                <w:kern w:val="24"/>
              </w:rPr>
              <w:t xml:space="preserve"> </w:t>
            </w:r>
          </w:p>
          <w:p w14:paraId="3FA26928" w14:textId="5B40DBF6" w:rsidR="00A940B5" w:rsidRPr="00D0129E" w:rsidRDefault="005F3651"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Regarding the use of this indicator to inform the cultural safety indicator, i</w:t>
            </w:r>
            <w:r w:rsidR="008D4978">
              <w:rPr>
                <w:rFonts w:eastAsiaTheme="minorEastAsia"/>
                <w:color w:val="1E1545" w:themeColor="dark1"/>
                <w:kern w:val="24"/>
              </w:rPr>
              <w:t>t</w:t>
            </w:r>
            <w:r w:rsidR="00AA79AD">
              <w:rPr>
                <w:rFonts w:eastAsiaTheme="minorEastAsia"/>
                <w:color w:val="1E1545" w:themeColor="dark1"/>
                <w:kern w:val="24"/>
              </w:rPr>
              <w:t xml:space="preserve"> is noted that </w:t>
            </w:r>
            <w:r w:rsidR="00B07A50">
              <w:rPr>
                <w:rFonts w:eastAsiaTheme="minorEastAsia"/>
                <w:color w:val="1E1545" w:themeColor="dark1"/>
                <w:kern w:val="24"/>
              </w:rPr>
              <w:t>service</w:t>
            </w:r>
            <w:r w:rsidR="00F441CD">
              <w:rPr>
                <w:rFonts w:eastAsiaTheme="minorEastAsia"/>
                <w:color w:val="1E1545" w:themeColor="dark1"/>
                <w:kern w:val="24"/>
              </w:rPr>
              <w:t>s</w:t>
            </w:r>
            <w:r w:rsidR="00B07A50">
              <w:rPr>
                <w:rFonts w:eastAsiaTheme="minorEastAsia"/>
                <w:color w:val="1E1545" w:themeColor="dark1"/>
                <w:kern w:val="24"/>
              </w:rPr>
              <w:t xml:space="preserve"> targeted </w:t>
            </w:r>
            <w:r w:rsidR="004D24E9">
              <w:rPr>
                <w:rFonts w:eastAsiaTheme="minorEastAsia"/>
                <w:color w:val="1E1545" w:themeColor="dark1"/>
                <w:kern w:val="24"/>
              </w:rPr>
              <w:t>towards Aboriginal and Torres Strait Islander women or women from migrant or refugee backgrounds</w:t>
            </w:r>
            <w:r w:rsidR="00F441CD">
              <w:rPr>
                <w:rFonts w:eastAsiaTheme="minorEastAsia"/>
                <w:color w:val="1E1545" w:themeColor="dark1"/>
                <w:kern w:val="24"/>
              </w:rPr>
              <w:t xml:space="preserve"> may not</w:t>
            </w:r>
            <w:r w:rsidR="0074744A">
              <w:rPr>
                <w:rFonts w:eastAsiaTheme="minorEastAsia"/>
                <w:color w:val="1E1545" w:themeColor="dark1"/>
                <w:kern w:val="24"/>
              </w:rPr>
              <w:t xml:space="preserve"> necessarily</w:t>
            </w:r>
            <w:r w:rsidR="00880593">
              <w:rPr>
                <w:rFonts w:eastAsiaTheme="minorEastAsia"/>
                <w:color w:val="1E1545" w:themeColor="dark1"/>
                <w:kern w:val="24"/>
              </w:rPr>
              <w:t xml:space="preserve"> be culturally safe. It is also noted that</w:t>
            </w:r>
            <w:r w:rsidR="00AA79AD">
              <w:rPr>
                <w:rFonts w:eastAsiaTheme="minorEastAsia"/>
                <w:color w:val="1E1545" w:themeColor="dark1"/>
                <w:kern w:val="24"/>
              </w:rPr>
              <w:t xml:space="preserve"> mainstream services provide the bulk of care to target cohorts. </w:t>
            </w:r>
            <w:r w:rsidR="00CD6AE6">
              <w:rPr>
                <w:rFonts w:eastAsiaTheme="minorEastAsia"/>
                <w:color w:val="1E1545" w:themeColor="dark1"/>
                <w:kern w:val="24"/>
              </w:rPr>
              <w:t>However,</w:t>
            </w:r>
            <w:r w:rsidR="008D4978">
              <w:rPr>
                <w:rFonts w:eastAsiaTheme="minorEastAsia"/>
                <w:color w:val="1E1545" w:themeColor="dark1"/>
                <w:kern w:val="24"/>
              </w:rPr>
              <w:t xml:space="preserve"> this indicator will not be </w:t>
            </w:r>
            <w:r w:rsidR="00675038">
              <w:rPr>
                <w:rFonts w:eastAsiaTheme="minorEastAsia"/>
                <w:color w:val="1E1545" w:themeColor="dark1"/>
                <w:kern w:val="24"/>
              </w:rPr>
              <w:t xml:space="preserve">able to support </w:t>
            </w:r>
            <w:r w:rsidR="006271BE">
              <w:rPr>
                <w:rFonts w:eastAsiaTheme="minorEastAsia"/>
                <w:color w:val="1E1545" w:themeColor="dark1"/>
                <w:kern w:val="24"/>
              </w:rPr>
              <w:t>assessment of</w:t>
            </w:r>
            <w:r w:rsidR="00BA2793">
              <w:rPr>
                <w:rFonts w:eastAsiaTheme="minorEastAsia"/>
                <w:color w:val="1E1545" w:themeColor="dark1"/>
                <w:kern w:val="24"/>
              </w:rPr>
              <w:t xml:space="preserve"> </w:t>
            </w:r>
            <w:r w:rsidR="00BA2793" w:rsidRPr="00D0129E">
              <w:rPr>
                <w:rFonts w:eastAsiaTheme="minorEastAsia"/>
                <w:color w:val="1E1545" w:themeColor="dark1"/>
                <w:kern w:val="24"/>
              </w:rPr>
              <w:t>the availability of culturally safe care in mainstream maternity and health services.</w:t>
            </w:r>
          </w:p>
        </w:tc>
        <w:tc>
          <w:tcPr>
            <w:tcW w:w="2395" w:type="dxa"/>
          </w:tcPr>
          <w:p w14:paraId="741A2A93" w14:textId="77777777" w:rsidR="00467053" w:rsidRPr="00D0129E" w:rsidRDefault="00467053" w:rsidP="00CC3881">
            <w:pPr>
              <w:pStyle w:val="TableNText"/>
              <w:cnfStyle w:val="000000100000" w:firstRow="0" w:lastRow="0" w:firstColumn="0" w:lastColumn="0" w:oddVBand="0" w:evenVBand="0" w:oddHBand="1" w:evenHBand="0" w:firstRowFirstColumn="0" w:firstRowLastColumn="0" w:lastRowFirstColumn="0" w:lastRowLastColumn="0"/>
            </w:pPr>
            <w:r w:rsidRPr="00D0129E">
              <w:lastRenderedPageBreak/>
              <w:t>Annual Implementers’ Progress Update and consultations</w:t>
            </w:r>
            <w:r>
              <w:t>.</w:t>
            </w:r>
          </w:p>
          <w:p w14:paraId="3DAF2EAF" w14:textId="27D8D46D" w:rsidR="00B808A8" w:rsidRPr="00D0129E" w:rsidRDefault="00321776"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Existing datasets</w:t>
            </w:r>
            <w:r w:rsidR="005E0F5F" w:rsidRPr="00D0129E">
              <w:rPr>
                <w:rFonts w:eastAsiaTheme="minorEastAsia"/>
                <w:color w:val="1E1545" w:themeColor="dark1"/>
                <w:kern w:val="24"/>
              </w:rPr>
              <w:t xml:space="preserve"> – AIHW </w:t>
            </w:r>
            <w:proofErr w:type="spellStart"/>
            <w:r w:rsidR="004B5B13">
              <w:rPr>
                <w:rFonts w:eastAsiaTheme="minorEastAsia"/>
                <w:color w:val="1E1545" w:themeColor="dark1"/>
                <w:kern w:val="24"/>
              </w:rPr>
              <w:t>MoC</w:t>
            </w:r>
            <w:proofErr w:type="spellEnd"/>
            <w:r w:rsidR="004B5B13">
              <w:rPr>
                <w:rFonts w:eastAsiaTheme="minorEastAsia"/>
                <w:color w:val="1E1545" w:themeColor="dark1"/>
                <w:kern w:val="24"/>
              </w:rPr>
              <w:t xml:space="preserve"> NBPDS, </w:t>
            </w:r>
            <w:r w:rsidR="005E0F5F" w:rsidRPr="00D0129E">
              <w:rPr>
                <w:rFonts w:eastAsiaTheme="minorEastAsia"/>
                <w:color w:val="1E1545" w:themeColor="dark1"/>
                <w:kern w:val="24"/>
              </w:rPr>
              <w:t>AIHW O</w:t>
            </w:r>
            <w:r w:rsidR="00D45240">
              <w:rPr>
                <w:rFonts w:eastAsiaTheme="minorEastAsia"/>
                <w:color w:val="1E1545" w:themeColor="dark1"/>
                <w:kern w:val="24"/>
              </w:rPr>
              <w:t xml:space="preserve">nline </w:t>
            </w:r>
            <w:r w:rsidR="005E0F5F" w:rsidRPr="00D0129E">
              <w:rPr>
                <w:rFonts w:eastAsiaTheme="minorEastAsia"/>
                <w:color w:val="1E1545" w:themeColor="dark1"/>
                <w:kern w:val="24"/>
              </w:rPr>
              <w:t>S</w:t>
            </w:r>
            <w:r w:rsidR="00D45240">
              <w:rPr>
                <w:rFonts w:eastAsiaTheme="minorEastAsia"/>
                <w:color w:val="1E1545" w:themeColor="dark1"/>
                <w:kern w:val="24"/>
              </w:rPr>
              <w:t xml:space="preserve">ervices </w:t>
            </w:r>
            <w:r w:rsidR="005E0F5F" w:rsidRPr="00D0129E">
              <w:rPr>
                <w:rFonts w:eastAsiaTheme="minorEastAsia"/>
                <w:color w:val="1E1545" w:themeColor="dark1"/>
                <w:kern w:val="24"/>
              </w:rPr>
              <w:t>R</w:t>
            </w:r>
            <w:r w:rsidR="00D45240">
              <w:rPr>
                <w:rFonts w:eastAsiaTheme="minorEastAsia"/>
                <w:color w:val="1E1545" w:themeColor="dark1"/>
                <w:kern w:val="24"/>
              </w:rPr>
              <w:t>eport (</w:t>
            </w:r>
            <w:r w:rsidR="005E0F5F" w:rsidRPr="00D0129E">
              <w:rPr>
                <w:rFonts w:eastAsiaTheme="minorEastAsia"/>
                <w:color w:val="1E1545" w:themeColor="dark1"/>
                <w:kern w:val="24"/>
              </w:rPr>
              <w:t>OSR</w:t>
            </w:r>
            <w:r w:rsidR="00D45240">
              <w:rPr>
                <w:rFonts w:eastAsiaTheme="minorEastAsia"/>
                <w:color w:val="1E1545" w:themeColor="dark1"/>
                <w:kern w:val="24"/>
              </w:rPr>
              <w:t>)</w:t>
            </w:r>
            <w:r w:rsidR="00084FC3">
              <w:rPr>
                <w:rFonts w:eastAsiaTheme="minorEastAsia"/>
                <w:color w:val="1E1545" w:themeColor="dark1"/>
                <w:kern w:val="24"/>
              </w:rPr>
              <w:t xml:space="preserve"> and AIHW national Key </w:t>
            </w:r>
            <w:r w:rsidR="00084FC3">
              <w:rPr>
                <w:rFonts w:eastAsiaTheme="minorEastAsia"/>
                <w:color w:val="1E1545" w:themeColor="dark1"/>
                <w:kern w:val="24"/>
              </w:rPr>
              <w:lastRenderedPageBreak/>
              <w:t>Performance Indicators (</w:t>
            </w:r>
            <w:proofErr w:type="spellStart"/>
            <w:r w:rsidR="00084FC3">
              <w:rPr>
                <w:rFonts w:eastAsiaTheme="minorEastAsia"/>
                <w:color w:val="1E1545" w:themeColor="dark1"/>
                <w:kern w:val="24"/>
              </w:rPr>
              <w:t>nKPI</w:t>
            </w:r>
            <w:proofErr w:type="spellEnd"/>
            <w:r w:rsidR="00084FC3">
              <w:rPr>
                <w:rFonts w:eastAsiaTheme="minorEastAsia"/>
                <w:color w:val="1E1545" w:themeColor="dark1"/>
                <w:kern w:val="24"/>
              </w:rPr>
              <w:t>)</w:t>
            </w:r>
            <w:r w:rsidR="00E047EE">
              <w:rPr>
                <w:rFonts w:eastAsiaTheme="minorEastAsia"/>
                <w:color w:val="1E1545" w:themeColor="dark1"/>
                <w:kern w:val="24"/>
              </w:rPr>
              <w:t>.</w:t>
            </w:r>
          </w:p>
          <w:p w14:paraId="0BECAD56" w14:textId="3A54A60D" w:rsidR="00B808A8" w:rsidRDefault="005E0F5F"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C</w:t>
            </w:r>
            <w:r w:rsidR="00D878CE" w:rsidRPr="00D0129E">
              <w:rPr>
                <w:rFonts w:eastAsiaTheme="minorEastAsia"/>
                <w:color w:val="1E1545" w:themeColor="dark1"/>
                <w:kern w:val="24"/>
              </w:rPr>
              <w:t xml:space="preserve">onsultations </w:t>
            </w:r>
            <w:r w:rsidR="00AD7D1A" w:rsidRPr="00D0129E">
              <w:rPr>
                <w:rFonts w:eastAsiaTheme="minorEastAsia"/>
                <w:color w:val="1E1545" w:themeColor="dark1"/>
                <w:kern w:val="24"/>
              </w:rPr>
              <w:t xml:space="preserve">– </w:t>
            </w:r>
            <w:r w:rsidR="00DD437D">
              <w:rPr>
                <w:rFonts w:eastAsiaTheme="minorEastAsia"/>
                <w:color w:val="1E1545" w:themeColor="dark1"/>
                <w:kern w:val="24"/>
              </w:rPr>
              <w:t xml:space="preserve">Stillbirth CRE Advisory Groups, </w:t>
            </w:r>
            <w:r w:rsidR="00037521">
              <w:rPr>
                <w:rFonts w:eastAsiaTheme="minorEastAsia"/>
                <w:color w:val="1E1545" w:themeColor="dark1"/>
                <w:kern w:val="24"/>
              </w:rPr>
              <w:t>services dedicated</w:t>
            </w:r>
            <w:r w:rsidR="00340962">
              <w:rPr>
                <w:rFonts w:eastAsiaTheme="minorEastAsia"/>
                <w:color w:val="1E1545" w:themeColor="dark1"/>
                <w:kern w:val="24"/>
              </w:rPr>
              <w:t xml:space="preserve"> to target cohorts</w:t>
            </w:r>
            <w:r w:rsidR="00962F5F">
              <w:rPr>
                <w:rFonts w:eastAsiaTheme="minorEastAsia"/>
                <w:color w:val="1E1545" w:themeColor="dark1"/>
                <w:kern w:val="24"/>
              </w:rPr>
              <w:t xml:space="preserve">. </w:t>
            </w:r>
          </w:p>
          <w:p w14:paraId="0FB20EAD" w14:textId="435D57B7" w:rsidR="00BB013C" w:rsidRPr="00D0129E" w:rsidRDefault="00BB013C"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p>
        </w:tc>
      </w:tr>
      <w:tr w:rsidR="00B808A8" w14:paraId="0BD16F6E" w14:textId="71C1B099" w:rsidTr="00CC3881">
        <w:tc>
          <w:tcPr>
            <w:cnfStyle w:val="001000000000" w:firstRow="0" w:lastRow="0" w:firstColumn="1" w:lastColumn="0" w:oddVBand="0" w:evenVBand="0" w:oddHBand="0" w:evenHBand="0" w:firstRowFirstColumn="0" w:firstRowLastColumn="0" w:lastRowFirstColumn="0" w:lastRowLastColumn="0"/>
            <w:tcW w:w="567" w:type="dxa"/>
          </w:tcPr>
          <w:p w14:paraId="6A075D5E" w14:textId="47BFAB2E" w:rsidR="00B808A8" w:rsidRPr="00D0129E" w:rsidRDefault="00B808A8" w:rsidP="00CC3881">
            <w:pPr>
              <w:pStyle w:val="TableNText"/>
            </w:pPr>
            <w:r w:rsidRPr="00D0129E">
              <w:lastRenderedPageBreak/>
              <w:t>7</w:t>
            </w:r>
          </w:p>
        </w:tc>
        <w:tc>
          <w:tcPr>
            <w:tcW w:w="1828" w:type="dxa"/>
          </w:tcPr>
          <w:p w14:paraId="3795E07A" w14:textId="7C9D2904" w:rsidR="00B808A8" w:rsidRPr="00D0129E" w:rsidRDefault="00B808A8" w:rsidP="00CC3881">
            <w:pPr>
              <w:pStyle w:val="TableNText"/>
              <w:cnfStyle w:val="000000000000" w:firstRow="0" w:lastRow="0" w:firstColumn="0" w:lastColumn="0" w:oddVBand="0" w:evenVBand="0" w:oddHBand="0" w:evenHBand="0" w:firstRowFirstColumn="0" w:firstRowLastColumn="0" w:lastRowFirstColumn="0" w:lastRowLastColumn="0"/>
            </w:pPr>
            <w:r w:rsidRPr="00D0129E">
              <w:rPr>
                <w:rFonts w:eastAsiaTheme="minorEastAsia"/>
                <w:color w:val="1E1545" w:themeColor="dark1"/>
                <w:kern w:val="24"/>
              </w:rPr>
              <w:t xml:space="preserve">Increase in </w:t>
            </w:r>
            <w:r w:rsidR="00934BEF">
              <w:rPr>
                <w:rFonts w:eastAsiaTheme="minorEastAsia"/>
                <w:color w:val="1E1545" w:themeColor="dark1"/>
                <w:kern w:val="24"/>
              </w:rPr>
              <w:t>the number of</w:t>
            </w:r>
            <w:r w:rsidRPr="00D0129E">
              <w:rPr>
                <w:rFonts w:eastAsiaTheme="minorEastAsia"/>
                <w:color w:val="1E1545" w:themeColor="dark1"/>
                <w:kern w:val="24"/>
              </w:rPr>
              <w:t xml:space="preserve"> Aboriginal and Torres Strait Islander </w:t>
            </w:r>
            <w:r w:rsidR="00D36D69" w:rsidRPr="00D0129E">
              <w:rPr>
                <w:rFonts w:eastAsiaTheme="minorEastAsia"/>
                <w:color w:val="1E1545" w:themeColor="dark1"/>
                <w:kern w:val="24"/>
              </w:rPr>
              <w:t>maternity care professionals</w:t>
            </w:r>
            <w:r w:rsidRPr="00D0129E">
              <w:rPr>
                <w:rFonts w:eastAsiaTheme="minorEastAsia"/>
                <w:color w:val="1E1545" w:themeColor="dark1"/>
                <w:kern w:val="24"/>
              </w:rPr>
              <w:t>.</w:t>
            </w:r>
          </w:p>
        </w:tc>
        <w:tc>
          <w:tcPr>
            <w:tcW w:w="4678" w:type="dxa"/>
          </w:tcPr>
          <w:p w14:paraId="50EFFE58" w14:textId="77777777" w:rsidR="00B808A8" w:rsidRPr="00D0129E" w:rsidRDefault="009E5F17"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This is a proxy to understand the availability of culturally safe care through consideration of the number of Aboriginal and Torres Strait Islander health practitioners that provide maternity care.</w:t>
            </w:r>
          </w:p>
          <w:p w14:paraId="6AF34742" w14:textId="2C757B0B" w:rsidR="00B808A8" w:rsidRDefault="00444DCB"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 xml:space="preserve">This indicator is broad to capture all maternity care professionals to allow </w:t>
            </w:r>
            <w:r w:rsidR="00C2584C" w:rsidRPr="00D0129E">
              <w:rPr>
                <w:rFonts w:eastAsiaTheme="minorEastAsia"/>
                <w:color w:val="1E1545" w:themeColor="dark1"/>
                <w:kern w:val="24"/>
              </w:rPr>
              <w:t>for additional data on the workforce in the future</w:t>
            </w:r>
            <w:r w:rsidR="00140835">
              <w:rPr>
                <w:rFonts w:eastAsiaTheme="minorEastAsia"/>
                <w:color w:val="1E1545" w:themeColor="dark1"/>
                <w:kern w:val="24"/>
              </w:rPr>
              <w:t xml:space="preserve"> and </w:t>
            </w:r>
            <w:r w:rsidR="00EF5A07">
              <w:rPr>
                <w:rFonts w:eastAsiaTheme="minorEastAsia"/>
                <w:color w:val="1E1545" w:themeColor="dark1"/>
                <w:kern w:val="24"/>
              </w:rPr>
              <w:t xml:space="preserve">be </w:t>
            </w:r>
            <w:r w:rsidR="00C2584C" w:rsidRPr="00D0129E">
              <w:rPr>
                <w:rFonts w:eastAsiaTheme="minorEastAsia"/>
                <w:color w:val="1E1545" w:themeColor="dark1"/>
                <w:kern w:val="24"/>
              </w:rPr>
              <w:t>inclusive to all those who are involved in maternity care.</w:t>
            </w:r>
          </w:p>
          <w:p w14:paraId="3842DB93" w14:textId="7E6032FC" w:rsidR="00B808A8" w:rsidRPr="00D0129E" w:rsidRDefault="00BF1D4D"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 xml:space="preserve">This indicator will also inform the indicator regarding </w:t>
            </w:r>
            <w:r w:rsidR="00180B61">
              <w:rPr>
                <w:rFonts w:eastAsiaTheme="minorEastAsia"/>
                <w:color w:val="1E1545" w:themeColor="dark1"/>
                <w:kern w:val="24"/>
              </w:rPr>
              <w:t xml:space="preserve">culturally safe maternity </w:t>
            </w:r>
            <w:r w:rsidR="00F84E26">
              <w:rPr>
                <w:rFonts w:eastAsiaTheme="minorEastAsia"/>
                <w:color w:val="1E1545" w:themeColor="dark1"/>
                <w:kern w:val="24"/>
              </w:rPr>
              <w:t>care</w:t>
            </w:r>
            <w:r w:rsidR="00180B61">
              <w:rPr>
                <w:rFonts w:eastAsiaTheme="minorEastAsia"/>
                <w:color w:val="1E1545" w:themeColor="dark1"/>
                <w:kern w:val="24"/>
              </w:rPr>
              <w:t>. However, it is specifically called out since the Plan includes a task to support the</w:t>
            </w:r>
            <w:r w:rsidR="00180B61" w:rsidRPr="00180B61">
              <w:rPr>
                <w:rFonts w:eastAsiaTheme="minorEastAsia"/>
                <w:color w:val="1E1545" w:themeColor="dark1"/>
                <w:kern w:val="24"/>
              </w:rPr>
              <w:t xml:space="preserve"> implementation of the strategies in the </w:t>
            </w:r>
            <w:r w:rsidR="00180B61" w:rsidRPr="001177D0">
              <w:rPr>
                <w:rFonts w:eastAsiaTheme="minorEastAsia"/>
                <w:i/>
                <w:iCs/>
                <w:color w:val="1E1545" w:themeColor="dark1"/>
                <w:kern w:val="24"/>
              </w:rPr>
              <w:t>National Aboriginal and Torres Strait Islander health workforce strategic framework 2016–2023</w:t>
            </w:r>
            <w:r w:rsidR="001177D0">
              <w:rPr>
                <w:rFonts w:eastAsiaTheme="minorEastAsia"/>
                <w:color w:val="1E1545" w:themeColor="dark1"/>
                <w:kern w:val="24"/>
              </w:rPr>
              <w:t>.</w:t>
            </w:r>
          </w:p>
        </w:tc>
        <w:tc>
          <w:tcPr>
            <w:tcW w:w="4252" w:type="dxa"/>
          </w:tcPr>
          <w:p w14:paraId="13DE2FA2" w14:textId="77777777" w:rsidR="00E57BC7" w:rsidRPr="00D0129E" w:rsidRDefault="000E637C"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 xml:space="preserve">Not all health professionals can be stratified by if they are </w:t>
            </w:r>
            <w:r w:rsidR="008B725C" w:rsidRPr="00D0129E">
              <w:rPr>
                <w:rFonts w:eastAsiaTheme="minorEastAsia"/>
                <w:color w:val="1E1545" w:themeColor="dark1"/>
                <w:kern w:val="24"/>
              </w:rPr>
              <w:t xml:space="preserve">Aboriginal and Torres Strait Islander </w:t>
            </w:r>
            <w:r w:rsidR="00E57BC7" w:rsidRPr="00D0129E">
              <w:rPr>
                <w:rFonts w:eastAsiaTheme="minorEastAsia"/>
                <w:color w:val="1E1545" w:themeColor="dark1"/>
                <w:kern w:val="24"/>
              </w:rPr>
              <w:t>and if they have a focus on maternity care.</w:t>
            </w:r>
          </w:p>
          <w:p w14:paraId="6DF7E7FA" w14:textId="77777777" w:rsidR="000E2DDF" w:rsidRDefault="00EF5A07"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Existing data from the National Health Workforce Data Set provides the number of Aboriginal and Torres Strait Islander Health Practitioners and the number of Indigenous midwives, obstetrician/</w:t>
            </w:r>
            <w:proofErr w:type="gramStart"/>
            <w:r>
              <w:rPr>
                <w:rFonts w:eastAsiaTheme="minorEastAsia"/>
                <w:color w:val="1E1545" w:themeColor="dark1"/>
                <w:kern w:val="24"/>
              </w:rPr>
              <w:t>gynaecologists</w:t>
            </w:r>
            <w:proofErr w:type="gramEnd"/>
            <w:r>
              <w:rPr>
                <w:rFonts w:eastAsiaTheme="minorEastAsia"/>
                <w:color w:val="1E1545" w:themeColor="dark1"/>
                <w:kern w:val="24"/>
              </w:rPr>
              <w:t xml:space="preserve"> and general practitioners (GPs) in Australia.</w:t>
            </w:r>
          </w:p>
          <w:p w14:paraId="22A4C478" w14:textId="6720BCCD" w:rsidR="00B808A8" w:rsidRPr="00D0129E" w:rsidRDefault="00EF5A07"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 xml:space="preserve">The data does not enable GPs to be further disaggregated by rural generalists or GP obstetricians nor does it allow the identification of how many Aboriginal and Torres Strait Islander Health Practitioners work in maternity care. </w:t>
            </w:r>
          </w:p>
        </w:tc>
        <w:tc>
          <w:tcPr>
            <w:tcW w:w="2395" w:type="dxa"/>
          </w:tcPr>
          <w:p w14:paraId="2EA0CA28" w14:textId="372C2865" w:rsidR="00B808A8" w:rsidRPr="00D0129E" w:rsidRDefault="00C83292"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Existing datasets</w:t>
            </w:r>
            <w:r w:rsidR="001A1F0B" w:rsidRPr="00D0129E">
              <w:rPr>
                <w:rFonts w:eastAsiaTheme="minorEastAsia"/>
                <w:color w:val="1E1545" w:themeColor="dark1"/>
                <w:kern w:val="24"/>
              </w:rPr>
              <w:t xml:space="preserve"> – National Health Workforce Data</w:t>
            </w:r>
            <w:r w:rsidR="00D45240">
              <w:rPr>
                <w:rFonts w:eastAsiaTheme="minorEastAsia"/>
                <w:color w:val="1E1545" w:themeColor="dark1"/>
                <w:kern w:val="24"/>
              </w:rPr>
              <w:t xml:space="preserve"> S</w:t>
            </w:r>
            <w:r w:rsidR="001A1F0B" w:rsidRPr="00D0129E">
              <w:rPr>
                <w:rFonts w:eastAsiaTheme="minorEastAsia"/>
                <w:color w:val="1E1545" w:themeColor="dark1"/>
                <w:kern w:val="24"/>
              </w:rPr>
              <w:t>et</w:t>
            </w:r>
            <w:r w:rsidR="00D45240">
              <w:rPr>
                <w:rFonts w:eastAsiaTheme="minorEastAsia"/>
                <w:color w:val="1E1545" w:themeColor="dark1"/>
                <w:kern w:val="24"/>
              </w:rPr>
              <w:t xml:space="preserve"> (NHWDS)</w:t>
            </w:r>
            <w:r w:rsidR="00E047EE">
              <w:rPr>
                <w:rFonts w:eastAsiaTheme="minorEastAsia"/>
                <w:color w:val="1E1545" w:themeColor="dark1"/>
                <w:kern w:val="24"/>
              </w:rPr>
              <w:t>.</w:t>
            </w:r>
          </w:p>
        </w:tc>
      </w:tr>
      <w:tr w:rsidR="00263BAB" w14:paraId="53DB02AD" w14:textId="77777777" w:rsidTr="00CC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0132E0B" w14:textId="00824852" w:rsidR="00263BAB" w:rsidRPr="00D0129E" w:rsidRDefault="007818EF" w:rsidP="00CC3881">
            <w:pPr>
              <w:pStyle w:val="TableNText"/>
            </w:pPr>
            <w:r>
              <w:t>8</w:t>
            </w:r>
          </w:p>
        </w:tc>
        <w:tc>
          <w:tcPr>
            <w:tcW w:w="1828" w:type="dxa"/>
          </w:tcPr>
          <w:p w14:paraId="1ADA2F65" w14:textId="0DAEDCAB" w:rsidR="00263BAB" w:rsidRPr="00D0129E" w:rsidRDefault="00263BAB"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 xml:space="preserve">Increase in the </w:t>
            </w:r>
            <w:r w:rsidR="00934BEF">
              <w:rPr>
                <w:rFonts w:eastAsiaTheme="minorEastAsia"/>
                <w:color w:val="1E1545" w:themeColor="dark1"/>
                <w:kern w:val="24"/>
              </w:rPr>
              <w:t>availability</w:t>
            </w:r>
            <w:r>
              <w:rPr>
                <w:rFonts w:eastAsiaTheme="minorEastAsia"/>
                <w:color w:val="1E1545" w:themeColor="dark1"/>
                <w:kern w:val="24"/>
              </w:rPr>
              <w:t xml:space="preserve"> of culturally safe</w:t>
            </w:r>
            <w:r w:rsidR="006F341F">
              <w:rPr>
                <w:rFonts w:eastAsiaTheme="minorEastAsia"/>
                <w:color w:val="1E1545" w:themeColor="dark1"/>
                <w:kern w:val="24"/>
              </w:rPr>
              <w:t xml:space="preserve"> maternity care. </w:t>
            </w:r>
          </w:p>
        </w:tc>
        <w:tc>
          <w:tcPr>
            <w:tcW w:w="4678" w:type="dxa"/>
          </w:tcPr>
          <w:p w14:paraId="7BE66A48" w14:textId="52FA2A92" w:rsidR="00797863" w:rsidRPr="00797863" w:rsidRDefault="00263BAB"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Action Area</w:t>
            </w:r>
            <w:r w:rsidR="00B20117">
              <w:rPr>
                <w:rFonts w:eastAsiaTheme="minorEastAsia"/>
                <w:color w:val="1E1545" w:themeColor="dark1"/>
                <w:kern w:val="24"/>
              </w:rPr>
              <w:t>s</w:t>
            </w:r>
            <w:r>
              <w:rPr>
                <w:rFonts w:eastAsiaTheme="minorEastAsia"/>
                <w:color w:val="1E1545" w:themeColor="dark1"/>
                <w:kern w:val="24"/>
              </w:rPr>
              <w:t xml:space="preserve"> 2</w:t>
            </w:r>
            <w:r w:rsidR="00B20117">
              <w:rPr>
                <w:rFonts w:eastAsiaTheme="minorEastAsia"/>
                <w:color w:val="1E1545" w:themeColor="dark1"/>
                <w:kern w:val="24"/>
              </w:rPr>
              <w:t xml:space="preserve"> and </w:t>
            </w:r>
            <w:r w:rsidR="002026A0">
              <w:rPr>
                <w:rFonts w:eastAsiaTheme="minorEastAsia"/>
                <w:color w:val="1E1545" w:themeColor="dark1"/>
                <w:kern w:val="24"/>
              </w:rPr>
              <w:t>3</w:t>
            </w:r>
            <w:r>
              <w:rPr>
                <w:rFonts w:eastAsiaTheme="minorEastAsia"/>
                <w:color w:val="1E1545" w:themeColor="dark1"/>
                <w:kern w:val="24"/>
              </w:rPr>
              <w:t xml:space="preserve"> of the Plan </w:t>
            </w:r>
            <w:r w:rsidR="00C8536A">
              <w:rPr>
                <w:rFonts w:eastAsiaTheme="minorEastAsia"/>
                <w:color w:val="1E1545" w:themeColor="dark1"/>
                <w:kern w:val="24"/>
              </w:rPr>
              <w:t xml:space="preserve">include the goal that </w:t>
            </w:r>
            <w:r>
              <w:rPr>
                <w:rFonts w:eastAsiaTheme="minorEastAsia"/>
                <w:color w:val="1E1545" w:themeColor="dark1"/>
                <w:kern w:val="24"/>
              </w:rPr>
              <w:t xml:space="preserve">all </w:t>
            </w:r>
            <w:r w:rsidR="00797863" w:rsidRPr="00797863">
              <w:rPr>
                <w:rFonts w:eastAsiaTheme="minorEastAsia"/>
                <w:color w:val="1E1545" w:themeColor="dark1"/>
                <w:kern w:val="24"/>
              </w:rPr>
              <w:t>Aboriginal and Torres Strait Islander women</w:t>
            </w:r>
            <w:r w:rsidR="003A13A1">
              <w:rPr>
                <w:rFonts w:eastAsiaTheme="minorEastAsia"/>
                <w:color w:val="1E1545" w:themeColor="dark1"/>
                <w:kern w:val="24"/>
              </w:rPr>
              <w:t xml:space="preserve"> and migrant and refugee women</w:t>
            </w:r>
            <w:r w:rsidR="00797863" w:rsidRPr="00797863">
              <w:rPr>
                <w:rFonts w:eastAsiaTheme="minorEastAsia"/>
                <w:color w:val="1E1545" w:themeColor="dark1"/>
                <w:kern w:val="24"/>
              </w:rPr>
              <w:t xml:space="preserve"> have access to culturally safe </w:t>
            </w:r>
            <w:r w:rsidR="003A13A1">
              <w:rPr>
                <w:rFonts w:eastAsiaTheme="minorEastAsia"/>
                <w:color w:val="1E1545" w:themeColor="dark1"/>
                <w:kern w:val="24"/>
              </w:rPr>
              <w:t xml:space="preserve">models of care for stillbirth prevention. </w:t>
            </w:r>
            <w:r w:rsidR="00FD2CB0">
              <w:rPr>
                <w:rFonts w:eastAsiaTheme="minorEastAsia"/>
                <w:color w:val="1E1545" w:themeColor="dark1"/>
                <w:kern w:val="24"/>
              </w:rPr>
              <w:t xml:space="preserve">This </w:t>
            </w:r>
            <w:r w:rsidR="00FF0C87">
              <w:rPr>
                <w:rFonts w:eastAsiaTheme="minorEastAsia"/>
                <w:color w:val="1E1545" w:themeColor="dark1"/>
                <w:kern w:val="24"/>
              </w:rPr>
              <w:t xml:space="preserve">includes </w:t>
            </w:r>
            <w:r w:rsidR="00CF2A9E">
              <w:rPr>
                <w:rFonts w:eastAsiaTheme="minorEastAsia"/>
                <w:color w:val="1E1545" w:themeColor="dark1"/>
                <w:kern w:val="24"/>
              </w:rPr>
              <w:t xml:space="preserve">the proportion of both </w:t>
            </w:r>
            <w:r w:rsidR="00FF0C87">
              <w:rPr>
                <w:rFonts w:eastAsiaTheme="minorEastAsia"/>
                <w:color w:val="1E1545" w:themeColor="dark1"/>
                <w:kern w:val="24"/>
              </w:rPr>
              <w:t>mainstream and targeted cohort maternity services</w:t>
            </w:r>
            <w:r w:rsidR="00655EDF">
              <w:rPr>
                <w:rFonts w:eastAsiaTheme="minorEastAsia"/>
                <w:color w:val="1E1545" w:themeColor="dark1"/>
                <w:kern w:val="24"/>
              </w:rPr>
              <w:t xml:space="preserve"> which are culturally safe</w:t>
            </w:r>
            <w:r w:rsidR="00FF0C87">
              <w:rPr>
                <w:rFonts w:eastAsiaTheme="minorEastAsia"/>
                <w:color w:val="1E1545" w:themeColor="dark1"/>
                <w:kern w:val="24"/>
              </w:rPr>
              <w:t xml:space="preserve">. </w:t>
            </w:r>
            <w:r w:rsidR="003A13A1">
              <w:rPr>
                <w:rFonts w:eastAsiaTheme="minorEastAsia"/>
                <w:color w:val="1E1545" w:themeColor="dark1"/>
                <w:kern w:val="24"/>
              </w:rPr>
              <w:t xml:space="preserve">For </w:t>
            </w:r>
            <w:r w:rsidR="003A13A1">
              <w:rPr>
                <w:rFonts w:eastAsiaTheme="minorEastAsia"/>
                <w:color w:val="1E1545" w:themeColor="dark1"/>
                <w:kern w:val="24"/>
              </w:rPr>
              <w:lastRenderedPageBreak/>
              <w:t xml:space="preserve">Aboriginal and Torres Strait Islander women, this includes </w:t>
            </w:r>
            <w:r w:rsidR="00797863" w:rsidRPr="00797863">
              <w:rPr>
                <w:rFonts w:eastAsiaTheme="minorEastAsia"/>
                <w:color w:val="1E1545" w:themeColor="dark1"/>
                <w:kern w:val="24"/>
              </w:rPr>
              <w:t>access to Birthing on Country models of care</w:t>
            </w:r>
            <w:r w:rsidR="00C8536A">
              <w:rPr>
                <w:rFonts w:eastAsiaTheme="minorEastAsia"/>
                <w:color w:val="1E1545" w:themeColor="dark1"/>
                <w:kern w:val="24"/>
              </w:rPr>
              <w:t>.</w:t>
            </w:r>
          </w:p>
          <w:p w14:paraId="3F58EF89" w14:textId="25A98325" w:rsidR="004F3E73" w:rsidRPr="00D0129E" w:rsidRDefault="00794664"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 xml:space="preserve">This </w:t>
            </w:r>
            <w:r w:rsidR="001D3C64">
              <w:rPr>
                <w:rFonts w:eastAsiaTheme="minorEastAsia"/>
                <w:color w:val="1E1545" w:themeColor="dark1"/>
                <w:kern w:val="24"/>
              </w:rPr>
              <w:t xml:space="preserve">indicator </w:t>
            </w:r>
            <w:proofErr w:type="gramStart"/>
            <w:r w:rsidR="001D3C64">
              <w:rPr>
                <w:rFonts w:eastAsiaTheme="minorEastAsia"/>
                <w:color w:val="1E1545" w:themeColor="dark1"/>
                <w:kern w:val="24"/>
              </w:rPr>
              <w:t>focus</w:t>
            </w:r>
            <w:proofErr w:type="gramEnd"/>
            <w:r w:rsidR="001D3C64">
              <w:rPr>
                <w:rFonts w:eastAsiaTheme="minorEastAsia"/>
                <w:color w:val="1E1545" w:themeColor="dark1"/>
                <w:kern w:val="24"/>
              </w:rPr>
              <w:t xml:space="preserve"> on </w:t>
            </w:r>
            <w:r w:rsidR="00797863" w:rsidRPr="00797863">
              <w:rPr>
                <w:rFonts w:eastAsiaTheme="minorEastAsia"/>
                <w:color w:val="1E1545" w:themeColor="dark1"/>
                <w:kern w:val="24"/>
              </w:rPr>
              <w:t>culturally safe care for Aboriginal and Torres Strait Islander women as they are at higher risk of experiencing stillbirth when compared to women born overseas.</w:t>
            </w:r>
          </w:p>
        </w:tc>
        <w:tc>
          <w:tcPr>
            <w:tcW w:w="4252" w:type="dxa"/>
          </w:tcPr>
          <w:p w14:paraId="7F7A8B4A" w14:textId="3F0576F0" w:rsidR="004D1FAD" w:rsidRDefault="00186514"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lastRenderedPageBreak/>
              <w:t xml:space="preserve">Consultation will </w:t>
            </w:r>
            <w:r w:rsidR="00A74EBE">
              <w:rPr>
                <w:rFonts w:eastAsiaTheme="minorEastAsia"/>
                <w:color w:val="1E1545" w:themeColor="dark1"/>
                <w:kern w:val="24"/>
              </w:rPr>
              <w:t xml:space="preserve">seek to </w:t>
            </w:r>
            <w:r w:rsidR="000F0711">
              <w:rPr>
                <w:rFonts w:eastAsiaTheme="minorEastAsia"/>
                <w:color w:val="1E1545" w:themeColor="dark1"/>
                <w:kern w:val="24"/>
              </w:rPr>
              <w:t>gain</w:t>
            </w:r>
            <w:r w:rsidR="00A74EBE">
              <w:rPr>
                <w:rFonts w:eastAsiaTheme="minorEastAsia"/>
                <w:color w:val="1E1545" w:themeColor="dark1"/>
                <w:kern w:val="24"/>
              </w:rPr>
              <w:t xml:space="preserve"> </w:t>
            </w:r>
            <w:r>
              <w:rPr>
                <w:rFonts w:eastAsiaTheme="minorEastAsia"/>
                <w:color w:val="1E1545" w:themeColor="dark1"/>
                <w:kern w:val="24"/>
              </w:rPr>
              <w:t xml:space="preserve">a deep qualitative understanding of the availability of culturally safe </w:t>
            </w:r>
            <w:r w:rsidR="007700F6">
              <w:rPr>
                <w:rFonts w:eastAsiaTheme="minorEastAsia"/>
                <w:color w:val="1E1545" w:themeColor="dark1"/>
                <w:kern w:val="24"/>
              </w:rPr>
              <w:t>services.</w:t>
            </w:r>
            <w:r>
              <w:rPr>
                <w:rFonts w:eastAsiaTheme="minorEastAsia"/>
                <w:color w:val="1E1545" w:themeColor="dark1"/>
                <w:kern w:val="24"/>
              </w:rPr>
              <w:t xml:space="preserve"> Case study approaches will be used to highlight instances where culturally safe care is available and effective. </w:t>
            </w:r>
          </w:p>
          <w:p w14:paraId="7D24F5EC" w14:textId="0CB244E1" w:rsidR="00D95B31" w:rsidRDefault="008A7E8C"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sidRPr="008A7E8C">
              <w:rPr>
                <w:rFonts w:eastAsiaTheme="minorEastAsia"/>
                <w:color w:val="1E1545" w:themeColor="dark1"/>
                <w:kern w:val="24"/>
              </w:rPr>
              <w:lastRenderedPageBreak/>
              <w:t>Cultural safety is a subjective experience that can only be identified by the person receiving care. Therefore, its measurement requires the use of surveys or consultations to obtain direct feedback on individuals’ experiences.</w:t>
            </w:r>
            <w:r w:rsidR="007F7FE7">
              <w:rPr>
                <w:rFonts w:eastAsiaTheme="minorEastAsia"/>
                <w:color w:val="1E1545" w:themeColor="dark1"/>
                <w:kern w:val="24"/>
              </w:rPr>
              <w:t xml:space="preserve"> </w:t>
            </w:r>
            <w:r w:rsidR="004D1FAD">
              <w:rPr>
                <w:rFonts w:eastAsiaTheme="minorEastAsia"/>
                <w:color w:val="1E1545" w:themeColor="dark1"/>
                <w:kern w:val="24"/>
              </w:rPr>
              <w:t>As such, f</w:t>
            </w:r>
            <w:r w:rsidR="00766528">
              <w:rPr>
                <w:rFonts w:eastAsiaTheme="minorEastAsia"/>
                <w:color w:val="1E1545" w:themeColor="dark1"/>
                <w:kern w:val="24"/>
              </w:rPr>
              <w:t>indings from consultations and other evaluations will be supplemented by jurisdictional</w:t>
            </w:r>
            <w:r w:rsidRPr="008A7E8C">
              <w:rPr>
                <w:rFonts w:eastAsiaTheme="minorEastAsia"/>
                <w:color w:val="1E1545" w:themeColor="dark1"/>
                <w:kern w:val="24"/>
              </w:rPr>
              <w:t xml:space="preserve"> maternity services. At the time of publication</w:t>
            </w:r>
            <w:r w:rsidR="00853E8E">
              <w:rPr>
                <w:rFonts w:eastAsiaTheme="minorEastAsia"/>
                <w:color w:val="1E1545" w:themeColor="dark1"/>
                <w:kern w:val="24"/>
              </w:rPr>
              <w:t xml:space="preserve"> of the Monitoring and Evaluation Framework</w:t>
            </w:r>
            <w:r w:rsidRPr="008A7E8C">
              <w:rPr>
                <w:rFonts w:eastAsiaTheme="minorEastAsia"/>
                <w:color w:val="1E1545" w:themeColor="dark1"/>
                <w:kern w:val="24"/>
              </w:rPr>
              <w:t xml:space="preserve">, </w:t>
            </w:r>
            <w:r w:rsidR="00766528">
              <w:rPr>
                <w:rFonts w:eastAsiaTheme="minorEastAsia"/>
                <w:color w:val="1E1545" w:themeColor="dark1"/>
                <w:kern w:val="24"/>
              </w:rPr>
              <w:t>NSW</w:t>
            </w:r>
            <w:r w:rsidR="004D75D7">
              <w:rPr>
                <w:rFonts w:eastAsiaTheme="minorEastAsia"/>
                <w:color w:val="1E1545" w:themeColor="dark1"/>
                <w:kern w:val="24"/>
              </w:rPr>
              <w:t xml:space="preserve"> and QLD are</w:t>
            </w:r>
            <w:r w:rsidR="00766528">
              <w:rPr>
                <w:rFonts w:eastAsiaTheme="minorEastAsia"/>
                <w:color w:val="1E1545" w:themeColor="dark1"/>
                <w:kern w:val="24"/>
              </w:rPr>
              <w:t xml:space="preserve"> the only jurisdiction</w:t>
            </w:r>
            <w:r w:rsidR="004D75D7">
              <w:rPr>
                <w:rFonts w:eastAsiaTheme="minorEastAsia"/>
                <w:color w:val="1E1545" w:themeColor="dark1"/>
                <w:kern w:val="24"/>
              </w:rPr>
              <w:t>s</w:t>
            </w:r>
            <w:r w:rsidR="00766528">
              <w:rPr>
                <w:rFonts w:eastAsiaTheme="minorEastAsia"/>
                <w:color w:val="1E1545" w:themeColor="dark1"/>
                <w:kern w:val="24"/>
              </w:rPr>
              <w:t xml:space="preserve"> to run a maternity service survey that specifically asks women about the cultural safety of the care they received.</w:t>
            </w:r>
            <w:r w:rsidR="00853E8E">
              <w:rPr>
                <w:rFonts w:eastAsiaTheme="minorEastAsia"/>
                <w:color w:val="1E1545" w:themeColor="dark1"/>
                <w:kern w:val="24"/>
              </w:rPr>
              <w:t xml:space="preserve"> It is anticipated that over the course of the evaluation more jurisdictional maternity service surveys will ask about cultural safety. The jurisdictional m</w:t>
            </w:r>
            <w:r w:rsidR="00F24CFF">
              <w:rPr>
                <w:rFonts w:eastAsiaTheme="minorEastAsia"/>
                <w:color w:val="1E1545" w:themeColor="dark1"/>
                <w:kern w:val="24"/>
              </w:rPr>
              <w:t xml:space="preserve">aternity surveys also may not </w:t>
            </w:r>
            <w:r w:rsidR="00D61CA5">
              <w:rPr>
                <w:rFonts w:eastAsiaTheme="minorEastAsia"/>
                <w:color w:val="1E1545" w:themeColor="dark1"/>
                <w:kern w:val="24"/>
              </w:rPr>
              <w:t xml:space="preserve">cover </w:t>
            </w:r>
            <w:r w:rsidR="00F0229F">
              <w:rPr>
                <w:rFonts w:eastAsiaTheme="minorEastAsia"/>
                <w:color w:val="1E1545" w:themeColor="dark1"/>
                <w:kern w:val="24"/>
              </w:rPr>
              <w:t xml:space="preserve">maternity services for target cohorts outside of mainstream services. </w:t>
            </w:r>
          </w:p>
          <w:p w14:paraId="51EA3D4D" w14:textId="1381E1DB" w:rsidR="00263BAB" w:rsidRPr="00D0129E" w:rsidRDefault="00853E8E"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I</w:t>
            </w:r>
            <w:r w:rsidR="00002E04">
              <w:rPr>
                <w:rFonts w:eastAsiaTheme="minorEastAsia"/>
                <w:color w:val="1E1545" w:themeColor="dark1"/>
                <w:kern w:val="24"/>
              </w:rPr>
              <w:t xml:space="preserve">nitial analysis </w:t>
            </w:r>
            <w:r w:rsidR="00D95B31">
              <w:rPr>
                <w:rFonts w:eastAsiaTheme="minorEastAsia"/>
                <w:color w:val="1E1545" w:themeColor="dark1"/>
                <w:kern w:val="24"/>
              </w:rPr>
              <w:t xml:space="preserve">against this indicator will be based on qualitative data </w:t>
            </w:r>
            <w:r w:rsidR="004D1FAD">
              <w:rPr>
                <w:rFonts w:eastAsiaTheme="minorEastAsia"/>
                <w:color w:val="1E1545" w:themeColor="dark1"/>
                <w:kern w:val="24"/>
              </w:rPr>
              <w:t>obtained</w:t>
            </w:r>
            <w:r w:rsidR="00D95B31">
              <w:rPr>
                <w:rFonts w:eastAsiaTheme="minorEastAsia"/>
                <w:color w:val="1E1545" w:themeColor="dark1"/>
                <w:kern w:val="24"/>
              </w:rPr>
              <w:t xml:space="preserve"> via </w:t>
            </w:r>
            <w:r>
              <w:rPr>
                <w:rFonts w:eastAsiaTheme="minorEastAsia"/>
                <w:color w:val="1E1545" w:themeColor="dark1"/>
                <w:kern w:val="24"/>
              </w:rPr>
              <w:t xml:space="preserve">consultation </w:t>
            </w:r>
            <w:r w:rsidR="004D1FAD">
              <w:rPr>
                <w:rFonts w:eastAsiaTheme="minorEastAsia"/>
                <w:color w:val="1E1545" w:themeColor="dark1"/>
                <w:kern w:val="24"/>
              </w:rPr>
              <w:t xml:space="preserve">findings and </w:t>
            </w:r>
            <w:proofErr w:type="gramStart"/>
            <w:r w:rsidR="004D1FAD">
              <w:rPr>
                <w:rFonts w:eastAsiaTheme="minorEastAsia"/>
                <w:color w:val="1E1545" w:themeColor="dark1"/>
                <w:kern w:val="24"/>
              </w:rPr>
              <w:t>through the use of</w:t>
            </w:r>
            <w:proofErr w:type="gramEnd"/>
            <w:r w:rsidR="004D1FAD">
              <w:rPr>
                <w:rFonts w:eastAsiaTheme="minorEastAsia"/>
                <w:color w:val="1E1545" w:themeColor="dark1"/>
                <w:kern w:val="24"/>
              </w:rPr>
              <w:t xml:space="preserve"> </w:t>
            </w:r>
            <w:r w:rsidR="00D95B31">
              <w:rPr>
                <w:rFonts w:eastAsiaTheme="minorEastAsia"/>
                <w:color w:val="1E1545" w:themeColor="dark1"/>
                <w:kern w:val="24"/>
              </w:rPr>
              <w:t xml:space="preserve">case </w:t>
            </w:r>
            <w:r w:rsidR="004D1FAD">
              <w:rPr>
                <w:rFonts w:eastAsiaTheme="minorEastAsia"/>
                <w:color w:val="1E1545" w:themeColor="dark1"/>
                <w:kern w:val="24"/>
              </w:rPr>
              <w:t>studies.</w:t>
            </w:r>
            <w:r w:rsidR="00D95B31">
              <w:rPr>
                <w:rFonts w:eastAsiaTheme="minorEastAsia"/>
                <w:color w:val="1E1545" w:themeColor="dark1"/>
                <w:kern w:val="24"/>
              </w:rPr>
              <w:t xml:space="preserve"> </w:t>
            </w:r>
            <w:r w:rsidR="00694637">
              <w:rPr>
                <w:rFonts w:eastAsiaTheme="minorEastAsia"/>
                <w:color w:val="1E1545" w:themeColor="dark1"/>
                <w:kern w:val="24"/>
              </w:rPr>
              <w:t>It is expected that over time as more maternity surveys are rolled out</w:t>
            </w:r>
            <w:r w:rsidR="00924D04">
              <w:rPr>
                <w:rFonts w:eastAsiaTheme="minorEastAsia"/>
                <w:color w:val="1E1545" w:themeColor="dark1"/>
                <w:kern w:val="24"/>
              </w:rPr>
              <w:t xml:space="preserve">, this indicator will </w:t>
            </w:r>
            <w:r w:rsidR="004D1FAD">
              <w:rPr>
                <w:rFonts w:eastAsiaTheme="minorEastAsia"/>
                <w:color w:val="1E1545" w:themeColor="dark1"/>
                <w:kern w:val="24"/>
              </w:rPr>
              <w:t xml:space="preserve">draw on both qualitative and quantitative data to </w:t>
            </w:r>
            <w:r w:rsidR="00924D04">
              <w:rPr>
                <w:rFonts w:eastAsiaTheme="minorEastAsia"/>
                <w:color w:val="1E1545" w:themeColor="dark1"/>
                <w:kern w:val="24"/>
              </w:rPr>
              <w:t xml:space="preserve">support broader </w:t>
            </w:r>
            <w:r w:rsidR="00924D04">
              <w:rPr>
                <w:rFonts w:eastAsiaTheme="minorEastAsia"/>
                <w:color w:val="1E1545" w:themeColor="dark1"/>
                <w:kern w:val="24"/>
              </w:rPr>
              <w:lastRenderedPageBreak/>
              <w:t>assessment of cultural safety at a national level.</w:t>
            </w:r>
          </w:p>
        </w:tc>
        <w:tc>
          <w:tcPr>
            <w:tcW w:w="2395" w:type="dxa"/>
          </w:tcPr>
          <w:p w14:paraId="0306ABAB" w14:textId="77777777" w:rsidR="006628D2" w:rsidRPr="006628D2" w:rsidRDefault="006628D2"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sidRPr="006628D2">
              <w:rPr>
                <w:rFonts w:eastAsiaTheme="minorEastAsia"/>
                <w:color w:val="1E1545" w:themeColor="dark1"/>
                <w:kern w:val="24"/>
              </w:rPr>
              <w:lastRenderedPageBreak/>
              <w:t>Desktop and evidence review – Birthing on Country evaluations or program data</w:t>
            </w:r>
          </w:p>
          <w:p w14:paraId="79BDEFD7" w14:textId="77777777" w:rsidR="00263BAB" w:rsidRDefault="006628D2"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sidRPr="006628D2">
              <w:rPr>
                <w:rFonts w:eastAsiaTheme="minorEastAsia"/>
                <w:color w:val="1E1545" w:themeColor="dark1"/>
                <w:kern w:val="24"/>
              </w:rPr>
              <w:t>Consultations – Birthing on Country, Birthing on Country CRE</w:t>
            </w:r>
            <w:r w:rsidR="000F78E1">
              <w:rPr>
                <w:rFonts w:eastAsiaTheme="minorEastAsia"/>
                <w:color w:val="1E1545" w:themeColor="dark1"/>
                <w:kern w:val="24"/>
              </w:rPr>
              <w:t xml:space="preserve">, Stillbirth </w:t>
            </w:r>
            <w:r w:rsidR="000F78E1">
              <w:rPr>
                <w:rFonts w:eastAsiaTheme="minorEastAsia"/>
                <w:color w:val="1E1545" w:themeColor="dark1"/>
                <w:kern w:val="24"/>
              </w:rPr>
              <w:lastRenderedPageBreak/>
              <w:t>CRE Advisory Groups</w:t>
            </w:r>
            <w:r w:rsidR="00077C01">
              <w:rPr>
                <w:rFonts w:eastAsiaTheme="minorEastAsia"/>
                <w:color w:val="1E1545" w:themeColor="dark1"/>
                <w:kern w:val="24"/>
              </w:rPr>
              <w:t xml:space="preserve"> and other</w:t>
            </w:r>
            <w:r>
              <w:rPr>
                <w:rFonts w:eastAsiaTheme="minorEastAsia"/>
                <w:color w:val="1E1545" w:themeColor="dark1"/>
                <w:kern w:val="24"/>
              </w:rPr>
              <w:t xml:space="preserve"> services dedicated to target cohorts.</w:t>
            </w:r>
          </w:p>
          <w:p w14:paraId="223E8758" w14:textId="34545E66" w:rsidR="00263BAB" w:rsidRPr="00D0129E" w:rsidRDefault="00830CE8" w:rsidP="00CC3881">
            <w:pPr>
              <w:pStyle w:val="TableNText"/>
              <w:cnfStyle w:val="000000100000" w:firstRow="0" w:lastRow="0" w:firstColumn="0" w:lastColumn="0" w:oddVBand="0" w:evenVBand="0" w:oddHBand="1" w:evenHBand="0" w:firstRowFirstColumn="0" w:firstRowLastColumn="0" w:lastRowFirstColumn="0" w:lastRowLastColumn="0"/>
              <w:rPr>
                <w:rFonts w:eastAsiaTheme="minorEastAsia"/>
                <w:color w:val="1E1545" w:themeColor="dark1"/>
                <w:kern w:val="24"/>
              </w:rPr>
            </w:pPr>
            <w:r w:rsidRPr="006628D2">
              <w:rPr>
                <w:rFonts w:eastAsiaTheme="minorEastAsia"/>
                <w:color w:val="1E1545" w:themeColor="dark1"/>
                <w:kern w:val="24"/>
              </w:rPr>
              <w:t xml:space="preserve">Existing datasets – </w:t>
            </w:r>
            <w:r w:rsidRPr="00D0129E">
              <w:rPr>
                <w:rFonts w:eastAsiaTheme="minorEastAsia"/>
                <w:color w:val="1E1545" w:themeColor="dark1"/>
                <w:kern w:val="24"/>
              </w:rPr>
              <w:t>AIHW O</w:t>
            </w:r>
            <w:r>
              <w:rPr>
                <w:rFonts w:eastAsiaTheme="minorEastAsia"/>
                <w:color w:val="1E1545" w:themeColor="dark1"/>
                <w:kern w:val="24"/>
              </w:rPr>
              <w:t xml:space="preserve">nline </w:t>
            </w:r>
            <w:r w:rsidRPr="00D0129E">
              <w:rPr>
                <w:rFonts w:eastAsiaTheme="minorEastAsia"/>
                <w:color w:val="1E1545" w:themeColor="dark1"/>
                <w:kern w:val="24"/>
              </w:rPr>
              <w:t>S</w:t>
            </w:r>
            <w:r>
              <w:rPr>
                <w:rFonts w:eastAsiaTheme="minorEastAsia"/>
                <w:color w:val="1E1545" w:themeColor="dark1"/>
                <w:kern w:val="24"/>
              </w:rPr>
              <w:t xml:space="preserve">ervices </w:t>
            </w:r>
            <w:r w:rsidRPr="00D0129E">
              <w:rPr>
                <w:rFonts w:eastAsiaTheme="minorEastAsia"/>
                <w:color w:val="1E1545" w:themeColor="dark1"/>
                <w:kern w:val="24"/>
              </w:rPr>
              <w:t>R</w:t>
            </w:r>
            <w:r>
              <w:rPr>
                <w:rFonts w:eastAsiaTheme="minorEastAsia"/>
                <w:color w:val="1E1545" w:themeColor="dark1"/>
                <w:kern w:val="24"/>
              </w:rPr>
              <w:t>eport (</w:t>
            </w:r>
            <w:r w:rsidRPr="00D0129E">
              <w:rPr>
                <w:rFonts w:eastAsiaTheme="minorEastAsia"/>
                <w:color w:val="1E1545" w:themeColor="dark1"/>
                <w:kern w:val="24"/>
              </w:rPr>
              <w:t>OSR</w:t>
            </w:r>
            <w:r>
              <w:rPr>
                <w:rFonts w:eastAsiaTheme="minorEastAsia"/>
                <w:color w:val="1E1545" w:themeColor="dark1"/>
                <w:kern w:val="24"/>
              </w:rPr>
              <w:t xml:space="preserve">), </w:t>
            </w:r>
            <w:r w:rsidRPr="006628D2">
              <w:rPr>
                <w:rFonts w:eastAsiaTheme="minorEastAsia"/>
                <w:color w:val="1E1545" w:themeColor="dark1"/>
                <w:kern w:val="24"/>
              </w:rPr>
              <w:t>jurisdictional maternity surveys</w:t>
            </w:r>
            <w:r w:rsidRPr="00830CE8">
              <w:rPr>
                <w:rFonts w:eastAsiaTheme="minorEastAsia"/>
                <w:i/>
                <w:iCs/>
                <w:color w:val="1E1545" w:themeColor="dark1"/>
                <w:kern w:val="24"/>
              </w:rPr>
              <w:t xml:space="preserve">. Currently only NSW </w:t>
            </w:r>
            <w:r w:rsidR="00157F10">
              <w:rPr>
                <w:rFonts w:eastAsiaTheme="minorEastAsia"/>
                <w:i/>
                <w:iCs/>
                <w:color w:val="1E1545" w:themeColor="dark1"/>
                <w:kern w:val="24"/>
              </w:rPr>
              <w:t xml:space="preserve">and QLD </w:t>
            </w:r>
            <w:r w:rsidRPr="00830CE8">
              <w:rPr>
                <w:rFonts w:eastAsiaTheme="minorEastAsia"/>
                <w:i/>
                <w:iCs/>
                <w:color w:val="1E1545" w:themeColor="dark1"/>
                <w:kern w:val="24"/>
              </w:rPr>
              <w:t>include a question on cultural safety in the maternity service survey. It is anticipated this will change over the life of the Plan.</w:t>
            </w:r>
            <w:r>
              <w:rPr>
                <w:rFonts w:eastAsiaTheme="minorEastAsia"/>
                <w:color w:val="1E1545" w:themeColor="dark1"/>
                <w:kern w:val="24"/>
              </w:rPr>
              <w:t xml:space="preserve"> </w:t>
            </w:r>
          </w:p>
        </w:tc>
      </w:tr>
      <w:tr w:rsidR="00B808A8" w14:paraId="3A397BC9" w14:textId="336DED4B" w:rsidTr="00CC3881">
        <w:tc>
          <w:tcPr>
            <w:cnfStyle w:val="001000000000" w:firstRow="0" w:lastRow="0" w:firstColumn="1" w:lastColumn="0" w:oddVBand="0" w:evenVBand="0" w:oddHBand="0" w:evenHBand="0" w:firstRowFirstColumn="0" w:firstRowLastColumn="0" w:lastRowFirstColumn="0" w:lastRowLastColumn="0"/>
            <w:tcW w:w="567" w:type="dxa"/>
          </w:tcPr>
          <w:p w14:paraId="7CAC90E5" w14:textId="0A6D1911" w:rsidR="00B808A8" w:rsidRPr="00D0129E" w:rsidRDefault="007818EF" w:rsidP="00CC3881">
            <w:pPr>
              <w:pStyle w:val="TableNText"/>
            </w:pPr>
            <w:r>
              <w:lastRenderedPageBreak/>
              <w:t>9</w:t>
            </w:r>
          </w:p>
        </w:tc>
        <w:tc>
          <w:tcPr>
            <w:tcW w:w="1828" w:type="dxa"/>
          </w:tcPr>
          <w:p w14:paraId="033F9B67" w14:textId="14A4F7AC" w:rsidR="00B808A8" w:rsidRPr="00D0129E" w:rsidRDefault="00B808A8" w:rsidP="00CC3881">
            <w:pPr>
              <w:pStyle w:val="TableNText"/>
              <w:cnfStyle w:val="000000000000" w:firstRow="0" w:lastRow="0" w:firstColumn="0" w:lastColumn="0" w:oddVBand="0" w:evenVBand="0" w:oddHBand="0" w:evenHBand="0" w:firstRowFirstColumn="0" w:firstRowLastColumn="0" w:lastRowFirstColumn="0" w:lastRowLastColumn="0"/>
            </w:pPr>
            <w:r w:rsidRPr="00D0129E">
              <w:rPr>
                <w:rFonts w:eastAsiaTheme="minorEastAsia"/>
                <w:color w:val="1E1545" w:themeColor="dark1"/>
                <w:kern w:val="24"/>
              </w:rPr>
              <w:t>Decrease in the proportion of women smoking tobacco during pregnancy.</w:t>
            </w:r>
          </w:p>
        </w:tc>
        <w:tc>
          <w:tcPr>
            <w:tcW w:w="4678" w:type="dxa"/>
          </w:tcPr>
          <w:p w14:paraId="431F2385" w14:textId="44F47F03" w:rsidR="00B808A8" w:rsidRPr="00D0129E" w:rsidRDefault="003320FF"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Reduction of s</w:t>
            </w:r>
            <w:r w:rsidR="00B318B2" w:rsidRPr="00D0129E">
              <w:rPr>
                <w:rFonts w:eastAsiaTheme="minorEastAsia"/>
                <w:color w:val="1E1545" w:themeColor="dark1"/>
                <w:kern w:val="24"/>
              </w:rPr>
              <w:t xml:space="preserve">moking is </w:t>
            </w:r>
            <w:r w:rsidRPr="00D0129E">
              <w:rPr>
                <w:rFonts w:eastAsiaTheme="minorEastAsia"/>
                <w:color w:val="1E1545" w:themeColor="dark1"/>
                <w:kern w:val="24"/>
              </w:rPr>
              <w:t>key focus of Action area 1 in the Plan</w:t>
            </w:r>
            <w:r w:rsidR="00183F25" w:rsidRPr="00D0129E">
              <w:rPr>
                <w:rFonts w:eastAsiaTheme="minorEastAsia"/>
                <w:color w:val="1E1545" w:themeColor="dark1"/>
                <w:kern w:val="24"/>
              </w:rPr>
              <w:t>.</w:t>
            </w:r>
          </w:p>
        </w:tc>
        <w:tc>
          <w:tcPr>
            <w:tcW w:w="4252" w:type="dxa"/>
          </w:tcPr>
          <w:p w14:paraId="1CD4A37D" w14:textId="77777777" w:rsidR="00B808A8" w:rsidRPr="00D0129E" w:rsidRDefault="00B808A8"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p>
        </w:tc>
        <w:tc>
          <w:tcPr>
            <w:tcW w:w="2395" w:type="dxa"/>
          </w:tcPr>
          <w:p w14:paraId="38EB0CC8" w14:textId="7D3A5CDE" w:rsidR="00633EC3" w:rsidRDefault="00633EC3"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Pr>
                <w:rFonts w:eastAsiaTheme="minorEastAsia"/>
                <w:color w:val="1E1545" w:themeColor="dark1"/>
                <w:kern w:val="24"/>
              </w:rPr>
              <w:t xml:space="preserve">Desktop and evidence review - </w:t>
            </w:r>
            <w:r w:rsidRPr="00633EC3">
              <w:rPr>
                <w:rFonts w:eastAsiaTheme="minorEastAsia"/>
                <w:color w:val="1E1545" w:themeColor="dark1"/>
                <w:kern w:val="24"/>
              </w:rPr>
              <w:t>Safer Baby Bundle evaluation</w:t>
            </w:r>
            <w:r>
              <w:rPr>
                <w:rFonts w:eastAsiaTheme="minorEastAsia"/>
                <w:color w:val="1E1545" w:themeColor="dark1"/>
                <w:kern w:val="24"/>
              </w:rPr>
              <w:t xml:space="preserve">, </w:t>
            </w:r>
            <w:r w:rsidRPr="00633EC3">
              <w:rPr>
                <w:rFonts w:eastAsiaTheme="minorEastAsia"/>
                <w:color w:val="1E1545" w:themeColor="dark1"/>
                <w:kern w:val="24"/>
              </w:rPr>
              <w:t>Safer Baby Collaborative (VIC) report</w:t>
            </w:r>
            <w:r w:rsidR="00FF00EF">
              <w:rPr>
                <w:rFonts w:eastAsiaTheme="minorEastAsia"/>
                <w:color w:val="1E1545" w:themeColor="dark1"/>
                <w:kern w:val="24"/>
              </w:rPr>
              <w:t>.</w:t>
            </w:r>
          </w:p>
          <w:p w14:paraId="1B352453" w14:textId="3416735F" w:rsidR="00B808A8" w:rsidRPr="00D0129E" w:rsidRDefault="00C83292" w:rsidP="00CC3881">
            <w:pPr>
              <w:pStyle w:val="TableNText"/>
              <w:cnfStyle w:val="000000000000" w:firstRow="0" w:lastRow="0" w:firstColumn="0" w:lastColumn="0" w:oddVBand="0" w:evenVBand="0" w:oddHBand="0" w:evenHBand="0" w:firstRowFirstColumn="0" w:firstRowLastColumn="0" w:lastRowFirstColumn="0" w:lastRowLastColumn="0"/>
              <w:rPr>
                <w:rFonts w:eastAsiaTheme="minorEastAsia"/>
                <w:color w:val="1E1545" w:themeColor="dark1"/>
                <w:kern w:val="24"/>
              </w:rPr>
            </w:pPr>
            <w:r w:rsidRPr="00D0129E">
              <w:rPr>
                <w:rFonts w:eastAsiaTheme="minorEastAsia"/>
                <w:color w:val="1E1545" w:themeColor="dark1"/>
                <w:kern w:val="24"/>
              </w:rPr>
              <w:t>Existing datasets</w:t>
            </w:r>
            <w:r w:rsidR="00AD7D1A" w:rsidRPr="00D0129E">
              <w:rPr>
                <w:rFonts w:eastAsiaTheme="minorEastAsia"/>
                <w:color w:val="1E1545" w:themeColor="dark1"/>
                <w:kern w:val="24"/>
              </w:rPr>
              <w:t xml:space="preserve"> – AIHW NPDC</w:t>
            </w:r>
            <w:r w:rsidR="00E047EE">
              <w:rPr>
                <w:rFonts w:eastAsiaTheme="minorEastAsia"/>
                <w:color w:val="1E1545" w:themeColor="dark1"/>
                <w:kern w:val="24"/>
              </w:rPr>
              <w:t xml:space="preserve"> and AIHW national Key Performance Indicators (</w:t>
            </w:r>
            <w:proofErr w:type="spellStart"/>
            <w:r w:rsidR="00E047EE">
              <w:rPr>
                <w:rFonts w:eastAsiaTheme="minorEastAsia"/>
                <w:color w:val="1E1545" w:themeColor="dark1"/>
                <w:kern w:val="24"/>
              </w:rPr>
              <w:t>nKPI</w:t>
            </w:r>
            <w:proofErr w:type="spellEnd"/>
            <w:r w:rsidR="00E047EE">
              <w:rPr>
                <w:rFonts w:eastAsiaTheme="minorEastAsia"/>
                <w:color w:val="1E1545" w:themeColor="dark1"/>
                <w:kern w:val="24"/>
              </w:rPr>
              <w:t>).</w:t>
            </w:r>
          </w:p>
        </w:tc>
      </w:tr>
      <w:tr w:rsidR="005E39FC" w14:paraId="452EBB3F" w14:textId="101D2C33" w:rsidTr="00CC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0" w:type="dxa"/>
            <w:gridSpan w:val="5"/>
            <w:shd w:val="clear" w:color="auto" w:fill="1E1545" w:themeFill="text1"/>
          </w:tcPr>
          <w:p w14:paraId="4A3555BA" w14:textId="38AF2E5B" w:rsidR="005E39FC" w:rsidRPr="00834B6D" w:rsidRDefault="005E39FC" w:rsidP="00CC3881">
            <w:pPr>
              <w:pStyle w:val="TableNheader"/>
              <w:rPr>
                <w:bCs w:val="0"/>
              </w:rPr>
            </w:pPr>
            <w:r w:rsidRPr="00834B6D">
              <w:t>Priority 2: Raising awareness and strengthening education</w:t>
            </w:r>
          </w:p>
        </w:tc>
      </w:tr>
      <w:tr w:rsidR="00B808A8" w14:paraId="4C133FE8" w14:textId="0786DC49" w:rsidTr="00CC3881">
        <w:trPr>
          <w:trHeight w:val="537"/>
        </w:trPr>
        <w:tc>
          <w:tcPr>
            <w:cnfStyle w:val="001000000000" w:firstRow="0" w:lastRow="0" w:firstColumn="1" w:lastColumn="0" w:oddVBand="0" w:evenVBand="0" w:oddHBand="0" w:evenHBand="0" w:firstRowFirstColumn="0" w:firstRowLastColumn="0" w:lastRowFirstColumn="0" w:lastRowLastColumn="0"/>
            <w:tcW w:w="567" w:type="dxa"/>
          </w:tcPr>
          <w:p w14:paraId="2CD23023" w14:textId="5B070EEC" w:rsidR="00B808A8" w:rsidRPr="00D0129E" w:rsidRDefault="007818EF" w:rsidP="00CC3881">
            <w:pPr>
              <w:pStyle w:val="TableNText"/>
            </w:pPr>
            <w:r>
              <w:t>10</w:t>
            </w:r>
          </w:p>
        </w:tc>
        <w:tc>
          <w:tcPr>
            <w:tcW w:w="1828" w:type="dxa"/>
          </w:tcPr>
          <w:p w14:paraId="168D76CC" w14:textId="5BA79A9D" w:rsidR="00B808A8" w:rsidRPr="00D0129E" w:rsidRDefault="00B808A8" w:rsidP="00CC3881">
            <w:pPr>
              <w:pStyle w:val="TableNText"/>
              <w:cnfStyle w:val="000000000000" w:firstRow="0" w:lastRow="0" w:firstColumn="0" w:lastColumn="0" w:oddVBand="0" w:evenVBand="0" w:oddHBand="0" w:evenHBand="0" w:firstRowFirstColumn="0" w:firstRowLastColumn="0" w:lastRowFirstColumn="0" w:lastRowLastColumn="0"/>
            </w:pPr>
            <w:r w:rsidRPr="00D0129E">
              <w:t xml:space="preserve">Increase in the </w:t>
            </w:r>
            <w:r w:rsidR="00ED1600" w:rsidRPr="00D0129E">
              <w:t>number and reach</w:t>
            </w:r>
            <w:r w:rsidRPr="00D0129E">
              <w:t xml:space="preserve"> of publicly funded programs promoting awareness of stillbirth, risk factors and prevention strategies.</w:t>
            </w:r>
          </w:p>
        </w:tc>
        <w:tc>
          <w:tcPr>
            <w:tcW w:w="4678" w:type="dxa"/>
          </w:tcPr>
          <w:p w14:paraId="5F875774" w14:textId="58EDB437" w:rsidR="00B808A8" w:rsidRPr="00D0129E" w:rsidRDefault="00206AD4" w:rsidP="00CC3881">
            <w:pPr>
              <w:pStyle w:val="TableNText"/>
              <w:cnfStyle w:val="000000000000" w:firstRow="0" w:lastRow="0" w:firstColumn="0" w:lastColumn="0" w:oddVBand="0" w:evenVBand="0" w:oddHBand="0" w:evenHBand="0" w:firstRowFirstColumn="0" w:firstRowLastColumn="0" w:lastRowFirstColumn="0" w:lastRowLastColumn="0"/>
            </w:pPr>
            <w:r w:rsidRPr="00D0129E">
              <w:t xml:space="preserve">This indicator focuses on </w:t>
            </w:r>
            <w:r w:rsidR="001E4B20" w:rsidRPr="00D0129E">
              <w:t>an increase in the coverage, or reach, of programs aimed at raising awareness</w:t>
            </w:r>
            <w:r w:rsidR="00F33F1A" w:rsidRPr="00D0129E">
              <w:t xml:space="preserve">. </w:t>
            </w:r>
            <w:r w:rsidR="00DD5485" w:rsidRPr="00D0129E">
              <w:t>This would cover programs undertaken by health professionals,</w:t>
            </w:r>
            <w:r w:rsidR="00E80775" w:rsidRPr="00D0129E">
              <w:t xml:space="preserve"> </w:t>
            </w:r>
            <w:proofErr w:type="gramStart"/>
            <w:r w:rsidR="00E80775" w:rsidRPr="00D0129E">
              <w:t>government</w:t>
            </w:r>
            <w:proofErr w:type="gramEnd"/>
            <w:r w:rsidR="00E80775" w:rsidRPr="00D0129E">
              <w:t xml:space="preserve"> and NGOs.</w:t>
            </w:r>
          </w:p>
        </w:tc>
        <w:tc>
          <w:tcPr>
            <w:tcW w:w="4252" w:type="dxa"/>
          </w:tcPr>
          <w:p w14:paraId="4C9DE22E" w14:textId="58CA0235" w:rsidR="00FE7C1F" w:rsidRDefault="00FE7C1F" w:rsidP="00CC3881">
            <w:pPr>
              <w:pStyle w:val="TableNText"/>
              <w:cnfStyle w:val="000000000000" w:firstRow="0" w:lastRow="0" w:firstColumn="0" w:lastColumn="0" w:oddVBand="0" w:evenVBand="0" w:oddHBand="0" w:evenHBand="0" w:firstRowFirstColumn="0" w:firstRowLastColumn="0" w:lastRowFirstColumn="0" w:lastRowLastColumn="0"/>
            </w:pPr>
            <w:r w:rsidRPr="00FE7C1F">
              <w:t xml:space="preserve">Reach considers the intended collective geographic distribution of publicly funded awareness programs and intended audiences. It is out of scope for the national evaluation to measure reach of individual programs so </w:t>
            </w:r>
            <w:r w:rsidR="00C73F47">
              <w:t>the evaluation</w:t>
            </w:r>
            <w:r w:rsidR="00C73F47" w:rsidRPr="00FE7C1F">
              <w:t xml:space="preserve"> </w:t>
            </w:r>
            <w:r w:rsidRPr="00FE7C1F">
              <w:t xml:space="preserve">will be reliant on implementers providing program specific evaluations/monitoring information about the intended and achieved reach of their awareness programs to develop a collective view for the national evaluation. </w:t>
            </w:r>
          </w:p>
          <w:p w14:paraId="02A6AB84" w14:textId="58C39307" w:rsidR="00FE7C1F" w:rsidRDefault="00FE7C1F" w:rsidP="00CC3881">
            <w:pPr>
              <w:pStyle w:val="TableNText"/>
              <w:cnfStyle w:val="000000000000" w:firstRow="0" w:lastRow="0" w:firstColumn="0" w:lastColumn="0" w:oddVBand="0" w:evenVBand="0" w:oddHBand="0" w:evenHBand="0" w:firstRowFirstColumn="0" w:firstRowLastColumn="0" w:lastRowFirstColumn="0" w:lastRowLastColumn="0"/>
            </w:pPr>
            <w:r w:rsidRPr="00FE7C1F">
              <w:lastRenderedPageBreak/>
              <w:t>This information will be collected by considering the program design of any awareness programs delivered by implementers (</w:t>
            </w:r>
            <w:proofErr w:type="gramStart"/>
            <w:r w:rsidRPr="00FE7C1F">
              <w:t>i.e.</w:t>
            </w:r>
            <w:proofErr w:type="gramEnd"/>
            <w:r w:rsidRPr="00FE7C1F">
              <w:t xml:space="preserve"> who did the program originally intend to</w:t>
            </w:r>
            <w:r w:rsidR="00964B0E">
              <w:t xml:space="preserve"> reach</w:t>
            </w:r>
            <w:r w:rsidRPr="00FE7C1F">
              <w:t xml:space="preserve"> t, in what locations).</w:t>
            </w:r>
          </w:p>
          <w:p w14:paraId="28F78A58" w14:textId="69D1DC6F" w:rsidR="00323334" w:rsidRPr="004C4C7E" w:rsidRDefault="00FE7C1F" w:rsidP="00CC3881">
            <w:pPr>
              <w:pStyle w:val="TableNText"/>
              <w:cnfStyle w:val="000000000000" w:firstRow="0" w:lastRow="0" w:firstColumn="0" w:lastColumn="0" w:oddVBand="0" w:evenVBand="0" w:oddHBand="0" w:evenHBand="0" w:firstRowFirstColumn="0" w:firstRowLastColumn="0" w:lastRowFirstColumn="0" w:lastRowLastColumn="0"/>
            </w:pPr>
            <w:r w:rsidRPr="00FE7C1F">
              <w:t>Pending data availability, case study examples may be used to highlight how particular awareness programs have successfully, or unsuccessfully, reached target populations.</w:t>
            </w:r>
          </w:p>
        </w:tc>
        <w:tc>
          <w:tcPr>
            <w:tcW w:w="2395" w:type="dxa"/>
          </w:tcPr>
          <w:p w14:paraId="12D0ED65" w14:textId="63ECA2DF" w:rsidR="002543A6" w:rsidRPr="00D0129E" w:rsidRDefault="002543A6" w:rsidP="00CC3881">
            <w:pPr>
              <w:pStyle w:val="TableNText"/>
              <w:cnfStyle w:val="000000000000" w:firstRow="0" w:lastRow="0" w:firstColumn="0" w:lastColumn="0" w:oddVBand="0" w:evenVBand="0" w:oddHBand="0" w:evenHBand="0" w:firstRowFirstColumn="0" w:firstRowLastColumn="0" w:lastRowFirstColumn="0" w:lastRowLastColumn="0"/>
            </w:pPr>
            <w:r w:rsidRPr="00D0129E">
              <w:lastRenderedPageBreak/>
              <w:t xml:space="preserve">Desktop </w:t>
            </w:r>
            <w:r w:rsidR="00633EC3">
              <w:t xml:space="preserve">and evidence </w:t>
            </w:r>
            <w:r w:rsidRPr="00D0129E">
              <w:t>review – Still Six Lives evaluation</w:t>
            </w:r>
            <w:r w:rsidR="00633EC3">
              <w:t xml:space="preserve">, </w:t>
            </w:r>
            <w:r w:rsidR="00633EC3" w:rsidRPr="00633EC3">
              <w:t>Safer Baby Bundle evaluation</w:t>
            </w:r>
            <w:r w:rsidR="00633EC3">
              <w:t xml:space="preserve">, </w:t>
            </w:r>
            <w:r w:rsidR="00633EC3" w:rsidRPr="00633EC3">
              <w:t>Safer Baby Collaborative (VIC) report</w:t>
            </w:r>
            <w:r w:rsidR="00FF00EF">
              <w:t>.</w:t>
            </w:r>
          </w:p>
          <w:p w14:paraId="3A613977" w14:textId="08313243" w:rsidR="00CA4F6C" w:rsidRPr="00D0129E" w:rsidRDefault="00CA4F6C" w:rsidP="00CC3881">
            <w:pPr>
              <w:pStyle w:val="TableNText"/>
              <w:cnfStyle w:val="000000000000" w:firstRow="0" w:lastRow="0" w:firstColumn="0" w:lastColumn="0" w:oddVBand="0" w:evenVBand="0" w:oddHBand="0" w:evenHBand="0" w:firstRowFirstColumn="0" w:firstRowLastColumn="0" w:lastRowFirstColumn="0" w:lastRowLastColumn="0"/>
            </w:pPr>
            <w:r w:rsidRPr="00D0129E">
              <w:t>Annual Implementers’ Progress Update</w:t>
            </w:r>
            <w:r w:rsidR="00683383" w:rsidRPr="00D0129E">
              <w:t xml:space="preserve"> </w:t>
            </w:r>
            <w:r w:rsidR="00D31752" w:rsidRPr="00D0129E">
              <w:t>and</w:t>
            </w:r>
            <w:r w:rsidR="00683383" w:rsidRPr="00D0129E">
              <w:t xml:space="preserve"> consultations</w:t>
            </w:r>
            <w:r w:rsidR="00FF00EF">
              <w:t>.</w:t>
            </w:r>
          </w:p>
          <w:p w14:paraId="07692F81" w14:textId="77777777" w:rsidR="00B808A8" w:rsidRDefault="002543A6" w:rsidP="00CC3881">
            <w:pPr>
              <w:pStyle w:val="TableNText"/>
              <w:cnfStyle w:val="000000000000" w:firstRow="0" w:lastRow="0" w:firstColumn="0" w:lastColumn="0" w:oddVBand="0" w:evenVBand="0" w:oddHBand="0" w:evenHBand="0" w:firstRowFirstColumn="0" w:firstRowLastColumn="0" w:lastRowFirstColumn="0" w:lastRowLastColumn="0"/>
            </w:pPr>
            <w:r w:rsidRPr="00D0129E">
              <w:t xml:space="preserve">Existing datasets – Stillbirth CRE Safer Baby </w:t>
            </w:r>
            <w:r w:rsidRPr="00D0129E">
              <w:lastRenderedPageBreak/>
              <w:t>Bundle maternity care survey</w:t>
            </w:r>
            <w:r w:rsidR="00FF00EF">
              <w:t>.</w:t>
            </w:r>
          </w:p>
          <w:p w14:paraId="5BBDA400" w14:textId="3CF12533" w:rsidR="001809B3" w:rsidRPr="00D0129E" w:rsidRDefault="001809B3" w:rsidP="00CC3881">
            <w:pPr>
              <w:pStyle w:val="TableNText"/>
              <w:cnfStyle w:val="000000000000" w:firstRow="0" w:lastRow="0" w:firstColumn="0" w:lastColumn="0" w:oddVBand="0" w:evenVBand="0" w:oddHBand="0" w:evenHBand="0" w:firstRowFirstColumn="0" w:firstRowLastColumn="0" w:lastRowFirstColumn="0" w:lastRowLastColumn="0"/>
            </w:pPr>
            <w:r>
              <w:t xml:space="preserve">Consultation with stakeholders who have oversight over target cohort services. </w:t>
            </w:r>
          </w:p>
        </w:tc>
      </w:tr>
      <w:tr w:rsidR="00B808A8" w14:paraId="01AA8A2E" w14:textId="4D24E9B8" w:rsidTr="00CC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9879248" w14:textId="10A0EBF5" w:rsidR="00B808A8" w:rsidRPr="00D0129E" w:rsidRDefault="007818EF" w:rsidP="00CC3881">
            <w:pPr>
              <w:rPr>
                <w:rFonts w:ascii="Arial" w:hAnsi="Arial" w:cs="Arial"/>
                <w:sz w:val="17"/>
                <w:szCs w:val="17"/>
              </w:rPr>
            </w:pPr>
            <w:r>
              <w:rPr>
                <w:rFonts w:ascii="Arial" w:hAnsi="Arial" w:cs="Arial"/>
                <w:sz w:val="17"/>
                <w:szCs w:val="17"/>
              </w:rPr>
              <w:lastRenderedPageBreak/>
              <w:t>11</w:t>
            </w:r>
          </w:p>
        </w:tc>
        <w:tc>
          <w:tcPr>
            <w:tcW w:w="1828" w:type="dxa"/>
          </w:tcPr>
          <w:p w14:paraId="01039652" w14:textId="135D08EF" w:rsidR="00B808A8" w:rsidRPr="00D0129E" w:rsidRDefault="006A27FC" w:rsidP="00CC3881">
            <w:pPr>
              <w:pStyle w:val="TableNText"/>
              <w:cnfStyle w:val="000000100000" w:firstRow="0" w:lastRow="0" w:firstColumn="0" w:lastColumn="0" w:oddVBand="0" w:evenVBand="0" w:oddHBand="1" w:evenHBand="0" w:firstRowFirstColumn="0" w:firstRowLastColumn="0" w:lastRowFirstColumn="0" w:lastRowLastColumn="0"/>
            </w:pPr>
            <w:r w:rsidRPr="00D0129E">
              <w:t xml:space="preserve">Increase in alignment of hospital, </w:t>
            </w:r>
            <w:proofErr w:type="gramStart"/>
            <w:r w:rsidRPr="00D0129E">
              <w:t>organisation</w:t>
            </w:r>
            <w:proofErr w:type="gramEnd"/>
            <w:r w:rsidRPr="00D0129E">
              <w:t xml:space="preserve"> and professional body guidelines with </w:t>
            </w:r>
            <w:r w:rsidR="00473EFD">
              <w:t xml:space="preserve">PSANZ </w:t>
            </w:r>
            <w:r w:rsidR="00473EFD" w:rsidRPr="002C7A1F">
              <w:t>Clinical practice guideline for care around stillbirth and neonatal death</w:t>
            </w:r>
            <w:r w:rsidRPr="00D0129E">
              <w:t xml:space="preserve"> and the national </w:t>
            </w:r>
            <w:r w:rsidRPr="002C7A1F">
              <w:t>Clinical Practice Guidelines – Pregnancy Care</w:t>
            </w:r>
            <w:r w:rsidR="00B808A8" w:rsidRPr="00D0129E">
              <w:t>.</w:t>
            </w:r>
          </w:p>
        </w:tc>
        <w:tc>
          <w:tcPr>
            <w:tcW w:w="4678" w:type="dxa"/>
          </w:tcPr>
          <w:p w14:paraId="29DE0F85" w14:textId="0DCE284D" w:rsidR="00B808A8" w:rsidRPr="00D0129E" w:rsidRDefault="0024192A" w:rsidP="00CC3881">
            <w:pPr>
              <w:pStyle w:val="TableNText"/>
              <w:cnfStyle w:val="000000100000" w:firstRow="0" w:lastRow="0" w:firstColumn="0" w:lastColumn="0" w:oddVBand="0" w:evenVBand="0" w:oddHBand="1" w:evenHBand="0" w:firstRowFirstColumn="0" w:firstRowLastColumn="0" w:lastRowFirstColumn="0" w:lastRowLastColumn="0"/>
            </w:pPr>
            <w:r w:rsidRPr="00D0129E">
              <w:t xml:space="preserve">The development and update of guidelines is a core part of the Plan </w:t>
            </w:r>
            <w:r w:rsidR="008E0CC5">
              <w:t>that relates to</w:t>
            </w:r>
            <w:r w:rsidRPr="00D0129E">
              <w:t xml:space="preserve"> specific action areas. </w:t>
            </w:r>
            <w:r w:rsidR="006F66F7" w:rsidRPr="00D0129E">
              <w:t xml:space="preserve">As guidelines are a key aspect of the Plan and are known to achieve improved outcomes when implemented, these are being monitored through the Plan. While adoption of guidelines by practitioners </w:t>
            </w:r>
            <w:r w:rsidR="00917C56" w:rsidRPr="00D0129E">
              <w:t xml:space="preserve">and the use of guidelines in practice </w:t>
            </w:r>
            <w:r w:rsidR="008A4677" w:rsidRPr="00D0129E">
              <w:t>will</w:t>
            </w:r>
            <w:r w:rsidR="006F66F7" w:rsidRPr="00D0129E">
              <w:t xml:space="preserve"> not be measured, this evaluation will consider the extent to which </w:t>
            </w:r>
            <w:r w:rsidR="007A68A8" w:rsidRPr="00D0129E">
              <w:t xml:space="preserve">the existing guidelines of </w:t>
            </w:r>
            <w:r w:rsidR="006F66F7" w:rsidRPr="00D0129E">
              <w:t xml:space="preserve">hospitals and professional bodies are consistent with the </w:t>
            </w:r>
            <w:r w:rsidR="008C3E2A" w:rsidRPr="00D0129E">
              <w:t>guidelines developed or updated through the Plan.</w:t>
            </w:r>
          </w:p>
        </w:tc>
        <w:tc>
          <w:tcPr>
            <w:tcW w:w="4252" w:type="dxa"/>
          </w:tcPr>
          <w:p w14:paraId="0951AFF8" w14:textId="38ECCDC4" w:rsidR="00B808A8" w:rsidRDefault="0010291C" w:rsidP="00CC3881">
            <w:pPr>
              <w:pStyle w:val="TableNText"/>
              <w:cnfStyle w:val="000000100000" w:firstRow="0" w:lastRow="0" w:firstColumn="0" w:lastColumn="0" w:oddVBand="0" w:evenVBand="0" w:oddHBand="1" w:evenHBand="0" w:firstRowFirstColumn="0" w:firstRowLastColumn="0" w:lastRowFirstColumn="0" w:lastRowLastColumn="0"/>
            </w:pPr>
            <w:r>
              <w:t xml:space="preserve">Indicator 10 will only commence </w:t>
            </w:r>
            <w:r w:rsidR="00473EFD">
              <w:t xml:space="preserve">in full </w:t>
            </w:r>
            <w:r>
              <w:t xml:space="preserve">once the update to the </w:t>
            </w:r>
            <w:r w:rsidRPr="002C7A1F">
              <w:t>Clinical Practice Guidelines – Pregnancy Care</w:t>
            </w:r>
            <w:r>
              <w:t xml:space="preserve"> is completed. </w:t>
            </w:r>
          </w:p>
          <w:p w14:paraId="4B31DAF1" w14:textId="6D1E1CDF" w:rsidR="00860FAF" w:rsidRDefault="000D66D1" w:rsidP="00CC3881">
            <w:pPr>
              <w:pStyle w:val="TableNText"/>
              <w:cnfStyle w:val="000000100000" w:firstRow="0" w:lastRow="0" w:firstColumn="0" w:lastColumn="0" w:oddVBand="0" w:evenVBand="0" w:oddHBand="1" w:evenHBand="0" w:firstRowFirstColumn="0" w:firstRowLastColumn="0" w:lastRowFirstColumn="0" w:lastRowLastColumn="0"/>
            </w:pPr>
            <w:r>
              <w:t xml:space="preserve">PSANZ’s </w:t>
            </w:r>
            <w:r w:rsidR="00860FAF">
              <w:t xml:space="preserve">Clinical Practice Guideline for the </w:t>
            </w:r>
            <w:r w:rsidR="006E3E3D">
              <w:t>M</w:t>
            </w:r>
            <w:r w:rsidR="00860FAF">
              <w:t xml:space="preserve">anagement of </w:t>
            </w:r>
            <w:r w:rsidR="006E3E3D">
              <w:t>W</w:t>
            </w:r>
            <w:r w:rsidR="00860FAF">
              <w:t xml:space="preserve">omen </w:t>
            </w:r>
            <w:r w:rsidR="006E3E3D">
              <w:t>W</w:t>
            </w:r>
            <w:r w:rsidR="00860FAF">
              <w:t xml:space="preserve">ho </w:t>
            </w:r>
            <w:r w:rsidR="006E3E3D">
              <w:t>R</w:t>
            </w:r>
            <w:r w:rsidR="00860FAF">
              <w:t xml:space="preserve">eport </w:t>
            </w:r>
            <w:r w:rsidR="006E3E3D">
              <w:t>D</w:t>
            </w:r>
            <w:r w:rsidR="00860FAF">
              <w:t xml:space="preserve">ecreased </w:t>
            </w:r>
            <w:proofErr w:type="spellStart"/>
            <w:r w:rsidR="006E3E3D">
              <w:t>F</w:t>
            </w:r>
            <w:r w:rsidR="00860FAF">
              <w:t>etal</w:t>
            </w:r>
            <w:proofErr w:type="spellEnd"/>
            <w:r w:rsidR="00860FAF">
              <w:t xml:space="preserve"> </w:t>
            </w:r>
            <w:r w:rsidR="006E3E3D">
              <w:t>M</w:t>
            </w:r>
            <w:r w:rsidR="00860FAF">
              <w:t xml:space="preserve">ovements is not included in this indicator as it is not referred to in the Plan. </w:t>
            </w:r>
          </w:p>
          <w:p w14:paraId="58FC2881" w14:textId="015C40E2" w:rsidR="00FE03EF" w:rsidRPr="00D0129E" w:rsidRDefault="00B26F17" w:rsidP="00CC3881">
            <w:pPr>
              <w:pStyle w:val="TableNText"/>
              <w:cnfStyle w:val="000000100000" w:firstRow="0" w:lastRow="0" w:firstColumn="0" w:lastColumn="0" w:oddVBand="0" w:evenVBand="0" w:oddHBand="1" w:evenHBand="0" w:firstRowFirstColumn="0" w:firstRowLastColumn="0" w:lastRowFirstColumn="0" w:lastRowLastColumn="0"/>
            </w:pPr>
            <w:r>
              <w:t xml:space="preserve">Over the course of the monitoring and evaluation, additional guidelines may be developed </w:t>
            </w:r>
            <w:r w:rsidR="006E7175">
              <w:t xml:space="preserve">which are in scope. Changes to indicators </w:t>
            </w:r>
            <w:r w:rsidR="000D66D1">
              <w:t>and data collection will be considered during evaluation periods.</w:t>
            </w:r>
          </w:p>
        </w:tc>
        <w:tc>
          <w:tcPr>
            <w:tcW w:w="2395" w:type="dxa"/>
          </w:tcPr>
          <w:p w14:paraId="5C89BB65" w14:textId="5BD36B58" w:rsidR="000E74BE" w:rsidRPr="00D0129E" w:rsidRDefault="00CA7B14" w:rsidP="00CC3881">
            <w:pPr>
              <w:pStyle w:val="TableNText"/>
              <w:cnfStyle w:val="000000100000" w:firstRow="0" w:lastRow="0" w:firstColumn="0" w:lastColumn="0" w:oddVBand="0" w:evenVBand="0" w:oddHBand="1" w:evenHBand="0" w:firstRowFirstColumn="0" w:firstRowLastColumn="0" w:lastRowFirstColumn="0" w:lastRowLastColumn="0"/>
            </w:pPr>
            <w:r w:rsidRPr="00D0129E">
              <w:t>Desktop review –</w:t>
            </w:r>
            <w:r w:rsidR="00C5080F" w:rsidRPr="00D0129E">
              <w:t xml:space="preserve"> PSANZ </w:t>
            </w:r>
            <w:r w:rsidR="00C5080F" w:rsidRPr="00F356C7">
              <w:t>Clinical practice guideline for care around stillbirth and neonatal death, Clinical practice guidelines: Pregnancy care</w:t>
            </w:r>
            <w:r w:rsidR="000E74BE" w:rsidRPr="00D0129E">
              <w:t>,</w:t>
            </w:r>
            <w:r w:rsidR="00CC02EB">
              <w:t xml:space="preserve"> </w:t>
            </w:r>
            <w:r w:rsidR="00CC02EB" w:rsidRPr="00CC02EB">
              <w:t>New South Wales Government – Guidance for maternity and newborn care</w:t>
            </w:r>
            <w:r w:rsidR="00CC02EB">
              <w:t xml:space="preserve">, </w:t>
            </w:r>
            <w:r w:rsidR="00CC02EB" w:rsidRPr="00CC02EB">
              <w:t>Queensland Clinical Guidelines – Maternity and Neonatal Clinical Guidelines</w:t>
            </w:r>
            <w:r w:rsidR="00CC02EB">
              <w:t xml:space="preserve">, </w:t>
            </w:r>
            <w:r w:rsidR="00CC02EB" w:rsidRPr="00CC02EB">
              <w:t xml:space="preserve">South Australia Health – </w:t>
            </w:r>
            <w:r w:rsidR="00CC02EB" w:rsidRPr="00CC02EB">
              <w:lastRenderedPageBreak/>
              <w:t>Perinatal Clinical practice Guidelines</w:t>
            </w:r>
            <w:r w:rsidR="006B1D21">
              <w:t xml:space="preserve">, </w:t>
            </w:r>
            <w:proofErr w:type="gramStart"/>
            <w:r w:rsidR="00CC02EB" w:rsidRPr="00CC02EB">
              <w:t>Maternity</w:t>
            </w:r>
            <w:proofErr w:type="gramEnd"/>
            <w:r w:rsidR="00CC02EB" w:rsidRPr="00CC02EB">
              <w:t xml:space="preserve"> and newborn services user guide – VAHI</w:t>
            </w:r>
            <w:r w:rsidR="006B1D21">
              <w:t xml:space="preserve">, </w:t>
            </w:r>
            <w:r w:rsidR="00CC02EB" w:rsidRPr="00CC02EB">
              <w:t>King Edward Memorial Hospital (adopted by WA Heath) – Obstetrics and Gynaecology Guidelines</w:t>
            </w:r>
            <w:r w:rsidR="00FF00EF">
              <w:t>.</w:t>
            </w:r>
          </w:p>
          <w:p w14:paraId="1C271668" w14:textId="537CD005" w:rsidR="00B808A8" w:rsidRPr="00D0129E" w:rsidRDefault="007713F8" w:rsidP="00CC3881">
            <w:pPr>
              <w:pStyle w:val="TableNText"/>
              <w:cnfStyle w:val="000000100000" w:firstRow="0" w:lastRow="0" w:firstColumn="0" w:lastColumn="0" w:oddVBand="0" w:evenVBand="0" w:oddHBand="1" w:evenHBand="0" w:firstRowFirstColumn="0" w:firstRowLastColumn="0" w:lastRowFirstColumn="0" w:lastRowLastColumn="0"/>
            </w:pPr>
            <w:r w:rsidRPr="00D0129E">
              <w:t>Annual Implementers’ Progress Update and consultations with health professional bodies</w:t>
            </w:r>
            <w:r w:rsidR="00FF00EF">
              <w:t>.</w:t>
            </w:r>
          </w:p>
        </w:tc>
      </w:tr>
      <w:tr w:rsidR="004C3BAC" w14:paraId="2EB2F912" w14:textId="77777777" w:rsidTr="00CC3881">
        <w:tc>
          <w:tcPr>
            <w:cnfStyle w:val="001000000000" w:firstRow="0" w:lastRow="0" w:firstColumn="1" w:lastColumn="0" w:oddVBand="0" w:evenVBand="0" w:oddHBand="0" w:evenHBand="0" w:firstRowFirstColumn="0" w:firstRowLastColumn="0" w:lastRowFirstColumn="0" w:lastRowLastColumn="0"/>
            <w:tcW w:w="567" w:type="dxa"/>
          </w:tcPr>
          <w:p w14:paraId="159465DA" w14:textId="0A1656B2" w:rsidR="004C3BAC" w:rsidRPr="00D0129E" w:rsidRDefault="007818EF" w:rsidP="00CC3881">
            <w:pPr>
              <w:pStyle w:val="TableNText"/>
            </w:pPr>
            <w:r>
              <w:lastRenderedPageBreak/>
              <w:t>12</w:t>
            </w:r>
          </w:p>
        </w:tc>
        <w:tc>
          <w:tcPr>
            <w:tcW w:w="1828" w:type="dxa"/>
          </w:tcPr>
          <w:p w14:paraId="7914107E" w14:textId="0DEF5412" w:rsidR="004C3BAC" w:rsidRPr="00D0129E" w:rsidRDefault="004C3BAC" w:rsidP="00CC3881">
            <w:pPr>
              <w:pStyle w:val="TableNText"/>
              <w:cnfStyle w:val="000000000000" w:firstRow="0" w:lastRow="0" w:firstColumn="0" w:lastColumn="0" w:oddVBand="0" w:evenVBand="0" w:oddHBand="0" w:evenHBand="0" w:firstRowFirstColumn="0" w:firstRowLastColumn="0" w:lastRowFirstColumn="0" w:lastRowLastColumn="0"/>
            </w:pPr>
            <w:r w:rsidRPr="00D0129E">
              <w:t xml:space="preserve">Increase in the </w:t>
            </w:r>
            <w:r w:rsidR="00CB2F8D">
              <w:t>proportion</w:t>
            </w:r>
            <w:r w:rsidR="00CB2F8D" w:rsidRPr="00D0129E">
              <w:t xml:space="preserve"> </w:t>
            </w:r>
            <w:r w:rsidRPr="00D0129E">
              <w:t>of health professionals completing the IMPROVE training program.</w:t>
            </w:r>
          </w:p>
        </w:tc>
        <w:tc>
          <w:tcPr>
            <w:tcW w:w="4678" w:type="dxa"/>
          </w:tcPr>
          <w:p w14:paraId="29EBE511" w14:textId="657AAF3F" w:rsidR="004C3BAC" w:rsidRPr="00D0129E" w:rsidRDefault="00C82026" w:rsidP="00CC3881">
            <w:pPr>
              <w:pStyle w:val="TableNText"/>
              <w:cnfStyle w:val="000000000000" w:firstRow="0" w:lastRow="0" w:firstColumn="0" w:lastColumn="0" w:oddVBand="0" w:evenVBand="0" w:oddHBand="0" w:evenHBand="0" w:firstRowFirstColumn="0" w:firstRowLastColumn="0" w:lastRowFirstColumn="0" w:lastRowLastColumn="0"/>
            </w:pPr>
            <w:r w:rsidRPr="00D0129E">
              <w:t>Consistent</w:t>
            </w:r>
            <w:r w:rsidR="00D51AA3">
              <w:t xml:space="preserve"> stillbirth</w:t>
            </w:r>
            <w:r w:rsidRPr="00D0129E">
              <w:t xml:space="preserve"> education for</w:t>
            </w:r>
            <w:r w:rsidR="00203DD8" w:rsidRPr="00D0129E">
              <w:t xml:space="preserve"> health professionals</w:t>
            </w:r>
            <w:r w:rsidRPr="00D0129E">
              <w:t xml:space="preserve"> </w:t>
            </w:r>
            <w:r w:rsidR="00203DD8" w:rsidRPr="00D0129E">
              <w:t xml:space="preserve">is a key focus of the Plan. </w:t>
            </w:r>
          </w:p>
          <w:p w14:paraId="11C9A9BD" w14:textId="74854D02" w:rsidR="00203DD8" w:rsidRPr="00D0129E" w:rsidRDefault="00203DD8" w:rsidP="00CC3881">
            <w:pPr>
              <w:pStyle w:val="TableNText"/>
              <w:cnfStyle w:val="000000000000" w:firstRow="0" w:lastRow="0" w:firstColumn="0" w:lastColumn="0" w:oddVBand="0" w:evenVBand="0" w:oddHBand="0" w:evenHBand="0" w:firstRowFirstColumn="0" w:firstRowLastColumn="0" w:lastRowFirstColumn="0" w:lastRowLastColumn="0"/>
            </w:pPr>
            <w:r w:rsidRPr="00D0129E">
              <w:t>The</w:t>
            </w:r>
            <w:r w:rsidR="00C51D10" w:rsidRPr="00D0129E">
              <w:t xml:space="preserve"> Improving Perinatal Mortality Review and Outcome Via Education</w:t>
            </w:r>
            <w:r w:rsidRPr="00D0129E">
              <w:t xml:space="preserve"> </w:t>
            </w:r>
            <w:r w:rsidR="00C51D10" w:rsidRPr="00D0129E">
              <w:t>(</w:t>
            </w:r>
            <w:r w:rsidRPr="00D0129E">
              <w:t>IMPROVE</w:t>
            </w:r>
            <w:r w:rsidR="00C51D10" w:rsidRPr="00D0129E">
              <w:t>)</w:t>
            </w:r>
            <w:r w:rsidR="00DA46B3" w:rsidRPr="00D0129E">
              <w:t xml:space="preserve"> training</w:t>
            </w:r>
            <w:r w:rsidRPr="00D0129E">
              <w:t xml:space="preserve"> </w:t>
            </w:r>
            <w:r w:rsidR="00DF5FD4" w:rsidRPr="00D0129E">
              <w:t>program was developed by PSANZ and the Stillbirth CRE</w:t>
            </w:r>
            <w:r w:rsidR="00DA46B3" w:rsidRPr="00D0129E">
              <w:t xml:space="preserve"> based on the Australia and New Zealand Clinical Practice Guideline for Care Around Stillbirth and Neonatal Death. It provides</w:t>
            </w:r>
            <w:r w:rsidR="009F3604" w:rsidRPr="00D0129E">
              <w:t xml:space="preserve"> education on how to respond to women and families who have experienced stillbirth, conduct perinatal autopsy and mortality </w:t>
            </w:r>
            <w:proofErr w:type="gramStart"/>
            <w:r w:rsidR="009F3604" w:rsidRPr="00D0129E">
              <w:t>reviews</w:t>
            </w:r>
            <w:proofErr w:type="gramEnd"/>
            <w:r w:rsidR="00392C5C" w:rsidRPr="00D0129E">
              <w:t xml:space="preserve"> and</w:t>
            </w:r>
            <w:r w:rsidR="009F3604" w:rsidRPr="00D0129E">
              <w:t xml:space="preserve"> communicate with bereaved parents</w:t>
            </w:r>
            <w:r w:rsidR="00665422" w:rsidRPr="00D0129E">
              <w:t>.</w:t>
            </w:r>
          </w:p>
        </w:tc>
        <w:tc>
          <w:tcPr>
            <w:tcW w:w="4252" w:type="dxa"/>
          </w:tcPr>
          <w:p w14:paraId="56B358EB" w14:textId="536E9CFE" w:rsidR="004F59F4" w:rsidRDefault="004F59F4" w:rsidP="00CC3881">
            <w:pPr>
              <w:pStyle w:val="TableNText"/>
              <w:cnfStyle w:val="000000000000" w:firstRow="0" w:lastRow="0" w:firstColumn="0" w:lastColumn="0" w:oddVBand="0" w:evenVBand="0" w:oddHBand="0" w:evenHBand="0" w:firstRowFirstColumn="0" w:firstRowLastColumn="0" w:lastRowFirstColumn="0" w:lastRowLastColumn="0"/>
            </w:pPr>
            <w:r>
              <w:t>The IMPROVE program is open to o</w:t>
            </w:r>
            <w:r w:rsidRPr="004F59F4">
              <w:t xml:space="preserve">bstetricians, midwives, neonatal nurses, neonatologists, social workers, psychologists, </w:t>
            </w:r>
            <w:r w:rsidR="00150478" w:rsidRPr="004F59F4">
              <w:t>counsellors</w:t>
            </w:r>
            <w:r w:rsidRPr="004F59F4">
              <w:t xml:space="preserve">, and anyone involved in maternity care. </w:t>
            </w:r>
            <w:r>
              <w:t>Those interested from a p</w:t>
            </w:r>
            <w:r w:rsidRPr="004F59F4">
              <w:t xml:space="preserve">olicy or public health perspective, </w:t>
            </w:r>
            <w:r>
              <w:t>are also able to attend</w:t>
            </w:r>
            <w:r w:rsidRPr="004F59F4">
              <w:t>.</w:t>
            </w:r>
            <w:r>
              <w:t xml:space="preserve"> </w:t>
            </w:r>
            <w:r w:rsidR="00DF016C">
              <w:t xml:space="preserve">Therefore, when reviewing data on IMPROVE program attendance, it will be important to </w:t>
            </w:r>
            <w:r w:rsidR="00485AE5">
              <w:t xml:space="preserve">determine </w:t>
            </w:r>
            <w:r w:rsidR="009F6AD1">
              <w:t>the occupations of attendees</w:t>
            </w:r>
            <w:r w:rsidR="00AE1E70">
              <w:t xml:space="preserve"> to enable analysis.</w:t>
            </w:r>
          </w:p>
          <w:p w14:paraId="008163CC" w14:textId="7105C0B6" w:rsidR="004C3BAC" w:rsidRPr="00D0129E" w:rsidRDefault="00F90F18" w:rsidP="00CC3881">
            <w:pPr>
              <w:pStyle w:val="TableNText"/>
              <w:cnfStyle w:val="000000000000" w:firstRow="0" w:lastRow="0" w:firstColumn="0" w:lastColumn="0" w:oddVBand="0" w:evenVBand="0" w:oddHBand="0" w:evenHBand="0" w:firstRowFirstColumn="0" w:firstRowLastColumn="0" w:lastRowFirstColumn="0" w:lastRowLastColumn="0"/>
            </w:pPr>
            <w:r w:rsidRPr="00D0129E">
              <w:t xml:space="preserve">The uptake of the IMPROVE program is one indication of health professional education in </w:t>
            </w:r>
            <w:r w:rsidRPr="00D0129E">
              <w:lastRenderedPageBreak/>
              <w:t>stillbirth.</w:t>
            </w:r>
            <w:r w:rsidR="00AB56A9" w:rsidRPr="00D0129E">
              <w:t xml:space="preserve"> </w:t>
            </w:r>
            <w:r w:rsidR="00302A92">
              <w:t xml:space="preserve">Other stakeholders are also providing education and training related to stillbirth investigations and care around stillbirth. </w:t>
            </w:r>
            <w:r w:rsidR="00302D9F">
              <w:t>The evaluation</w:t>
            </w:r>
            <w:r w:rsidR="00302A92">
              <w:t xml:space="preserve"> will use annual reporting and consultations with implementers to identify these activities.</w:t>
            </w:r>
            <w:r w:rsidR="00AB56A9" w:rsidRPr="00D0129E">
              <w:t xml:space="preserve"> </w:t>
            </w:r>
          </w:p>
        </w:tc>
        <w:tc>
          <w:tcPr>
            <w:tcW w:w="2395" w:type="dxa"/>
          </w:tcPr>
          <w:p w14:paraId="7EDE3C0F" w14:textId="171F4D99" w:rsidR="004C3BAC" w:rsidRPr="00D0129E" w:rsidRDefault="00860997" w:rsidP="00CC3881">
            <w:pPr>
              <w:pStyle w:val="TableNText"/>
              <w:cnfStyle w:val="000000000000" w:firstRow="0" w:lastRow="0" w:firstColumn="0" w:lastColumn="0" w:oddVBand="0" w:evenVBand="0" w:oddHBand="0" w:evenHBand="0" w:firstRowFirstColumn="0" w:firstRowLastColumn="0" w:lastRowFirstColumn="0" w:lastRowLastColumn="0"/>
            </w:pPr>
            <w:r w:rsidRPr="00D0129E">
              <w:lastRenderedPageBreak/>
              <w:t xml:space="preserve">Annual Implementers’ Progress Update </w:t>
            </w:r>
            <w:r w:rsidR="00D31752" w:rsidRPr="00D0129E">
              <w:t>and</w:t>
            </w:r>
            <w:r w:rsidRPr="00D0129E">
              <w:t xml:space="preserve"> consultation</w:t>
            </w:r>
            <w:r w:rsidR="00D31752" w:rsidRPr="00D0129E">
              <w:t xml:space="preserve"> with Stillbirth CRE</w:t>
            </w:r>
            <w:r w:rsidR="00FF00EF">
              <w:t>.</w:t>
            </w:r>
          </w:p>
        </w:tc>
      </w:tr>
      <w:tr w:rsidR="005E39FC" w14:paraId="0628E502" w14:textId="7FC608CA" w:rsidTr="00CC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0" w:type="dxa"/>
            <w:gridSpan w:val="5"/>
            <w:shd w:val="clear" w:color="auto" w:fill="1E1545" w:themeFill="text1"/>
          </w:tcPr>
          <w:p w14:paraId="6B4C27D0" w14:textId="7A4BCC8D" w:rsidR="005E39FC" w:rsidRPr="00755860" w:rsidRDefault="005E39FC" w:rsidP="00CC3881">
            <w:pPr>
              <w:pStyle w:val="TableNheader"/>
              <w:rPr>
                <w:b/>
                <w:bCs w:val="0"/>
              </w:rPr>
            </w:pPr>
            <w:r w:rsidRPr="00755860">
              <w:rPr>
                <w:b/>
              </w:rPr>
              <w:t>Priority 3: Improving holistic bereavement care and community support following stillbirth</w:t>
            </w:r>
          </w:p>
        </w:tc>
      </w:tr>
      <w:tr w:rsidR="00B808A8" w14:paraId="7805ED4B" w14:textId="6B84E391" w:rsidTr="00CC3881">
        <w:tc>
          <w:tcPr>
            <w:cnfStyle w:val="001000000000" w:firstRow="0" w:lastRow="0" w:firstColumn="1" w:lastColumn="0" w:oddVBand="0" w:evenVBand="0" w:oddHBand="0" w:evenHBand="0" w:firstRowFirstColumn="0" w:firstRowLastColumn="0" w:lastRowFirstColumn="0" w:lastRowLastColumn="0"/>
            <w:tcW w:w="567" w:type="dxa"/>
          </w:tcPr>
          <w:p w14:paraId="69E6416E" w14:textId="459D8C45" w:rsidR="00B808A8" w:rsidRPr="00D0129E" w:rsidRDefault="007818EF" w:rsidP="00CC3881">
            <w:pPr>
              <w:pStyle w:val="TableNText"/>
            </w:pPr>
            <w:r>
              <w:t>13</w:t>
            </w:r>
          </w:p>
        </w:tc>
        <w:tc>
          <w:tcPr>
            <w:tcW w:w="1828" w:type="dxa"/>
          </w:tcPr>
          <w:p w14:paraId="4169198C" w14:textId="54884B29" w:rsidR="00B808A8" w:rsidRPr="00D0129E" w:rsidRDefault="0070101E" w:rsidP="00CC3881">
            <w:pPr>
              <w:pStyle w:val="TableNText"/>
              <w:cnfStyle w:val="000000000000" w:firstRow="0" w:lastRow="0" w:firstColumn="0" w:lastColumn="0" w:oddVBand="0" w:evenVBand="0" w:oddHBand="0" w:evenHBand="0" w:firstRowFirstColumn="0" w:firstRowLastColumn="0" w:lastRowFirstColumn="0" w:lastRowLastColumn="0"/>
            </w:pPr>
            <w:r>
              <w:t>Increase in</w:t>
            </w:r>
            <w:r w:rsidR="004304E4">
              <w:t xml:space="preserve"> </w:t>
            </w:r>
            <w:r>
              <w:t>awareness and ability for bereaved women and families</w:t>
            </w:r>
            <w:r w:rsidR="004304E4">
              <w:t xml:space="preserve"> to access</w:t>
            </w:r>
            <w:r>
              <w:t xml:space="preserve"> </w:t>
            </w:r>
            <w:r w:rsidR="00B808A8" w:rsidRPr="00D0129E">
              <w:t>bereavement care (overall and in target cohorts).</w:t>
            </w:r>
          </w:p>
        </w:tc>
        <w:tc>
          <w:tcPr>
            <w:tcW w:w="4678" w:type="dxa"/>
          </w:tcPr>
          <w:p w14:paraId="5BF41C5E" w14:textId="77777777" w:rsidR="00B808A8" w:rsidRDefault="00EA253E" w:rsidP="00CC3881">
            <w:pPr>
              <w:pStyle w:val="TableNText"/>
              <w:cnfStyle w:val="000000000000" w:firstRow="0" w:lastRow="0" w:firstColumn="0" w:lastColumn="0" w:oddVBand="0" w:evenVBand="0" w:oddHBand="0" w:evenHBand="0" w:firstRowFirstColumn="0" w:firstRowLastColumn="0" w:lastRowFirstColumn="0" w:lastRowLastColumn="0"/>
            </w:pPr>
            <w:r w:rsidRPr="00D0129E">
              <w:t>Bereavement care is an overarching goal and priority area of the Plan.</w:t>
            </w:r>
          </w:p>
          <w:p w14:paraId="6816E201" w14:textId="77259D57" w:rsidR="005A6CEF" w:rsidRDefault="00B97D92" w:rsidP="00CC3881">
            <w:pPr>
              <w:pStyle w:val="TableNText"/>
              <w:cnfStyle w:val="000000000000" w:firstRow="0" w:lastRow="0" w:firstColumn="0" w:lastColumn="0" w:oddVBand="0" w:evenVBand="0" w:oddHBand="0" w:evenHBand="0" w:firstRowFirstColumn="0" w:firstRowLastColumn="0" w:lastRowFirstColumn="0" w:lastRowLastColumn="0"/>
            </w:pPr>
            <w:r>
              <w:t xml:space="preserve">Bereavement care can be provided by a range of services </w:t>
            </w:r>
            <w:r w:rsidRPr="00D0129E">
              <w:t xml:space="preserve">including a hospital, GP, psychologist, </w:t>
            </w:r>
            <w:proofErr w:type="gramStart"/>
            <w:r w:rsidRPr="00D0129E">
              <w:t>psychiatrist</w:t>
            </w:r>
            <w:proofErr w:type="gramEnd"/>
            <w:r w:rsidRPr="00D0129E">
              <w:t xml:space="preserve"> or NGO</w:t>
            </w:r>
            <w:r>
              <w:t>.</w:t>
            </w:r>
            <w:r w:rsidR="00C4105F">
              <w:t xml:space="preserve"> While </w:t>
            </w:r>
            <w:r w:rsidR="00A1423E">
              <w:t xml:space="preserve">specialised bereavement care or general services which also provide bereavement care may exist, women and families who experience stillbirth </w:t>
            </w:r>
            <w:r w:rsidR="008D5178">
              <w:t>may be unaware of</w:t>
            </w:r>
            <w:r w:rsidR="00160287">
              <w:t xml:space="preserve"> or unable to access</w:t>
            </w:r>
            <w:r w:rsidR="008D5178">
              <w:t xml:space="preserve"> these services</w:t>
            </w:r>
            <w:r w:rsidR="00A55E4F">
              <w:t>.</w:t>
            </w:r>
          </w:p>
          <w:p w14:paraId="19D31FEA" w14:textId="7CD88540" w:rsidR="00B808A8" w:rsidRPr="00D0129E" w:rsidRDefault="00A55E4F" w:rsidP="00CC3881">
            <w:pPr>
              <w:pStyle w:val="TableNText"/>
              <w:cnfStyle w:val="000000000000" w:firstRow="0" w:lastRow="0" w:firstColumn="0" w:lastColumn="0" w:oddVBand="0" w:evenVBand="0" w:oddHBand="0" w:evenHBand="0" w:firstRowFirstColumn="0" w:firstRowLastColumn="0" w:lastRowFirstColumn="0" w:lastRowLastColumn="0"/>
            </w:pPr>
            <w:r>
              <w:t xml:space="preserve">This indicator focuses on assessing </w:t>
            </w:r>
            <w:r w:rsidR="00160287">
              <w:t xml:space="preserve">whether women and families are aware of </w:t>
            </w:r>
            <w:r w:rsidR="00E454E5">
              <w:t>(</w:t>
            </w:r>
            <w:proofErr w:type="gramStart"/>
            <w:r w:rsidR="00E454E5">
              <w:t>e.g.</w:t>
            </w:r>
            <w:proofErr w:type="gramEnd"/>
            <w:r w:rsidR="00E454E5">
              <w:t xml:space="preserve"> through a referral or info</w:t>
            </w:r>
            <w:r w:rsidR="00F25981">
              <w:t>rmation provided</w:t>
            </w:r>
            <w:r w:rsidR="00B00917">
              <w:t xml:space="preserve"> by a hospital) and able to acce</w:t>
            </w:r>
            <w:r w:rsidR="00611550">
              <w:t>ss</w:t>
            </w:r>
            <w:r w:rsidR="00A2253C">
              <w:t xml:space="preserve"> </w:t>
            </w:r>
            <w:r w:rsidR="002A0ED1">
              <w:t xml:space="preserve">(e.g. </w:t>
            </w:r>
            <w:r w:rsidR="00183690">
              <w:t>based on location) bereavement care services.</w:t>
            </w:r>
          </w:p>
        </w:tc>
        <w:tc>
          <w:tcPr>
            <w:tcW w:w="4252" w:type="dxa"/>
          </w:tcPr>
          <w:p w14:paraId="6F098764" w14:textId="33557F49" w:rsidR="00B808A8" w:rsidRPr="00D0129E" w:rsidRDefault="007578AB" w:rsidP="00CC3881">
            <w:pPr>
              <w:pStyle w:val="TableNText"/>
              <w:cnfStyle w:val="000000000000" w:firstRow="0" w:lastRow="0" w:firstColumn="0" w:lastColumn="0" w:oddVBand="0" w:evenVBand="0" w:oddHBand="0" w:evenHBand="0" w:firstRowFirstColumn="0" w:firstRowLastColumn="0" w:lastRowFirstColumn="0" w:lastRowLastColumn="0"/>
            </w:pPr>
            <w:r w:rsidRPr="00D0129E">
              <w:t>There is limited data collected on bereavement care services, particularly as care following a stillbirth may be provided by a range of services</w:t>
            </w:r>
            <w:r w:rsidR="00105934" w:rsidRPr="00D0129E">
              <w:t>.</w:t>
            </w:r>
          </w:p>
          <w:p w14:paraId="37CDE56E" w14:textId="3C1924F3" w:rsidR="00B808A8" w:rsidRPr="00D0129E" w:rsidRDefault="004A01AA" w:rsidP="00CC3881">
            <w:pPr>
              <w:pStyle w:val="TableNText"/>
              <w:cnfStyle w:val="000000000000" w:firstRow="0" w:lastRow="0" w:firstColumn="0" w:lastColumn="0" w:oddVBand="0" w:evenVBand="0" w:oddHBand="0" w:evenHBand="0" w:firstRowFirstColumn="0" w:firstRowLastColumn="0" w:lastRowFirstColumn="0" w:lastRowLastColumn="0"/>
            </w:pPr>
            <w:r w:rsidRPr="00D0129E">
              <w:t>It may also be difficult to get sufficient information on bereavement services to disaggregate by the target cohorts.</w:t>
            </w:r>
          </w:p>
        </w:tc>
        <w:tc>
          <w:tcPr>
            <w:tcW w:w="2395" w:type="dxa"/>
          </w:tcPr>
          <w:p w14:paraId="110404C8" w14:textId="4765FF36" w:rsidR="00B808A8" w:rsidRPr="00D0129E" w:rsidRDefault="00693919" w:rsidP="00CC3881">
            <w:pPr>
              <w:pStyle w:val="TableNText"/>
              <w:cnfStyle w:val="000000000000" w:firstRow="0" w:lastRow="0" w:firstColumn="0" w:lastColumn="0" w:oddVBand="0" w:evenVBand="0" w:oddHBand="0" w:evenHBand="0" w:firstRowFirstColumn="0" w:firstRowLastColumn="0" w:lastRowFirstColumn="0" w:lastRowLastColumn="0"/>
            </w:pPr>
            <w:r w:rsidRPr="00D0129E">
              <w:t>Existing dataset</w:t>
            </w:r>
            <w:r w:rsidR="009F7621" w:rsidRPr="00D0129E">
              <w:t>s</w:t>
            </w:r>
            <w:r w:rsidR="00D31752" w:rsidRPr="00D0129E">
              <w:t xml:space="preserve"> – Red Nose survey </w:t>
            </w:r>
          </w:p>
          <w:p w14:paraId="641B230A" w14:textId="7658F9DF" w:rsidR="00A059F8" w:rsidRPr="00D0129E" w:rsidRDefault="00CA4F6C" w:rsidP="00CC3881">
            <w:pPr>
              <w:pStyle w:val="TableNText"/>
              <w:cnfStyle w:val="000000000000" w:firstRow="0" w:lastRow="0" w:firstColumn="0" w:lastColumn="0" w:oddVBand="0" w:evenVBand="0" w:oddHBand="0" w:evenHBand="0" w:firstRowFirstColumn="0" w:firstRowLastColumn="0" w:lastRowFirstColumn="0" w:lastRowLastColumn="0"/>
            </w:pPr>
            <w:r w:rsidRPr="00872ABE">
              <w:t xml:space="preserve">Annual </w:t>
            </w:r>
            <w:r w:rsidR="00EA253E" w:rsidRPr="00872ABE">
              <w:t>Implementers’ Progress Update</w:t>
            </w:r>
            <w:r w:rsidR="00D31752" w:rsidRPr="00872ABE">
              <w:t xml:space="preserve"> and c</w:t>
            </w:r>
            <w:r w:rsidR="00A059F8" w:rsidRPr="00872ABE">
              <w:t>onsultations</w:t>
            </w:r>
            <w:r w:rsidR="00FF00EF" w:rsidRPr="00872ABE">
              <w:t>.</w:t>
            </w:r>
          </w:p>
        </w:tc>
      </w:tr>
      <w:tr w:rsidR="005E39FC" w14:paraId="78C30C51" w14:textId="13605EBE" w:rsidTr="00CC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0" w:type="dxa"/>
            <w:gridSpan w:val="5"/>
            <w:shd w:val="clear" w:color="auto" w:fill="1E1545" w:themeFill="text1"/>
          </w:tcPr>
          <w:p w14:paraId="731F59EA" w14:textId="646EE401" w:rsidR="005E39FC" w:rsidRPr="00EA3124" w:rsidRDefault="005E39FC" w:rsidP="00CC3881">
            <w:pPr>
              <w:pStyle w:val="TableNheader"/>
              <w:rPr>
                <w:b/>
                <w:bCs w:val="0"/>
              </w:rPr>
            </w:pPr>
            <w:r w:rsidRPr="00EA3124">
              <w:rPr>
                <w:b/>
              </w:rPr>
              <w:t>Priority 4: Improving stillbirth reporting and data collection</w:t>
            </w:r>
          </w:p>
        </w:tc>
      </w:tr>
      <w:tr w:rsidR="00B808A8" w14:paraId="36E9AF74" w14:textId="5443BC0B" w:rsidTr="00CC3881">
        <w:tc>
          <w:tcPr>
            <w:cnfStyle w:val="001000000000" w:firstRow="0" w:lastRow="0" w:firstColumn="1" w:lastColumn="0" w:oddVBand="0" w:evenVBand="0" w:oddHBand="0" w:evenHBand="0" w:firstRowFirstColumn="0" w:firstRowLastColumn="0" w:lastRowFirstColumn="0" w:lastRowLastColumn="0"/>
            <w:tcW w:w="567" w:type="dxa"/>
          </w:tcPr>
          <w:p w14:paraId="6DBC6D91" w14:textId="2E44579C" w:rsidR="00B808A8" w:rsidRPr="00D0129E" w:rsidRDefault="007818EF" w:rsidP="00CC3881">
            <w:pPr>
              <w:pStyle w:val="TableNText"/>
            </w:pPr>
            <w:r>
              <w:t>14</w:t>
            </w:r>
          </w:p>
        </w:tc>
        <w:tc>
          <w:tcPr>
            <w:tcW w:w="1828" w:type="dxa"/>
          </w:tcPr>
          <w:p w14:paraId="70C4547A" w14:textId="45A57EEF" w:rsidR="00B808A8" w:rsidRPr="00D0129E" w:rsidRDefault="00C2584C" w:rsidP="00CC3881">
            <w:pPr>
              <w:pStyle w:val="TableNText"/>
              <w:cnfStyle w:val="000000000000" w:firstRow="0" w:lastRow="0" w:firstColumn="0" w:lastColumn="0" w:oddVBand="0" w:evenVBand="0" w:oddHBand="0" w:evenHBand="0" w:firstRowFirstColumn="0" w:firstRowLastColumn="0" w:lastRowFirstColumn="0" w:lastRowLastColumn="0"/>
            </w:pPr>
            <w:r w:rsidRPr="00D0129E">
              <w:rPr>
                <w:rFonts w:eastAsia="Segoe UI"/>
                <w:color w:val="000000"/>
                <w:kern w:val="24"/>
              </w:rPr>
              <w:t xml:space="preserve">Increase in the proportion of women and/or </w:t>
            </w:r>
            <w:r w:rsidRPr="00D0129E">
              <w:rPr>
                <w:rFonts w:eastAsia="Segoe UI"/>
                <w:color w:val="000000"/>
                <w:kern w:val="24"/>
              </w:rPr>
              <w:lastRenderedPageBreak/>
              <w:t>families who are offered a stillbirth investigation</w:t>
            </w:r>
            <w:r w:rsidRPr="00D0129E">
              <w:rPr>
                <w:rStyle w:val="FootnoteReference"/>
                <w:rFonts w:ascii="Arial" w:eastAsia="Segoe UI" w:hAnsi="Arial" w:cs="Arial"/>
                <w:color w:val="000000"/>
                <w:kern w:val="24"/>
                <w:sz w:val="17"/>
                <w:szCs w:val="17"/>
              </w:rPr>
              <w:footnoteReference w:id="31"/>
            </w:r>
            <w:r w:rsidRPr="00D0129E">
              <w:rPr>
                <w:rFonts w:eastAsia="Segoe UI"/>
                <w:color w:val="000000"/>
                <w:kern w:val="24"/>
              </w:rPr>
              <w:t>.</w:t>
            </w:r>
          </w:p>
        </w:tc>
        <w:tc>
          <w:tcPr>
            <w:tcW w:w="4678" w:type="dxa"/>
          </w:tcPr>
          <w:p w14:paraId="3C2E984B" w14:textId="1C09B04D" w:rsidR="00C2584C" w:rsidRPr="00D0129E" w:rsidRDefault="00C2584C" w:rsidP="00CC3881">
            <w:pPr>
              <w:pStyle w:val="TableNText"/>
              <w:cnfStyle w:val="000000000000" w:firstRow="0" w:lastRow="0" w:firstColumn="0" w:lastColumn="0" w:oddVBand="0" w:evenVBand="0" w:oddHBand="0" w:evenHBand="0" w:firstRowFirstColumn="0" w:firstRowLastColumn="0" w:lastRowFirstColumn="0" w:lastRowLastColumn="0"/>
              <w:rPr>
                <w:rFonts w:eastAsia="Segoe UI"/>
                <w:color w:val="000000"/>
                <w:kern w:val="24"/>
              </w:rPr>
            </w:pPr>
            <w:r w:rsidRPr="00D0129E">
              <w:rPr>
                <w:rFonts w:eastAsia="Segoe UI"/>
                <w:color w:val="000000"/>
                <w:kern w:val="24"/>
              </w:rPr>
              <w:lastRenderedPageBreak/>
              <w:t>The proportion of women who have a stillbirth who have been offered an investigation will provide an indication</w:t>
            </w:r>
            <w:r w:rsidR="008113B3">
              <w:rPr>
                <w:rFonts w:eastAsia="Segoe UI"/>
                <w:color w:val="000000"/>
                <w:kern w:val="24"/>
              </w:rPr>
              <w:t xml:space="preserve"> </w:t>
            </w:r>
            <w:r w:rsidRPr="00D0129E" w:rsidDel="008113B3">
              <w:rPr>
                <w:rFonts w:eastAsia="Segoe UI"/>
                <w:color w:val="000000"/>
                <w:kern w:val="24"/>
              </w:rPr>
              <w:t xml:space="preserve">of the awareness of women </w:t>
            </w:r>
            <w:r w:rsidRPr="00D0129E" w:rsidDel="008113B3">
              <w:rPr>
                <w:rFonts w:eastAsia="Segoe UI"/>
                <w:color w:val="000000"/>
                <w:kern w:val="24"/>
              </w:rPr>
              <w:lastRenderedPageBreak/>
              <w:t>and families regarding the investigation process and the availability of stillbirth investigations.</w:t>
            </w:r>
          </w:p>
          <w:p w14:paraId="7EC54FE3" w14:textId="2A8C1943" w:rsidR="00B808A8" w:rsidRPr="00D0129E" w:rsidRDefault="004F4479" w:rsidP="00CC3881">
            <w:pPr>
              <w:pStyle w:val="TableNText"/>
              <w:cnfStyle w:val="000000000000" w:firstRow="0" w:lastRow="0" w:firstColumn="0" w:lastColumn="0" w:oddVBand="0" w:evenVBand="0" w:oddHBand="0" w:evenHBand="0" w:firstRowFirstColumn="0" w:firstRowLastColumn="0" w:lastRowFirstColumn="0" w:lastRowLastColumn="0"/>
            </w:pPr>
            <w:r w:rsidRPr="00D0129E" w:rsidDel="00FC3719">
              <w:rPr>
                <w:rFonts w:eastAsia="Segoe UI"/>
                <w:color w:val="000000"/>
                <w:kern w:val="24"/>
              </w:rPr>
              <w:t>It is expected that the investigations covered by this indicator may change or expand to include other investigations, such as genomics, over the monitoring and evaluation period. Therefore, this</w:t>
            </w:r>
            <w:r w:rsidR="00FC3719">
              <w:rPr>
                <w:rFonts w:eastAsia="Segoe UI"/>
                <w:color w:val="000000"/>
                <w:kern w:val="24"/>
              </w:rPr>
              <w:t xml:space="preserve"> </w:t>
            </w:r>
            <w:r w:rsidRPr="00D0129E">
              <w:rPr>
                <w:rFonts w:eastAsia="Segoe UI"/>
                <w:color w:val="000000"/>
                <w:kern w:val="24"/>
              </w:rPr>
              <w:t xml:space="preserve">indicator </w:t>
            </w:r>
            <w:r w:rsidRPr="00D0129E" w:rsidDel="00FC3719">
              <w:rPr>
                <w:rFonts w:eastAsia="Segoe UI"/>
                <w:color w:val="000000"/>
                <w:kern w:val="24"/>
              </w:rPr>
              <w:t>was kept</w:t>
            </w:r>
            <w:r w:rsidRPr="00D0129E">
              <w:rPr>
                <w:rFonts w:eastAsia="Segoe UI"/>
                <w:color w:val="000000"/>
                <w:kern w:val="24"/>
              </w:rPr>
              <w:t xml:space="preserve"> broad </w:t>
            </w:r>
            <w:r w:rsidRPr="00D0129E" w:rsidDel="00FC3719">
              <w:rPr>
                <w:rFonts w:eastAsia="Segoe UI"/>
                <w:color w:val="000000"/>
                <w:kern w:val="24"/>
              </w:rPr>
              <w:t>to allow for additional data in the future.</w:t>
            </w:r>
          </w:p>
        </w:tc>
        <w:tc>
          <w:tcPr>
            <w:tcW w:w="4252" w:type="dxa"/>
          </w:tcPr>
          <w:p w14:paraId="0AA5CD5F" w14:textId="77F3C4EB" w:rsidR="0023720D" w:rsidRPr="0023720D" w:rsidRDefault="0023720D" w:rsidP="00CC3881">
            <w:pPr>
              <w:pStyle w:val="TableNText"/>
              <w:cnfStyle w:val="000000000000" w:firstRow="0" w:lastRow="0" w:firstColumn="0" w:lastColumn="0" w:oddVBand="0" w:evenVBand="0" w:oddHBand="0" w:evenHBand="0" w:firstRowFirstColumn="0" w:firstRowLastColumn="0" w:lastRowFirstColumn="0" w:lastRowLastColumn="0"/>
              <w:rPr>
                <w:rFonts w:eastAsia="Segoe UI"/>
                <w:color w:val="000000"/>
                <w:kern w:val="24"/>
              </w:rPr>
            </w:pPr>
            <w:r>
              <w:rPr>
                <w:rFonts w:eastAsia="Segoe UI"/>
                <w:color w:val="000000"/>
                <w:kern w:val="24"/>
              </w:rPr>
              <w:lastRenderedPageBreak/>
              <w:t xml:space="preserve">The Stillbirth CRE Perinatal Mortality Survey will be used to build a baseline assessment for this indicator. However, as this survey </w:t>
            </w:r>
            <w:r w:rsidR="00E91D91">
              <w:rPr>
                <w:rFonts w:eastAsia="Segoe UI"/>
                <w:color w:val="000000"/>
                <w:kern w:val="24"/>
              </w:rPr>
              <w:t xml:space="preserve">is a </w:t>
            </w:r>
            <w:r w:rsidR="00E91D91">
              <w:rPr>
                <w:rFonts w:eastAsia="Segoe UI"/>
                <w:color w:val="000000"/>
                <w:kern w:val="24"/>
              </w:rPr>
              <w:lastRenderedPageBreak/>
              <w:t xml:space="preserve">once-off </w:t>
            </w:r>
            <w:r w:rsidR="009A31A1">
              <w:rPr>
                <w:rFonts w:eastAsia="Segoe UI"/>
                <w:color w:val="000000"/>
                <w:kern w:val="24"/>
              </w:rPr>
              <w:t>survey</w:t>
            </w:r>
            <w:r>
              <w:rPr>
                <w:rFonts w:eastAsia="Segoe UI"/>
                <w:color w:val="000000"/>
                <w:kern w:val="24"/>
              </w:rPr>
              <w:t xml:space="preserve"> there are currently no ongoing data sets available to measure this indicator</w:t>
            </w:r>
            <w:r w:rsidR="00B74AF9">
              <w:rPr>
                <w:rFonts w:eastAsia="Segoe UI"/>
                <w:color w:val="000000"/>
                <w:kern w:val="24"/>
              </w:rPr>
              <w:t>.</w:t>
            </w:r>
            <w:r w:rsidR="00B74AF9" w:rsidRPr="0023720D">
              <w:rPr>
                <w:rFonts w:eastAsia="Segoe UI"/>
                <w:color w:val="000000"/>
                <w:kern w:val="24"/>
              </w:rPr>
              <w:t xml:space="preserve"> </w:t>
            </w:r>
          </w:p>
          <w:p w14:paraId="3D65AF80" w14:textId="657312D1" w:rsidR="005438F0" w:rsidRPr="00D0129E" w:rsidRDefault="005438F0" w:rsidP="00CC3881">
            <w:pPr>
              <w:pStyle w:val="TableNText"/>
              <w:cnfStyle w:val="000000000000" w:firstRow="0" w:lastRow="0" w:firstColumn="0" w:lastColumn="0" w:oddVBand="0" w:evenVBand="0" w:oddHBand="0" w:evenHBand="0" w:firstRowFirstColumn="0" w:firstRowLastColumn="0" w:lastRowFirstColumn="0" w:lastRowLastColumn="0"/>
              <w:rPr>
                <w:rFonts w:eastAsia="Segoe UI"/>
                <w:color w:val="000000"/>
                <w:kern w:val="24"/>
              </w:rPr>
            </w:pPr>
            <w:r w:rsidRPr="00D0129E">
              <w:rPr>
                <w:rFonts w:eastAsia="Segoe UI"/>
                <w:color w:val="000000"/>
                <w:kern w:val="24"/>
              </w:rPr>
              <w:t xml:space="preserve">Data is currently not directly collected on the </w:t>
            </w:r>
            <w:r w:rsidR="00C6463D" w:rsidRPr="00D0129E">
              <w:rPr>
                <w:rFonts w:eastAsia="Segoe UI"/>
                <w:color w:val="000000"/>
                <w:kern w:val="24"/>
              </w:rPr>
              <w:t>offering of stillbirth investigations.</w:t>
            </w:r>
          </w:p>
          <w:p w14:paraId="0CC67839" w14:textId="3802C6A7" w:rsidR="00C2584C" w:rsidRPr="00D0129E" w:rsidRDefault="00C2584C" w:rsidP="00CC3881">
            <w:pPr>
              <w:pStyle w:val="TableNText"/>
              <w:cnfStyle w:val="000000000000" w:firstRow="0" w:lastRow="0" w:firstColumn="0" w:lastColumn="0" w:oddVBand="0" w:evenVBand="0" w:oddHBand="0" w:evenHBand="0" w:firstRowFirstColumn="0" w:firstRowLastColumn="0" w:lastRowFirstColumn="0" w:lastRowLastColumn="0"/>
              <w:rPr>
                <w:rFonts w:eastAsia="Segoe UI"/>
                <w:color w:val="000000"/>
                <w:kern w:val="24"/>
              </w:rPr>
            </w:pPr>
            <w:r w:rsidRPr="00D0129E">
              <w:rPr>
                <w:rFonts w:eastAsia="Segoe UI"/>
                <w:color w:val="000000"/>
                <w:kern w:val="24"/>
              </w:rPr>
              <w:t xml:space="preserve">Data is collected by jurisdictions and specific types of investigations offered may vary. </w:t>
            </w:r>
          </w:p>
          <w:p w14:paraId="0776B2C5" w14:textId="1F7143E2" w:rsidR="00B808A8" w:rsidRPr="00D0129E" w:rsidRDefault="00C2584C" w:rsidP="00CC3881">
            <w:pPr>
              <w:pStyle w:val="TableNText"/>
              <w:cnfStyle w:val="000000000000" w:firstRow="0" w:lastRow="0" w:firstColumn="0" w:lastColumn="0" w:oddVBand="0" w:evenVBand="0" w:oddHBand="0" w:evenHBand="0" w:firstRowFirstColumn="0" w:firstRowLastColumn="0" w:lastRowFirstColumn="0" w:lastRowLastColumn="0"/>
            </w:pPr>
            <w:r w:rsidRPr="00D0129E">
              <w:rPr>
                <w:rFonts w:eastAsia="Segoe UI"/>
                <w:color w:val="000000"/>
                <w:kern w:val="24"/>
              </w:rPr>
              <w:t xml:space="preserve">The proportion of investigations offered would not cover </w:t>
            </w:r>
            <w:r w:rsidR="008709D7" w:rsidRPr="00D0129E">
              <w:rPr>
                <w:rFonts w:eastAsia="Segoe UI"/>
                <w:color w:val="000000"/>
                <w:kern w:val="24"/>
              </w:rPr>
              <w:t>how</w:t>
            </w:r>
            <w:r w:rsidRPr="00D0129E">
              <w:rPr>
                <w:rFonts w:eastAsia="Segoe UI"/>
                <w:color w:val="000000"/>
                <w:kern w:val="24"/>
              </w:rPr>
              <w:t xml:space="preserve"> they were offered nor the appropriateness of the approach. The proportion of women and families who consent to investigations, including by different cohorts, can be combined with this indicator to indirectly assess this aspect.</w:t>
            </w:r>
          </w:p>
        </w:tc>
        <w:tc>
          <w:tcPr>
            <w:tcW w:w="2395" w:type="dxa"/>
          </w:tcPr>
          <w:p w14:paraId="1F4C5FBF" w14:textId="41E488BC" w:rsidR="00754FAF" w:rsidRPr="00D0129E" w:rsidRDefault="00632D82" w:rsidP="00CC3881">
            <w:pPr>
              <w:pStyle w:val="TableNText"/>
              <w:cnfStyle w:val="000000000000" w:firstRow="0" w:lastRow="0" w:firstColumn="0" w:lastColumn="0" w:oddVBand="0" w:evenVBand="0" w:oddHBand="0" w:evenHBand="0" w:firstRowFirstColumn="0" w:firstRowLastColumn="0" w:lastRowFirstColumn="0" w:lastRowLastColumn="0"/>
              <w:rPr>
                <w:rFonts w:eastAsia="Segoe UI"/>
                <w:color w:val="000000"/>
                <w:kern w:val="24"/>
              </w:rPr>
            </w:pPr>
            <w:r w:rsidRPr="00D0129E">
              <w:rPr>
                <w:rFonts w:eastAsia="Segoe UI"/>
                <w:color w:val="000000"/>
                <w:kern w:val="24"/>
              </w:rPr>
              <w:lastRenderedPageBreak/>
              <w:t>Stillbirth CRE Perinatal Mortality Survey</w:t>
            </w:r>
            <w:r w:rsidR="00FF00EF">
              <w:rPr>
                <w:rFonts w:eastAsia="Segoe UI"/>
                <w:color w:val="000000"/>
                <w:kern w:val="24"/>
              </w:rPr>
              <w:t>.</w:t>
            </w:r>
          </w:p>
          <w:p w14:paraId="4591DC9E" w14:textId="550912F0" w:rsidR="00B808A8" w:rsidRPr="00D0129E" w:rsidRDefault="00754FAF" w:rsidP="00CC3881">
            <w:pPr>
              <w:pStyle w:val="TableNText"/>
              <w:cnfStyle w:val="000000000000" w:firstRow="0" w:lastRow="0" w:firstColumn="0" w:lastColumn="0" w:oddVBand="0" w:evenVBand="0" w:oddHBand="0" w:evenHBand="0" w:firstRowFirstColumn="0" w:firstRowLastColumn="0" w:lastRowFirstColumn="0" w:lastRowLastColumn="0"/>
            </w:pPr>
            <w:r w:rsidRPr="00D0129E">
              <w:rPr>
                <w:rFonts w:eastAsia="Segoe UI"/>
                <w:color w:val="000000"/>
                <w:kern w:val="24"/>
              </w:rPr>
              <w:lastRenderedPageBreak/>
              <w:t>Consultations with jurisdictions</w:t>
            </w:r>
            <w:r w:rsidR="001D570A" w:rsidRPr="00D0129E">
              <w:rPr>
                <w:rFonts w:eastAsia="Segoe UI"/>
                <w:color w:val="000000"/>
                <w:kern w:val="24"/>
              </w:rPr>
              <w:t xml:space="preserve"> and Stillbirth CRE</w:t>
            </w:r>
            <w:r w:rsidR="00FF00EF">
              <w:rPr>
                <w:rFonts w:eastAsia="Segoe UI"/>
                <w:color w:val="000000"/>
                <w:kern w:val="24"/>
              </w:rPr>
              <w:t>.</w:t>
            </w:r>
          </w:p>
        </w:tc>
      </w:tr>
      <w:tr w:rsidR="00C2584C" w14:paraId="163808BE" w14:textId="77777777" w:rsidTr="00CC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B0F1425" w14:textId="56C2AD92" w:rsidR="00C2584C" w:rsidRPr="00D0129E" w:rsidRDefault="007818EF" w:rsidP="00CC3881">
            <w:pPr>
              <w:pStyle w:val="TableNText"/>
            </w:pPr>
            <w:r>
              <w:lastRenderedPageBreak/>
              <w:t>15</w:t>
            </w:r>
          </w:p>
        </w:tc>
        <w:tc>
          <w:tcPr>
            <w:tcW w:w="1828" w:type="dxa"/>
          </w:tcPr>
          <w:p w14:paraId="0C84BE6A" w14:textId="52BE5541" w:rsidR="00C2584C" w:rsidRPr="00D0129E" w:rsidRDefault="00C2584C" w:rsidP="00CC3881">
            <w:pPr>
              <w:pStyle w:val="TableNText"/>
              <w:cnfStyle w:val="000000100000" w:firstRow="0" w:lastRow="0" w:firstColumn="0" w:lastColumn="0" w:oddVBand="0" w:evenVBand="0" w:oddHBand="1" w:evenHBand="0" w:firstRowFirstColumn="0" w:firstRowLastColumn="0" w:lastRowFirstColumn="0" w:lastRowLastColumn="0"/>
            </w:pPr>
            <w:r w:rsidRPr="00D0129E">
              <w:rPr>
                <w:rFonts w:eastAsia="Segoe UI"/>
                <w:color w:val="000000"/>
                <w:kern w:val="24"/>
              </w:rPr>
              <w:t>Increase in the proportion of women and/or families who consent to a stillbirth investigation</w:t>
            </w:r>
            <w:r w:rsidRPr="00D0129E">
              <w:rPr>
                <w:rStyle w:val="FootnoteReference"/>
                <w:rFonts w:ascii="Arial" w:eastAsia="Segoe UI" w:hAnsi="Arial" w:cs="Arial"/>
                <w:color w:val="000000"/>
                <w:kern w:val="24"/>
                <w:sz w:val="17"/>
                <w:szCs w:val="17"/>
              </w:rPr>
              <w:footnoteReference w:id="32"/>
            </w:r>
            <w:r w:rsidRPr="00D0129E">
              <w:rPr>
                <w:rFonts w:eastAsia="Segoe UI"/>
                <w:color w:val="000000"/>
                <w:kern w:val="24"/>
              </w:rPr>
              <w:t>.</w:t>
            </w:r>
          </w:p>
        </w:tc>
        <w:tc>
          <w:tcPr>
            <w:tcW w:w="4678" w:type="dxa"/>
          </w:tcPr>
          <w:p w14:paraId="6C0B9EF3" w14:textId="77777777" w:rsidR="00C2584C" w:rsidRPr="00D0129E" w:rsidRDefault="00C2584C" w:rsidP="00CC3881">
            <w:pPr>
              <w:pStyle w:val="TableNText"/>
              <w:cnfStyle w:val="000000100000" w:firstRow="0" w:lastRow="0" w:firstColumn="0" w:lastColumn="0" w:oddVBand="0" w:evenVBand="0" w:oddHBand="1" w:evenHBand="0" w:firstRowFirstColumn="0" w:firstRowLastColumn="0" w:lastRowFirstColumn="0" w:lastRowLastColumn="0"/>
              <w:rPr>
                <w:rFonts w:eastAsia="Segoe UI"/>
                <w:color w:val="000000"/>
                <w:kern w:val="24"/>
              </w:rPr>
            </w:pPr>
            <w:r w:rsidRPr="00D0129E">
              <w:rPr>
                <w:rFonts w:eastAsia="Segoe UI"/>
                <w:color w:val="000000"/>
                <w:kern w:val="24"/>
              </w:rPr>
              <w:t>The proportion of women who have been offered a stillbirth investigation who consent to it will provide an indication of the ability of health professionals in discussing available options and benefits sensitively and respectfully.</w:t>
            </w:r>
          </w:p>
          <w:p w14:paraId="620CDE0B" w14:textId="16440F55" w:rsidR="004F4479" w:rsidRPr="00D0129E" w:rsidRDefault="004F4479" w:rsidP="00CC3881">
            <w:pPr>
              <w:pStyle w:val="TableNText"/>
              <w:cnfStyle w:val="000000100000" w:firstRow="0" w:lastRow="0" w:firstColumn="0" w:lastColumn="0" w:oddVBand="0" w:evenVBand="0" w:oddHBand="1" w:evenHBand="0" w:firstRowFirstColumn="0" w:firstRowLastColumn="0" w:lastRowFirstColumn="0" w:lastRowLastColumn="0"/>
              <w:rPr>
                <w:rFonts w:eastAsia="Segoe UI"/>
                <w:color w:val="000000"/>
                <w:kern w:val="24"/>
              </w:rPr>
            </w:pPr>
            <w:r w:rsidRPr="00D0129E">
              <w:rPr>
                <w:rFonts w:eastAsia="Segoe UI"/>
                <w:color w:val="000000"/>
                <w:kern w:val="24"/>
              </w:rPr>
              <w:t xml:space="preserve">It is expected that the investigations covered by this indicator may change or expand to include </w:t>
            </w:r>
            <w:r w:rsidRPr="00D0129E">
              <w:rPr>
                <w:rFonts w:eastAsia="Segoe UI"/>
                <w:color w:val="000000"/>
                <w:kern w:val="24"/>
              </w:rPr>
              <w:lastRenderedPageBreak/>
              <w:t xml:space="preserve">other investigations, such as genomics, over the monitoring and evaluation period. </w:t>
            </w:r>
            <w:r w:rsidR="00873D77">
              <w:rPr>
                <w:rFonts w:eastAsia="Segoe UI"/>
                <w:color w:val="000000"/>
                <w:kern w:val="24"/>
              </w:rPr>
              <w:t>T</w:t>
            </w:r>
            <w:r w:rsidRPr="00D0129E">
              <w:rPr>
                <w:rFonts w:eastAsia="Segoe UI"/>
                <w:color w:val="000000"/>
                <w:kern w:val="24"/>
              </w:rPr>
              <w:t>his indicator was kept broad to allow for additional data in the future.</w:t>
            </w:r>
          </w:p>
          <w:p w14:paraId="5B899C6F" w14:textId="76930AFD" w:rsidR="004F4479" w:rsidRPr="00D0129E" w:rsidRDefault="00873D77" w:rsidP="00CC3881">
            <w:pPr>
              <w:pStyle w:val="TableNText"/>
              <w:cnfStyle w:val="000000100000" w:firstRow="0" w:lastRow="0" w:firstColumn="0" w:lastColumn="0" w:oddVBand="0" w:evenVBand="0" w:oddHBand="1" w:evenHBand="0" w:firstRowFirstColumn="0" w:firstRowLastColumn="0" w:lastRowFirstColumn="0" w:lastRowLastColumn="0"/>
              <w:rPr>
                <w:rFonts w:eastAsia="Segoe UI"/>
                <w:color w:val="000000"/>
                <w:kern w:val="24"/>
              </w:rPr>
            </w:pPr>
            <w:r>
              <w:rPr>
                <w:rFonts w:eastAsia="Segoe UI"/>
                <w:color w:val="000000"/>
                <w:kern w:val="24"/>
              </w:rPr>
              <w:t>T</w:t>
            </w:r>
            <w:r w:rsidR="00F8695E" w:rsidRPr="00D0129E">
              <w:rPr>
                <w:rFonts w:eastAsia="Segoe UI"/>
                <w:color w:val="000000"/>
                <w:kern w:val="24"/>
              </w:rPr>
              <w:t>he monitoring and evaluation will consider the proportion of autopsies being undertaken as this investigation requires consent (acknowledging that not all stillbirths require an autopsy</w:t>
            </w:r>
            <w:r w:rsidR="008B52F4" w:rsidRPr="00D0129E">
              <w:rPr>
                <w:rFonts w:eastAsia="Segoe UI"/>
                <w:color w:val="000000"/>
                <w:kern w:val="24"/>
              </w:rPr>
              <w:t>,</w:t>
            </w:r>
            <w:r w:rsidR="00F8695E" w:rsidRPr="00D0129E">
              <w:rPr>
                <w:rFonts w:eastAsia="Segoe UI"/>
                <w:color w:val="000000"/>
                <w:kern w:val="24"/>
              </w:rPr>
              <w:t xml:space="preserve"> so </w:t>
            </w:r>
            <w:r w:rsidR="00781F55" w:rsidRPr="00D0129E">
              <w:rPr>
                <w:rFonts w:eastAsia="Segoe UI"/>
                <w:color w:val="000000"/>
                <w:kern w:val="24"/>
              </w:rPr>
              <w:t xml:space="preserve">it does not account for consent to other investigations). </w:t>
            </w:r>
            <w:r w:rsidR="00E77A2C" w:rsidRPr="00D0129E">
              <w:rPr>
                <w:rFonts w:eastAsia="Segoe UI"/>
                <w:color w:val="000000"/>
                <w:kern w:val="24"/>
              </w:rPr>
              <w:t xml:space="preserve">Consultations with jurisdictions and health professional bodies can also provide a sense of </w:t>
            </w:r>
            <w:r w:rsidR="00842EA4" w:rsidRPr="00D0129E">
              <w:rPr>
                <w:rFonts w:eastAsia="Segoe UI"/>
                <w:color w:val="000000"/>
                <w:kern w:val="24"/>
              </w:rPr>
              <w:t>consent.</w:t>
            </w:r>
          </w:p>
        </w:tc>
        <w:tc>
          <w:tcPr>
            <w:tcW w:w="4252" w:type="dxa"/>
          </w:tcPr>
          <w:p w14:paraId="0830B286" w14:textId="77777777" w:rsidR="00C2584C" w:rsidRPr="00D0129E" w:rsidRDefault="00C2584C" w:rsidP="00CC3881">
            <w:pPr>
              <w:pStyle w:val="TableNText"/>
              <w:cnfStyle w:val="000000100000" w:firstRow="0" w:lastRow="0" w:firstColumn="0" w:lastColumn="0" w:oddVBand="0" w:evenVBand="0" w:oddHBand="1" w:evenHBand="0" w:firstRowFirstColumn="0" w:firstRowLastColumn="0" w:lastRowFirstColumn="0" w:lastRowLastColumn="0"/>
              <w:rPr>
                <w:rFonts w:eastAsia="Segoe UI"/>
                <w:color w:val="000000"/>
                <w:kern w:val="24"/>
              </w:rPr>
            </w:pPr>
            <w:r w:rsidRPr="00D0129E">
              <w:rPr>
                <w:rFonts w:eastAsia="Segoe UI"/>
                <w:color w:val="000000"/>
                <w:kern w:val="24"/>
              </w:rPr>
              <w:lastRenderedPageBreak/>
              <w:t>Data is collected by jurisdictions and specific types of investigations offered may vary.</w:t>
            </w:r>
          </w:p>
          <w:p w14:paraId="208CA138" w14:textId="25A1FC92" w:rsidR="004F4479" w:rsidRPr="00D0129E" w:rsidRDefault="004F4479" w:rsidP="00CC3881">
            <w:pPr>
              <w:pStyle w:val="TableNText"/>
              <w:cnfStyle w:val="000000100000" w:firstRow="0" w:lastRow="0" w:firstColumn="0" w:lastColumn="0" w:oddVBand="0" w:evenVBand="0" w:oddHBand="1" w:evenHBand="0" w:firstRowFirstColumn="0" w:firstRowLastColumn="0" w:lastRowFirstColumn="0" w:lastRowLastColumn="0"/>
              <w:rPr>
                <w:rFonts w:eastAsia="Segoe UI"/>
                <w:color w:val="000000"/>
                <w:kern w:val="24"/>
              </w:rPr>
            </w:pPr>
            <w:r w:rsidRPr="00D0129E">
              <w:rPr>
                <w:rFonts w:eastAsia="Segoe UI"/>
                <w:color w:val="000000"/>
                <w:kern w:val="24"/>
              </w:rPr>
              <w:t>Current data sources only include autopsies and placental histopathology, therefore diagnostic imaging or other investigations will not be considered.</w:t>
            </w:r>
          </w:p>
          <w:p w14:paraId="49432371" w14:textId="03319BA1" w:rsidR="00C2584C" w:rsidRPr="00D0129E" w:rsidRDefault="00C2584C" w:rsidP="00CC3881">
            <w:pPr>
              <w:pStyle w:val="TableNText"/>
              <w:cnfStyle w:val="000000100000" w:firstRow="0" w:lastRow="0" w:firstColumn="0" w:lastColumn="0" w:oddVBand="0" w:evenVBand="0" w:oddHBand="1" w:evenHBand="0" w:firstRowFirstColumn="0" w:firstRowLastColumn="0" w:lastRowFirstColumn="0" w:lastRowLastColumn="0"/>
            </w:pPr>
            <w:r w:rsidRPr="00D0129E">
              <w:rPr>
                <w:rFonts w:eastAsia="Segoe UI"/>
                <w:color w:val="000000"/>
                <w:kern w:val="24"/>
              </w:rPr>
              <w:lastRenderedPageBreak/>
              <w:t>The experience of women and families during and following the investigation would not be covered through this indicator.</w:t>
            </w:r>
          </w:p>
        </w:tc>
        <w:tc>
          <w:tcPr>
            <w:tcW w:w="2395" w:type="dxa"/>
          </w:tcPr>
          <w:p w14:paraId="7E4437AF" w14:textId="63B873E6" w:rsidR="00C2584C" w:rsidRPr="00D0129E" w:rsidRDefault="00C2584C" w:rsidP="00CC3881">
            <w:pPr>
              <w:pStyle w:val="TableNText"/>
              <w:cnfStyle w:val="000000100000" w:firstRow="0" w:lastRow="0" w:firstColumn="0" w:lastColumn="0" w:oddVBand="0" w:evenVBand="0" w:oddHBand="1" w:evenHBand="0" w:firstRowFirstColumn="0" w:firstRowLastColumn="0" w:lastRowFirstColumn="0" w:lastRowLastColumn="0"/>
              <w:rPr>
                <w:rFonts w:eastAsia="Segoe UI"/>
                <w:color w:val="000000"/>
                <w:kern w:val="24"/>
              </w:rPr>
            </w:pPr>
            <w:r w:rsidRPr="00D0129E">
              <w:rPr>
                <w:rFonts w:eastAsia="Segoe UI"/>
                <w:color w:val="000000"/>
                <w:kern w:val="24"/>
              </w:rPr>
              <w:lastRenderedPageBreak/>
              <w:t>Existing datasets</w:t>
            </w:r>
            <w:r w:rsidR="00E6151F" w:rsidRPr="00D0129E">
              <w:rPr>
                <w:rFonts w:eastAsia="Segoe UI"/>
                <w:color w:val="000000"/>
                <w:kern w:val="24"/>
              </w:rPr>
              <w:t xml:space="preserve"> – AIHW N</w:t>
            </w:r>
            <w:r w:rsidR="00197A39">
              <w:rPr>
                <w:rFonts w:eastAsia="Segoe UI"/>
                <w:color w:val="000000"/>
                <w:kern w:val="24"/>
              </w:rPr>
              <w:t xml:space="preserve">ational </w:t>
            </w:r>
            <w:r w:rsidR="00E6151F" w:rsidRPr="00D0129E">
              <w:rPr>
                <w:rFonts w:eastAsia="Segoe UI"/>
                <w:color w:val="000000"/>
                <w:kern w:val="24"/>
              </w:rPr>
              <w:t>P</w:t>
            </w:r>
            <w:r w:rsidR="00197A39">
              <w:rPr>
                <w:rFonts w:eastAsia="Segoe UI"/>
                <w:color w:val="000000"/>
                <w:kern w:val="24"/>
              </w:rPr>
              <w:t xml:space="preserve">erinatal </w:t>
            </w:r>
            <w:r w:rsidR="00E6151F" w:rsidRPr="00D0129E">
              <w:rPr>
                <w:rFonts w:eastAsia="Segoe UI"/>
                <w:color w:val="000000"/>
                <w:kern w:val="24"/>
              </w:rPr>
              <w:t>M</w:t>
            </w:r>
            <w:r w:rsidR="00197A39">
              <w:rPr>
                <w:rFonts w:eastAsia="Segoe UI"/>
                <w:color w:val="000000"/>
                <w:kern w:val="24"/>
              </w:rPr>
              <w:t xml:space="preserve">ortality </w:t>
            </w:r>
            <w:r w:rsidR="00E6151F" w:rsidRPr="00D0129E">
              <w:rPr>
                <w:rFonts w:eastAsia="Segoe UI"/>
                <w:color w:val="000000"/>
                <w:kern w:val="24"/>
              </w:rPr>
              <w:t>D</w:t>
            </w:r>
            <w:r w:rsidR="00197A39">
              <w:rPr>
                <w:rFonts w:eastAsia="Segoe UI"/>
                <w:color w:val="000000"/>
                <w:kern w:val="24"/>
              </w:rPr>
              <w:t xml:space="preserve">ata </w:t>
            </w:r>
            <w:r w:rsidR="00E6151F" w:rsidRPr="00D0129E">
              <w:rPr>
                <w:rFonts w:eastAsia="Segoe UI"/>
                <w:color w:val="000000"/>
                <w:kern w:val="24"/>
              </w:rPr>
              <w:t>C</w:t>
            </w:r>
            <w:r w:rsidR="00197A39">
              <w:rPr>
                <w:rFonts w:eastAsia="Segoe UI"/>
                <w:color w:val="000000"/>
                <w:kern w:val="24"/>
              </w:rPr>
              <w:t>ollection (</w:t>
            </w:r>
            <w:r w:rsidR="00E6151F" w:rsidRPr="00D0129E">
              <w:rPr>
                <w:rFonts w:eastAsia="Segoe UI"/>
                <w:color w:val="000000"/>
                <w:kern w:val="24"/>
              </w:rPr>
              <w:t>NPMDC</w:t>
            </w:r>
            <w:r w:rsidR="00197A39">
              <w:rPr>
                <w:rFonts w:eastAsia="Segoe UI"/>
                <w:color w:val="000000"/>
                <w:kern w:val="24"/>
              </w:rPr>
              <w:t>)</w:t>
            </w:r>
            <w:r w:rsidR="00FF00EF">
              <w:rPr>
                <w:rFonts w:eastAsia="Segoe UI"/>
                <w:color w:val="000000"/>
                <w:kern w:val="24"/>
              </w:rPr>
              <w:t>.</w:t>
            </w:r>
          </w:p>
          <w:p w14:paraId="2FB38D14" w14:textId="3643341E" w:rsidR="00C2584C" w:rsidRPr="00D0129E" w:rsidRDefault="00E6151F" w:rsidP="00CC3881">
            <w:pPr>
              <w:pStyle w:val="TableNText"/>
              <w:cnfStyle w:val="000000100000" w:firstRow="0" w:lastRow="0" w:firstColumn="0" w:lastColumn="0" w:oddVBand="0" w:evenVBand="0" w:oddHBand="1" w:evenHBand="0" w:firstRowFirstColumn="0" w:firstRowLastColumn="0" w:lastRowFirstColumn="0" w:lastRowLastColumn="0"/>
            </w:pPr>
            <w:r w:rsidRPr="00D0129E">
              <w:rPr>
                <w:rFonts w:eastAsia="Segoe UI"/>
                <w:color w:val="000000"/>
                <w:kern w:val="24"/>
              </w:rPr>
              <w:t xml:space="preserve">Consultation with </w:t>
            </w:r>
            <w:r w:rsidR="00986E0C" w:rsidRPr="00D0129E">
              <w:rPr>
                <w:rFonts w:eastAsia="Segoe UI"/>
                <w:color w:val="000000"/>
                <w:kern w:val="24"/>
              </w:rPr>
              <w:t>jurisdictions</w:t>
            </w:r>
            <w:r w:rsidR="0015194A" w:rsidRPr="00D0129E">
              <w:rPr>
                <w:rFonts w:eastAsia="Segoe UI"/>
                <w:color w:val="000000"/>
                <w:kern w:val="24"/>
              </w:rPr>
              <w:t xml:space="preserve"> and health professional bodies</w:t>
            </w:r>
            <w:r w:rsidR="00FF00EF">
              <w:rPr>
                <w:rFonts w:eastAsia="Segoe UI"/>
                <w:color w:val="000000"/>
                <w:kern w:val="24"/>
              </w:rPr>
              <w:t>.</w:t>
            </w:r>
          </w:p>
        </w:tc>
      </w:tr>
      <w:tr w:rsidR="00C2584C" w14:paraId="5A334524" w14:textId="77777777" w:rsidTr="00CC3881">
        <w:tc>
          <w:tcPr>
            <w:cnfStyle w:val="001000000000" w:firstRow="0" w:lastRow="0" w:firstColumn="1" w:lastColumn="0" w:oddVBand="0" w:evenVBand="0" w:oddHBand="0" w:evenHBand="0" w:firstRowFirstColumn="0" w:firstRowLastColumn="0" w:lastRowFirstColumn="0" w:lastRowLastColumn="0"/>
            <w:tcW w:w="567" w:type="dxa"/>
          </w:tcPr>
          <w:p w14:paraId="29DADE69" w14:textId="6B514DB3" w:rsidR="00C2584C" w:rsidRPr="00D0129E" w:rsidRDefault="007818EF" w:rsidP="00CC3881">
            <w:pPr>
              <w:pStyle w:val="TableNText"/>
            </w:pPr>
            <w:r>
              <w:lastRenderedPageBreak/>
              <w:t>16</w:t>
            </w:r>
          </w:p>
        </w:tc>
        <w:tc>
          <w:tcPr>
            <w:tcW w:w="1828" w:type="dxa"/>
          </w:tcPr>
          <w:p w14:paraId="4C932BA6" w14:textId="71DDCE67" w:rsidR="00C2584C" w:rsidRPr="00D0129E" w:rsidRDefault="00C2584C" w:rsidP="00CC3881">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D0129E">
              <w:rPr>
                <w:rFonts w:ascii="Arial" w:hAnsi="Arial" w:cs="Arial"/>
                <w:sz w:val="17"/>
                <w:szCs w:val="17"/>
              </w:rPr>
              <w:t>Decrease in the proportion of stillbirths that are unexplained.</w:t>
            </w:r>
          </w:p>
        </w:tc>
        <w:tc>
          <w:tcPr>
            <w:tcW w:w="4678" w:type="dxa"/>
          </w:tcPr>
          <w:p w14:paraId="654445B1" w14:textId="58A6409A" w:rsidR="00C2584C" w:rsidRPr="00D0129E" w:rsidRDefault="00AE7331" w:rsidP="00CC3881">
            <w:pPr>
              <w:pStyle w:val="TableNText"/>
              <w:cnfStyle w:val="000000000000" w:firstRow="0" w:lastRow="0" w:firstColumn="0" w:lastColumn="0" w:oddVBand="0" w:evenVBand="0" w:oddHBand="0" w:evenHBand="0" w:firstRowFirstColumn="0" w:firstRowLastColumn="0" w:lastRowFirstColumn="0" w:lastRowLastColumn="0"/>
            </w:pPr>
            <w:r w:rsidRPr="00D0129E">
              <w:t>This indicator refers to the proportion of stillbirths that had a</w:t>
            </w:r>
            <w:r w:rsidR="00C2584C" w:rsidRPr="00D0129E">
              <w:t xml:space="preserve"> PSANZ classification of unexplained</w:t>
            </w:r>
            <w:r w:rsidRPr="00D0129E">
              <w:t xml:space="preserve"> cause of death</w:t>
            </w:r>
            <w:r w:rsidR="00C2584C" w:rsidRPr="00D0129E">
              <w:t xml:space="preserve">. </w:t>
            </w:r>
          </w:p>
          <w:p w14:paraId="0732964F" w14:textId="1A0C0914" w:rsidR="00C2584C" w:rsidRPr="00D0129E" w:rsidRDefault="00C2584C" w:rsidP="00CC3881">
            <w:pPr>
              <w:pStyle w:val="TableNText"/>
              <w:cnfStyle w:val="000000000000" w:firstRow="0" w:lastRow="0" w:firstColumn="0" w:lastColumn="0" w:oddVBand="0" w:evenVBand="0" w:oddHBand="0" w:evenHBand="0" w:firstRowFirstColumn="0" w:firstRowLastColumn="0" w:lastRowFirstColumn="0" w:lastRowLastColumn="0"/>
            </w:pPr>
            <w:r w:rsidRPr="00D0129E">
              <w:t>This indicator can support understanding of the adequacy of investigations</w:t>
            </w:r>
            <w:r w:rsidR="006A73A5" w:rsidRPr="00D0129E">
              <w:t>. I</w:t>
            </w:r>
            <w:r w:rsidRPr="00D0129E">
              <w:t>f core investigations and the relevant sequential and/or selective investigation procedures are undertaken</w:t>
            </w:r>
            <w:r w:rsidR="006A73A5" w:rsidRPr="00D0129E">
              <w:t>,</w:t>
            </w:r>
            <w:r w:rsidRPr="00D0129E">
              <w:t xml:space="preserve"> causes and contributory factors to stillbirths are more likely to be identified. </w:t>
            </w:r>
          </w:p>
          <w:p w14:paraId="44FE6069" w14:textId="7978146F" w:rsidR="00C2584C" w:rsidRPr="00D0129E" w:rsidRDefault="00C2584C" w:rsidP="00CC3881">
            <w:pPr>
              <w:pStyle w:val="TableNText"/>
              <w:cnfStyle w:val="000000000000" w:firstRow="0" w:lastRow="0" w:firstColumn="0" w:lastColumn="0" w:oddVBand="0" w:evenVBand="0" w:oddHBand="0" w:evenHBand="0" w:firstRowFirstColumn="0" w:firstRowLastColumn="0" w:lastRowFirstColumn="0" w:lastRowLastColumn="0"/>
            </w:pPr>
            <w:r w:rsidRPr="00D0129E">
              <w:t xml:space="preserve">It is important to note that the rate of unexplained stillbirths will never drop to zero as there are instances where no contributory factor was </w:t>
            </w:r>
            <w:proofErr w:type="gramStart"/>
            <w:r w:rsidRPr="00D0129E">
              <w:t>sufficient enough</w:t>
            </w:r>
            <w:proofErr w:type="gramEnd"/>
            <w:r w:rsidRPr="00D0129E">
              <w:t xml:space="preserve"> to be considered cause of death. However, a downward trend in the rate </w:t>
            </w:r>
            <w:r w:rsidRPr="00D0129E">
              <w:lastRenderedPageBreak/>
              <w:t>may occur if there is an increase in the adequacy</w:t>
            </w:r>
            <w:r w:rsidR="009F0537" w:rsidRPr="00D0129E">
              <w:rPr>
                <w:rStyle w:val="FootnoteReference"/>
                <w:rFonts w:ascii="Arial" w:hAnsi="Arial" w:cs="Arial"/>
                <w:sz w:val="17"/>
                <w:szCs w:val="17"/>
              </w:rPr>
              <w:footnoteReference w:id="33"/>
            </w:r>
            <w:r w:rsidRPr="00D0129E">
              <w:t xml:space="preserve"> of investigations. </w:t>
            </w:r>
          </w:p>
        </w:tc>
        <w:tc>
          <w:tcPr>
            <w:tcW w:w="4252" w:type="dxa"/>
          </w:tcPr>
          <w:p w14:paraId="6DC58591" w14:textId="68C449F3" w:rsidR="00C2584C" w:rsidRPr="00D0129E" w:rsidRDefault="007E2D03" w:rsidP="00CC3881">
            <w:pPr>
              <w:pStyle w:val="TableNText"/>
              <w:cnfStyle w:val="000000000000" w:firstRow="0" w:lastRow="0" w:firstColumn="0" w:lastColumn="0" w:oddVBand="0" w:evenVBand="0" w:oddHBand="0" w:evenHBand="0" w:firstRowFirstColumn="0" w:firstRowLastColumn="0" w:lastRowFirstColumn="0" w:lastRowLastColumn="0"/>
            </w:pPr>
            <w:r>
              <w:lastRenderedPageBreak/>
              <w:t xml:space="preserve">The classification of </w:t>
            </w:r>
            <w:r w:rsidR="007C381D">
              <w:t xml:space="preserve">causes of stillbirth </w:t>
            </w:r>
            <w:r w:rsidR="000C46B8">
              <w:t xml:space="preserve">was changed in </w:t>
            </w:r>
            <w:r w:rsidR="0057691F">
              <w:t>20</w:t>
            </w:r>
            <w:r w:rsidR="00B54797">
              <w:t>18</w:t>
            </w:r>
            <w:r w:rsidR="00DB12D4">
              <w:t xml:space="preserve">. This includes an update </w:t>
            </w:r>
            <w:r w:rsidR="0057691F">
              <w:t xml:space="preserve">to </w:t>
            </w:r>
            <w:r w:rsidR="0037540C">
              <w:t>more accurately determine those deaths which are unexplained</w:t>
            </w:r>
            <w:r w:rsidR="0057691F">
              <w:t xml:space="preserve">. </w:t>
            </w:r>
            <w:r w:rsidR="006C7DDD">
              <w:t xml:space="preserve">This change </w:t>
            </w:r>
            <w:r w:rsidR="00666A05">
              <w:t>classifies</w:t>
            </w:r>
            <w:r w:rsidR="00D31E2D">
              <w:t xml:space="preserve"> if the death was unexplained despite </w:t>
            </w:r>
            <w:r w:rsidR="006D76DC">
              <w:t>full investigation</w:t>
            </w:r>
            <w:r w:rsidR="009F1EF2">
              <w:t>, based on incomplete investigation</w:t>
            </w:r>
            <w:r w:rsidR="00173CF6">
              <w:t xml:space="preserve"> or if the extent of investigation was unknown. </w:t>
            </w:r>
            <w:r w:rsidR="00693270">
              <w:t xml:space="preserve">The </w:t>
            </w:r>
            <w:r w:rsidR="00446D75">
              <w:t>update</w:t>
            </w:r>
            <w:r w:rsidR="00693270">
              <w:t xml:space="preserve"> means that </w:t>
            </w:r>
            <w:r w:rsidR="00160B75">
              <w:t>rates of unexplained stillbirths</w:t>
            </w:r>
            <w:r w:rsidR="0057691F">
              <w:t xml:space="preserve"> prior </w:t>
            </w:r>
            <w:r w:rsidR="00CD672A">
              <w:t>to</w:t>
            </w:r>
            <w:r w:rsidR="00160B75">
              <w:t xml:space="preserve"> and post</w:t>
            </w:r>
            <w:r w:rsidR="00CD672A">
              <w:t xml:space="preserve"> </w:t>
            </w:r>
            <w:r w:rsidR="00446D75">
              <w:t>20</w:t>
            </w:r>
            <w:r w:rsidR="00B54797">
              <w:t>18</w:t>
            </w:r>
            <w:r w:rsidR="00AB6B82">
              <w:t xml:space="preserve"> </w:t>
            </w:r>
            <w:r w:rsidR="00160B75">
              <w:t>cannot be compared.</w:t>
            </w:r>
            <w:r w:rsidR="00B54797">
              <w:t xml:space="preserve"> This is unlikely to be problematic for the evaluation as the baseline period is 2019, unless the classification is updated again.  </w:t>
            </w:r>
          </w:p>
        </w:tc>
        <w:tc>
          <w:tcPr>
            <w:tcW w:w="2395" w:type="dxa"/>
          </w:tcPr>
          <w:p w14:paraId="4DA1FB52" w14:textId="4B333C83" w:rsidR="00C2584C" w:rsidRPr="00D0129E" w:rsidRDefault="00C2584C" w:rsidP="00CC3881">
            <w:pPr>
              <w:pStyle w:val="TableNText"/>
              <w:cnfStyle w:val="000000000000" w:firstRow="0" w:lastRow="0" w:firstColumn="0" w:lastColumn="0" w:oddVBand="0" w:evenVBand="0" w:oddHBand="0" w:evenHBand="0" w:firstRowFirstColumn="0" w:firstRowLastColumn="0" w:lastRowFirstColumn="0" w:lastRowLastColumn="0"/>
              <w:rPr>
                <w:rFonts w:eastAsia="Segoe UI"/>
                <w:color w:val="000000"/>
                <w:kern w:val="24"/>
              </w:rPr>
            </w:pPr>
            <w:r w:rsidRPr="00D0129E">
              <w:rPr>
                <w:rFonts w:eastAsia="Segoe UI"/>
                <w:color w:val="000000"/>
                <w:kern w:val="24"/>
              </w:rPr>
              <w:t>Existing datasets</w:t>
            </w:r>
            <w:r w:rsidR="001D570A" w:rsidRPr="00D0129E">
              <w:rPr>
                <w:rFonts w:eastAsia="Segoe UI"/>
                <w:color w:val="000000"/>
                <w:kern w:val="24"/>
              </w:rPr>
              <w:t xml:space="preserve"> – AIHW NPMDC</w:t>
            </w:r>
            <w:r w:rsidR="00FF00EF">
              <w:rPr>
                <w:rFonts w:eastAsia="Segoe UI"/>
                <w:color w:val="000000"/>
                <w:kern w:val="24"/>
              </w:rPr>
              <w:t>.</w:t>
            </w:r>
          </w:p>
        </w:tc>
      </w:tr>
      <w:tr w:rsidR="0082282F" w14:paraId="3E3CEF08" w14:textId="77777777" w:rsidTr="00CC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BA2D4BE" w14:textId="1C575326" w:rsidR="0082282F" w:rsidRPr="00D0129E" w:rsidRDefault="007818EF" w:rsidP="00CC3881">
            <w:pPr>
              <w:pStyle w:val="TableNText"/>
            </w:pPr>
            <w:r>
              <w:t>17</w:t>
            </w:r>
          </w:p>
        </w:tc>
        <w:tc>
          <w:tcPr>
            <w:tcW w:w="1828" w:type="dxa"/>
          </w:tcPr>
          <w:p w14:paraId="20C851C5" w14:textId="4273E73E" w:rsidR="0082282F" w:rsidRPr="00D0129E" w:rsidRDefault="0082282F" w:rsidP="00CC3881">
            <w:pPr>
              <w:pStyle w:val="TableNText"/>
              <w:cnfStyle w:val="000000100000" w:firstRow="0" w:lastRow="0" w:firstColumn="0" w:lastColumn="0" w:oddVBand="0" w:evenVBand="0" w:oddHBand="1" w:evenHBand="0" w:firstRowFirstColumn="0" w:firstRowLastColumn="0" w:lastRowFirstColumn="0" w:lastRowLastColumn="0"/>
            </w:pPr>
            <w:r>
              <w:t xml:space="preserve">Increase in the timeliness of published stillbirth data. </w:t>
            </w:r>
          </w:p>
        </w:tc>
        <w:tc>
          <w:tcPr>
            <w:tcW w:w="4678" w:type="dxa"/>
          </w:tcPr>
          <w:p w14:paraId="3D03A164" w14:textId="3BA746BF" w:rsidR="008B52F4" w:rsidRDefault="008B52F4" w:rsidP="00CC3881">
            <w:pPr>
              <w:pStyle w:val="TableNText"/>
              <w:cnfStyle w:val="000000100000" w:firstRow="0" w:lastRow="0" w:firstColumn="0" w:lastColumn="0" w:oddVBand="0" w:evenVBand="0" w:oddHBand="1" w:evenHBand="0" w:firstRowFirstColumn="0" w:firstRowLastColumn="0" w:lastRowFirstColumn="0" w:lastRowLastColumn="0"/>
            </w:pPr>
            <w:r>
              <w:t xml:space="preserve">Timely data is essential to reducing stillbirth rates as it allows trends to be identified early and prevention activities to be tailored accordingly. </w:t>
            </w:r>
          </w:p>
          <w:p w14:paraId="6B5421F3" w14:textId="77777777" w:rsidR="005F42F7" w:rsidRDefault="008973E3" w:rsidP="00CC3881">
            <w:pPr>
              <w:pStyle w:val="TableNText"/>
              <w:cnfStyle w:val="000000100000" w:firstRow="0" w:lastRow="0" w:firstColumn="0" w:lastColumn="0" w:oddVBand="0" w:evenVBand="0" w:oddHBand="1" w:evenHBand="0" w:firstRowFirstColumn="0" w:firstRowLastColumn="0" w:lastRowFirstColumn="0" w:lastRowLastColumn="0"/>
            </w:pPr>
            <w:r>
              <w:t xml:space="preserve">Timeliness will </w:t>
            </w:r>
            <w:r w:rsidR="00333D7A">
              <w:t xml:space="preserve">consider the length of time from collection to publication. For </w:t>
            </w:r>
            <w:r w:rsidR="002C45F8">
              <w:t>example,</w:t>
            </w:r>
            <w:r w:rsidR="00333D7A">
              <w:t xml:space="preserve"> if 2018 data was published in December 2020 this would be classified as a </w:t>
            </w:r>
            <w:r w:rsidR="002C45F8">
              <w:t>two-year delivery period while if it was published in December 2019 this would be cla</w:t>
            </w:r>
            <w:r w:rsidR="006E4508">
              <w:t xml:space="preserve">ssified as a one-year delivery period. </w:t>
            </w:r>
            <w:r>
              <w:t xml:space="preserve">It is important to note </w:t>
            </w:r>
            <w:r w:rsidR="009E3937">
              <w:t>that it is unlikely data will be available within a period less than 12 months.</w:t>
            </w:r>
          </w:p>
          <w:p w14:paraId="3FF5B6C0" w14:textId="39D18417" w:rsidR="005F42F7" w:rsidRPr="00D0129E" w:rsidRDefault="006E4508" w:rsidP="00CC3881">
            <w:pPr>
              <w:pStyle w:val="TableNText"/>
              <w:cnfStyle w:val="000000100000" w:firstRow="0" w:lastRow="0" w:firstColumn="0" w:lastColumn="0" w:oddVBand="0" w:evenVBand="0" w:oddHBand="1" w:evenHBand="0" w:firstRowFirstColumn="0" w:firstRowLastColumn="0" w:lastRowFirstColumn="0" w:lastRowLastColumn="0"/>
            </w:pPr>
            <w:r w:rsidRPr="005F42F7">
              <w:t xml:space="preserve">Timeliness will also be broken down by the </w:t>
            </w:r>
            <w:r w:rsidR="005F42F7" w:rsidRPr="005F42F7">
              <w:t xml:space="preserve">length of time taken between when a stillbirth occurs to the logging of cause of death, the length of time taken between logged cause of death and sign off for the data to be sent to AIHW and the Length of time between data received by AIHW and publication. </w:t>
            </w:r>
            <w:r w:rsidR="005F42F7">
              <w:t xml:space="preserve">This break down will </w:t>
            </w:r>
            <w:r w:rsidR="00C167A7">
              <w:t>considers if there is a</w:t>
            </w:r>
            <w:r w:rsidR="005F42F7" w:rsidRPr="00C167A7">
              <w:t xml:space="preserve"> bottleneck in investigations occurring, </w:t>
            </w:r>
            <w:r w:rsidR="00C167A7" w:rsidRPr="00C167A7">
              <w:t xml:space="preserve">the time </w:t>
            </w:r>
            <w:r w:rsidR="005F42F7" w:rsidRPr="00C167A7">
              <w:t>taken for the jurisdictional auditing and committee process</w:t>
            </w:r>
            <w:r w:rsidR="00C167A7" w:rsidRPr="00C167A7">
              <w:t xml:space="preserve"> and the time </w:t>
            </w:r>
            <w:r w:rsidR="005F42F7" w:rsidRPr="00C167A7">
              <w:t xml:space="preserve">taken by AIHW </w:t>
            </w:r>
            <w:r w:rsidR="005F42F7" w:rsidRPr="00C167A7">
              <w:lastRenderedPageBreak/>
              <w:t>to clean and analyse the data, run any final verification with jurisdictions and to develop the reports for publication</w:t>
            </w:r>
            <w:r w:rsidR="00C167A7" w:rsidRPr="00C167A7">
              <w:t>.</w:t>
            </w:r>
            <w:r w:rsidR="00C167A7">
              <w:t xml:space="preserve"> </w:t>
            </w:r>
          </w:p>
        </w:tc>
        <w:tc>
          <w:tcPr>
            <w:tcW w:w="4252" w:type="dxa"/>
          </w:tcPr>
          <w:p w14:paraId="099A5C1F" w14:textId="77777777" w:rsidR="00163ACA" w:rsidRDefault="00163ACA" w:rsidP="00CC3881">
            <w:pPr>
              <w:pStyle w:val="TableNText"/>
              <w:cnfStyle w:val="000000100000" w:firstRow="0" w:lastRow="0" w:firstColumn="0" w:lastColumn="0" w:oddVBand="0" w:evenVBand="0" w:oddHBand="1" w:evenHBand="0" w:firstRowFirstColumn="0" w:firstRowLastColumn="0" w:lastRowFirstColumn="0" w:lastRowLastColumn="0"/>
            </w:pPr>
            <w:r>
              <w:lastRenderedPageBreak/>
              <w:t>Current data sources will not inform discussions about data qualit</w:t>
            </w:r>
            <w:r w:rsidR="006E4508">
              <w:t>y</w:t>
            </w:r>
            <w:r>
              <w:t xml:space="preserve">. </w:t>
            </w:r>
          </w:p>
          <w:p w14:paraId="5070C8D4" w14:textId="5E54BC1E" w:rsidR="00CD7AC9" w:rsidRPr="00D86D6D" w:rsidRDefault="00CD7AC9" w:rsidP="00CC3881">
            <w:pPr>
              <w:pStyle w:val="TableNText"/>
              <w:cnfStyle w:val="000000100000" w:firstRow="0" w:lastRow="0" w:firstColumn="0" w:lastColumn="0" w:oddVBand="0" w:evenVBand="0" w:oddHBand="1" w:evenHBand="0" w:firstRowFirstColumn="0" w:firstRowLastColumn="0" w:lastRowFirstColumn="0" w:lastRowLastColumn="0"/>
            </w:pPr>
            <w:r>
              <w:t xml:space="preserve">There is potential an increase in the proportion of investigations conducted may increase the delay in stillbirth data. This relationship should be monitored throughout the evaluation period. </w:t>
            </w:r>
          </w:p>
        </w:tc>
        <w:tc>
          <w:tcPr>
            <w:tcW w:w="2395" w:type="dxa"/>
          </w:tcPr>
          <w:p w14:paraId="18CB5954" w14:textId="77777777" w:rsidR="00D86D6D" w:rsidRDefault="00D86D6D" w:rsidP="00CC3881">
            <w:pPr>
              <w:pStyle w:val="TableNText"/>
              <w:cnfStyle w:val="000000100000" w:firstRow="0" w:lastRow="0" w:firstColumn="0" w:lastColumn="0" w:oddVBand="0" w:evenVBand="0" w:oddHBand="1" w:evenHBand="0" w:firstRowFirstColumn="0" w:firstRowLastColumn="0" w:lastRowFirstColumn="0" w:lastRowLastColumn="0"/>
              <w:rPr>
                <w:rFonts w:eastAsia="Segoe UI"/>
                <w:color w:val="000000"/>
                <w:kern w:val="24"/>
              </w:rPr>
            </w:pPr>
            <w:r>
              <w:rPr>
                <w:rFonts w:eastAsia="Segoe UI"/>
                <w:color w:val="000000"/>
                <w:kern w:val="24"/>
              </w:rPr>
              <w:t>Consultation with AIHW</w:t>
            </w:r>
            <w:r w:rsidR="004E1AF6">
              <w:rPr>
                <w:rFonts w:eastAsia="Segoe UI"/>
                <w:color w:val="000000"/>
                <w:kern w:val="24"/>
              </w:rPr>
              <w:t xml:space="preserve"> </w:t>
            </w:r>
            <w:r w:rsidR="004E1AF6" w:rsidRPr="004E1AF6">
              <w:t>and jurisdictional Perinatal Mortality Review Committees/Councils or equivalents.</w:t>
            </w:r>
            <w:r>
              <w:rPr>
                <w:rFonts w:eastAsia="Segoe UI"/>
                <w:color w:val="000000"/>
                <w:kern w:val="24"/>
              </w:rPr>
              <w:t xml:space="preserve"> </w:t>
            </w:r>
          </w:p>
          <w:p w14:paraId="11D54822" w14:textId="7BC1B254" w:rsidR="00CD7AC9" w:rsidRPr="00D0129E" w:rsidRDefault="00CD7AC9" w:rsidP="00CC3881">
            <w:pPr>
              <w:pStyle w:val="TableNText"/>
              <w:cnfStyle w:val="000000100000" w:firstRow="0" w:lastRow="0" w:firstColumn="0" w:lastColumn="0" w:oddVBand="0" w:evenVBand="0" w:oddHBand="1" w:evenHBand="0" w:firstRowFirstColumn="0" w:firstRowLastColumn="0" w:lastRowFirstColumn="0" w:lastRowLastColumn="0"/>
              <w:rPr>
                <w:rFonts w:eastAsia="Segoe UI"/>
                <w:color w:val="000000"/>
                <w:kern w:val="24"/>
              </w:rPr>
            </w:pPr>
            <w:r w:rsidRPr="00D0129E">
              <w:rPr>
                <w:rFonts w:eastAsia="Segoe UI"/>
                <w:color w:val="000000"/>
                <w:kern w:val="24"/>
              </w:rPr>
              <w:t xml:space="preserve">Existing datasets – AIHW </w:t>
            </w:r>
            <w:r>
              <w:rPr>
                <w:rFonts w:eastAsia="Segoe UI"/>
                <w:color w:val="000000"/>
                <w:kern w:val="24"/>
              </w:rPr>
              <w:t>Australia’s mothers and babies report</w:t>
            </w:r>
          </w:p>
        </w:tc>
      </w:tr>
      <w:tr w:rsidR="005E39FC" w14:paraId="6E7ED810" w14:textId="71E25C3D" w:rsidTr="00CC3881">
        <w:tc>
          <w:tcPr>
            <w:cnfStyle w:val="001000000000" w:firstRow="0" w:lastRow="0" w:firstColumn="1" w:lastColumn="0" w:oddVBand="0" w:evenVBand="0" w:oddHBand="0" w:evenHBand="0" w:firstRowFirstColumn="0" w:firstRowLastColumn="0" w:lastRowFirstColumn="0" w:lastRowLastColumn="0"/>
            <w:tcW w:w="13720" w:type="dxa"/>
            <w:gridSpan w:val="5"/>
            <w:shd w:val="clear" w:color="auto" w:fill="1E1545" w:themeFill="text1"/>
          </w:tcPr>
          <w:p w14:paraId="13F97278" w14:textId="2F175DE7" w:rsidR="005E39FC" w:rsidRPr="008A4846" w:rsidRDefault="005E39FC" w:rsidP="00CC3881">
            <w:pPr>
              <w:pStyle w:val="TableNheader"/>
              <w:rPr>
                <w:b/>
                <w:bCs w:val="0"/>
                <w:color w:val="EEEEEE" w:themeColor="background2"/>
              </w:rPr>
            </w:pPr>
            <w:r w:rsidRPr="008A4846">
              <w:rPr>
                <w:b/>
              </w:rPr>
              <w:t>Priority 5: Prioritising stillbirth research</w:t>
            </w:r>
          </w:p>
        </w:tc>
      </w:tr>
      <w:tr w:rsidR="00B808A8" w14:paraId="2D3CEE7F" w14:textId="678BB483" w:rsidTr="00CC388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67" w:type="dxa"/>
          </w:tcPr>
          <w:p w14:paraId="1333BF72" w14:textId="7AF63C37" w:rsidR="00B808A8" w:rsidRPr="00D0129E" w:rsidRDefault="007818EF" w:rsidP="00CC3881">
            <w:pPr>
              <w:pStyle w:val="TableNText"/>
            </w:pPr>
            <w:r>
              <w:t>18</w:t>
            </w:r>
          </w:p>
        </w:tc>
        <w:tc>
          <w:tcPr>
            <w:tcW w:w="1828" w:type="dxa"/>
          </w:tcPr>
          <w:p w14:paraId="434445F7" w14:textId="04472C13" w:rsidR="00B808A8" w:rsidRPr="00D0129E" w:rsidRDefault="00B808A8" w:rsidP="00CC3881">
            <w:pPr>
              <w:pStyle w:val="TableNText"/>
              <w:cnfStyle w:val="000000100000" w:firstRow="0" w:lastRow="0" w:firstColumn="0" w:lastColumn="0" w:oddVBand="0" w:evenVBand="0" w:oddHBand="1" w:evenHBand="0" w:firstRowFirstColumn="0" w:firstRowLastColumn="0" w:lastRowFirstColumn="0" w:lastRowLastColumn="0"/>
            </w:pPr>
            <w:r w:rsidRPr="00D0129E">
              <w:t xml:space="preserve">Increase in the number of research projects </w:t>
            </w:r>
            <w:r w:rsidR="0082282F">
              <w:t>in,</w:t>
            </w:r>
            <w:r w:rsidRPr="00D0129E">
              <w:t xml:space="preserve"> and amount of funding </w:t>
            </w:r>
            <w:r w:rsidR="007818EF">
              <w:t>granted to,</w:t>
            </w:r>
            <w:r w:rsidRPr="00D0129E">
              <w:t xml:space="preserve"> the stillbirth priority research areas</w:t>
            </w:r>
            <w:r w:rsidR="007403BB">
              <w:rPr>
                <w:rStyle w:val="FootnoteReference"/>
                <w:rFonts w:ascii="Arial" w:hAnsi="Arial" w:cs="Arial"/>
                <w:sz w:val="17"/>
                <w:szCs w:val="17"/>
              </w:rPr>
              <w:footnoteReference w:id="34"/>
            </w:r>
            <w:r w:rsidRPr="00D0129E">
              <w:t>.</w:t>
            </w:r>
          </w:p>
        </w:tc>
        <w:tc>
          <w:tcPr>
            <w:tcW w:w="4678" w:type="dxa"/>
          </w:tcPr>
          <w:p w14:paraId="49D96895" w14:textId="2E462195" w:rsidR="00B808A8" w:rsidRPr="00D0129E" w:rsidRDefault="00CB688E" w:rsidP="00CC3881">
            <w:pPr>
              <w:pStyle w:val="TableNText"/>
              <w:cnfStyle w:val="000000100000" w:firstRow="0" w:lastRow="0" w:firstColumn="0" w:lastColumn="0" w:oddVBand="0" w:evenVBand="0" w:oddHBand="1" w:evenHBand="0" w:firstRowFirstColumn="0" w:firstRowLastColumn="0" w:lastRowFirstColumn="0" w:lastRowLastColumn="0"/>
            </w:pPr>
            <w:r w:rsidRPr="00D0129E">
              <w:t>The number of research projects and the amount of funding available in stillbirth priority research areas will provide an indication of the extent to which stillbirth research is being prioritised by researchers.</w:t>
            </w:r>
          </w:p>
        </w:tc>
        <w:tc>
          <w:tcPr>
            <w:tcW w:w="4252" w:type="dxa"/>
          </w:tcPr>
          <w:p w14:paraId="6DA7D9D8" w14:textId="11DD09A2" w:rsidR="006C33AE" w:rsidRDefault="00412D8F" w:rsidP="00CC3881">
            <w:pPr>
              <w:pStyle w:val="TableNText"/>
              <w:cnfStyle w:val="000000100000" w:firstRow="0" w:lastRow="0" w:firstColumn="0" w:lastColumn="0" w:oddVBand="0" w:evenVBand="0" w:oddHBand="1" w:evenHBand="0" w:firstRowFirstColumn="0" w:firstRowLastColumn="0" w:lastRowFirstColumn="0" w:lastRowLastColumn="0"/>
            </w:pPr>
            <w:r w:rsidRPr="00412D8F">
              <w:t>As research takes an average of 17 years to be translated into practice</w:t>
            </w:r>
            <w:r w:rsidR="00F309F4">
              <w:t>, this indicator will not attempt to measure research impact</w:t>
            </w:r>
            <w:r w:rsidRPr="00412D8F">
              <w:t xml:space="preserve"> </w:t>
            </w:r>
            <w:r w:rsidR="006C33AE">
              <w:t>over the 10-year life of the Plan</w:t>
            </w:r>
            <w:r w:rsidRPr="00412D8F">
              <w:t>.</w:t>
            </w:r>
            <w:r w:rsidRPr="006C33AE">
              <w:rPr>
                <w:vertAlign w:val="superscript"/>
              </w:rPr>
              <w:footnoteReference w:id="35"/>
            </w:r>
            <w:r w:rsidRPr="00412D8F">
              <w:t xml:space="preserve"> </w:t>
            </w:r>
            <w:r w:rsidR="006C33AE">
              <w:t>Over this period research is more likely to have an indirect impact</w:t>
            </w:r>
            <w:r w:rsidRPr="00412D8F">
              <w:t xml:space="preserve">– creating conversations and informing future research priorities. </w:t>
            </w:r>
          </w:p>
          <w:p w14:paraId="63B3BC70" w14:textId="73AB2D3E" w:rsidR="00412D8F" w:rsidRPr="00412D8F" w:rsidRDefault="00412D8F" w:rsidP="00CC3881">
            <w:pPr>
              <w:pStyle w:val="TableNText"/>
              <w:cnfStyle w:val="000000100000" w:firstRow="0" w:lastRow="0" w:firstColumn="0" w:lastColumn="0" w:oddVBand="0" w:evenVBand="0" w:oddHBand="1" w:evenHBand="0" w:firstRowFirstColumn="0" w:firstRowLastColumn="0" w:lastRowFirstColumn="0" w:lastRowLastColumn="0"/>
            </w:pPr>
            <w:r w:rsidRPr="00412D8F">
              <w:t xml:space="preserve">Instead of focusing on research impact, this indicator focuses on the priority actions of the Plan </w:t>
            </w:r>
            <w:r w:rsidR="006C33AE">
              <w:t>relevant to research</w:t>
            </w:r>
            <w:r w:rsidR="009E6C89">
              <w:t xml:space="preserve"> </w:t>
            </w:r>
            <w:r w:rsidRPr="00412D8F">
              <w:t xml:space="preserve">- </w:t>
            </w:r>
            <w:r w:rsidRPr="006C33AE">
              <w:rPr>
                <w:i/>
                <w:iCs/>
              </w:rPr>
              <w:t>Prioritising stillbirth research</w:t>
            </w:r>
            <w:r w:rsidRPr="00412D8F">
              <w:t xml:space="preserve"> and </w:t>
            </w:r>
            <w:proofErr w:type="gramStart"/>
            <w:r w:rsidRPr="006C33AE">
              <w:rPr>
                <w:i/>
                <w:iCs/>
              </w:rPr>
              <w:t>Providing</w:t>
            </w:r>
            <w:proofErr w:type="gramEnd"/>
            <w:r w:rsidRPr="006C33AE">
              <w:rPr>
                <w:i/>
                <w:iCs/>
              </w:rPr>
              <w:t xml:space="preserve"> broader access to stillbirth research</w:t>
            </w:r>
            <w:r w:rsidRPr="00412D8F">
              <w:t xml:space="preserve"> – both of which rely on an increase in funding availability. </w:t>
            </w:r>
          </w:p>
          <w:p w14:paraId="6B448553" w14:textId="1A64D17C" w:rsidR="00B808A8" w:rsidRPr="006C33AE" w:rsidRDefault="00412D8F" w:rsidP="00CC3881">
            <w:pPr>
              <w:pStyle w:val="TableNText"/>
              <w:cnfStyle w:val="000000100000" w:firstRow="0" w:lastRow="0" w:firstColumn="0" w:lastColumn="0" w:oddVBand="0" w:evenVBand="0" w:oddHBand="1" w:evenHBand="0" w:firstRowFirstColumn="0" w:firstRowLastColumn="0" w:lastRowFirstColumn="0" w:lastRowLastColumn="0"/>
              <w:rPr>
                <w:sz w:val="24"/>
                <w:szCs w:val="24"/>
                <w:highlight w:val="yellow"/>
              </w:rPr>
            </w:pPr>
            <w:r w:rsidRPr="00412D8F">
              <w:t xml:space="preserve">In the instance high profile research </w:t>
            </w:r>
            <w:r w:rsidR="00E433BA">
              <w:t>is undertaken which</w:t>
            </w:r>
            <w:r w:rsidRPr="00412D8F">
              <w:t xml:space="preserve"> has a significant and immediate (within </w:t>
            </w:r>
            <w:r w:rsidR="006C33AE" w:rsidRPr="00412D8F">
              <w:t>10-year</w:t>
            </w:r>
            <w:r w:rsidRPr="00412D8F">
              <w:t xml:space="preserve"> impact)</w:t>
            </w:r>
            <w:r w:rsidR="006C33AE">
              <w:t xml:space="preserve"> impact,</w:t>
            </w:r>
            <w:r w:rsidRPr="00412D8F">
              <w:t xml:space="preserve"> the evaluation will include this information </w:t>
            </w:r>
            <w:proofErr w:type="gramStart"/>
            <w:r w:rsidRPr="00412D8F">
              <w:t>through the use of</w:t>
            </w:r>
            <w:proofErr w:type="gramEnd"/>
            <w:r w:rsidRPr="00412D8F">
              <w:t xml:space="preserve"> case studies.</w:t>
            </w:r>
          </w:p>
        </w:tc>
        <w:tc>
          <w:tcPr>
            <w:tcW w:w="2395" w:type="dxa"/>
          </w:tcPr>
          <w:p w14:paraId="66976DC4" w14:textId="77699A75" w:rsidR="005D6194" w:rsidRPr="00D0129E" w:rsidRDefault="00E6151F" w:rsidP="00CC3881">
            <w:pPr>
              <w:pStyle w:val="TableNText"/>
              <w:cnfStyle w:val="000000100000" w:firstRow="0" w:lastRow="0" w:firstColumn="0" w:lastColumn="0" w:oddVBand="0" w:evenVBand="0" w:oddHBand="1" w:evenHBand="0" w:firstRowFirstColumn="0" w:firstRowLastColumn="0" w:lastRowFirstColumn="0" w:lastRowLastColumn="0"/>
            </w:pPr>
            <w:r w:rsidRPr="00D0129E">
              <w:t xml:space="preserve">Desktop and evidence review </w:t>
            </w:r>
            <w:r w:rsidR="005D6194" w:rsidRPr="00D0129E">
              <w:t>–</w:t>
            </w:r>
            <w:r w:rsidR="00AF01A7" w:rsidRPr="00D0129E">
              <w:t xml:space="preserve"> NHMRC grant register, MRFF grant register, Stillbirth CRE research register</w:t>
            </w:r>
            <w:r w:rsidR="00A30049">
              <w:t xml:space="preserve"> (following endorsement of national priorities for stillbirth research)</w:t>
            </w:r>
            <w:r w:rsidR="00FF00EF">
              <w:t>.</w:t>
            </w:r>
            <w:r w:rsidRPr="00D0129E">
              <w:t xml:space="preserve"> </w:t>
            </w:r>
          </w:p>
          <w:p w14:paraId="7598E977" w14:textId="61FABCB7" w:rsidR="00B808A8" w:rsidRPr="00D0129E" w:rsidRDefault="00AF01A7" w:rsidP="00CC3881">
            <w:pPr>
              <w:pStyle w:val="TableNText"/>
              <w:cnfStyle w:val="000000100000" w:firstRow="0" w:lastRow="0" w:firstColumn="0" w:lastColumn="0" w:oddVBand="0" w:evenVBand="0" w:oddHBand="1" w:evenHBand="0" w:firstRowFirstColumn="0" w:firstRowLastColumn="0" w:lastRowFirstColumn="0" w:lastRowLastColumn="0"/>
            </w:pPr>
            <w:r w:rsidRPr="00D0129E">
              <w:t>Consultation with Stillbirth CRE</w:t>
            </w:r>
            <w:r w:rsidR="00FF00EF">
              <w:t>.</w:t>
            </w:r>
          </w:p>
        </w:tc>
      </w:tr>
    </w:tbl>
    <w:p w14:paraId="25766995" w14:textId="7E52E027" w:rsidR="00F860CA" w:rsidRDefault="00742552" w:rsidP="00F21D30">
      <w:pPr>
        <w:pStyle w:val="xAppendixLevel1"/>
        <w:tabs>
          <w:tab w:val="clear" w:pos="7938"/>
        </w:tabs>
      </w:pPr>
      <w:bookmarkStart w:id="65" w:name="_Ref100151977"/>
      <w:bookmarkStart w:id="66" w:name="_Toc121303904"/>
      <w:r>
        <w:lastRenderedPageBreak/>
        <w:t>National evaluation indicators</w:t>
      </w:r>
      <w:r w:rsidR="005A3A31">
        <w:t xml:space="preserve"> mapped to outcomes</w:t>
      </w:r>
      <w:bookmarkEnd w:id="65"/>
      <w:bookmarkEnd w:id="66"/>
    </w:p>
    <w:p w14:paraId="488D7AA7" w14:textId="40C610C2" w:rsidR="005A3A31" w:rsidRPr="005A3A31" w:rsidRDefault="005A3A31" w:rsidP="005A3A31">
      <w:pPr>
        <w:pStyle w:val="Caption"/>
      </w:pPr>
      <w:r w:rsidRPr="005A3A31">
        <w:t xml:space="preserve">Figure </w:t>
      </w:r>
      <w:r w:rsidRPr="005A3A31">
        <w:fldChar w:fldCharType="begin"/>
      </w:r>
      <w:r w:rsidRPr="005A3A31">
        <w:instrText xml:space="preserve"> SEQ Figure \* ARABIC </w:instrText>
      </w:r>
      <w:r w:rsidRPr="005A3A31">
        <w:fldChar w:fldCharType="separate"/>
      </w:r>
      <w:r w:rsidR="00CF19E2">
        <w:rPr>
          <w:noProof/>
        </w:rPr>
        <w:t>9</w:t>
      </w:r>
      <w:r w:rsidRPr="005A3A31">
        <w:fldChar w:fldCharType="end"/>
      </w:r>
      <w:r w:rsidRPr="005A3A31">
        <w:t xml:space="preserve"> | National evaluation indicators mapped to outcomes of the Plan</w:t>
      </w:r>
    </w:p>
    <w:p w14:paraId="0AE24983" w14:textId="50D1729A" w:rsidR="005A3A31" w:rsidRPr="005A3A31" w:rsidRDefault="005A3A31" w:rsidP="00B207EF">
      <w:pPr>
        <w:jc w:val="center"/>
        <w:rPr>
          <w:lang w:eastAsia="en-AU"/>
        </w:rPr>
      </w:pPr>
      <w:r w:rsidRPr="005A3A31">
        <w:rPr>
          <w:noProof/>
        </w:rPr>
        <w:drawing>
          <wp:inline distT="0" distB="0" distL="0" distR="0" wp14:anchorId="2E2DD302" wp14:editId="2205D097">
            <wp:extent cx="7513607" cy="4895056"/>
            <wp:effectExtent l="0" t="0" r="0" b="1270"/>
            <wp:docPr id="3" name="Picture 3" descr="This figure shows which evaluation indicators will report against each of the expected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which evaluation indicators will report against each of the expected outcome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13607" cy="4895056"/>
                    </a:xfrm>
                    <a:prstGeom prst="rect">
                      <a:avLst/>
                    </a:prstGeom>
                    <a:noFill/>
                    <a:ln>
                      <a:noFill/>
                    </a:ln>
                  </pic:spPr>
                </pic:pic>
              </a:graphicData>
            </a:graphic>
          </wp:inline>
        </w:drawing>
      </w:r>
    </w:p>
    <w:sectPr w:rsidR="005A3A31" w:rsidRPr="005A3A31" w:rsidSect="005A3A31">
      <w:headerReference w:type="default" r:id="rId72"/>
      <w:pgSz w:w="16839" w:h="11907" w:orient="landscape" w:code="9"/>
      <w:pgMar w:top="1559"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37AA6" w14:textId="77777777" w:rsidR="00CB5700" w:rsidRDefault="00CB5700" w:rsidP="00302076">
      <w:pPr>
        <w:spacing w:after="0"/>
      </w:pPr>
      <w:r>
        <w:separator/>
      </w:r>
    </w:p>
  </w:endnote>
  <w:endnote w:type="continuationSeparator" w:id="0">
    <w:p w14:paraId="366C8CB3" w14:textId="77777777" w:rsidR="00CB5700" w:rsidRDefault="00CB5700" w:rsidP="00302076">
      <w:pPr>
        <w:spacing w:after="0"/>
      </w:pPr>
      <w:r>
        <w:continuationSeparator/>
      </w:r>
    </w:p>
  </w:endnote>
  <w:endnote w:type="continuationNotice" w:id="1">
    <w:p w14:paraId="2FF48FF7" w14:textId="77777777" w:rsidR="00CB5700" w:rsidRDefault="00CB57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___WRD_EMBED_SUB_184">
    <w:charset w:val="00"/>
    <w:family w:val="auto"/>
    <w:pitch w:val="variable"/>
    <w:sig w:usb0="2000020F" w:usb1="00000003" w:usb2="00000000" w:usb3="00000000" w:csb0="00000197"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itka Small">
    <w:panose1 w:val="02000505000000020004"/>
    <w:charset w:val="00"/>
    <w:family w:val="auto"/>
    <w:pitch w:val="variable"/>
    <w:sig w:usb0="A00002EF" w:usb1="4000204B" w:usb2="00000000" w:usb3="00000000" w:csb0="0000019F" w:csb1="00000000"/>
  </w:font>
  <w:font w:name="@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315F" w14:textId="0D08E441" w:rsidR="00D05A7B" w:rsidRPr="00FD4AB1" w:rsidRDefault="00D05A7B" w:rsidP="00FD4AB1">
    <w:pPr>
      <w:pStyle w:val="Footer"/>
      <w:rPr>
        <w:rFonts w:ascii="Segoe UI Semibold" w:hAnsi="Segoe UI Semibold" w:cs="Segoe UI"/>
        <w:b/>
      </w:rPr>
    </w:pPr>
    <w:r w:rsidRPr="00852F0E">
      <w:rPr>
        <w:szCs w:val="15"/>
        <w:lang w:eastAsia="en-AU"/>
      </w:rPr>
      <w:t xml:space="preserve">Nous Group | </w:t>
    </w:r>
    <w:sdt>
      <w:sdtPr>
        <w:rPr>
          <w:szCs w:val="15"/>
          <w:lang w:eastAsia="en-AU"/>
        </w:rPr>
        <w:alias w:val="Title"/>
        <w:id w:val="713850667"/>
        <w:dataBinding w:prefixMappings="xmlns:ns0='http://purl.org/dc/elements/1.1/' xmlns:ns1='http://schemas.openxmlformats.org/package/2006/metadata/core-properties' " w:xpath="/ns1:coreProperties[1]/ns0:title[1]" w:storeItemID="{6C3C8BC8-F283-45AE-878A-BAB7291924A1}"/>
        <w:text/>
      </w:sdtPr>
      <w:sdtEndPr/>
      <w:sdtContent>
        <w:r w:rsidRPr="00852F0E">
          <w:rPr>
            <w:szCs w:val="15"/>
            <w:lang w:eastAsia="en-AU"/>
          </w:rPr>
          <w:t>National Stillbirth Action and Implementation Plan: Monitoring and Evaluation Framework 2022-2030</w:t>
        </w:r>
      </w:sdtContent>
    </w:sdt>
    <w:r w:rsidRPr="00852F0E">
      <w:rPr>
        <w:szCs w:val="15"/>
        <w:lang w:eastAsia="en-AU"/>
      </w:rPr>
      <w:t xml:space="preserve"> | </w:t>
    </w:r>
    <w:sdt>
      <w:sdtPr>
        <w:rPr>
          <w:szCs w:val="15"/>
          <w:lang w:eastAsia="en-AU"/>
        </w:rPr>
        <w:alias w:val="Publish Date"/>
        <w:id w:val="33173619"/>
        <w:dataBinding w:prefixMappings="xmlns:ns0='http://schemas.microsoft.com/office/2006/coverPageProps' " w:xpath="/ns0:CoverPageProperties[1]/ns0:PublishDate[1]" w:storeItemID="{55AF091B-3C7A-41E3-B477-F2FDAA23CFDA}"/>
        <w:date w:fullDate="2022-09-01T00:00:00Z">
          <w:dateFormat w:val="d MMMM yyyy"/>
          <w:lid w:val="en-AU"/>
          <w:storeMappedDataAs w:val="dateTime"/>
          <w:calendar w:val="gregorian"/>
        </w:date>
      </w:sdtPr>
      <w:sdtEndPr/>
      <w:sdtContent>
        <w:r w:rsidR="00A42E65">
          <w:rPr>
            <w:szCs w:val="15"/>
            <w:lang w:eastAsia="en-AU"/>
          </w:rPr>
          <w:t>1 September 2022</w:t>
        </w:r>
      </w:sdtContent>
    </w:sdt>
    <w:r w:rsidRPr="00852F0E">
      <w:rPr>
        <w:rFonts w:ascii="Segoe UI Semibold" w:hAnsi="Segoe UI Semibold" w:cs="Segoe UI"/>
      </w:rPr>
      <w:ptab w:relativeTo="margin" w:alignment="right" w:leader="none"/>
    </w:r>
    <w:r w:rsidRPr="00852F0E">
      <w:rPr>
        <w:rFonts w:cs="Segoe UI"/>
      </w:rPr>
      <w:t xml:space="preserve">| </w:t>
    </w:r>
    <w:r w:rsidRPr="00852F0E">
      <w:rPr>
        <w:rFonts w:cs="Segoe UI"/>
        <w:sz w:val="16"/>
        <w:szCs w:val="16"/>
      </w:rPr>
      <w:fldChar w:fldCharType="begin"/>
    </w:r>
    <w:r w:rsidRPr="00852F0E">
      <w:rPr>
        <w:rFonts w:cs="Segoe UI"/>
        <w:sz w:val="16"/>
        <w:szCs w:val="16"/>
      </w:rPr>
      <w:instrText xml:space="preserve"> PAGE  \* roman  \* MERGEFORMAT </w:instrText>
    </w:r>
    <w:r w:rsidRPr="00852F0E">
      <w:rPr>
        <w:rFonts w:cs="Segoe UI"/>
        <w:sz w:val="16"/>
        <w:szCs w:val="16"/>
      </w:rPr>
      <w:fldChar w:fldCharType="separate"/>
    </w:r>
    <w:r w:rsidRPr="00852F0E">
      <w:rPr>
        <w:rFonts w:cs="Segoe UI"/>
        <w:noProof/>
        <w:sz w:val="16"/>
        <w:szCs w:val="16"/>
      </w:rPr>
      <w:t>ii</w:t>
    </w:r>
    <w:r w:rsidRPr="00852F0E">
      <w:rPr>
        <w:rFonts w:cs="Segoe UI"/>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612F" w14:textId="3203F5BB" w:rsidR="00D05A7B" w:rsidRPr="005A79CA" w:rsidRDefault="00B11AB3" w:rsidP="00B11AB3">
    <w:pPr>
      <w:pStyle w:val="Footer"/>
      <w:rPr>
        <w:rFonts w:ascii="Segoe UI Semibold" w:hAnsi="Segoe UI Semibold" w:cs="Segoe UI"/>
        <w:b/>
      </w:rPr>
    </w:pPr>
    <w:r w:rsidRPr="005A79CA">
      <w:rPr>
        <w:szCs w:val="15"/>
        <w:lang w:eastAsia="en-AU"/>
      </w:rPr>
      <w:t xml:space="preserve">Nous Group | </w:t>
    </w:r>
    <w:sdt>
      <w:sdtPr>
        <w:rPr>
          <w:szCs w:val="15"/>
          <w:lang w:eastAsia="en-AU"/>
        </w:rPr>
        <w:alias w:val="Title"/>
        <w:id w:val="342984680"/>
        <w:dataBinding w:prefixMappings="xmlns:ns0='http://purl.org/dc/elements/1.1/' xmlns:ns1='http://schemas.openxmlformats.org/package/2006/metadata/core-properties' " w:xpath="/ns1:coreProperties[1]/ns0:title[1]" w:storeItemID="{6C3C8BC8-F283-45AE-878A-BAB7291924A1}"/>
        <w:text/>
      </w:sdtPr>
      <w:sdtEndPr/>
      <w:sdtContent>
        <w:r w:rsidRPr="005A79CA">
          <w:rPr>
            <w:szCs w:val="15"/>
            <w:lang w:eastAsia="en-AU"/>
          </w:rPr>
          <w:t>National Stillbirth Action and Implementation Plan: Monitoring and Evaluation Framework 2022-2030</w:t>
        </w:r>
      </w:sdtContent>
    </w:sdt>
    <w:r w:rsidRPr="005A79CA">
      <w:rPr>
        <w:szCs w:val="15"/>
        <w:lang w:eastAsia="en-AU"/>
      </w:rPr>
      <w:t xml:space="preserve"> | </w:t>
    </w:r>
    <w:sdt>
      <w:sdtPr>
        <w:rPr>
          <w:szCs w:val="15"/>
          <w:lang w:eastAsia="en-AU"/>
        </w:rPr>
        <w:alias w:val="Publish Date"/>
        <w:id w:val="664601091"/>
        <w:dataBinding w:prefixMappings="xmlns:ns0='http://schemas.microsoft.com/office/2006/coverPageProps' " w:xpath="/ns0:CoverPageProperties[1]/ns0:PublishDate[1]" w:storeItemID="{55AF091B-3C7A-41E3-B477-F2FDAA23CFDA}"/>
        <w:date w:fullDate="2022-09-01T00:00:00Z">
          <w:dateFormat w:val="d MMMM yyyy"/>
          <w:lid w:val="en-AU"/>
          <w:storeMappedDataAs w:val="dateTime"/>
          <w:calendar w:val="gregorian"/>
        </w:date>
      </w:sdtPr>
      <w:sdtEndPr/>
      <w:sdtContent>
        <w:r w:rsidR="00A42E65">
          <w:rPr>
            <w:szCs w:val="15"/>
            <w:lang w:eastAsia="en-AU"/>
          </w:rPr>
          <w:t>1 September 2022</w:t>
        </w:r>
      </w:sdtContent>
    </w:sdt>
    <w:r w:rsidRPr="005A79CA">
      <w:rPr>
        <w:rFonts w:ascii="Segoe UI Semibold" w:hAnsi="Segoe UI Semibold" w:cs="Segoe UI"/>
      </w:rPr>
      <w:ptab w:relativeTo="margin" w:alignment="right" w:leader="none"/>
    </w:r>
    <w:r w:rsidRPr="005A79CA">
      <w:rPr>
        <w:rFonts w:cs="Segoe UI"/>
      </w:rPr>
      <w:t xml:space="preserve">| </w:t>
    </w:r>
    <w:r w:rsidRPr="005A79CA">
      <w:rPr>
        <w:rFonts w:cs="Segoe UI"/>
        <w:sz w:val="16"/>
        <w:szCs w:val="16"/>
      </w:rPr>
      <w:fldChar w:fldCharType="begin"/>
    </w:r>
    <w:r w:rsidRPr="005A79CA">
      <w:rPr>
        <w:rFonts w:cs="Segoe UI"/>
        <w:sz w:val="16"/>
        <w:szCs w:val="16"/>
      </w:rPr>
      <w:instrText xml:space="preserve"> PAGE  \* roman  \* MERGEFORMAT </w:instrText>
    </w:r>
    <w:r w:rsidRPr="005A79CA">
      <w:rPr>
        <w:rFonts w:cs="Segoe UI"/>
        <w:sz w:val="16"/>
        <w:szCs w:val="16"/>
      </w:rPr>
      <w:fldChar w:fldCharType="separate"/>
    </w:r>
    <w:r w:rsidRPr="005A79CA">
      <w:rPr>
        <w:rFonts w:cs="Segoe UI"/>
        <w:sz w:val="16"/>
        <w:szCs w:val="16"/>
      </w:rPr>
      <w:t>ii</w:t>
    </w:r>
    <w:r w:rsidRPr="005A79CA">
      <w:rPr>
        <w:rFonts w:cs="Segoe UI"/>
        <w:sz w:val="16"/>
        <w:szCs w:val="16"/>
      </w:rPr>
      <w:fldChar w:fldCharType="end"/>
    </w:r>
    <w:r w:rsidRPr="005A79CA">
      <w:rPr>
        <w:rFonts w:cs="Segoe UI"/>
        <w:sz w:val="16"/>
        <w:szCs w:val="16"/>
      </w:rPr>
      <w:t xml:space="preserve"> </w:t>
    </w:r>
    <w:r w:rsidRPr="005A79CA">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CF11" w14:textId="060E5E1F" w:rsidR="00D05A7B" w:rsidRPr="005A79CA" w:rsidRDefault="00D05A7B" w:rsidP="005C7CB8">
    <w:pPr>
      <w:pStyle w:val="Footer"/>
      <w:rPr>
        <w:rFonts w:ascii="Segoe UI Semibold" w:hAnsi="Segoe UI Semibold" w:cs="Segoe UI"/>
        <w:b/>
      </w:rPr>
    </w:pPr>
    <w:r w:rsidRPr="005A79CA">
      <w:rPr>
        <w:szCs w:val="15"/>
        <w:lang w:eastAsia="en-AU"/>
      </w:rPr>
      <w:t xml:space="preserve">Nous Group | </w:t>
    </w:r>
    <w:sdt>
      <w:sdtPr>
        <w:rPr>
          <w:szCs w:val="15"/>
          <w:lang w:eastAsia="en-AU"/>
        </w:rPr>
        <w:alias w:val="Title"/>
        <w:id w:val="-2054763014"/>
        <w:dataBinding w:prefixMappings="xmlns:ns0='http://purl.org/dc/elements/1.1/' xmlns:ns1='http://schemas.openxmlformats.org/package/2006/metadata/core-properties' " w:xpath="/ns1:coreProperties[1]/ns0:title[1]" w:storeItemID="{6C3C8BC8-F283-45AE-878A-BAB7291924A1}"/>
        <w:text/>
      </w:sdtPr>
      <w:sdtEndPr/>
      <w:sdtContent>
        <w:r w:rsidRPr="005A79CA">
          <w:rPr>
            <w:szCs w:val="15"/>
            <w:lang w:eastAsia="en-AU"/>
          </w:rPr>
          <w:t>National Stillbirth Action and Implementation Plan: Monitoring and Evaluation Framework 2022-2030</w:t>
        </w:r>
      </w:sdtContent>
    </w:sdt>
    <w:r w:rsidRPr="005A79CA">
      <w:rPr>
        <w:szCs w:val="15"/>
        <w:lang w:eastAsia="en-AU"/>
      </w:rPr>
      <w:t xml:space="preserve"> | </w:t>
    </w:r>
    <w:sdt>
      <w:sdtPr>
        <w:rPr>
          <w:szCs w:val="15"/>
          <w:lang w:eastAsia="en-AU"/>
        </w:rPr>
        <w:alias w:val="Publish Date"/>
        <w:id w:val="1374428142"/>
        <w:dataBinding w:prefixMappings="xmlns:ns0='http://schemas.microsoft.com/office/2006/coverPageProps' " w:xpath="/ns0:CoverPageProperties[1]/ns0:PublishDate[1]" w:storeItemID="{55AF091B-3C7A-41E3-B477-F2FDAA23CFDA}"/>
        <w:date w:fullDate="2022-09-01T00:00:00Z">
          <w:dateFormat w:val="d MMMM yyyy"/>
          <w:lid w:val="en-AU"/>
          <w:storeMappedDataAs w:val="dateTime"/>
          <w:calendar w:val="gregorian"/>
        </w:date>
      </w:sdtPr>
      <w:sdtEndPr/>
      <w:sdtContent>
        <w:r w:rsidR="00A42E65">
          <w:rPr>
            <w:szCs w:val="15"/>
            <w:lang w:eastAsia="en-AU"/>
          </w:rPr>
          <w:t>1 September 2022</w:t>
        </w:r>
      </w:sdtContent>
    </w:sdt>
    <w:r w:rsidRPr="005A79CA">
      <w:rPr>
        <w:rFonts w:ascii="Segoe UI Semibold" w:hAnsi="Segoe UI Semibold" w:cs="Segoe UI"/>
      </w:rPr>
      <w:ptab w:relativeTo="margin" w:alignment="right" w:leader="none"/>
    </w:r>
    <w:r w:rsidRPr="005A79CA">
      <w:rPr>
        <w:rFonts w:cs="Segoe UI"/>
      </w:rPr>
      <w:t xml:space="preserve">| </w:t>
    </w:r>
    <w:r w:rsidRPr="005A79CA">
      <w:rPr>
        <w:rFonts w:cs="Segoe UI"/>
        <w:sz w:val="16"/>
        <w:szCs w:val="16"/>
      </w:rPr>
      <w:fldChar w:fldCharType="begin"/>
    </w:r>
    <w:r w:rsidRPr="005A79CA">
      <w:rPr>
        <w:rFonts w:cs="Segoe UI"/>
        <w:sz w:val="16"/>
        <w:szCs w:val="16"/>
      </w:rPr>
      <w:instrText xml:space="preserve"> PAGE  \* roman  \* MERGEFORMAT </w:instrText>
    </w:r>
    <w:r w:rsidRPr="005A79CA">
      <w:rPr>
        <w:rFonts w:cs="Segoe UI"/>
        <w:sz w:val="16"/>
        <w:szCs w:val="16"/>
      </w:rPr>
      <w:fldChar w:fldCharType="separate"/>
    </w:r>
    <w:r w:rsidRPr="005A79CA">
      <w:rPr>
        <w:rFonts w:cs="Segoe UI"/>
        <w:sz w:val="16"/>
        <w:szCs w:val="16"/>
      </w:rPr>
      <w:t>i</w:t>
    </w:r>
    <w:r w:rsidRPr="005A79CA">
      <w:rPr>
        <w:rFonts w:cs="Segoe UI"/>
        <w:sz w:val="16"/>
        <w:szCs w:val="16"/>
      </w:rPr>
      <w:fldChar w:fldCharType="end"/>
    </w:r>
    <w:r w:rsidRPr="005A79CA">
      <w:rPr>
        <w:rFonts w:cs="Segoe UI"/>
        <w:sz w:val="16"/>
        <w:szCs w:val="16"/>
      </w:rPr>
      <w:t xml:space="preserve"> </w:t>
    </w:r>
    <w:r w:rsidRPr="005A79CA">
      <w:rPr>
        <w:rFonts w:cs="Segoe UI"/>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45E3" w14:textId="049B0EA9" w:rsidR="00B11AB3" w:rsidRPr="005A79CA" w:rsidRDefault="00B11AB3" w:rsidP="00B11AB3">
    <w:pPr>
      <w:pStyle w:val="Footer"/>
      <w:ind w:left="-142"/>
      <w:rPr>
        <w:rFonts w:cs="Segoe UI"/>
        <w:b/>
      </w:rPr>
    </w:pPr>
    <w:r w:rsidRPr="005A79CA">
      <w:rPr>
        <w:szCs w:val="15"/>
        <w:lang w:eastAsia="en-AU"/>
      </w:rPr>
      <w:t xml:space="preserve">Nous Group | </w:t>
    </w:r>
    <w:sdt>
      <w:sdtPr>
        <w:rPr>
          <w:szCs w:val="15"/>
          <w:lang w:eastAsia="en-AU"/>
        </w:rPr>
        <w:alias w:val="Title"/>
        <w:id w:val="-1231683431"/>
        <w:dataBinding w:prefixMappings="xmlns:ns0='http://purl.org/dc/elements/1.1/' xmlns:ns1='http://schemas.openxmlformats.org/package/2006/metadata/core-properties' " w:xpath="/ns1:coreProperties[1]/ns0:title[1]" w:storeItemID="{6C3C8BC8-F283-45AE-878A-BAB7291924A1}"/>
        <w:text/>
      </w:sdtPr>
      <w:sdtEndPr/>
      <w:sdtContent>
        <w:r w:rsidRPr="005A79CA">
          <w:rPr>
            <w:szCs w:val="15"/>
            <w:lang w:eastAsia="en-AU"/>
          </w:rPr>
          <w:t>National Stillbirth Action and Implementation Plan: Monitoring and Evaluation Framework 2022-2030</w:t>
        </w:r>
      </w:sdtContent>
    </w:sdt>
    <w:r w:rsidRPr="005A79CA">
      <w:rPr>
        <w:szCs w:val="15"/>
        <w:lang w:eastAsia="en-AU"/>
      </w:rPr>
      <w:t xml:space="preserve"> | </w:t>
    </w:r>
    <w:sdt>
      <w:sdtPr>
        <w:rPr>
          <w:szCs w:val="15"/>
          <w:lang w:eastAsia="en-AU"/>
        </w:rPr>
        <w:alias w:val="Publish Date"/>
        <w:id w:val="1139379511"/>
        <w:dataBinding w:prefixMappings="xmlns:ns0='http://schemas.microsoft.com/office/2006/coverPageProps' " w:xpath="/ns0:CoverPageProperties[1]/ns0:PublishDate[1]" w:storeItemID="{55AF091B-3C7A-41E3-B477-F2FDAA23CFDA}"/>
        <w:date w:fullDate="2022-09-01T00:00:00Z">
          <w:dateFormat w:val="d MMMM yyyy"/>
          <w:lid w:val="en-AU"/>
          <w:storeMappedDataAs w:val="dateTime"/>
          <w:calendar w:val="gregorian"/>
        </w:date>
      </w:sdtPr>
      <w:sdtEndPr/>
      <w:sdtContent>
        <w:r w:rsidR="00A42E65">
          <w:rPr>
            <w:szCs w:val="15"/>
            <w:lang w:eastAsia="en-AU"/>
          </w:rPr>
          <w:t>1 September 2022</w:t>
        </w:r>
      </w:sdtContent>
    </w:sdt>
    <w:r w:rsidRPr="005A79CA">
      <w:rPr>
        <w:rFonts w:ascii="Segoe UI Semibold" w:hAnsi="Segoe UI Semibold" w:cs="Segoe UI"/>
      </w:rPr>
      <w:ptab w:relativeTo="margin" w:alignment="right" w:leader="none"/>
    </w:r>
    <w:r w:rsidRPr="005A79CA">
      <w:rPr>
        <w:rFonts w:cs="Segoe UI"/>
      </w:rPr>
      <w:t xml:space="preserve">| </w:t>
    </w:r>
    <w:r w:rsidRPr="005A79CA">
      <w:rPr>
        <w:rFonts w:cs="Segoe UI"/>
        <w:sz w:val="16"/>
        <w:szCs w:val="16"/>
      </w:rPr>
      <w:fldChar w:fldCharType="begin"/>
    </w:r>
    <w:r w:rsidRPr="005A79CA">
      <w:rPr>
        <w:rFonts w:cs="Segoe UI"/>
        <w:sz w:val="16"/>
        <w:szCs w:val="16"/>
      </w:rPr>
      <w:instrText xml:space="preserve"> PAGE  \* Arabic  \* MERGEFORMAT </w:instrText>
    </w:r>
    <w:r w:rsidRPr="005A79CA">
      <w:rPr>
        <w:rFonts w:cs="Segoe UI"/>
        <w:sz w:val="16"/>
        <w:szCs w:val="16"/>
      </w:rPr>
      <w:fldChar w:fldCharType="separate"/>
    </w:r>
    <w:r w:rsidRPr="005A79CA">
      <w:rPr>
        <w:rFonts w:cs="Segoe UI"/>
        <w:sz w:val="16"/>
        <w:szCs w:val="16"/>
      </w:rPr>
      <w:t>1</w:t>
    </w:r>
    <w:r w:rsidRPr="005A79CA">
      <w:rPr>
        <w:rFonts w:cs="Segoe UI"/>
        <w:sz w:val="16"/>
        <w:szCs w:val="16"/>
      </w:rPr>
      <w:fldChar w:fldCharType="end"/>
    </w:r>
    <w:r w:rsidRPr="005A79CA">
      <w:rPr>
        <w:rFonts w:cs="Segoe UI"/>
        <w:b/>
      </w:rPr>
      <w:t xml:space="preserve"> </w:t>
    </w:r>
    <w:r w:rsidRPr="005A79CA">
      <w:rPr>
        <w:rFonts w:cs="Segoe UI"/>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E205" w14:textId="25F668AF" w:rsidR="00C0736E" w:rsidRPr="005A79CA" w:rsidRDefault="00C0736E" w:rsidP="007B34D2">
    <w:pPr>
      <w:pStyle w:val="Footer"/>
      <w:rPr>
        <w:rFonts w:cs="Segoe UI"/>
        <w:b/>
      </w:rPr>
    </w:pPr>
    <w:r w:rsidRPr="005A79CA">
      <w:rPr>
        <w:szCs w:val="15"/>
        <w:lang w:eastAsia="en-AU"/>
      </w:rPr>
      <w:t xml:space="preserve">Nous Group | </w:t>
    </w:r>
    <w:sdt>
      <w:sdtPr>
        <w:rPr>
          <w:szCs w:val="15"/>
          <w:lang w:eastAsia="en-AU"/>
        </w:rPr>
        <w:alias w:val="Title"/>
        <w:id w:val="-771852581"/>
        <w:dataBinding w:prefixMappings="xmlns:ns0='http://purl.org/dc/elements/1.1/' xmlns:ns1='http://schemas.openxmlformats.org/package/2006/metadata/core-properties' " w:xpath="/ns1:coreProperties[1]/ns0:title[1]" w:storeItemID="{6C3C8BC8-F283-45AE-878A-BAB7291924A1}"/>
        <w:text/>
      </w:sdtPr>
      <w:sdtEndPr/>
      <w:sdtContent>
        <w:r w:rsidRPr="005A79CA">
          <w:rPr>
            <w:szCs w:val="15"/>
            <w:lang w:eastAsia="en-AU"/>
          </w:rPr>
          <w:t>National Stillbirth Action and Implementation Plan: Monitoring and Evaluation Framework 2022-2030</w:t>
        </w:r>
      </w:sdtContent>
    </w:sdt>
    <w:r w:rsidRPr="005A79CA">
      <w:rPr>
        <w:szCs w:val="15"/>
        <w:lang w:eastAsia="en-AU"/>
      </w:rPr>
      <w:t xml:space="preserve"> | </w:t>
    </w:r>
    <w:sdt>
      <w:sdtPr>
        <w:rPr>
          <w:szCs w:val="15"/>
          <w:lang w:eastAsia="en-AU"/>
        </w:rPr>
        <w:alias w:val="Publish Date"/>
        <w:id w:val="-125625069"/>
        <w:dataBinding w:prefixMappings="xmlns:ns0='http://schemas.microsoft.com/office/2006/coverPageProps' " w:xpath="/ns0:CoverPageProperties[1]/ns0:PublishDate[1]" w:storeItemID="{55AF091B-3C7A-41E3-B477-F2FDAA23CFDA}"/>
        <w:date w:fullDate="2022-09-01T00:00:00Z">
          <w:dateFormat w:val="d MMMM yyyy"/>
          <w:lid w:val="en-AU"/>
          <w:storeMappedDataAs w:val="dateTime"/>
          <w:calendar w:val="gregorian"/>
        </w:date>
      </w:sdtPr>
      <w:sdtEndPr/>
      <w:sdtContent>
        <w:r w:rsidR="00A42E65">
          <w:rPr>
            <w:szCs w:val="15"/>
            <w:lang w:eastAsia="en-AU"/>
          </w:rPr>
          <w:t>1 September 2022</w:t>
        </w:r>
      </w:sdtContent>
    </w:sdt>
    <w:r w:rsidRPr="005A79CA">
      <w:rPr>
        <w:rFonts w:ascii="Segoe UI Semibold" w:hAnsi="Segoe UI Semibold" w:cs="Segoe UI"/>
      </w:rPr>
      <w:ptab w:relativeTo="margin" w:alignment="right" w:leader="none"/>
    </w:r>
    <w:r w:rsidRPr="005A79CA">
      <w:rPr>
        <w:rFonts w:cs="Segoe UI"/>
      </w:rPr>
      <w:t xml:space="preserve">| </w:t>
    </w:r>
    <w:r w:rsidRPr="005A79CA">
      <w:rPr>
        <w:rFonts w:cs="Segoe UI"/>
        <w:sz w:val="16"/>
        <w:szCs w:val="16"/>
      </w:rPr>
      <w:fldChar w:fldCharType="begin"/>
    </w:r>
    <w:r w:rsidRPr="005A79CA">
      <w:rPr>
        <w:rFonts w:cs="Segoe UI"/>
        <w:sz w:val="16"/>
        <w:szCs w:val="16"/>
      </w:rPr>
      <w:instrText xml:space="preserve"> PAGE  \* Arabic  \* MERGEFORMAT </w:instrText>
    </w:r>
    <w:r w:rsidRPr="005A79CA">
      <w:rPr>
        <w:rFonts w:cs="Segoe UI"/>
        <w:sz w:val="16"/>
        <w:szCs w:val="16"/>
      </w:rPr>
      <w:fldChar w:fldCharType="separate"/>
    </w:r>
    <w:r w:rsidRPr="005A79CA">
      <w:rPr>
        <w:rFonts w:cs="Segoe UI"/>
        <w:sz w:val="16"/>
        <w:szCs w:val="16"/>
      </w:rPr>
      <w:t>1</w:t>
    </w:r>
    <w:r w:rsidRPr="005A79CA">
      <w:rPr>
        <w:rFonts w:cs="Segoe UI"/>
        <w:sz w:val="16"/>
        <w:szCs w:val="16"/>
      </w:rPr>
      <w:fldChar w:fldCharType="end"/>
    </w:r>
    <w:r w:rsidRPr="005A79CA">
      <w:rPr>
        <w:rFonts w:cs="Segoe UI"/>
        <w:b/>
      </w:rPr>
      <w:t xml:space="preserve"> </w:t>
    </w:r>
    <w:r w:rsidRPr="005A79CA">
      <w:rPr>
        <w:rFonts w:cs="Segoe U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0F3D4" w14:textId="77777777" w:rsidR="00CB5700" w:rsidRDefault="00CB5700" w:rsidP="00302076">
      <w:pPr>
        <w:spacing w:after="0"/>
      </w:pPr>
      <w:r>
        <w:separator/>
      </w:r>
    </w:p>
  </w:footnote>
  <w:footnote w:type="continuationSeparator" w:id="0">
    <w:p w14:paraId="2BB3B83E" w14:textId="77777777" w:rsidR="00CB5700" w:rsidRDefault="00CB5700" w:rsidP="00302076">
      <w:pPr>
        <w:spacing w:after="0"/>
      </w:pPr>
      <w:r>
        <w:continuationSeparator/>
      </w:r>
    </w:p>
  </w:footnote>
  <w:footnote w:type="continuationNotice" w:id="1">
    <w:p w14:paraId="7E861A97" w14:textId="77777777" w:rsidR="00CB5700" w:rsidRDefault="00CB5700">
      <w:pPr>
        <w:spacing w:after="0"/>
      </w:pPr>
    </w:p>
  </w:footnote>
  <w:footnote w:id="2">
    <w:p w14:paraId="0AA3313E" w14:textId="73CB8BEB" w:rsidR="00D05A7B" w:rsidRPr="006E1196" w:rsidRDefault="00D05A7B">
      <w:pPr>
        <w:pStyle w:val="FootnoteText"/>
        <w:rPr>
          <w:rFonts w:ascii="Arial" w:hAnsi="Arial" w:cs="Arial"/>
        </w:rPr>
      </w:pPr>
      <w:r w:rsidRPr="006E1196">
        <w:rPr>
          <w:rStyle w:val="FootnoteReference"/>
          <w:rFonts w:ascii="Arial" w:hAnsi="Arial" w:cs="Arial"/>
        </w:rPr>
        <w:footnoteRef/>
      </w:r>
      <w:r w:rsidRPr="006E1196">
        <w:rPr>
          <w:rFonts w:ascii="Arial" w:hAnsi="Arial" w:cs="Arial"/>
        </w:rPr>
        <w:t xml:space="preserve"> Decreases in stillbirth rates occurring at 28 weeks’ gestation or more has decreased since 2000, as per AIHW (2021). Stillbirths and neonatal deaths in Australia, 2015-2016: In brief. Canberra: Australian Institute of Health and Welfare.</w:t>
      </w:r>
    </w:p>
  </w:footnote>
  <w:footnote w:id="3">
    <w:p w14:paraId="0D6DF440" w14:textId="5FDD4F9F" w:rsidR="00D05A7B" w:rsidRPr="006E1196" w:rsidRDefault="00D05A7B">
      <w:pPr>
        <w:pStyle w:val="FootnoteText"/>
        <w:rPr>
          <w:rFonts w:ascii="Arial" w:hAnsi="Arial" w:cs="Arial"/>
        </w:rPr>
      </w:pPr>
      <w:r w:rsidRPr="006E1196">
        <w:rPr>
          <w:rFonts w:ascii="Arial" w:hAnsi="Arial" w:cs="Arial"/>
          <w:vertAlign w:val="superscript"/>
        </w:rPr>
        <w:footnoteRef/>
      </w:r>
      <w:r w:rsidRPr="006E1196">
        <w:rPr>
          <w:rFonts w:ascii="Arial" w:hAnsi="Arial" w:cs="Arial"/>
          <w:vertAlign w:val="superscript"/>
        </w:rPr>
        <w:t xml:space="preserve"> </w:t>
      </w:r>
      <w:r w:rsidRPr="006E1196">
        <w:rPr>
          <w:rFonts w:ascii="Arial" w:hAnsi="Arial" w:cs="Arial"/>
        </w:rPr>
        <w:t>Flenady V, Wojcieszek AM, Middleton P et al. (2016) Stillbirths: recall to action in high-income countries. Lancet. 387(10019): 691-702.</w:t>
      </w:r>
    </w:p>
  </w:footnote>
  <w:footnote w:id="4">
    <w:p w14:paraId="4CD0BBAD" w14:textId="3B4496FD" w:rsidR="0002571C" w:rsidRPr="006E1196" w:rsidRDefault="0002571C">
      <w:pPr>
        <w:pStyle w:val="FootnoteText"/>
      </w:pPr>
      <w:r w:rsidRPr="006E1196">
        <w:rPr>
          <w:rFonts w:ascii="Arial" w:hAnsi="Arial" w:cs="Arial"/>
          <w:vertAlign w:val="superscript"/>
        </w:rPr>
        <w:footnoteRef/>
      </w:r>
      <w:r w:rsidR="001E7B35" w:rsidRPr="006E1196">
        <w:rPr>
          <w:rFonts w:ascii="Arial" w:hAnsi="Arial" w:cs="Arial"/>
        </w:rPr>
        <w:t xml:space="preserve"> Data currently available </w:t>
      </w:r>
      <w:r w:rsidR="00601992" w:rsidRPr="006E1196">
        <w:rPr>
          <w:rFonts w:ascii="Arial" w:hAnsi="Arial" w:cs="Arial"/>
        </w:rPr>
        <w:t>on</w:t>
      </w:r>
      <w:r w:rsidRPr="006E1196">
        <w:rPr>
          <w:rFonts w:ascii="Arial" w:hAnsi="Arial" w:cs="Arial"/>
        </w:rPr>
        <w:t xml:space="preserve"> CLAD groups </w:t>
      </w:r>
      <w:r w:rsidR="001E7B35" w:rsidRPr="006E1196">
        <w:rPr>
          <w:rFonts w:ascii="Arial" w:hAnsi="Arial" w:cs="Arial"/>
        </w:rPr>
        <w:t>is based around the</w:t>
      </w:r>
      <w:r w:rsidRPr="006E1196">
        <w:rPr>
          <w:rFonts w:ascii="Arial" w:hAnsi="Arial" w:cs="Arial"/>
        </w:rPr>
        <w:t xml:space="preserve"> Standard Australian Classification of Countries. As this </w:t>
      </w:r>
      <w:r w:rsidR="00C329A8" w:rsidRPr="006E1196">
        <w:rPr>
          <w:rFonts w:ascii="Arial" w:hAnsi="Arial" w:cs="Arial"/>
        </w:rPr>
        <w:t>classification</w:t>
      </w:r>
      <w:r w:rsidRPr="006E1196">
        <w:rPr>
          <w:rFonts w:ascii="Arial" w:hAnsi="Arial" w:cs="Arial"/>
        </w:rPr>
        <w:t xml:space="preserve"> does not specifically identify ethnic or linguistic diversity country of birth will be used as a proxy</w:t>
      </w:r>
      <w:r w:rsidR="001E7B35" w:rsidRPr="006E1196">
        <w:rPr>
          <w:rFonts w:ascii="Arial" w:hAnsi="Arial" w:cs="Arial"/>
        </w:rPr>
        <w:t xml:space="preserve"> measure for cultural and linguistic diversity.</w:t>
      </w:r>
    </w:p>
  </w:footnote>
  <w:footnote w:id="5">
    <w:p w14:paraId="6AEB3BB3" w14:textId="0CF63DF9" w:rsidR="00D05A7B" w:rsidRPr="006E1196" w:rsidRDefault="00D05A7B" w:rsidP="004A1D14">
      <w:pPr>
        <w:pStyle w:val="FootnoteText"/>
        <w:rPr>
          <w:rFonts w:ascii="Arial" w:hAnsi="Arial" w:cs="Arial"/>
          <w:szCs w:val="15"/>
        </w:rPr>
      </w:pPr>
      <w:r w:rsidRPr="006E1196">
        <w:rPr>
          <w:rStyle w:val="FootnoteReference"/>
          <w:rFonts w:ascii="Arial" w:hAnsi="Arial" w:cs="Arial"/>
          <w:szCs w:val="15"/>
        </w:rPr>
        <w:footnoteRef/>
      </w:r>
      <w:r w:rsidRPr="006E1196">
        <w:rPr>
          <w:rFonts w:ascii="Arial" w:hAnsi="Arial" w:cs="Arial"/>
          <w:szCs w:val="15"/>
        </w:rPr>
        <w:t xml:space="preserve"> AIHW (2021). Stillbirths and neonatal deaths in Australia, 2015-2016: In brief. Canberra: Australian Institute of Health and Welfare.</w:t>
      </w:r>
    </w:p>
  </w:footnote>
  <w:footnote w:id="6">
    <w:p w14:paraId="6BF695C7" w14:textId="77777777" w:rsidR="005B2404" w:rsidRPr="006E1196" w:rsidRDefault="005B2404" w:rsidP="005B2404">
      <w:pPr>
        <w:pStyle w:val="FootnoteText"/>
        <w:rPr>
          <w:rFonts w:ascii="Arial" w:hAnsi="Arial" w:cs="Arial"/>
        </w:rPr>
      </w:pPr>
      <w:r w:rsidRPr="006E1196">
        <w:rPr>
          <w:rStyle w:val="FootnoteReference"/>
          <w:rFonts w:ascii="Arial" w:hAnsi="Arial" w:cs="Arial"/>
        </w:rPr>
        <w:footnoteRef/>
      </w:r>
      <w:r w:rsidRPr="006E1196">
        <w:rPr>
          <w:rFonts w:ascii="Arial" w:hAnsi="Arial" w:cs="Arial"/>
        </w:rPr>
        <w:t xml:space="preserve"> Robertson, Grey (2021, October). Stillbirth statistics in Australia. Parliament of Australia. Available at: https://www.aph.gov.au/About_Parliament/Parliamentary_Departments/Parliamentary_Library/pubs/rp/rp2122/StillbirthStatisticsAustralia</w:t>
      </w:r>
    </w:p>
  </w:footnote>
  <w:footnote w:id="7">
    <w:p w14:paraId="6DDCDBE4" w14:textId="77777777" w:rsidR="005B2404" w:rsidRDefault="005B2404" w:rsidP="005B2404">
      <w:pPr>
        <w:pStyle w:val="FootnoteText"/>
      </w:pPr>
      <w:r w:rsidRPr="006E1196">
        <w:rPr>
          <w:rStyle w:val="FootnoteReference"/>
          <w:rFonts w:ascii="Arial" w:hAnsi="Arial" w:cs="Arial"/>
        </w:rPr>
        <w:footnoteRef/>
      </w:r>
      <w:r w:rsidRPr="006E1196">
        <w:rPr>
          <w:rFonts w:ascii="Arial" w:hAnsi="Arial" w:cs="Arial"/>
        </w:rPr>
        <w:t xml:space="preserve"> Ibid.</w:t>
      </w:r>
    </w:p>
  </w:footnote>
  <w:footnote w:id="8">
    <w:p w14:paraId="216F89AB" w14:textId="2F84A7D0" w:rsidR="00D05A7B" w:rsidRPr="006E1196" w:rsidRDefault="00D05A7B">
      <w:pPr>
        <w:pStyle w:val="FootnoteText"/>
        <w:rPr>
          <w:rFonts w:ascii="Arial" w:hAnsi="Arial" w:cs="Arial"/>
          <w:szCs w:val="15"/>
        </w:rPr>
      </w:pPr>
      <w:r w:rsidRPr="006E1196">
        <w:rPr>
          <w:rStyle w:val="FootnoteReference"/>
          <w:rFonts w:ascii="Arial" w:hAnsi="Arial" w:cs="Arial"/>
          <w:szCs w:val="15"/>
        </w:rPr>
        <w:footnoteRef/>
      </w:r>
      <w:r w:rsidRPr="006E1196">
        <w:rPr>
          <w:rFonts w:ascii="Arial" w:hAnsi="Arial" w:cs="Arial"/>
          <w:szCs w:val="15"/>
        </w:rPr>
        <w:t xml:space="preserve"> Department of Health</w:t>
      </w:r>
      <w:r w:rsidR="00A42E65">
        <w:rPr>
          <w:rFonts w:ascii="Arial" w:hAnsi="Arial" w:cs="Arial"/>
          <w:szCs w:val="15"/>
        </w:rPr>
        <w:t xml:space="preserve"> and Aged Care</w:t>
      </w:r>
      <w:r w:rsidRPr="006E1196">
        <w:rPr>
          <w:rFonts w:ascii="Arial" w:hAnsi="Arial" w:cs="Arial"/>
          <w:szCs w:val="15"/>
        </w:rPr>
        <w:t>. (2020, December). National Stillbirth Action and Implementation Plan. Australian of Australia. https://www.health.gov.au/sites/default/files/documents/2021/03/national-stillbirth-action-and-implementation-plan.pdf</w:t>
      </w:r>
    </w:p>
  </w:footnote>
  <w:footnote w:id="9">
    <w:p w14:paraId="2C380AB3" w14:textId="387029F8" w:rsidR="00D05A7B" w:rsidRPr="00D2572E" w:rsidRDefault="00D05A7B">
      <w:pPr>
        <w:pStyle w:val="FootnoteText"/>
        <w:rPr>
          <w:rFonts w:ascii="Arial" w:hAnsi="Arial" w:cs="Arial"/>
          <w:color w:val="808080" w:themeColor="background1" w:themeShade="80"/>
          <w:szCs w:val="15"/>
        </w:rPr>
      </w:pPr>
      <w:r w:rsidRPr="006E1196">
        <w:rPr>
          <w:rStyle w:val="FootnoteReference"/>
          <w:rFonts w:ascii="Arial" w:hAnsi="Arial" w:cs="Arial"/>
          <w:szCs w:val="15"/>
        </w:rPr>
        <w:footnoteRef/>
      </w:r>
      <w:r w:rsidRPr="006E1196">
        <w:rPr>
          <w:rFonts w:ascii="Arial" w:hAnsi="Arial" w:cs="Arial"/>
          <w:szCs w:val="15"/>
        </w:rPr>
        <w:t xml:space="preserve"> Non-government organisation (NGO)</w:t>
      </w:r>
    </w:p>
  </w:footnote>
  <w:footnote w:id="10">
    <w:p w14:paraId="65CCCE4D" w14:textId="72CD6686" w:rsidR="00D05A7B" w:rsidRPr="006E1196" w:rsidRDefault="00D05A7B">
      <w:pPr>
        <w:pStyle w:val="FootnoteText"/>
        <w:rPr>
          <w:rFonts w:ascii="Arial" w:hAnsi="Arial" w:cs="Arial"/>
          <w:szCs w:val="15"/>
        </w:rPr>
      </w:pPr>
      <w:r w:rsidRPr="006E1196">
        <w:rPr>
          <w:rStyle w:val="FootnoteReference"/>
          <w:rFonts w:ascii="Arial" w:hAnsi="Arial" w:cs="Arial"/>
          <w:szCs w:val="15"/>
        </w:rPr>
        <w:footnoteRef/>
      </w:r>
      <w:r w:rsidRPr="006E1196">
        <w:rPr>
          <w:rFonts w:ascii="Arial" w:hAnsi="Arial" w:cs="Arial"/>
          <w:szCs w:val="15"/>
        </w:rPr>
        <w:t xml:space="preserve"> COAG (2019). Woman-centred care: Strategic directions for Australian maternity services. Available at: https://www.health.gov.au/resources/publications/woman-centred-care-strategic-directions-for-australian-maternity-services</w:t>
      </w:r>
    </w:p>
  </w:footnote>
  <w:footnote w:id="11">
    <w:p w14:paraId="5B9CEF43" w14:textId="77792988" w:rsidR="00D05A7B" w:rsidRPr="006E1196" w:rsidRDefault="00D05A7B">
      <w:pPr>
        <w:pStyle w:val="FootnoteText"/>
        <w:rPr>
          <w:rFonts w:ascii="Arial" w:hAnsi="Arial" w:cs="Arial"/>
          <w:szCs w:val="15"/>
        </w:rPr>
      </w:pPr>
      <w:r w:rsidRPr="006E1196">
        <w:rPr>
          <w:rStyle w:val="FootnoteReference"/>
          <w:rFonts w:ascii="Arial" w:hAnsi="Arial" w:cs="Arial"/>
          <w:szCs w:val="15"/>
        </w:rPr>
        <w:footnoteRef/>
      </w:r>
      <w:r w:rsidRPr="006E1196">
        <w:rPr>
          <w:rFonts w:ascii="Arial" w:hAnsi="Arial" w:cs="Arial"/>
          <w:szCs w:val="15"/>
        </w:rPr>
        <w:t xml:space="preserve"> Health Ministers (2021). National Health Reform Agreement Long-term Health Reforms Roadmap. Available at: https://www.health.gov.au/sites/default/files/documents/2021/10/national-health-reform-agreement-nhra-long-term-health-reforms-roadmap_0.pdf</w:t>
      </w:r>
    </w:p>
  </w:footnote>
  <w:footnote w:id="12">
    <w:p w14:paraId="0A4EB266" w14:textId="56F7AA68" w:rsidR="00D05A7B" w:rsidRPr="006E1196" w:rsidRDefault="00D05A7B">
      <w:pPr>
        <w:pStyle w:val="FootnoteText"/>
        <w:rPr>
          <w:rFonts w:ascii="Arial" w:hAnsi="Arial" w:cs="Arial"/>
          <w:szCs w:val="15"/>
        </w:rPr>
      </w:pPr>
      <w:r w:rsidRPr="006E1196">
        <w:rPr>
          <w:rStyle w:val="FootnoteReference"/>
          <w:rFonts w:ascii="Arial" w:hAnsi="Arial" w:cs="Arial"/>
          <w:szCs w:val="15"/>
        </w:rPr>
        <w:footnoteRef/>
      </w:r>
      <w:r w:rsidRPr="006E1196">
        <w:rPr>
          <w:rFonts w:ascii="Arial" w:hAnsi="Arial" w:cs="Arial"/>
          <w:szCs w:val="15"/>
        </w:rPr>
        <w:t xml:space="preserve"> Coalition of Peaks (2020). National Agreement on Closing the Gap. Available at: https://www.closingthegap.gov.au/sites/default/files/files/national-agreement-ctg.pdf</w:t>
      </w:r>
    </w:p>
  </w:footnote>
  <w:footnote w:id="13">
    <w:p w14:paraId="6777A0DA" w14:textId="523BFD8E" w:rsidR="00D05A7B" w:rsidRPr="006E1196" w:rsidRDefault="00D05A7B">
      <w:pPr>
        <w:pStyle w:val="FootnoteText"/>
        <w:rPr>
          <w:rFonts w:ascii="Arial" w:hAnsi="Arial" w:cs="Arial"/>
          <w:szCs w:val="15"/>
        </w:rPr>
      </w:pPr>
      <w:r w:rsidRPr="006E1196">
        <w:rPr>
          <w:rStyle w:val="FootnoteReference"/>
          <w:rFonts w:ascii="Arial" w:hAnsi="Arial" w:cs="Arial"/>
          <w:szCs w:val="15"/>
        </w:rPr>
        <w:footnoteRef/>
      </w:r>
      <w:r w:rsidRPr="006E1196">
        <w:rPr>
          <w:rFonts w:ascii="Arial" w:hAnsi="Arial" w:cs="Arial"/>
          <w:szCs w:val="15"/>
        </w:rPr>
        <w:t xml:space="preserve"> Not yet published. Additional information available at: https://www.health.nsw.gov.au/kidsfamilies/MCFhealth/maternity/Pages/maternity-policy-review.aspx</w:t>
      </w:r>
    </w:p>
  </w:footnote>
  <w:footnote w:id="14">
    <w:p w14:paraId="3A27A355" w14:textId="7707BC48" w:rsidR="00D05A7B" w:rsidRPr="00D2572E" w:rsidRDefault="00D05A7B">
      <w:pPr>
        <w:pStyle w:val="FootnoteText"/>
        <w:rPr>
          <w:rFonts w:ascii="Arial" w:hAnsi="Arial" w:cs="Arial"/>
          <w:color w:val="808080" w:themeColor="background1" w:themeShade="80"/>
          <w:szCs w:val="15"/>
        </w:rPr>
      </w:pPr>
      <w:r w:rsidRPr="006E1196">
        <w:rPr>
          <w:rStyle w:val="FootnoteReference"/>
          <w:rFonts w:ascii="Arial" w:hAnsi="Arial" w:cs="Arial"/>
          <w:szCs w:val="15"/>
        </w:rPr>
        <w:footnoteRef/>
      </w:r>
      <w:r w:rsidRPr="006E1196">
        <w:rPr>
          <w:rFonts w:ascii="Arial" w:hAnsi="Arial" w:cs="Arial"/>
          <w:szCs w:val="15"/>
        </w:rPr>
        <w:t xml:space="preserve"> Victorian Department of Health (2019). Capability frameworks for Victorian maternity and newborn services. Available at: https://www.health.vic.gov.au/patient-care/maternity-and-newborn-care-in-victoria </w:t>
      </w:r>
    </w:p>
  </w:footnote>
  <w:footnote w:id="15">
    <w:p w14:paraId="1AC09286" w14:textId="77777777" w:rsidR="00D05A7B" w:rsidRPr="00D2572E" w:rsidRDefault="00D05A7B" w:rsidP="007F5AC6">
      <w:pPr>
        <w:pStyle w:val="FootnoteText"/>
        <w:rPr>
          <w:rFonts w:ascii="Arial" w:hAnsi="Arial" w:cs="Arial"/>
          <w:color w:val="808080" w:themeColor="background1" w:themeShade="80"/>
          <w:szCs w:val="15"/>
        </w:rPr>
      </w:pPr>
      <w:r w:rsidRPr="006E1196">
        <w:rPr>
          <w:rStyle w:val="FootnoteReference"/>
          <w:rFonts w:ascii="Arial" w:hAnsi="Arial" w:cs="Arial"/>
          <w:szCs w:val="15"/>
        </w:rPr>
        <w:footnoteRef/>
      </w:r>
      <w:r w:rsidRPr="006E1196">
        <w:rPr>
          <w:rFonts w:ascii="Arial" w:hAnsi="Arial" w:cs="Arial"/>
          <w:szCs w:val="15"/>
        </w:rPr>
        <w:t xml:space="preserve"> The Lancet (2016, January). </w:t>
      </w:r>
    </w:p>
  </w:footnote>
  <w:footnote w:id="16">
    <w:p w14:paraId="065AB022" w14:textId="4F9A1226" w:rsidR="00D05A7B" w:rsidRPr="00D2572E" w:rsidRDefault="00D05A7B" w:rsidP="00AC1B48">
      <w:pPr>
        <w:pStyle w:val="NousFooter"/>
        <w:rPr>
          <w:rFonts w:cs="Arial"/>
        </w:rPr>
      </w:pPr>
      <w:r w:rsidRPr="006E1196">
        <w:rPr>
          <w:rStyle w:val="FootnoteReference"/>
          <w:rFonts w:cs="Arial"/>
          <w:color w:val="auto"/>
        </w:rPr>
        <w:footnoteRef/>
      </w:r>
      <w:r w:rsidRPr="006E1196">
        <w:rPr>
          <w:rFonts w:cs="Arial"/>
          <w:color w:val="auto"/>
        </w:rPr>
        <w:t xml:space="preserve"> Contextual information taken from: Department of Health</w:t>
      </w:r>
      <w:r w:rsidR="00A42E65">
        <w:rPr>
          <w:rFonts w:cs="Arial"/>
          <w:color w:val="auto"/>
        </w:rPr>
        <w:t xml:space="preserve"> and Aged Care</w:t>
      </w:r>
      <w:r w:rsidRPr="006E1196">
        <w:rPr>
          <w:rFonts w:cs="Arial"/>
          <w:color w:val="auto"/>
        </w:rPr>
        <w:t>. (2020, December). National Stillbirth Action and Implementation Plan. Australian of Australia. https://www.health.gov.au/sites/default/files/documents/2021/03/national-stillbirth-action-and-implementation-plan.pdf</w:t>
      </w:r>
    </w:p>
  </w:footnote>
  <w:footnote w:id="17">
    <w:p w14:paraId="3AA15D6B" w14:textId="3A12858D" w:rsidR="00D05A7B" w:rsidRPr="006E1196" w:rsidRDefault="00D05A7B" w:rsidP="00D8105C">
      <w:pPr>
        <w:pStyle w:val="NousFooter"/>
        <w:rPr>
          <w:rFonts w:cs="Arial"/>
          <w:color w:val="auto"/>
        </w:rPr>
      </w:pPr>
      <w:r w:rsidRPr="006E1196">
        <w:rPr>
          <w:rStyle w:val="FootnoteReference"/>
          <w:rFonts w:cs="Arial"/>
          <w:color w:val="auto"/>
        </w:rPr>
        <w:footnoteRef/>
      </w:r>
      <w:r w:rsidRPr="006E1196">
        <w:rPr>
          <w:rFonts w:cs="Arial"/>
          <w:color w:val="auto"/>
        </w:rPr>
        <w:t xml:space="preserve"> Note that this research question includes the term ‘preventable’ to align with the overarching goal of the Plan. See the call-out box in section </w:t>
      </w:r>
      <w:r w:rsidRPr="006E1196">
        <w:rPr>
          <w:rFonts w:cs="Arial"/>
          <w:color w:val="auto"/>
        </w:rPr>
        <w:fldChar w:fldCharType="begin"/>
      </w:r>
      <w:r w:rsidRPr="006E1196">
        <w:rPr>
          <w:rFonts w:cs="Arial"/>
          <w:color w:val="auto"/>
        </w:rPr>
        <w:instrText xml:space="preserve"> REF _Ref88565108 \w \h  \* MERGEFORMAT </w:instrText>
      </w:r>
      <w:r w:rsidRPr="006E1196">
        <w:rPr>
          <w:rFonts w:cs="Arial"/>
          <w:color w:val="auto"/>
        </w:rPr>
      </w:r>
      <w:r w:rsidRPr="006E1196">
        <w:rPr>
          <w:rFonts w:cs="Arial"/>
          <w:color w:val="auto"/>
        </w:rPr>
        <w:fldChar w:fldCharType="separate"/>
      </w:r>
      <w:r w:rsidR="00CF19E2" w:rsidRPr="006E1196">
        <w:rPr>
          <w:rFonts w:cs="Arial"/>
          <w:color w:val="auto"/>
        </w:rPr>
        <w:t>1.1</w:t>
      </w:r>
      <w:r w:rsidRPr="006E1196">
        <w:rPr>
          <w:rFonts w:cs="Arial"/>
          <w:color w:val="auto"/>
        </w:rPr>
        <w:fldChar w:fldCharType="end"/>
      </w:r>
      <w:r w:rsidRPr="006E1196">
        <w:rPr>
          <w:rFonts w:cs="Arial"/>
          <w:color w:val="auto"/>
        </w:rPr>
        <w:t xml:space="preserve"> for further detail on the monitoring and evaluation’s consideration of preventability.</w:t>
      </w:r>
    </w:p>
  </w:footnote>
  <w:footnote w:id="18">
    <w:p w14:paraId="0993AB61" w14:textId="77777777" w:rsidR="00133B7C" w:rsidRPr="00F24768" w:rsidRDefault="00133B7C" w:rsidP="00133B7C">
      <w:pPr>
        <w:pStyle w:val="FootnoteText"/>
        <w:rPr>
          <w:rFonts w:ascii="Arial" w:hAnsi="Arial" w:cs="Arial"/>
        </w:rPr>
      </w:pPr>
      <w:r w:rsidRPr="006E1196">
        <w:rPr>
          <w:rStyle w:val="FootnoteReference"/>
          <w:rFonts w:ascii="Arial" w:hAnsi="Arial" w:cs="Arial"/>
        </w:rPr>
        <w:footnoteRef/>
      </w:r>
      <w:r w:rsidRPr="006E1196">
        <w:rPr>
          <w:rFonts w:ascii="Arial" w:hAnsi="Arial" w:cs="Arial"/>
        </w:rPr>
        <w:t xml:space="preserve"> AIHW (2019). Stillbirths and neonatal deaths in Australia, 2015-2016: In brief. Canberra: Australian Institute of Health and Welfare.</w:t>
      </w:r>
    </w:p>
  </w:footnote>
  <w:footnote w:id="19">
    <w:p w14:paraId="6D8A5153" w14:textId="56E11A5C" w:rsidR="00D05A7B" w:rsidRPr="006E1196" w:rsidRDefault="00D05A7B">
      <w:pPr>
        <w:pStyle w:val="FootnoteText"/>
        <w:rPr>
          <w:rFonts w:ascii="Arial" w:hAnsi="Arial" w:cs="Arial"/>
          <w:sz w:val="14"/>
          <w:szCs w:val="14"/>
        </w:rPr>
      </w:pPr>
      <w:r w:rsidRPr="006E1196">
        <w:rPr>
          <w:rStyle w:val="FootnoteReference"/>
          <w:rFonts w:ascii="Arial" w:hAnsi="Arial" w:cs="Arial"/>
          <w:sz w:val="14"/>
          <w:szCs w:val="14"/>
        </w:rPr>
        <w:footnoteRef/>
      </w:r>
      <w:r w:rsidRPr="006E1196">
        <w:rPr>
          <w:rFonts w:ascii="Arial" w:hAnsi="Arial" w:cs="Arial"/>
          <w:sz w:val="14"/>
          <w:szCs w:val="14"/>
        </w:rPr>
        <w:t xml:space="preserve"> </w:t>
      </w:r>
      <w:r w:rsidRPr="006E1196">
        <w:rPr>
          <w:rFonts w:ascii="Arial" w:hAnsi="Arial" w:cs="Arial"/>
          <w:sz w:val="14"/>
          <w:szCs w:val="14"/>
          <w:lang w:eastAsia="en-AU"/>
        </w:rPr>
        <w:t>Both continuity of care and continuity of carer are included as per the Women-centred care: Strategic Directions for Australian Maternity Services. Continuity of care involves shared understanding of care pathways by all health professionals involved in a women’s care, with the aim of reducing fragmented care and conflicting advice. Continuity of carer means care provided, over the full length of the episode of care by the same named carer.</w:t>
      </w:r>
    </w:p>
  </w:footnote>
  <w:footnote w:id="20">
    <w:p w14:paraId="4295E8C7" w14:textId="136098CD" w:rsidR="00D05A7B" w:rsidRPr="006E1196" w:rsidRDefault="00D05A7B">
      <w:pPr>
        <w:pStyle w:val="FootnoteText"/>
        <w:rPr>
          <w:rFonts w:ascii="Arial" w:hAnsi="Arial" w:cs="Arial"/>
          <w:sz w:val="14"/>
          <w:szCs w:val="14"/>
        </w:rPr>
      </w:pPr>
      <w:r w:rsidRPr="006E1196">
        <w:rPr>
          <w:rStyle w:val="FootnoteReference"/>
          <w:rFonts w:ascii="Arial" w:hAnsi="Arial" w:cs="Arial"/>
          <w:sz w:val="14"/>
          <w:szCs w:val="14"/>
        </w:rPr>
        <w:footnoteRef/>
      </w:r>
      <w:r w:rsidRPr="006E1196">
        <w:rPr>
          <w:rFonts w:ascii="Arial" w:hAnsi="Arial" w:cs="Arial"/>
          <w:sz w:val="14"/>
          <w:szCs w:val="14"/>
        </w:rPr>
        <w:t xml:space="preserve"> NICE guidelines and the Department of Health</w:t>
      </w:r>
      <w:r w:rsidR="00A42E65">
        <w:rPr>
          <w:rFonts w:ascii="Arial" w:hAnsi="Arial" w:cs="Arial"/>
          <w:sz w:val="14"/>
          <w:szCs w:val="14"/>
        </w:rPr>
        <w:t xml:space="preserve"> and Aged Care</w:t>
      </w:r>
      <w:r w:rsidRPr="006E1196">
        <w:rPr>
          <w:rFonts w:ascii="Arial" w:hAnsi="Arial" w:cs="Arial"/>
          <w:sz w:val="14"/>
          <w:szCs w:val="14"/>
        </w:rPr>
        <w:t>’s 2020 Australian Pregnancy Care Guidelines recommend first-time mothers with uncomplicated pregnancy have 10 antenatal visits and 7 visits for subsequent uncomplicated pregnancies.</w:t>
      </w:r>
    </w:p>
  </w:footnote>
  <w:footnote w:id="21">
    <w:p w14:paraId="57C9AF82" w14:textId="345B2AF2" w:rsidR="00D05A7B" w:rsidRPr="006E1196" w:rsidRDefault="00D05A7B" w:rsidP="00A4279E">
      <w:pPr>
        <w:pStyle w:val="NousFooter"/>
        <w:rPr>
          <w:rFonts w:cs="Arial"/>
          <w:color w:val="auto"/>
          <w:sz w:val="14"/>
          <w:szCs w:val="14"/>
        </w:rPr>
      </w:pPr>
      <w:r w:rsidRPr="006E1196">
        <w:rPr>
          <w:rStyle w:val="FootnoteReference"/>
          <w:rFonts w:cs="Arial"/>
          <w:color w:val="auto"/>
          <w:sz w:val="14"/>
          <w:szCs w:val="14"/>
        </w:rPr>
        <w:footnoteRef/>
      </w:r>
      <w:r w:rsidRPr="006E1196">
        <w:rPr>
          <w:rFonts w:cs="Arial"/>
          <w:color w:val="auto"/>
          <w:sz w:val="14"/>
          <w:szCs w:val="14"/>
        </w:rPr>
        <w:t xml:space="preserve"> A targeted cohort service is defined as a health or maternity service that is specifically designed to provide care to specific cohorts. Examples include Aboriginal Medical Services, including Aboriginal Community Controlled Health Organisations, and antenatal care programs specifically designed for adolescents or women who have previously experienced loss. An example would be Aboriginal Medical Services, including Aboriginal Community Controlled Health Organisations, that receive funding from the Indigenous Australians’ Health Programme. Other examples may include antenatal care programs specifically designed for adolescents or women who have previously experienced loss. </w:t>
      </w:r>
    </w:p>
  </w:footnote>
  <w:footnote w:id="22">
    <w:p w14:paraId="26A382D5" w14:textId="0513B40B" w:rsidR="00D05A7B" w:rsidRPr="006E1196" w:rsidRDefault="00D05A7B">
      <w:pPr>
        <w:pStyle w:val="FootnoteText"/>
        <w:rPr>
          <w:rFonts w:ascii="Arial" w:hAnsi="Arial" w:cs="Arial"/>
          <w:sz w:val="14"/>
          <w:szCs w:val="14"/>
        </w:rPr>
      </w:pPr>
      <w:r w:rsidRPr="006E1196">
        <w:rPr>
          <w:rStyle w:val="FootnoteReference"/>
          <w:rFonts w:ascii="Arial" w:hAnsi="Arial" w:cs="Arial"/>
          <w:sz w:val="14"/>
          <w:szCs w:val="14"/>
        </w:rPr>
        <w:footnoteRef/>
      </w:r>
      <w:r w:rsidRPr="006E1196">
        <w:rPr>
          <w:rFonts w:ascii="Arial" w:hAnsi="Arial" w:cs="Arial"/>
          <w:sz w:val="14"/>
          <w:szCs w:val="14"/>
        </w:rPr>
        <w:t xml:space="preserve"> Reach considers the intended collective geographic distribution of publicly funded awareness programs and intended audiences. It is out of scope for the national evaluation to measure reach of individual programs so we will be reliant on implementers providing program specific evaluations/ monitoring information about the intended and achieved reach of their awareness programs to develop a collective view for the national evaluation.</w:t>
      </w:r>
    </w:p>
  </w:footnote>
  <w:footnote w:id="23">
    <w:p w14:paraId="70F29D59" w14:textId="02DA43D6" w:rsidR="00D05A7B" w:rsidRPr="006E1196" w:rsidRDefault="00D05A7B" w:rsidP="00A46F35">
      <w:pPr>
        <w:pStyle w:val="NousFooter"/>
        <w:rPr>
          <w:rFonts w:cs="Arial"/>
          <w:color w:val="auto"/>
          <w:sz w:val="14"/>
          <w:szCs w:val="14"/>
        </w:rPr>
      </w:pPr>
      <w:r w:rsidRPr="006E1196">
        <w:rPr>
          <w:rStyle w:val="FootnoteReference"/>
          <w:rFonts w:cs="Arial"/>
          <w:color w:val="auto"/>
          <w:sz w:val="14"/>
          <w:szCs w:val="14"/>
        </w:rPr>
        <w:footnoteRef/>
      </w:r>
      <w:r w:rsidRPr="006E1196">
        <w:rPr>
          <w:rFonts w:cs="Arial"/>
          <w:color w:val="auto"/>
          <w:sz w:val="14"/>
          <w:szCs w:val="14"/>
        </w:rPr>
        <w:t xml:space="preserve"> Investigation here includes maternal and pregnancy history, test for fetal to maternal haemorrhage, diagnostic imaging and external examination of the baby including clinical photographs of the baby, full and limited autopsy, macroscopic examination of the placenta and cord, placental histopathology and cytogenetics.</w:t>
      </w:r>
    </w:p>
  </w:footnote>
  <w:footnote w:id="24">
    <w:p w14:paraId="22065D6F" w14:textId="2BBCC348" w:rsidR="00D05A7B" w:rsidRPr="006E1196" w:rsidRDefault="00D05A7B" w:rsidP="00644E5F">
      <w:pPr>
        <w:pStyle w:val="NousFooter"/>
        <w:rPr>
          <w:rFonts w:cs="Arial"/>
          <w:color w:val="auto"/>
          <w:sz w:val="14"/>
          <w:szCs w:val="14"/>
        </w:rPr>
      </w:pPr>
      <w:r w:rsidRPr="006E1196">
        <w:rPr>
          <w:rStyle w:val="FootnoteReference"/>
          <w:rFonts w:cs="Arial"/>
          <w:color w:val="auto"/>
          <w:sz w:val="14"/>
          <w:szCs w:val="14"/>
        </w:rPr>
        <w:footnoteRef/>
      </w:r>
      <w:r w:rsidRPr="006E1196">
        <w:rPr>
          <w:rFonts w:cs="Arial"/>
          <w:color w:val="auto"/>
          <w:sz w:val="14"/>
          <w:szCs w:val="14"/>
        </w:rPr>
        <w:t xml:space="preserve"> As above.</w:t>
      </w:r>
    </w:p>
  </w:footnote>
  <w:footnote w:id="25">
    <w:p w14:paraId="6391DBAB" w14:textId="2F5A4EB2" w:rsidR="00D05A7B" w:rsidRPr="006E1196" w:rsidRDefault="00D05A7B" w:rsidP="00657069">
      <w:pPr>
        <w:pStyle w:val="NousFooter"/>
        <w:rPr>
          <w:rFonts w:cs="Arial"/>
          <w:color w:val="auto"/>
          <w:sz w:val="14"/>
          <w:szCs w:val="14"/>
        </w:rPr>
      </w:pPr>
      <w:r w:rsidRPr="006E1196">
        <w:rPr>
          <w:rStyle w:val="FootnoteReference"/>
          <w:rFonts w:cs="Arial"/>
          <w:color w:val="auto"/>
          <w:sz w:val="14"/>
          <w:szCs w:val="14"/>
        </w:rPr>
        <w:footnoteRef/>
      </w:r>
      <w:r w:rsidRPr="006E1196">
        <w:rPr>
          <w:rFonts w:cs="Arial"/>
          <w:color w:val="auto"/>
          <w:sz w:val="14"/>
          <w:szCs w:val="14"/>
        </w:rPr>
        <w:t xml:space="preserve"> It is important to note that the rate of unexplained stillbirths will never drop to zero as there are instances where no contributory factor was sufficient enough to be considered cause of death.</w:t>
      </w:r>
    </w:p>
  </w:footnote>
  <w:footnote w:id="26">
    <w:p w14:paraId="78A1E1DC" w14:textId="148E66EA" w:rsidR="00D05A7B" w:rsidRDefault="00D05A7B">
      <w:pPr>
        <w:pStyle w:val="FootnoteText"/>
      </w:pPr>
      <w:r w:rsidRPr="006E1196">
        <w:rPr>
          <w:rStyle w:val="FootnoteReference"/>
          <w:rFonts w:ascii="Arial" w:hAnsi="Arial" w:cs="Arial"/>
          <w:sz w:val="14"/>
          <w:szCs w:val="14"/>
        </w:rPr>
        <w:footnoteRef/>
      </w:r>
      <w:r w:rsidRPr="006E1196">
        <w:rPr>
          <w:rFonts w:ascii="Arial" w:hAnsi="Arial" w:cs="Arial"/>
          <w:sz w:val="14"/>
          <w:szCs w:val="14"/>
        </w:rPr>
        <w:t xml:space="preserve"> Timely access to data on stillbirth is essential to reduce Australia’s stillbirth rate. This indicator will consider the length of time taken between when a stillbirth occurs to logging the cause of death, the length of time taken between logged cause of death and when the data is sent to AIHW, and the length of time between data received by the AIHW and publication.</w:t>
      </w:r>
    </w:p>
  </w:footnote>
  <w:footnote w:id="27">
    <w:p w14:paraId="00997DA1" w14:textId="170EF819" w:rsidR="00D05A7B" w:rsidRPr="00D2572E" w:rsidRDefault="00D05A7B" w:rsidP="00982289">
      <w:pPr>
        <w:pStyle w:val="NousFooter"/>
        <w:rPr>
          <w:rFonts w:cs="Arial"/>
        </w:rPr>
      </w:pPr>
      <w:r w:rsidRPr="006E1196">
        <w:rPr>
          <w:rStyle w:val="FootnoteReference"/>
          <w:rFonts w:cs="Arial"/>
          <w:color w:val="auto"/>
        </w:rPr>
        <w:footnoteRef/>
      </w:r>
      <w:r w:rsidRPr="006E1196">
        <w:rPr>
          <w:rFonts w:cs="Arial"/>
          <w:color w:val="auto"/>
        </w:rPr>
        <w:t xml:space="preserve"> Note that some existing datasets do not have national coverage or are not representative of the target cohorts of the Plan. These datasets can instead be used to inform de-identified case studies.</w:t>
      </w:r>
    </w:p>
  </w:footnote>
  <w:footnote w:id="28">
    <w:p w14:paraId="6590E5E3" w14:textId="4A3C687F" w:rsidR="00D05A7B" w:rsidRPr="00D2572E" w:rsidRDefault="00D05A7B">
      <w:pPr>
        <w:pStyle w:val="FootnoteText"/>
        <w:rPr>
          <w:rFonts w:ascii="Arial" w:hAnsi="Arial" w:cs="Arial"/>
          <w:color w:val="808080" w:themeColor="background1" w:themeShade="80"/>
          <w:szCs w:val="15"/>
        </w:rPr>
      </w:pPr>
      <w:r w:rsidRPr="006E1196">
        <w:rPr>
          <w:rStyle w:val="FootnoteReference"/>
          <w:rFonts w:ascii="Arial" w:hAnsi="Arial" w:cs="Arial"/>
          <w:szCs w:val="15"/>
        </w:rPr>
        <w:footnoteRef/>
      </w:r>
      <w:r w:rsidRPr="006E1196">
        <w:rPr>
          <w:rFonts w:ascii="Arial" w:hAnsi="Arial" w:cs="Arial"/>
          <w:szCs w:val="15"/>
        </w:rPr>
        <w:t xml:space="preserve"> The timing provided in Figure 7 are when reports will be submitted to the Department, after which the Department will have responsibility for publication.  </w:t>
      </w:r>
    </w:p>
  </w:footnote>
  <w:footnote w:id="29">
    <w:p w14:paraId="62CE0A24" w14:textId="77777777" w:rsidR="00D05A7B" w:rsidRPr="00D2572E" w:rsidRDefault="00D05A7B" w:rsidP="00CC68E6">
      <w:pPr>
        <w:pStyle w:val="FootnoteText"/>
        <w:rPr>
          <w:rFonts w:ascii="Arial" w:hAnsi="Arial" w:cs="Arial"/>
          <w:color w:val="808080" w:themeColor="background1" w:themeShade="80"/>
          <w:szCs w:val="15"/>
        </w:rPr>
      </w:pPr>
      <w:r w:rsidRPr="006E1196">
        <w:rPr>
          <w:rStyle w:val="FootnoteReference"/>
          <w:rFonts w:ascii="Arial" w:hAnsi="Arial" w:cs="Arial"/>
          <w:szCs w:val="15"/>
        </w:rPr>
        <w:footnoteRef/>
      </w:r>
      <w:r w:rsidRPr="006E1196">
        <w:rPr>
          <w:rFonts w:ascii="Arial" w:hAnsi="Arial" w:cs="Arial"/>
          <w:szCs w:val="15"/>
        </w:rPr>
        <w:t xml:space="preserve"> To allow for international comparison the Plan considers stillbirth to be from 28 weeks gestation, as defined by the Lancet 2016 Series. </w:t>
      </w:r>
    </w:p>
  </w:footnote>
  <w:footnote w:id="30">
    <w:p w14:paraId="5416190B" w14:textId="1BE0E427" w:rsidR="00D05A7B" w:rsidRPr="00D2572E" w:rsidRDefault="00D05A7B">
      <w:pPr>
        <w:pStyle w:val="FootnoteText"/>
        <w:rPr>
          <w:rFonts w:ascii="Arial" w:hAnsi="Arial" w:cs="Arial"/>
          <w:color w:val="808080" w:themeColor="background1" w:themeShade="80"/>
          <w:szCs w:val="15"/>
        </w:rPr>
      </w:pPr>
      <w:r w:rsidRPr="006E1196">
        <w:rPr>
          <w:rStyle w:val="FootnoteReference"/>
          <w:rFonts w:ascii="Arial" w:hAnsi="Arial" w:cs="Arial"/>
          <w:szCs w:val="15"/>
        </w:rPr>
        <w:footnoteRef/>
      </w:r>
      <w:r w:rsidRPr="006E1196">
        <w:rPr>
          <w:rFonts w:ascii="Arial" w:hAnsi="Arial" w:cs="Arial"/>
          <w:szCs w:val="15"/>
        </w:rPr>
        <w:t xml:space="preserve"> Note: This table should be treated as an example as it does not accurately represent current implementation progress against all tasks. This will be updated in annual reports.</w:t>
      </w:r>
    </w:p>
  </w:footnote>
  <w:footnote w:id="31">
    <w:p w14:paraId="094B8B9A" w14:textId="6E5BE9D8" w:rsidR="00D05A7B" w:rsidRPr="00D2572E" w:rsidRDefault="00D05A7B" w:rsidP="00AC1B48">
      <w:pPr>
        <w:pStyle w:val="NousFooter"/>
        <w:rPr>
          <w:rFonts w:cs="Arial"/>
        </w:rPr>
      </w:pPr>
      <w:r w:rsidRPr="006E1196">
        <w:rPr>
          <w:rStyle w:val="FootnoteReference"/>
          <w:rFonts w:cs="Arial"/>
          <w:color w:val="auto"/>
        </w:rPr>
        <w:footnoteRef/>
      </w:r>
      <w:r w:rsidRPr="006E1196">
        <w:rPr>
          <w:rFonts w:cs="Arial"/>
          <w:color w:val="auto"/>
        </w:rPr>
        <w:t xml:space="preserve"> Investigation here includes: maternal and pregnancy history, test for fetal to maternal haemorrhage, diagnostic imaging and external examination of the baby including clinical photographs of the baby, full and limited autopsy, macroscopic examination of the placenta and cord, placental histopathology and cytogenetics.</w:t>
      </w:r>
    </w:p>
  </w:footnote>
  <w:footnote w:id="32">
    <w:p w14:paraId="6AD9888F" w14:textId="531DFAA2" w:rsidR="00D05A7B" w:rsidRPr="006E1196" w:rsidRDefault="00D05A7B" w:rsidP="00AC1B48">
      <w:pPr>
        <w:pStyle w:val="NousFooter"/>
        <w:rPr>
          <w:rFonts w:cs="Arial"/>
          <w:color w:val="auto"/>
        </w:rPr>
      </w:pPr>
      <w:r w:rsidRPr="006E1196">
        <w:rPr>
          <w:rStyle w:val="FootnoteReference"/>
          <w:rFonts w:cs="Arial"/>
          <w:color w:val="auto"/>
        </w:rPr>
        <w:footnoteRef/>
      </w:r>
      <w:r w:rsidRPr="006E1196">
        <w:rPr>
          <w:rFonts w:cs="Arial"/>
          <w:color w:val="auto"/>
        </w:rPr>
        <w:t xml:space="preserve"> Investigation here includes: maternal and pregnancy history, test for fetal to maternal haemorrhage, diagnostic imaging and external examination of the baby including clinical photographs of the baby, full and limited autopsy, macroscopic examination of the placenta and cord, placental histopathology and cytogenetics.</w:t>
      </w:r>
    </w:p>
  </w:footnote>
  <w:footnote w:id="33">
    <w:p w14:paraId="0EB4D885" w14:textId="7C58AA9C" w:rsidR="00D05A7B" w:rsidRPr="00D2572E" w:rsidRDefault="00D05A7B" w:rsidP="009F0537">
      <w:pPr>
        <w:pStyle w:val="NousFooter"/>
        <w:rPr>
          <w:rFonts w:cs="Arial"/>
        </w:rPr>
      </w:pPr>
      <w:r w:rsidRPr="006E1196">
        <w:rPr>
          <w:rStyle w:val="FootnoteReference"/>
          <w:rFonts w:cs="Arial"/>
          <w:color w:val="auto"/>
        </w:rPr>
        <w:footnoteRef/>
      </w:r>
      <w:r w:rsidRPr="006E1196">
        <w:rPr>
          <w:rFonts w:cs="Arial"/>
          <w:color w:val="auto"/>
        </w:rPr>
        <w:t xml:space="preserve"> For an investigation to be considered adequate, all core investigations and the relevant sequential and/or selective procedures as recommended by the PSANZ guidelines should be undertaken until a cause of stillbirth has been identified or the available investigation procedures are exhausted.</w:t>
      </w:r>
    </w:p>
  </w:footnote>
  <w:footnote w:id="34">
    <w:p w14:paraId="148C62A7" w14:textId="19C58A13" w:rsidR="00D05A7B" w:rsidRPr="006E1196" w:rsidRDefault="00D05A7B">
      <w:pPr>
        <w:pStyle w:val="FootnoteText"/>
        <w:rPr>
          <w:rFonts w:ascii="Arial" w:hAnsi="Arial" w:cs="Arial"/>
        </w:rPr>
      </w:pPr>
      <w:r w:rsidRPr="006E1196">
        <w:rPr>
          <w:rStyle w:val="FootnoteReference"/>
          <w:rFonts w:ascii="Arial" w:hAnsi="Arial" w:cs="Arial"/>
        </w:rPr>
        <w:footnoteRef/>
      </w:r>
      <w:r w:rsidRPr="006E1196">
        <w:rPr>
          <w:rFonts w:ascii="Arial" w:hAnsi="Arial" w:cs="Arial"/>
        </w:rPr>
        <w:t xml:space="preserve"> At this time, there are no nationally agreed stillbirth research priority areas. These are to be considered by the National Stillbirth IOG in 2022.</w:t>
      </w:r>
    </w:p>
  </w:footnote>
  <w:footnote w:id="35">
    <w:p w14:paraId="1B8A83CF" w14:textId="77777777" w:rsidR="00D05A7B" w:rsidRPr="00D2572E" w:rsidRDefault="00D05A7B" w:rsidP="00412D8F">
      <w:pPr>
        <w:pStyle w:val="FootnoteText"/>
        <w:rPr>
          <w:rFonts w:ascii="Arial" w:hAnsi="Arial" w:cs="Arial"/>
          <w:color w:val="808080" w:themeColor="background1" w:themeShade="80"/>
          <w:szCs w:val="15"/>
        </w:rPr>
      </w:pPr>
      <w:r w:rsidRPr="006E1196">
        <w:rPr>
          <w:rStyle w:val="FootnoteReference"/>
          <w:rFonts w:ascii="Arial" w:hAnsi="Arial" w:cs="Arial"/>
          <w:szCs w:val="15"/>
        </w:rPr>
        <w:footnoteRef/>
      </w:r>
      <w:r w:rsidRPr="006E1196">
        <w:rPr>
          <w:rFonts w:ascii="Arial" w:hAnsi="Arial" w:cs="Arial"/>
          <w:szCs w:val="15"/>
        </w:rPr>
        <w:t xml:space="preserve"> Hanney SR, Castle-Clarke S, Grant J, et al. How long does biomedical research take? Studying the time taken between biomedical and health research and its translation into products, policy, and practice. Health Res Policy Syst. 2015; 13:1.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8DDC" w14:textId="2301AC10" w:rsidR="00D05A7B" w:rsidRDefault="00D05A7B">
    <w:pPr>
      <w:pStyle w:val="Header"/>
    </w:pPr>
    <w:r>
      <w:rPr>
        <w:noProof/>
        <w:szCs w:val="20"/>
        <w:lang w:eastAsia="en-AU"/>
      </w:rPr>
      <w:drawing>
        <wp:inline distT="0" distB="0" distL="0" distR="0" wp14:anchorId="7589F387" wp14:editId="65337989">
          <wp:extent cx="7559749" cy="116958"/>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B7F9" w14:textId="4396A184" w:rsidR="00D05A7B" w:rsidRDefault="00D05A7B" w:rsidP="000B131D">
    <w:pPr>
      <w:pStyle w:val="Header"/>
      <w:tabs>
        <w:tab w:val="clear" w:pos="4513"/>
        <w:tab w:val="clear" w:pos="9026"/>
        <w:tab w:val="left" w:pos="175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691D" w14:textId="51175A99" w:rsidR="00D05A7B" w:rsidRDefault="00D05A7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2126" w14:textId="742E33D1" w:rsidR="00D05A7B" w:rsidRDefault="00D05A7B" w:rsidP="000B131D">
    <w:pPr>
      <w:pStyle w:val="Header"/>
      <w:tabs>
        <w:tab w:val="clear" w:pos="4513"/>
        <w:tab w:val="clear" w:pos="9026"/>
        <w:tab w:val="left" w:pos="175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9A53" w14:textId="77777777" w:rsidR="00D05A7B" w:rsidRPr="00ED2B74" w:rsidRDefault="00D05A7B" w:rsidP="00ED2B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F605" w14:textId="77777777" w:rsidR="00D05A7B" w:rsidRPr="00060280" w:rsidRDefault="00D05A7B" w:rsidP="000602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7B2" w14:textId="77777777" w:rsidR="00D05A7B" w:rsidRDefault="00D05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64AA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4000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0880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70C9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3C4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C691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A86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200F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3E7D1E"/>
    <w:lvl w:ilvl="0">
      <w:start w:val="1"/>
      <w:numFmt w:val="decimal"/>
      <w:lvlText w:val="%1."/>
      <w:lvlJc w:val="left"/>
      <w:pPr>
        <w:tabs>
          <w:tab w:val="num" w:pos="360"/>
        </w:tabs>
        <w:ind w:left="360" w:hanging="360"/>
      </w:pPr>
    </w:lvl>
  </w:abstractNum>
  <w:abstractNum w:abstractNumId="9" w15:restartNumberingAfterBreak="0">
    <w:nsid w:val="001315F3"/>
    <w:multiLevelType w:val="multilevel"/>
    <w:tmpl w:val="F2D8D162"/>
    <w:numStyleLink w:val="TableexpListnumberedmultilevel"/>
  </w:abstractNum>
  <w:abstractNum w:abstractNumId="10" w15:restartNumberingAfterBreak="0">
    <w:nsid w:val="03EF19F0"/>
    <w:multiLevelType w:val="hybridMultilevel"/>
    <w:tmpl w:val="C6E86864"/>
    <w:lvl w:ilvl="0" w:tplc="3CE69AF8">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89A31A2"/>
    <w:multiLevelType w:val="multilevel"/>
    <w:tmpl w:val="7B168C6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859" w:hanging="576"/>
      </w:p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5C5D2B"/>
    <w:multiLevelType w:val="hybridMultilevel"/>
    <w:tmpl w:val="1F44C64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16E86C46"/>
    <w:multiLevelType w:val="hybridMultilevel"/>
    <w:tmpl w:val="107E02DC"/>
    <w:lvl w:ilvl="0" w:tplc="AAC6D992">
      <w:start w:val="1"/>
      <w:numFmt w:val="bullet"/>
      <w:pStyle w:val="PolicyStatemen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1AA13D2D"/>
    <w:multiLevelType w:val="multilevel"/>
    <w:tmpl w:val="F2D8D162"/>
    <w:styleLink w:val="Tableexp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6" w15:restartNumberingAfterBreak="0">
    <w:nsid w:val="25585A07"/>
    <w:multiLevelType w:val="hybridMultilevel"/>
    <w:tmpl w:val="1100B23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263B5C40"/>
    <w:multiLevelType w:val="hybridMultilevel"/>
    <w:tmpl w:val="77B016C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D5A0D96"/>
    <w:multiLevelType w:val="hybridMultilevel"/>
    <w:tmpl w:val="0BB695D6"/>
    <w:styleLink w:val="Listnumberedmultilevel"/>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6C346F"/>
    <w:multiLevelType w:val="hybridMultilevel"/>
    <w:tmpl w:val="41A6017E"/>
    <w:lvl w:ilvl="0" w:tplc="BFCEFC92">
      <w:start w:val="1"/>
      <w:numFmt w:val="bullet"/>
      <w:pStyle w:val="Vision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40485C"/>
    <w:multiLevelType w:val="hybridMultilevel"/>
    <w:tmpl w:val="5BB24FD0"/>
    <w:lvl w:ilvl="0" w:tplc="70D05F04">
      <w:start w:val="1"/>
      <w:numFmt w:val="bullet"/>
      <w:lvlText w:val=""/>
      <w:lvlJc w:val="left"/>
      <w:pPr>
        <w:ind w:left="720" w:hanging="360"/>
      </w:pPr>
      <w:rPr>
        <w:rFonts w:ascii="Symbol" w:hAnsi="Symbol" w:hint="default"/>
        <w:color w:val="3581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2D95"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15:restartNumberingAfterBreak="0">
    <w:nsid w:val="3BB14386"/>
    <w:multiLevelType w:val="hybridMultilevel"/>
    <w:tmpl w:val="5B2E72C2"/>
    <w:lvl w:ilvl="0" w:tplc="E6F6F9DA">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EEEEEE"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CD1F27"/>
    <w:multiLevelType w:val="hybridMultilevel"/>
    <w:tmpl w:val="EB78E2F6"/>
    <w:lvl w:ilvl="0" w:tplc="E6F6F9DA">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EEEEEE"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EEEEEE" w:themeColor="background2"/>
      </w:rPr>
    </w:lvl>
    <w:lvl w:ilvl="1">
      <w:start w:val="1"/>
      <w:numFmt w:val="bullet"/>
      <w:lvlText w:val=""/>
      <w:lvlJc w:val="left"/>
      <w:pPr>
        <w:ind w:left="720" w:hanging="363"/>
      </w:pPr>
      <w:rPr>
        <w:rFonts w:ascii="Symbol" w:hAnsi="Symbol" w:hint="default"/>
        <w:color w:val="EEEEEE" w:themeColor="background2"/>
      </w:rPr>
    </w:lvl>
    <w:lvl w:ilvl="2">
      <w:start w:val="1"/>
      <w:numFmt w:val="bullet"/>
      <w:lvlText w:val=""/>
      <w:lvlJc w:val="left"/>
      <w:pPr>
        <w:ind w:left="1077" w:hanging="357"/>
      </w:pPr>
      <w:rPr>
        <w:rFonts w:ascii="Symbol" w:hAnsi="Symbol" w:hint="default"/>
        <w:color w:val="EEEEEE"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8B030FE"/>
    <w:multiLevelType w:val="hybridMultilevel"/>
    <w:tmpl w:val="7DA0F9D0"/>
    <w:styleLink w:val="TableNListnumberedmultilevel"/>
    <w:lvl w:ilvl="0" w:tplc="50924516">
      <w:start w:val="1"/>
      <w:numFmt w:val="decimal"/>
      <w:pStyle w:val="TableNListnumbered"/>
      <w:lvlText w:val="%1."/>
      <w:lvlJc w:val="left"/>
      <w:pPr>
        <w:ind w:left="720" w:hanging="360"/>
      </w:pPr>
      <w:rPr>
        <w:rFonts w:hint="default"/>
        <w:b w:val="0"/>
        <w:color w:val="EEEEEE"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2C32E3"/>
    <w:multiLevelType w:val="hybridMultilevel"/>
    <w:tmpl w:val="183273A8"/>
    <w:lvl w:ilvl="0" w:tplc="8A1E4AB2">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6C21AA"/>
    <w:multiLevelType w:val="hybridMultilevel"/>
    <w:tmpl w:val="55B8D5B8"/>
    <w:lvl w:ilvl="0" w:tplc="C66CBB28">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tplc="73BED0F2">
      <w:start w:val="1"/>
      <w:numFmt w:val="bullet"/>
      <w:lvlText w:val="–"/>
      <w:lvlJc w:val="left"/>
      <w:pPr>
        <w:tabs>
          <w:tab w:val="num" w:pos="567"/>
        </w:tabs>
        <w:ind w:left="567" w:hanging="283"/>
      </w:pPr>
      <w:rPr>
        <w:rFonts w:hint="default"/>
        <w:b w:val="0"/>
        <w:i w:val="0"/>
        <w:color w:val="auto"/>
        <w:sz w:val="22"/>
      </w:rPr>
    </w:lvl>
    <w:lvl w:ilvl="2" w:tplc="7A4E9994">
      <w:start w:val="1"/>
      <w:numFmt w:val="bullet"/>
      <w:lvlText w:val="o"/>
      <w:lvlJc w:val="left"/>
      <w:pPr>
        <w:tabs>
          <w:tab w:val="num" w:pos="851"/>
        </w:tabs>
        <w:ind w:left="851" w:hanging="284"/>
      </w:pPr>
      <w:rPr>
        <w:rFonts w:ascii="Courier" w:hAnsi="Courier" w:hint="default"/>
        <w:color w:val="000000"/>
        <w:sz w:val="22"/>
      </w:rPr>
    </w:lvl>
    <w:lvl w:ilvl="3" w:tplc="2E54D00C">
      <w:start w:val="1"/>
      <w:numFmt w:val="bullet"/>
      <w:lvlText w:val=""/>
      <w:lvlJc w:val="left"/>
      <w:pPr>
        <w:tabs>
          <w:tab w:val="num" w:pos="1134"/>
        </w:tabs>
        <w:ind w:left="1134" w:hanging="283"/>
      </w:pPr>
      <w:rPr>
        <w:rFonts w:ascii="Wingdings" w:hAnsi="Wingdings" w:hint="default"/>
        <w:b w:val="0"/>
        <w:i w:val="0"/>
        <w:color w:val="auto"/>
        <w:sz w:val="22"/>
      </w:rPr>
    </w:lvl>
    <w:lvl w:ilvl="4" w:tplc="0FE41358">
      <w:start w:val="1"/>
      <w:numFmt w:val="none"/>
      <w:lvlText w:val=""/>
      <w:lvlJc w:val="left"/>
      <w:pPr>
        <w:tabs>
          <w:tab w:val="num" w:pos="-31680"/>
        </w:tabs>
        <w:ind w:left="-32767" w:firstLine="0"/>
      </w:pPr>
      <w:rPr>
        <w:rFonts w:hint="default"/>
        <w:color w:val="5793C9"/>
      </w:rPr>
    </w:lvl>
    <w:lvl w:ilvl="5" w:tplc="8CDA28A0">
      <w:start w:val="1"/>
      <w:numFmt w:val="none"/>
      <w:suff w:val="nothing"/>
      <w:lvlText w:val=""/>
      <w:lvlJc w:val="left"/>
      <w:pPr>
        <w:ind w:left="0" w:firstLine="0"/>
      </w:pPr>
      <w:rPr>
        <w:rFonts w:hint="default"/>
        <w:color w:val="auto"/>
      </w:rPr>
    </w:lvl>
    <w:lvl w:ilvl="6" w:tplc="D8A6DDCA">
      <w:start w:val="1"/>
      <w:numFmt w:val="none"/>
      <w:suff w:val="nothing"/>
      <w:lvlText w:val=""/>
      <w:lvlJc w:val="left"/>
      <w:pPr>
        <w:ind w:left="0" w:firstLine="0"/>
      </w:pPr>
      <w:rPr>
        <w:rFonts w:hint="default"/>
        <w:color w:val="auto"/>
      </w:rPr>
    </w:lvl>
    <w:lvl w:ilvl="7" w:tplc="0D18C2A0">
      <w:start w:val="1"/>
      <w:numFmt w:val="none"/>
      <w:suff w:val="nothing"/>
      <w:lvlText w:val=""/>
      <w:lvlJc w:val="left"/>
      <w:pPr>
        <w:ind w:left="0" w:firstLine="0"/>
      </w:pPr>
      <w:rPr>
        <w:rFonts w:hint="default"/>
        <w:color w:val="003366"/>
        <w:sz w:val="20"/>
      </w:rPr>
    </w:lvl>
    <w:lvl w:ilvl="8" w:tplc="14D80A42">
      <w:start w:val="1"/>
      <w:numFmt w:val="none"/>
      <w:suff w:val="nothing"/>
      <w:lvlText w:val=""/>
      <w:lvlJc w:val="left"/>
      <w:pPr>
        <w:ind w:left="0" w:firstLine="0"/>
      </w:pPr>
      <w:rPr>
        <w:rFonts w:hint="default"/>
        <w:color w:val="ED7F00"/>
      </w:rPr>
    </w:lvl>
  </w:abstractNum>
  <w:abstractNum w:abstractNumId="31" w15:restartNumberingAfterBreak="0">
    <w:nsid w:val="680679DF"/>
    <w:multiLevelType w:val="hybridMultilevel"/>
    <w:tmpl w:val="BCDAA31A"/>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32" w15:restartNumberingAfterBreak="0">
    <w:nsid w:val="71A16EBA"/>
    <w:multiLevelType w:val="multilevel"/>
    <w:tmpl w:val="5B94D1DE"/>
    <w:lvl w:ilvl="0">
      <w:start w:val="1"/>
      <w:numFmt w:val="upperLetter"/>
      <w:pStyle w:val="xAppendixLevel1"/>
      <w:lvlText w:val="Appendix %1"/>
      <w:lvlJc w:val="left"/>
      <w:pPr>
        <w:ind w:left="2268" w:hanging="2268"/>
      </w:pPr>
      <w:rPr>
        <w:rFonts w:hint="default"/>
        <w:color w:val="auto"/>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B7218E"/>
    <w:multiLevelType w:val="multilevel"/>
    <w:tmpl w:val="114C1886"/>
    <w:lvl w:ilvl="0">
      <w:start w:val="1"/>
      <w:numFmt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5"/>
  </w:num>
  <w:num w:numId="6">
    <w:abstractNumId w:val="23"/>
  </w:num>
  <w:num w:numId="7">
    <w:abstractNumId w:val="25"/>
  </w:num>
  <w:num w:numId="8">
    <w:abstractNumId w:val="21"/>
  </w:num>
  <w:num w:numId="9">
    <w:abstractNumId w:val="28"/>
  </w:num>
  <w:num w:numId="10">
    <w:abstractNumId w:val="32"/>
  </w:num>
  <w:num w:numId="11">
    <w:abstractNumId w:val="33"/>
  </w:num>
  <w:num w:numId="12">
    <w:abstractNumId w:val="11"/>
  </w:num>
  <w:num w:numId="13">
    <w:abstractNumId w:val="27"/>
  </w:num>
  <w:num w:numId="14">
    <w:abstractNumId w:val="26"/>
  </w:num>
  <w:num w:numId="15">
    <w:abstractNumId w:val="12"/>
  </w:num>
  <w:num w:numId="16">
    <w:abstractNumId w:val="9"/>
  </w:num>
  <w:num w:numId="17">
    <w:abstractNumId w:val="31"/>
  </w:num>
  <w:num w:numId="18">
    <w:abstractNumId w:val="20"/>
  </w:num>
  <w:num w:numId="19">
    <w:abstractNumId w:val="10"/>
  </w:num>
  <w:num w:numId="20">
    <w:abstractNumId w:val="29"/>
  </w:num>
  <w:num w:numId="21">
    <w:abstractNumId w:val="24"/>
  </w:num>
  <w:num w:numId="22">
    <w:abstractNumId w:val="22"/>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9"/>
  </w:num>
  <w:num w:numId="33">
    <w:abstractNumId w:val="19"/>
  </w:num>
  <w:num w:numId="34">
    <w:abstractNumId w:val="16"/>
  </w:num>
  <w:num w:numId="35">
    <w:abstractNumId w:val="13"/>
  </w:num>
  <w:num w:numId="36">
    <w:abstractNumId w:val="17"/>
  </w:num>
  <w:num w:numId="37">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C37"/>
    <w:rsid w:val="00000146"/>
    <w:rsid w:val="0000015F"/>
    <w:rsid w:val="00000281"/>
    <w:rsid w:val="00000298"/>
    <w:rsid w:val="000002CE"/>
    <w:rsid w:val="000003C6"/>
    <w:rsid w:val="00000719"/>
    <w:rsid w:val="0000088C"/>
    <w:rsid w:val="000008A4"/>
    <w:rsid w:val="000008F4"/>
    <w:rsid w:val="00000A41"/>
    <w:rsid w:val="00000B92"/>
    <w:rsid w:val="00000CCF"/>
    <w:rsid w:val="00001151"/>
    <w:rsid w:val="00001242"/>
    <w:rsid w:val="00001250"/>
    <w:rsid w:val="00001AC1"/>
    <w:rsid w:val="00001D01"/>
    <w:rsid w:val="00001E05"/>
    <w:rsid w:val="00001E2E"/>
    <w:rsid w:val="00002271"/>
    <w:rsid w:val="000022FC"/>
    <w:rsid w:val="0000232C"/>
    <w:rsid w:val="0000253E"/>
    <w:rsid w:val="0000261A"/>
    <w:rsid w:val="000026D9"/>
    <w:rsid w:val="00002714"/>
    <w:rsid w:val="0000288D"/>
    <w:rsid w:val="000029D7"/>
    <w:rsid w:val="00002BBF"/>
    <w:rsid w:val="00002C81"/>
    <w:rsid w:val="00002D92"/>
    <w:rsid w:val="00002DBF"/>
    <w:rsid w:val="00002E04"/>
    <w:rsid w:val="00002F58"/>
    <w:rsid w:val="0000312D"/>
    <w:rsid w:val="0000313C"/>
    <w:rsid w:val="0000393F"/>
    <w:rsid w:val="00003AB3"/>
    <w:rsid w:val="00003D97"/>
    <w:rsid w:val="00003FFC"/>
    <w:rsid w:val="00004010"/>
    <w:rsid w:val="0000444B"/>
    <w:rsid w:val="0000446B"/>
    <w:rsid w:val="000046A9"/>
    <w:rsid w:val="0000492A"/>
    <w:rsid w:val="0000495C"/>
    <w:rsid w:val="00004D4D"/>
    <w:rsid w:val="00004F82"/>
    <w:rsid w:val="00005191"/>
    <w:rsid w:val="0000531E"/>
    <w:rsid w:val="00005339"/>
    <w:rsid w:val="000055D9"/>
    <w:rsid w:val="0000596C"/>
    <w:rsid w:val="00005EA0"/>
    <w:rsid w:val="00005EAE"/>
    <w:rsid w:val="00005FA9"/>
    <w:rsid w:val="0000616A"/>
    <w:rsid w:val="00006616"/>
    <w:rsid w:val="000066E5"/>
    <w:rsid w:val="000070D9"/>
    <w:rsid w:val="000071B1"/>
    <w:rsid w:val="000072B7"/>
    <w:rsid w:val="00007545"/>
    <w:rsid w:val="00007614"/>
    <w:rsid w:val="000077AA"/>
    <w:rsid w:val="00007CBC"/>
    <w:rsid w:val="00007EC9"/>
    <w:rsid w:val="00007F8F"/>
    <w:rsid w:val="00007FE2"/>
    <w:rsid w:val="000100B6"/>
    <w:rsid w:val="00010232"/>
    <w:rsid w:val="0001033A"/>
    <w:rsid w:val="000104B7"/>
    <w:rsid w:val="000106A1"/>
    <w:rsid w:val="000106C4"/>
    <w:rsid w:val="0001086A"/>
    <w:rsid w:val="00010D29"/>
    <w:rsid w:val="00011168"/>
    <w:rsid w:val="00011492"/>
    <w:rsid w:val="00011523"/>
    <w:rsid w:val="000116B1"/>
    <w:rsid w:val="0001176C"/>
    <w:rsid w:val="000118E9"/>
    <w:rsid w:val="00011A49"/>
    <w:rsid w:val="00011C9D"/>
    <w:rsid w:val="00011FFE"/>
    <w:rsid w:val="00012648"/>
    <w:rsid w:val="00012652"/>
    <w:rsid w:val="000127E7"/>
    <w:rsid w:val="00012977"/>
    <w:rsid w:val="00012F49"/>
    <w:rsid w:val="00013193"/>
    <w:rsid w:val="000131E0"/>
    <w:rsid w:val="000137FA"/>
    <w:rsid w:val="00013870"/>
    <w:rsid w:val="00013901"/>
    <w:rsid w:val="0001390B"/>
    <w:rsid w:val="00013BA0"/>
    <w:rsid w:val="00014438"/>
    <w:rsid w:val="000144C8"/>
    <w:rsid w:val="00014BBA"/>
    <w:rsid w:val="00014FCD"/>
    <w:rsid w:val="000151C9"/>
    <w:rsid w:val="0001539C"/>
    <w:rsid w:val="00015480"/>
    <w:rsid w:val="000155E7"/>
    <w:rsid w:val="0001619A"/>
    <w:rsid w:val="000161C2"/>
    <w:rsid w:val="000164F7"/>
    <w:rsid w:val="000166DD"/>
    <w:rsid w:val="00016761"/>
    <w:rsid w:val="00016FDC"/>
    <w:rsid w:val="000170CC"/>
    <w:rsid w:val="000175E4"/>
    <w:rsid w:val="000178B8"/>
    <w:rsid w:val="00017CA3"/>
    <w:rsid w:val="00017D16"/>
    <w:rsid w:val="00017EEC"/>
    <w:rsid w:val="000204A6"/>
    <w:rsid w:val="0002079E"/>
    <w:rsid w:val="000207C6"/>
    <w:rsid w:val="00020934"/>
    <w:rsid w:val="00020B4D"/>
    <w:rsid w:val="00020DC5"/>
    <w:rsid w:val="00020FB2"/>
    <w:rsid w:val="00021DC7"/>
    <w:rsid w:val="00021FDF"/>
    <w:rsid w:val="000220E6"/>
    <w:rsid w:val="0002237E"/>
    <w:rsid w:val="000225C9"/>
    <w:rsid w:val="00022A08"/>
    <w:rsid w:val="00022D2C"/>
    <w:rsid w:val="00022DB1"/>
    <w:rsid w:val="00022F2B"/>
    <w:rsid w:val="00023061"/>
    <w:rsid w:val="00023203"/>
    <w:rsid w:val="00023476"/>
    <w:rsid w:val="0002349E"/>
    <w:rsid w:val="0002355A"/>
    <w:rsid w:val="000235AA"/>
    <w:rsid w:val="000236DE"/>
    <w:rsid w:val="00023A5B"/>
    <w:rsid w:val="00023B2F"/>
    <w:rsid w:val="00023BA2"/>
    <w:rsid w:val="00023F05"/>
    <w:rsid w:val="00024187"/>
    <w:rsid w:val="00024235"/>
    <w:rsid w:val="00024249"/>
    <w:rsid w:val="000242CA"/>
    <w:rsid w:val="000242D0"/>
    <w:rsid w:val="00024450"/>
    <w:rsid w:val="00024552"/>
    <w:rsid w:val="00024A0F"/>
    <w:rsid w:val="00024A70"/>
    <w:rsid w:val="00024B6D"/>
    <w:rsid w:val="00024D5F"/>
    <w:rsid w:val="000255AB"/>
    <w:rsid w:val="0002571C"/>
    <w:rsid w:val="0002597B"/>
    <w:rsid w:val="00025A37"/>
    <w:rsid w:val="00025C96"/>
    <w:rsid w:val="00025E06"/>
    <w:rsid w:val="00026246"/>
    <w:rsid w:val="00026A54"/>
    <w:rsid w:val="00026C96"/>
    <w:rsid w:val="00026EBC"/>
    <w:rsid w:val="00026ED1"/>
    <w:rsid w:val="0002703B"/>
    <w:rsid w:val="00027074"/>
    <w:rsid w:val="000272B6"/>
    <w:rsid w:val="000275D3"/>
    <w:rsid w:val="00027825"/>
    <w:rsid w:val="00027B7D"/>
    <w:rsid w:val="000302D1"/>
    <w:rsid w:val="000302E3"/>
    <w:rsid w:val="00030801"/>
    <w:rsid w:val="00030E06"/>
    <w:rsid w:val="00030FC1"/>
    <w:rsid w:val="00031315"/>
    <w:rsid w:val="00031900"/>
    <w:rsid w:val="00031CDF"/>
    <w:rsid w:val="00031D09"/>
    <w:rsid w:val="00031D39"/>
    <w:rsid w:val="00031F90"/>
    <w:rsid w:val="0003247A"/>
    <w:rsid w:val="00032759"/>
    <w:rsid w:val="000327CD"/>
    <w:rsid w:val="00032A1A"/>
    <w:rsid w:val="00032A62"/>
    <w:rsid w:val="00032CB4"/>
    <w:rsid w:val="00032D79"/>
    <w:rsid w:val="00032FFA"/>
    <w:rsid w:val="0003322A"/>
    <w:rsid w:val="00033545"/>
    <w:rsid w:val="00033B1A"/>
    <w:rsid w:val="00033C10"/>
    <w:rsid w:val="00033E0B"/>
    <w:rsid w:val="00033E5E"/>
    <w:rsid w:val="000341B6"/>
    <w:rsid w:val="000343A7"/>
    <w:rsid w:val="000344CB"/>
    <w:rsid w:val="000347D9"/>
    <w:rsid w:val="000348E5"/>
    <w:rsid w:val="00034DF2"/>
    <w:rsid w:val="000350E7"/>
    <w:rsid w:val="0003530D"/>
    <w:rsid w:val="00035523"/>
    <w:rsid w:val="00035819"/>
    <w:rsid w:val="00035918"/>
    <w:rsid w:val="00035934"/>
    <w:rsid w:val="00035C90"/>
    <w:rsid w:val="000363A1"/>
    <w:rsid w:val="00036548"/>
    <w:rsid w:val="0003663D"/>
    <w:rsid w:val="00036692"/>
    <w:rsid w:val="000369AE"/>
    <w:rsid w:val="00036B6E"/>
    <w:rsid w:val="00036F62"/>
    <w:rsid w:val="00037372"/>
    <w:rsid w:val="00037421"/>
    <w:rsid w:val="00037462"/>
    <w:rsid w:val="00037521"/>
    <w:rsid w:val="00037976"/>
    <w:rsid w:val="00037A5A"/>
    <w:rsid w:val="00037AFC"/>
    <w:rsid w:val="00037C03"/>
    <w:rsid w:val="00037CF5"/>
    <w:rsid w:val="00037F05"/>
    <w:rsid w:val="0004033A"/>
    <w:rsid w:val="000404E6"/>
    <w:rsid w:val="000406B0"/>
    <w:rsid w:val="000406D2"/>
    <w:rsid w:val="00040731"/>
    <w:rsid w:val="000407A3"/>
    <w:rsid w:val="0004097E"/>
    <w:rsid w:val="000413EE"/>
    <w:rsid w:val="00041A3A"/>
    <w:rsid w:val="00041C86"/>
    <w:rsid w:val="00041F6D"/>
    <w:rsid w:val="000420F3"/>
    <w:rsid w:val="00042328"/>
    <w:rsid w:val="000425E4"/>
    <w:rsid w:val="0004275D"/>
    <w:rsid w:val="0004276C"/>
    <w:rsid w:val="00042B66"/>
    <w:rsid w:val="00042F92"/>
    <w:rsid w:val="00042FD4"/>
    <w:rsid w:val="00043011"/>
    <w:rsid w:val="000431B0"/>
    <w:rsid w:val="00043279"/>
    <w:rsid w:val="000433E5"/>
    <w:rsid w:val="000437C0"/>
    <w:rsid w:val="000439D1"/>
    <w:rsid w:val="00043C3A"/>
    <w:rsid w:val="00044118"/>
    <w:rsid w:val="00044419"/>
    <w:rsid w:val="0004451B"/>
    <w:rsid w:val="00044525"/>
    <w:rsid w:val="000447E5"/>
    <w:rsid w:val="00044CD4"/>
    <w:rsid w:val="00044D1B"/>
    <w:rsid w:val="00044EE9"/>
    <w:rsid w:val="00044EFA"/>
    <w:rsid w:val="000453AA"/>
    <w:rsid w:val="000457BD"/>
    <w:rsid w:val="00045896"/>
    <w:rsid w:val="00045F24"/>
    <w:rsid w:val="000460EA"/>
    <w:rsid w:val="0004618F"/>
    <w:rsid w:val="00046288"/>
    <w:rsid w:val="0004661D"/>
    <w:rsid w:val="00046702"/>
    <w:rsid w:val="000467A9"/>
    <w:rsid w:val="0004696C"/>
    <w:rsid w:val="00046A81"/>
    <w:rsid w:val="00046F4A"/>
    <w:rsid w:val="00046FE6"/>
    <w:rsid w:val="00047345"/>
    <w:rsid w:val="00047704"/>
    <w:rsid w:val="00047B7A"/>
    <w:rsid w:val="00047D66"/>
    <w:rsid w:val="00047D75"/>
    <w:rsid w:val="00047EA1"/>
    <w:rsid w:val="00047EE7"/>
    <w:rsid w:val="00050476"/>
    <w:rsid w:val="00050AFC"/>
    <w:rsid w:val="00050D42"/>
    <w:rsid w:val="00050EA1"/>
    <w:rsid w:val="000512D2"/>
    <w:rsid w:val="000514AB"/>
    <w:rsid w:val="000518B1"/>
    <w:rsid w:val="000519FC"/>
    <w:rsid w:val="00051A55"/>
    <w:rsid w:val="00051BCD"/>
    <w:rsid w:val="00051E85"/>
    <w:rsid w:val="00052026"/>
    <w:rsid w:val="00052242"/>
    <w:rsid w:val="000524F9"/>
    <w:rsid w:val="00052538"/>
    <w:rsid w:val="0005277D"/>
    <w:rsid w:val="000527FF"/>
    <w:rsid w:val="00052897"/>
    <w:rsid w:val="00052A1B"/>
    <w:rsid w:val="00052C64"/>
    <w:rsid w:val="0005306C"/>
    <w:rsid w:val="00053C0F"/>
    <w:rsid w:val="00054117"/>
    <w:rsid w:val="00054356"/>
    <w:rsid w:val="000545B2"/>
    <w:rsid w:val="000545B6"/>
    <w:rsid w:val="000546E4"/>
    <w:rsid w:val="00054AB3"/>
    <w:rsid w:val="00054C37"/>
    <w:rsid w:val="00054C91"/>
    <w:rsid w:val="00054D60"/>
    <w:rsid w:val="00054EA0"/>
    <w:rsid w:val="00054FF1"/>
    <w:rsid w:val="000551FD"/>
    <w:rsid w:val="000556DF"/>
    <w:rsid w:val="00055804"/>
    <w:rsid w:val="00055AC3"/>
    <w:rsid w:val="00055BFF"/>
    <w:rsid w:val="00055EF1"/>
    <w:rsid w:val="00055F9B"/>
    <w:rsid w:val="00055F9D"/>
    <w:rsid w:val="0005606F"/>
    <w:rsid w:val="0005608A"/>
    <w:rsid w:val="000562F4"/>
    <w:rsid w:val="000564AF"/>
    <w:rsid w:val="00056552"/>
    <w:rsid w:val="00056B82"/>
    <w:rsid w:val="00056D27"/>
    <w:rsid w:val="00056FF8"/>
    <w:rsid w:val="00057559"/>
    <w:rsid w:val="00057612"/>
    <w:rsid w:val="00057A75"/>
    <w:rsid w:val="00057A9B"/>
    <w:rsid w:val="00057CB8"/>
    <w:rsid w:val="00057DF4"/>
    <w:rsid w:val="000601C4"/>
    <w:rsid w:val="00060280"/>
    <w:rsid w:val="000602F8"/>
    <w:rsid w:val="000603BF"/>
    <w:rsid w:val="000605C9"/>
    <w:rsid w:val="00060705"/>
    <w:rsid w:val="0006090B"/>
    <w:rsid w:val="00060BC1"/>
    <w:rsid w:val="00060C5F"/>
    <w:rsid w:val="00060C96"/>
    <w:rsid w:val="00060D79"/>
    <w:rsid w:val="00060DF3"/>
    <w:rsid w:val="00060DFD"/>
    <w:rsid w:val="0006108E"/>
    <w:rsid w:val="000611DA"/>
    <w:rsid w:val="000613E1"/>
    <w:rsid w:val="00061774"/>
    <w:rsid w:val="00061879"/>
    <w:rsid w:val="00061A14"/>
    <w:rsid w:val="00061AA0"/>
    <w:rsid w:val="00061D89"/>
    <w:rsid w:val="00061DD3"/>
    <w:rsid w:val="00061DDC"/>
    <w:rsid w:val="00061E8C"/>
    <w:rsid w:val="00062450"/>
    <w:rsid w:val="000625E8"/>
    <w:rsid w:val="000628B7"/>
    <w:rsid w:val="000628E7"/>
    <w:rsid w:val="000629C5"/>
    <w:rsid w:val="00062B43"/>
    <w:rsid w:val="00062CE7"/>
    <w:rsid w:val="00062E29"/>
    <w:rsid w:val="00063137"/>
    <w:rsid w:val="00063251"/>
    <w:rsid w:val="000633E5"/>
    <w:rsid w:val="00063CF3"/>
    <w:rsid w:val="00063DFF"/>
    <w:rsid w:val="00063F17"/>
    <w:rsid w:val="00064012"/>
    <w:rsid w:val="000641DE"/>
    <w:rsid w:val="000642EC"/>
    <w:rsid w:val="00064A6D"/>
    <w:rsid w:val="00064B76"/>
    <w:rsid w:val="00064BD4"/>
    <w:rsid w:val="00064F89"/>
    <w:rsid w:val="0006536F"/>
    <w:rsid w:val="00065700"/>
    <w:rsid w:val="000657B3"/>
    <w:rsid w:val="0006583C"/>
    <w:rsid w:val="00065898"/>
    <w:rsid w:val="00065985"/>
    <w:rsid w:val="00065D05"/>
    <w:rsid w:val="00066245"/>
    <w:rsid w:val="000662BC"/>
    <w:rsid w:val="00066308"/>
    <w:rsid w:val="0006698F"/>
    <w:rsid w:val="00066E38"/>
    <w:rsid w:val="00066E6F"/>
    <w:rsid w:val="00067094"/>
    <w:rsid w:val="000670A8"/>
    <w:rsid w:val="000671DE"/>
    <w:rsid w:val="000672E6"/>
    <w:rsid w:val="00067449"/>
    <w:rsid w:val="00067472"/>
    <w:rsid w:val="000678D2"/>
    <w:rsid w:val="00067FCB"/>
    <w:rsid w:val="00070034"/>
    <w:rsid w:val="000705EC"/>
    <w:rsid w:val="00070862"/>
    <w:rsid w:val="000709DC"/>
    <w:rsid w:val="00070D3B"/>
    <w:rsid w:val="00070D75"/>
    <w:rsid w:val="00070DCF"/>
    <w:rsid w:val="00070E2C"/>
    <w:rsid w:val="00070EFC"/>
    <w:rsid w:val="00070F71"/>
    <w:rsid w:val="00071585"/>
    <w:rsid w:val="00071776"/>
    <w:rsid w:val="00071812"/>
    <w:rsid w:val="00071979"/>
    <w:rsid w:val="00071B9B"/>
    <w:rsid w:val="00071C85"/>
    <w:rsid w:val="00071DFF"/>
    <w:rsid w:val="00072134"/>
    <w:rsid w:val="00072330"/>
    <w:rsid w:val="00072855"/>
    <w:rsid w:val="00072886"/>
    <w:rsid w:val="00072A4D"/>
    <w:rsid w:val="00072D1D"/>
    <w:rsid w:val="00072E28"/>
    <w:rsid w:val="00072FED"/>
    <w:rsid w:val="0007305D"/>
    <w:rsid w:val="000730D2"/>
    <w:rsid w:val="000730D5"/>
    <w:rsid w:val="00073268"/>
    <w:rsid w:val="000733E7"/>
    <w:rsid w:val="0007346C"/>
    <w:rsid w:val="0007369D"/>
    <w:rsid w:val="000737D4"/>
    <w:rsid w:val="00073964"/>
    <w:rsid w:val="00073A61"/>
    <w:rsid w:val="00073C71"/>
    <w:rsid w:val="00073D11"/>
    <w:rsid w:val="00073E27"/>
    <w:rsid w:val="00073E79"/>
    <w:rsid w:val="00073EE9"/>
    <w:rsid w:val="00073F51"/>
    <w:rsid w:val="00074774"/>
    <w:rsid w:val="00074AA4"/>
    <w:rsid w:val="00074D13"/>
    <w:rsid w:val="00074E6B"/>
    <w:rsid w:val="000751DE"/>
    <w:rsid w:val="00075409"/>
    <w:rsid w:val="00075480"/>
    <w:rsid w:val="00075560"/>
    <w:rsid w:val="00075633"/>
    <w:rsid w:val="00075A2D"/>
    <w:rsid w:val="00075ABC"/>
    <w:rsid w:val="00075DAA"/>
    <w:rsid w:val="00075EB9"/>
    <w:rsid w:val="00075FDF"/>
    <w:rsid w:val="00076322"/>
    <w:rsid w:val="0007676E"/>
    <w:rsid w:val="000767AF"/>
    <w:rsid w:val="00076A96"/>
    <w:rsid w:val="00076C2F"/>
    <w:rsid w:val="00076DAB"/>
    <w:rsid w:val="00076E97"/>
    <w:rsid w:val="000771F6"/>
    <w:rsid w:val="00077266"/>
    <w:rsid w:val="000772CD"/>
    <w:rsid w:val="000772FE"/>
    <w:rsid w:val="0007759A"/>
    <w:rsid w:val="000776DD"/>
    <w:rsid w:val="00077793"/>
    <w:rsid w:val="00077993"/>
    <w:rsid w:val="00077C01"/>
    <w:rsid w:val="00077D35"/>
    <w:rsid w:val="00077E2F"/>
    <w:rsid w:val="00080657"/>
    <w:rsid w:val="000806CC"/>
    <w:rsid w:val="0008075D"/>
    <w:rsid w:val="00080975"/>
    <w:rsid w:val="00080A27"/>
    <w:rsid w:val="00080B97"/>
    <w:rsid w:val="00080ED4"/>
    <w:rsid w:val="00080F0A"/>
    <w:rsid w:val="00081343"/>
    <w:rsid w:val="0008154F"/>
    <w:rsid w:val="0008180C"/>
    <w:rsid w:val="00081AB3"/>
    <w:rsid w:val="00081B05"/>
    <w:rsid w:val="00081D1C"/>
    <w:rsid w:val="00081D93"/>
    <w:rsid w:val="00082041"/>
    <w:rsid w:val="000822F5"/>
    <w:rsid w:val="00082CDF"/>
    <w:rsid w:val="00082D1F"/>
    <w:rsid w:val="00082E05"/>
    <w:rsid w:val="00082EEC"/>
    <w:rsid w:val="00083076"/>
    <w:rsid w:val="00083471"/>
    <w:rsid w:val="0008357F"/>
    <w:rsid w:val="000835E2"/>
    <w:rsid w:val="00083770"/>
    <w:rsid w:val="000839B4"/>
    <w:rsid w:val="00083C2E"/>
    <w:rsid w:val="00083C3E"/>
    <w:rsid w:val="00083D7B"/>
    <w:rsid w:val="00083F4F"/>
    <w:rsid w:val="0008400F"/>
    <w:rsid w:val="000840E0"/>
    <w:rsid w:val="00084131"/>
    <w:rsid w:val="00084302"/>
    <w:rsid w:val="00084B1E"/>
    <w:rsid w:val="00084B22"/>
    <w:rsid w:val="00084C07"/>
    <w:rsid w:val="00084DAE"/>
    <w:rsid w:val="00084EAA"/>
    <w:rsid w:val="00084FC3"/>
    <w:rsid w:val="0008505B"/>
    <w:rsid w:val="000850E6"/>
    <w:rsid w:val="000852CE"/>
    <w:rsid w:val="00085676"/>
    <w:rsid w:val="00085C1B"/>
    <w:rsid w:val="00085D7C"/>
    <w:rsid w:val="00085F0F"/>
    <w:rsid w:val="000860B4"/>
    <w:rsid w:val="000864E4"/>
    <w:rsid w:val="00086605"/>
    <w:rsid w:val="000867E7"/>
    <w:rsid w:val="00086F83"/>
    <w:rsid w:val="0008701B"/>
    <w:rsid w:val="000874CC"/>
    <w:rsid w:val="00087646"/>
    <w:rsid w:val="000879AF"/>
    <w:rsid w:val="00087B5B"/>
    <w:rsid w:val="00087CB7"/>
    <w:rsid w:val="00087CDA"/>
    <w:rsid w:val="00087DA4"/>
    <w:rsid w:val="00090135"/>
    <w:rsid w:val="000901D3"/>
    <w:rsid w:val="000903CA"/>
    <w:rsid w:val="000906FF"/>
    <w:rsid w:val="0009104D"/>
    <w:rsid w:val="00091166"/>
    <w:rsid w:val="0009127D"/>
    <w:rsid w:val="000912C6"/>
    <w:rsid w:val="000913EC"/>
    <w:rsid w:val="0009166F"/>
    <w:rsid w:val="00091987"/>
    <w:rsid w:val="00091A26"/>
    <w:rsid w:val="00091B56"/>
    <w:rsid w:val="00091C11"/>
    <w:rsid w:val="00091CE1"/>
    <w:rsid w:val="00091D32"/>
    <w:rsid w:val="000921DC"/>
    <w:rsid w:val="00092388"/>
    <w:rsid w:val="000923C5"/>
    <w:rsid w:val="000924FA"/>
    <w:rsid w:val="000925B7"/>
    <w:rsid w:val="00092652"/>
    <w:rsid w:val="0009282E"/>
    <w:rsid w:val="000928AE"/>
    <w:rsid w:val="00092A09"/>
    <w:rsid w:val="00092E17"/>
    <w:rsid w:val="00093162"/>
    <w:rsid w:val="000931E5"/>
    <w:rsid w:val="0009335A"/>
    <w:rsid w:val="00093455"/>
    <w:rsid w:val="0009349D"/>
    <w:rsid w:val="000938B0"/>
    <w:rsid w:val="00093BF3"/>
    <w:rsid w:val="00093C34"/>
    <w:rsid w:val="00093F10"/>
    <w:rsid w:val="0009401E"/>
    <w:rsid w:val="000941FD"/>
    <w:rsid w:val="00094267"/>
    <w:rsid w:val="00094382"/>
    <w:rsid w:val="000943B6"/>
    <w:rsid w:val="00094493"/>
    <w:rsid w:val="000944AD"/>
    <w:rsid w:val="00094808"/>
    <w:rsid w:val="00094A4F"/>
    <w:rsid w:val="00094CCF"/>
    <w:rsid w:val="00094DBC"/>
    <w:rsid w:val="00094DF7"/>
    <w:rsid w:val="00095BF8"/>
    <w:rsid w:val="00095DF1"/>
    <w:rsid w:val="0009615B"/>
    <w:rsid w:val="00096313"/>
    <w:rsid w:val="000967D6"/>
    <w:rsid w:val="00096BE6"/>
    <w:rsid w:val="00096CF8"/>
    <w:rsid w:val="00096D3E"/>
    <w:rsid w:val="00096E2F"/>
    <w:rsid w:val="00096E5D"/>
    <w:rsid w:val="00096F72"/>
    <w:rsid w:val="000970D6"/>
    <w:rsid w:val="000970F6"/>
    <w:rsid w:val="000975CA"/>
    <w:rsid w:val="000979FC"/>
    <w:rsid w:val="00097A77"/>
    <w:rsid w:val="00097B28"/>
    <w:rsid w:val="00097D3E"/>
    <w:rsid w:val="00097E8D"/>
    <w:rsid w:val="000A0646"/>
    <w:rsid w:val="000A0849"/>
    <w:rsid w:val="000A0ABE"/>
    <w:rsid w:val="000A0C8A"/>
    <w:rsid w:val="000A0DE1"/>
    <w:rsid w:val="000A0F5C"/>
    <w:rsid w:val="000A0F84"/>
    <w:rsid w:val="000A1168"/>
    <w:rsid w:val="000A13EB"/>
    <w:rsid w:val="000A140A"/>
    <w:rsid w:val="000A1537"/>
    <w:rsid w:val="000A1990"/>
    <w:rsid w:val="000A1A0F"/>
    <w:rsid w:val="000A1C60"/>
    <w:rsid w:val="000A2307"/>
    <w:rsid w:val="000A24D1"/>
    <w:rsid w:val="000A27A8"/>
    <w:rsid w:val="000A282C"/>
    <w:rsid w:val="000A2864"/>
    <w:rsid w:val="000A29B4"/>
    <w:rsid w:val="000A2EA3"/>
    <w:rsid w:val="000A2F20"/>
    <w:rsid w:val="000A320F"/>
    <w:rsid w:val="000A3267"/>
    <w:rsid w:val="000A39AD"/>
    <w:rsid w:val="000A3B6B"/>
    <w:rsid w:val="000A3C4D"/>
    <w:rsid w:val="000A3D3E"/>
    <w:rsid w:val="000A3E7B"/>
    <w:rsid w:val="000A3FF6"/>
    <w:rsid w:val="000A4117"/>
    <w:rsid w:val="000A4447"/>
    <w:rsid w:val="000A4505"/>
    <w:rsid w:val="000A46AC"/>
    <w:rsid w:val="000A4767"/>
    <w:rsid w:val="000A48ED"/>
    <w:rsid w:val="000A4ABE"/>
    <w:rsid w:val="000A500A"/>
    <w:rsid w:val="000A50A8"/>
    <w:rsid w:val="000A51C4"/>
    <w:rsid w:val="000A547A"/>
    <w:rsid w:val="000A54F6"/>
    <w:rsid w:val="000A57CC"/>
    <w:rsid w:val="000A5F27"/>
    <w:rsid w:val="000A6317"/>
    <w:rsid w:val="000A6A12"/>
    <w:rsid w:val="000A6D86"/>
    <w:rsid w:val="000A6DA3"/>
    <w:rsid w:val="000A6E5F"/>
    <w:rsid w:val="000A72AD"/>
    <w:rsid w:val="000A74DD"/>
    <w:rsid w:val="000A7509"/>
    <w:rsid w:val="000A75D7"/>
    <w:rsid w:val="000A765D"/>
    <w:rsid w:val="000A7858"/>
    <w:rsid w:val="000A7A9B"/>
    <w:rsid w:val="000B000B"/>
    <w:rsid w:val="000B00A8"/>
    <w:rsid w:val="000B00E4"/>
    <w:rsid w:val="000B0453"/>
    <w:rsid w:val="000B0805"/>
    <w:rsid w:val="000B0919"/>
    <w:rsid w:val="000B0B9C"/>
    <w:rsid w:val="000B0C1A"/>
    <w:rsid w:val="000B1162"/>
    <w:rsid w:val="000B131D"/>
    <w:rsid w:val="000B1392"/>
    <w:rsid w:val="000B16AE"/>
    <w:rsid w:val="000B1B2B"/>
    <w:rsid w:val="000B1CFF"/>
    <w:rsid w:val="000B1D1B"/>
    <w:rsid w:val="000B1D68"/>
    <w:rsid w:val="000B2053"/>
    <w:rsid w:val="000B2086"/>
    <w:rsid w:val="000B229F"/>
    <w:rsid w:val="000B2635"/>
    <w:rsid w:val="000B2766"/>
    <w:rsid w:val="000B2811"/>
    <w:rsid w:val="000B294F"/>
    <w:rsid w:val="000B297E"/>
    <w:rsid w:val="000B2A5B"/>
    <w:rsid w:val="000B2D0E"/>
    <w:rsid w:val="000B2E46"/>
    <w:rsid w:val="000B2EB4"/>
    <w:rsid w:val="000B3545"/>
    <w:rsid w:val="000B3716"/>
    <w:rsid w:val="000B38E0"/>
    <w:rsid w:val="000B39FD"/>
    <w:rsid w:val="000B3B3C"/>
    <w:rsid w:val="000B4014"/>
    <w:rsid w:val="000B411D"/>
    <w:rsid w:val="000B41FB"/>
    <w:rsid w:val="000B4525"/>
    <w:rsid w:val="000B4742"/>
    <w:rsid w:val="000B47C4"/>
    <w:rsid w:val="000B4A56"/>
    <w:rsid w:val="000B4A58"/>
    <w:rsid w:val="000B4B43"/>
    <w:rsid w:val="000B4BBB"/>
    <w:rsid w:val="000B4CE6"/>
    <w:rsid w:val="000B4F7B"/>
    <w:rsid w:val="000B50E1"/>
    <w:rsid w:val="000B5133"/>
    <w:rsid w:val="000B52D2"/>
    <w:rsid w:val="000B5521"/>
    <w:rsid w:val="000B55A3"/>
    <w:rsid w:val="000B5916"/>
    <w:rsid w:val="000B5B0C"/>
    <w:rsid w:val="000B5BDE"/>
    <w:rsid w:val="000B605B"/>
    <w:rsid w:val="000B6107"/>
    <w:rsid w:val="000B62D0"/>
    <w:rsid w:val="000B6379"/>
    <w:rsid w:val="000B63D7"/>
    <w:rsid w:val="000B681C"/>
    <w:rsid w:val="000B6A42"/>
    <w:rsid w:val="000B6AAA"/>
    <w:rsid w:val="000B6AC2"/>
    <w:rsid w:val="000B7043"/>
    <w:rsid w:val="000B70FB"/>
    <w:rsid w:val="000B7396"/>
    <w:rsid w:val="000B73B8"/>
    <w:rsid w:val="000B7698"/>
    <w:rsid w:val="000B798E"/>
    <w:rsid w:val="000B7B4C"/>
    <w:rsid w:val="000B7B91"/>
    <w:rsid w:val="000B7D65"/>
    <w:rsid w:val="000B7D9E"/>
    <w:rsid w:val="000B7DAF"/>
    <w:rsid w:val="000B7EDC"/>
    <w:rsid w:val="000C0445"/>
    <w:rsid w:val="000C074D"/>
    <w:rsid w:val="000C07D7"/>
    <w:rsid w:val="000C089E"/>
    <w:rsid w:val="000C0CBB"/>
    <w:rsid w:val="000C0DA1"/>
    <w:rsid w:val="000C0E43"/>
    <w:rsid w:val="000C15C8"/>
    <w:rsid w:val="000C1655"/>
    <w:rsid w:val="000C1668"/>
    <w:rsid w:val="000C1911"/>
    <w:rsid w:val="000C1AFF"/>
    <w:rsid w:val="000C1B46"/>
    <w:rsid w:val="000C20DA"/>
    <w:rsid w:val="000C235E"/>
    <w:rsid w:val="000C25C8"/>
    <w:rsid w:val="000C27D3"/>
    <w:rsid w:val="000C28E7"/>
    <w:rsid w:val="000C2B4F"/>
    <w:rsid w:val="000C2EA7"/>
    <w:rsid w:val="000C3157"/>
    <w:rsid w:val="000C318D"/>
    <w:rsid w:val="000C35F2"/>
    <w:rsid w:val="000C3B27"/>
    <w:rsid w:val="000C3DE6"/>
    <w:rsid w:val="000C3E62"/>
    <w:rsid w:val="000C41F0"/>
    <w:rsid w:val="000C4257"/>
    <w:rsid w:val="000C447C"/>
    <w:rsid w:val="000C46B8"/>
    <w:rsid w:val="000C48B7"/>
    <w:rsid w:val="000C4B81"/>
    <w:rsid w:val="000C4C31"/>
    <w:rsid w:val="000C4E5E"/>
    <w:rsid w:val="000C51A7"/>
    <w:rsid w:val="000C5558"/>
    <w:rsid w:val="000C5604"/>
    <w:rsid w:val="000C56B7"/>
    <w:rsid w:val="000C5982"/>
    <w:rsid w:val="000C59B8"/>
    <w:rsid w:val="000C5A68"/>
    <w:rsid w:val="000C5B04"/>
    <w:rsid w:val="000C5BBA"/>
    <w:rsid w:val="000C5CF5"/>
    <w:rsid w:val="000C6338"/>
    <w:rsid w:val="000C6396"/>
    <w:rsid w:val="000C66B8"/>
    <w:rsid w:val="000C6900"/>
    <w:rsid w:val="000C6994"/>
    <w:rsid w:val="000C6AC4"/>
    <w:rsid w:val="000C6D7A"/>
    <w:rsid w:val="000C6EC6"/>
    <w:rsid w:val="000C6FCC"/>
    <w:rsid w:val="000C7117"/>
    <w:rsid w:val="000C7138"/>
    <w:rsid w:val="000C7237"/>
    <w:rsid w:val="000C73A9"/>
    <w:rsid w:val="000C74C1"/>
    <w:rsid w:val="000C75DE"/>
    <w:rsid w:val="000C75F8"/>
    <w:rsid w:val="000C79A8"/>
    <w:rsid w:val="000C7ABB"/>
    <w:rsid w:val="000C7B8D"/>
    <w:rsid w:val="000C7DCC"/>
    <w:rsid w:val="000D0166"/>
    <w:rsid w:val="000D0324"/>
    <w:rsid w:val="000D0447"/>
    <w:rsid w:val="000D055D"/>
    <w:rsid w:val="000D06EC"/>
    <w:rsid w:val="000D080B"/>
    <w:rsid w:val="000D0A4C"/>
    <w:rsid w:val="000D0B18"/>
    <w:rsid w:val="000D0C79"/>
    <w:rsid w:val="000D1158"/>
    <w:rsid w:val="000D11FD"/>
    <w:rsid w:val="000D1392"/>
    <w:rsid w:val="000D143D"/>
    <w:rsid w:val="000D15F0"/>
    <w:rsid w:val="000D1632"/>
    <w:rsid w:val="000D165D"/>
    <w:rsid w:val="000D17C5"/>
    <w:rsid w:val="000D17CA"/>
    <w:rsid w:val="000D17D4"/>
    <w:rsid w:val="000D1C5C"/>
    <w:rsid w:val="000D1DBF"/>
    <w:rsid w:val="000D1DF0"/>
    <w:rsid w:val="000D2001"/>
    <w:rsid w:val="000D20EC"/>
    <w:rsid w:val="000D237B"/>
    <w:rsid w:val="000D2392"/>
    <w:rsid w:val="000D23C6"/>
    <w:rsid w:val="000D24FF"/>
    <w:rsid w:val="000D25A0"/>
    <w:rsid w:val="000D25A1"/>
    <w:rsid w:val="000D25F4"/>
    <w:rsid w:val="000D2768"/>
    <w:rsid w:val="000D27EE"/>
    <w:rsid w:val="000D2838"/>
    <w:rsid w:val="000D2C8D"/>
    <w:rsid w:val="000D2CEB"/>
    <w:rsid w:val="000D2D99"/>
    <w:rsid w:val="000D30A0"/>
    <w:rsid w:val="000D3272"/>
    <w:rsid w:val="000D33A5"/>
    <w:rsid w:val="000D34C5"/>
    <w:rsid w:val="000D36CA"/>
    <w:rsid w:val="000D3900"/>
    <w:rsid w:val="000D3947"/>
    <w:rsid w:val="000D3AE1"/>
    <w:rsid w:val="000D3C9B"/>
    <w:rsid w:val="000D4023"/>
    <w:rsid w:val="000D40A9"/>
    <w:rsid w:val="000D40AE"/>
    <w:rsid w:val="000D410A"/>
    <w:rsid w:val="000D4A74"/>
    <w:rsid w:val="000D536D"/>
    <w:rsid w:val="000D5C22"/>
    <w:rsid w:val="000D5CE3"/>
    <w:rsid w:val="000D5E72"/>
    <w:rsid w:val="000D5F9C"/>
    <w:rsid w:val="000D66D1"/>
    <w:rsid w:val="000D68AD"/>
    <w:rsid w:val="000D6E76"/>
    <w:rsid w:val="000D71DF"/>
    <w:rsid w:val="000D75CC"/>
    <w:rsid w:val="000D76FE"/>
    <w:rsid w:val="000D7D5B"/>
    <w:rsid w:val="000D7DBE"/>
    <w:rsid w:val="000E0226"/>
    <w:rsid w:val="000E02A8"/>
    <w:rsid w:val="000E02C4"/>
    <w:rsid w:val="000E0342"/>
    <w:rsid w:val="000E09E5"/>
    <w:rsid w:val="000E0C6D"/>
    <w:rsid w:val="000E0DCB"/>
    <w:rsid w:val="000E0F50"/>
    <w:rsid w:val="000E11EE"/>
    <w:rsid w:val="000E1223"/>
    <w:rsid w:val="000E1435"/>
    <w:rsid w:val="000E181A"/>
    <w:rsid w:val="000E19B5"/>
    <w:rsid w:val="000E1D6F"/>
    <w:rsid w:val="000E1EDC"/>
    <w:rsid w:val="000E200E"/>
    <w:rsid w:val="000E2263"/>
    <w:rsid w:val="000E26C8"/>
    <w:rsid w:val="000E2D9A"/>
    <w:rsid w:val="000E2D9F"/>
    <w:rsid w:val="000E2DDF"/>
    <w:rsid w:val="000E2F99"/>
    <w:rsid w:val="000E32EA"/>
    <w:rsid w:val="000E3778"/>
    <w:rsid w:val="000E3895"/>
    <w:rsid w:val="000E45C3"/>
    <w:rsid w:val="000E45E2"/>
    <w:rsid w:val="000E4988"/>
    <w:rsid w:val="000E4C12"/>
    <w:rsid w:val="000E4D45"/>
    <w:rsid w:val="000E4E2C"/>
    <w:rsid w:val="000E4F01"/>
    <w:rsid w:val="000E5159"/>
    <w:rsid w:val="000E5462"/>
    <w:rsid w:val="000E5738"/>
    <w:rsid w:val="000E5E76"/>
    <w:rsid w:val="000E6103"/>
    <w:rsid w:val="000E61E0"/>
    <w:rsid w:val="000E637C"/>
    <w:rsid w:val="000E69D6"/>
    <w:rsid w:val="000E6A70"/>
    <w:rsid w:val="000E6E58"/>
    <w:rsid w:val="000E6ECE"/>
    <w:rsid w:val="000E705F"/>
    <w:rsid w:val="000E74BE"/>
    <w:rsid w:val="000E75F7"/>
    <w:rsid w:val="000E7965"/>
    <w:rsid w:val="000E7A13"/>
    <w:rsid w:val="000F0000"/>
    <w:rsid w:val="000F005A"/>
    <w:rsid w:val="000F01DB"/>
    <w:rsid w:val="000F02E4"/>
    <w:rsid w:val="000F0338"/>
    <w:rsid w:val="000F03EA"/>
    <w:rsid w:val="000F06D1"/>
    <w:rsid w:val="000F0711"/>
    <w:rsid w:val="000F0922"/>
    <w:rsid w:val="000F0CBB"/>
    <w:rsid w:val="000F0F42"/>
    <w:rsid w:val="000F10CE"/>
    <w:rsid w:val="000F10DC"/>
    <w:rsid w:val="000F1387"/>
    <w:rsid w:val="000F1603"/>
    <w:rsid w:val="000F17D2"/>
    <w:rsid w:val="000F1D04"/>
    <w:rsid w:val="000F2087"/>
    <w:rsid w:val="000F226C"/>
    <w:rsid w:val="000F265D"/>
    <w:rsid w:val="000F279F"/>
    <w:rsid w:val="000F2A2B"/>
    <w:rsid w:val="000F2A65"/>
    <w:rsid w:val="000F2BC3"/>
    <w:rsid w:val="000F2D67"/>
    <w:rsid w:val="000F2E84"/>
    <w:rsid w:val="000F2FC4"/>
    <w:rsid w:val="000F312C"/>
    <w:rsid w:val="000F3290"/>
    <w:rsid w:val="000F3446"/>
    <w:rsid w:val="000F3460"/>
    <w:rsid w:val="000F3773"/>
    <w:rsid w:val="000F3994"/>
    <w:rsid w:val="000F3AB2"/>
    <w:rsid w:val="000F3DBD"/>
    <w:rsid w:val="000F3DC1"/>
    <w:rsid w:val="000F40A6"/>
    <w:rsid w:val="000F4153"/>
    <w:rsid w:val="000F4242"/>
    <w:rsid w:val="000F459E"/>
    <w:rsid w:val="000F4B0E"/>
    <w:rsid w:val="000F4D80"/>
    <w:rsid w:val="000F4E58"/>
    <w:rsid w:val="000F5038"/>
    <w:rsid w:val="000F50C4"/>
    <w:rsid w:val="000F5209"/>
    <w:rsid w:val="000F529F"/>
    <w:rsid w:val="000F52D4"/>
    <w:rsid w:val="000F536B"/>
    <w:rsid w:val="000F5377"/>
    <w:rsid w:val="000F5382"/>
    <w:rsid w:val="000F5591"/>
    <w:rsid w:val="000F563B"/>
    <w:rsid w:val="000F572E"/>
    <w:rsid w:val="000F58BF"/>
    <w:rsid w:val="000F5AA8"/>
    <w:rsid w:val="000F5F31"/>
    <w:rsid w:val="000F6347"/>
    <w:rsid w:val="000F6482"/>
    <w:rsid w:val="000F67F2"/>
    <w:rsid w:val="000F6F3D"/>
    <w:rsid w:val="000F700B"/>
    <w:rsid w:val="000F71A3"/>
    <w:rsid w:val="000F74AF"/>
    <w:rsid w:val="000F777A"/>
    <w:rsid w:val="000F78E1"/>
    <w:rsid w:val="000F7948"/>
    <w:rsid w:val="000F7C19"/>
    <w:rsid w:val="000F7FCB"/>
    <w:rsid w:val="001000FA"/>
    <w:rsid w:val="001001FE"/>
    <w:rsid w:val="00100296"/>
    <w:rsid w:val="001008F1"/>
    <w:rsid w:val="00100987"/>
    <w:rsid w:val="00100DCE"/>
    <w:rsid w:val="00101079"/>
    <w:rsid w:val="001010A6"/>
    <w:rsid w:val="001010D1"/>
    <w:rsid w:val="0010135B"/>
    <w:rsid w:val="00101444"/>
    <w:rsid w:val="0010145C"/>
    <w:rsid w:val="00101461"/>
    <w:rsid w:val="00101574"/>
    <w:rsid w:val="001016CB"/>
    <w:rsid w:val="00101752"/>
    <w:rsid w:val="001017B3"/>
    <w:rsid w:val="001019E0"/>
    <w:rsid w:val="00102116"/>
    <w:rsid w:val="001024BD"/>
    <w:rsid w:val="0010291C"/>
    <w:rsid w:val="001029DD"/>
    <w:rsid w:val="00102D36"/>
    <w:rsid w:val="00102D4D"/>
    <w:rsid w:val="001031A1"/>
    <w:rsid w:val="0010337B"/>
    <w:rsid w:val="001034D9"/>
    <w:rsid w:val="00103972"/>
    <w:rsid w:val="00103B04"/>
    <w:rsid w:val="00103BB2"/>
    <w:rsid w:val="00103EE1"/>
    <w:rsid w:val="001040D9"/>
    <w:rsid w:val="001041A7"/>
    <w:rsid w:val="001042EE"/>
    <w:rsid w:val="00104328"/>
    <w:rsid w:val="0010462B"/>
    <w:rsid w:val="0010479D"/>
    <w:rsid w:val="0010487F"/>
    <w:rsid w:val="001048B3"/>
    <w:rsid w:val="00104924"/>
    <w:rsid w:val="00104F38"/>
    <w:rsid w:val="001051E0"/>
    <w:rsid w:val="001056CA"/>
    <w:rsid w:val="001056DD"/>
    <w:rsid w:val="001058B7"/>
    <w:rsid w:val="001058C9"/>
    <w:rsid w:val="00105934"/>
    <w:rsid w:val="00105A8F"/>
    <w:rsid w:val="00105D34"/>
    <w:rsid w:val="00105DB0"/>
    <w:rsid w:val="00105DE9"/>
    <w:rsid w:val="00105FB3"/>
    <w:rsid w:val="0010623F"/>
    <w:rsid w:val="001062E4"/>
    <w:rsid w:val="001064B8"/>
    <w:rsid w:val="0010653E"/>
    <w:rsid w:val="001066EC"/>
    <w:rsid w:val="0010683A"/>
    <w:rsid w:val="00106D08"/>
    <w:rsid w:val="00106E2C"/>
    <w:rsid w:val="00106FAC"/>
    <w:rsid w:val="0010706C"/>
    <w:rsid w:val="00107576"/>
    <w:rsid w:val="001076A7"/>
    <w:rsid w:val="00107C76"/>
    <w:rsid w:val="0011013E"/>
    <w:rsid w:val="00110546"/>
    <w:rsid w:val="0011087C"/>
    <w:rsid w:val="0011089F"/>
    <w:rsid w:val="00110BE2"/>
    <w:rsid w:val="00110D47"/>
    <w:rsid w:val="00110DFD"/>
    <w:rsid w:val="00110EDB"/>
    <w:rsid w:val="00111044"/>
    <w:rsid w:val="001110A0"/>
    <w:rsid w:val="0011115B"/>
    <w:rsid w:val="0011125D"/>
    <w:rsid w:val="0011164D"/>
    <w:rsid w:val="001117E7"/>
    <w:rsid w:val="001117EE"/>
    <w:rsid w:val="001118CB"/>
    <w:rsid w:val="00111B94"/>
    <w:rsid w:val="00111C13"/>
    <w:rsid w:val="00111F33"/>
    <w:rsid w:val="001123CC"/>
    <w:rsid w:val="001124BD"/>
    <w:rsid w:val="0011284F"/>
    <w:rsid w:val="00112C68"/>
    <w:rsid w:val="00112E6F"/>
    <w:rsid w:val="00112F0D"/>
    <w:rsid w:val="00112FBE"/>
    <w:rsid w:val="001130D9"/>
    <w:rsid w:val="001131AC"/>
    <w:rsid w:val="00113294"/>
    <w:rsid w:val="00113C05"/>
    <w:rsid w:val="001141BC"/>
    <w:rsid w:val="00114627"/>
    <w:rsid w:val="001146D0"/>
    <w:rsid w:val="0011491E"/>
    <w:rsid w:val="00114E7A"/>
    <w:rsid w:val="0011505E"/>
    <w:rsid w:val="0011508D"/>
    <w:rsid w:val="00115774"/>
    <w:rsid w:val="001157B0"/>
    <w:rsid w:val="00115936"/>
    <w:rsid w:val="00115A36"/>
    <w:rsid w:val="00115A8D"/>
    <w:rsid w:val="00115C34"/>
    <w:rsid w:val="001160DB"/>
    <w:rsid w:val="00116166"/>
    <w:rsid w:val="0011617C"/>
    <w:rsid w:val="0011646E"/>
    <w:rsid w:val="00116819"/>
    <w:rsid w:val="00116906"/>
    <w:rsid w:val="00116D8F"/>
    <w:rsid w:val="00116F10"/>
    <w:rsid w:val="0011731F"/>
    <w:rsid w:val="0011745B"/>
    <w:rsid w:val="0011753B"/>
    <w:rsid w:val="001177D0"/>
    <w:rsid w:val="00117E8A"/>
    <w:rsid w:val="001204FE"/>
    <w:rsid w:val="0012084E"/>
    <w:rsid w:val="00120A21"/>
    <w:rsid w:val="00120AA2"/>
    <w:rsid w:val="00120AC5"/>
    <w:rsid w:val="00120B73"/>
    <w:rsid w:val="00120FFC"/>
    <w:rsid w:val="0012109F"/>
    <w:rsid w:val="0012174F"/>
    <w:rsid w:val="001218B5"/>
    <w:rsid w:val="0012192C"/>
    <w:rsid w:val="00121A17"/>
    <w:rsid w:val="001221B0"/>
    <w:rsid w:val="00122680"/>
    <w:rsid w:val="00122875"/>
    <w:rsid w:val="0012287F"/>
    <w:rsid w:val="00122A87"/>
    <w:rsid w:val="00122AB6"/>
    <w:rsid w:val="00122C10"/>
    <w:rsid w:val="00122CF3"/>
    <w:rsid w:val="00122EEF"/>
    <w:rsid w:val="001231A5"/>
    <w:rsid w:val="001232FB"/>
    <w:rsid w:val="00123377"/>
    <w:rsid w:val="00123406"/>
    <w:rsid w:val="00123583"/>
    <w:rsid w:val="0012360C"/>
    <w:rsid w:val="001236C4"/>
    <w:rsid w:val="001236F4"/>
    <w:rsid w:val="001237B2"/>
    <w:rsid w:val="001238D5"/>
    <w:rsid w:val="0012396F"/>
    <w:rsid w:val="00123A15"/>
    <w:rsid w:val="00123AB7"/>
    <w:rsid w:val="00123C1E"/>
    <w:rsid w:val="00123F9F"/>
    <w:rsid w:val="00123FCF"/>
    <w:rsid w:val="001249DA"/>
    <w:rsid w:val="00124A58"/>
    <w:rsid w:val="00124A6C"/>
    <w:rsid w:val="00124A79"/>
    <w:rsid w:val="00124B78"/>
    <w:rsid w:val="00124F43"/>
    <w:rsid w:val="00124F6E"/>
    <w:rsid w:val="00125091"/>
    <w:rsid w:val="00125279"/>
    <w:rsid w:val="0012529E"/>
    <w:rsid w:val="001253EA"/>
    <w:rsid w:val="0012557D"/>
    <w:rsid w:val="00125AC5"/>
    <w:rsid w:val="00125DAA"/>
    <w:rsid w:val="00125E14"/>
    <w:rsid w:val="00125E9F"/>
    <w:rsid w:val="0012630D"/>
    <w:rsid w:val="001266CC"/>
    <w:rsid w:val="001267F4"/>
    <w:rsid w:val="0012699E"/>
    <w:rsid w:val="00126A09"/>
    <w:rsid w:val="00126E7E"/>
    <w:rsid w:val="00126EA8"/>
    <w:rsid w:val="00126F47"/>
    <w:rsid w:val="0012740B"/>
    <w:rsid w:val="0012746C"/>
    <w:rsid w:val="001275D1"/>
    <w:rsid w:val="00127944"/>
    <w:rsid w:val="00127A17"/>
    <w:rsid w:val="00127A43"/>
    <w:rsid w:val="00127A70"/>
    <w:rsid w:val="00127AA0"/>
    <w:rsid w:val="00127ABE"/>
    <w:rsid w:val="00127BA6"/>
    <w:rsid w:val="00127F2D"/>
    <w:rsid w:val="00127F35"/>
    <w:rsid w:val="00130093"/>
    <w:rsid w:val="001305E3"/>
    <w:rsid w:val="00130BD9"/>
    <w:rsid w:val="00130BED"/>
    <w:rsid w:val="00130D05"/>
    <w:rsid w:val="00130D78"/>
    <w:rsid w:val="00130DC6"/>
    <w:rsid w:val="00130FFF"/>
    <w:rsid w:val="00131552"/>
    <w:rsid w:val="00131E78"/>
    <w:rsid w:val="00131F1F"/>
    <w:rsid w:val="001321F8"/>
    <w:rsid w:val="00132663"/>
    <w:rsid w:val="0013277A"/>
    <w:rsid w:val="00132ED7"/>
    <w:rsid w:val="0013302A"/>
    <w:rsid w:val="001334D4"/>
    <w:rsid w:val="00133505"/>
    <w:rsid w:val="00133582"/>
    <w:rsid w:val="00133960"/>
    <w:rsid w:val="00133A05"/>
    <w:rsid w:val="00133AE4"/>
    <w:rsid w:val="00133B7C"/>
    <w:rsid w:val="00133E48"/>
    <w:rsid w:val="00133EA5"/>
    <w:rsid w:val="00133F04"/>
    <w:rsid w:val="001342C3"/>
    <w:rsid w:val="00134412"/>
    <w:rsid w:val="0013448C"/>
    <w:rsid w:val="001344D5"/>
    <w:rsid w:val="00134755"/>
    <w:rsid w:val="001348AB"/>
    <w:rsid w:val="001349D3"/>
    <w:rsid w:val="00134E29"/>
    <w:rsid w:val="00135320"/>
    <w:rsid w:val="00135349"/>
    <w:rsid w:val="0013542E"/>
    <w:rsid w:val="0013544A"/>
    <w:rsid w:val="00135598"/>
    <w:rsid w:val="00135846"/>
    <w:rsid w:val="0013586B"/>
    <w:rsid w:val="00135B76"/>
    <w:rsid w:val="00135C57"/>
    <w:rsid w:val="00135D6F"/>
    <w:rsid w:val="00135DC2"/>
    <w:rsid w:val="0013611D"/>
    <w:rsid w:val="001362D2"/>
    <w:rsid w:val="00136C70"/>
    <w:rsid w:val="00136D81"/>
    <w:rsid w:val="00136DD5"/>
    <w:rsid w:val="001378D6"/>
    <w:rsid w:val="00137B59"/>
    <w:rsid w:val="00137C70"/>
    <w:rsid w:val="00137DE1"/>
    <w:rsid w:val="00137F1A"/>
    <w:rsid w:val="00140012"/>
    <w:rsid w:val="001401EE"/>
    <w:rsid w:val="00140835"/>
    <w:rsid w:val="00140A8E"/>
    <w:rsid w:val="00140CB2"/>
    <w:rsid w:val="00140CF2"/>
    <w:rsid w:val="00140D94"/>
    <w:rsid w:val="00141642"/>
    <w:rsid w:val="00141EA0"/>
    <w:rsid w:val="00141FDD"/>
    <w:rsid w:val="00142142"/>
    <w:rsid w:val="0014223A"/>
    <w:rsid w:val="00142540"/>
    <w:rsid w:val="00142613"/>
    <w:rsid w:val="0014269C"/>
    <w:rsid w:val="00142751"/>
    <w:rsid w:val="001429E3"/>
    <w:rsid w:val="00142C8D"/>
    <w:rsid w:val="00143238"/>
    <w:rsid w:val="001436E3"/>
    <w:rsid w:val="00143859"/>
    <w:rsid w:val="00143A81"/>
    <w:rsid w:val="0014444E"/>
    <w:rsid w:val="001444B6"/>
    <w:rsid w:val="001444BD"/>
    <w:rsid w:val="00144540"/>
    <w:rsid w:val="00144555"/>
    <w:rsid w:val="00144627"/>
    <w:rsid w:val="00144806"/>
    <w:rsid w:val="0014484A"/>
    <w:rsid w:val="00144871"/>
    <w:rsid w:val="001449EE"/>
    <w:rsid w:val="00144A3A"/>
    <w:rsid w:val="00144B17"/>
    <w:rsid w:val="00144DB5"/>
    <w:rsid w:val="00144DBB"/>
    <w:rsid w:val="001453A8"/>
    <w:rsid w:val="00145787"/>
    <w:rsid w:val="00145A81"/>
    <w:rsid w:val="00145BFC"/>
    <w:rsid w:val="00145E60"/>
    <w:rsid w:val="00145EA5"/>
    <w:rsid w:val="00145FCA"/>
    <w:rsid w:val="001461A8"/>
    <w:rsid w:val="001465D7"/>
    <w:rsid w:val="001466E9"/>
    <w:rsid w:val="00146718"/>
    <w:rsid w:val="00146812"/>
    <w:rsid w:val="00146984"/>
    <w:rsid w:val="00147012"/>
    <w:rsid w:val="0014705E"/>
    <w:rsid w:val="00147325"/>
    <w:rsid w:val="00147557"/>
    <w:rsid w:val="001477AB"/>
    <w:rsid w:val="00147A6A"/>
    <w:rsid w:val="00150410"/>
    <w:rsid w:val="00150478"/>
    <w:rsid w:val="00150790"/>
    <w:rsid w:val="001507D3"/>
    <w:rsid w:val="00150831"/>
    <w:rsid w:val="00150928"/>
    <w:rsid w:val="0015095F"/>
    <w:rsid w:val="00150B75"/>
    <w:rsid w:val="00150CD1"/>
    <w:rsid w:val="00150EBC"/>
    <w:rsid w:val="0015100D"/>
    <w:rsid w:val="0015112D"/>
    <w:rsid w:val="001514DF"/>
    <w:rsid w:val="0015182E"/>
    <w:rsid w:val="0015194A"/>
    <w:rsid w:val="001519DE"/>
    <w:rsid w:val="00151AFC"/>
    <w:rsid w:val="00151D00"/>
    <w:rsid w:val="001523CD"/>
    <w:rsid w:val="00152471"/>
    <w:rsid w:val="00152498"/>
    <w:rsid w:val="0015266E"/>
    <w:rsid w:val="001526EA"/>
    <w:rsid w:val="0015276F"/>
    <w:rsid w:val="0015290E"/>
    <w:rsid w:val="00152B75"/>
    <w:rsid w:val="00152C66"/>
    <w:rsid w:val="001530CA"/>
    <w:rsid w:val="001531CF"/>
    <w:rsid w:val="00153A7B"/>
    <w:rsid w:val="00153E54"/>
    <w:rsid w:val="001546C4"/>
    <w:rsid w:val="00154818"/>
    <w:rsid w:val="0015490F"/>
    <w:rsid w:val="0015499A"/>
    <w:rsid w:val="001549F4"/>
    <w:rsid w:val="00154AA5"/>
    <w:rsid w:val="00154D38"/>
    <w:rsid w:val="00154EA4"/>
    <w:rsid w:val="0015500D"/>
    <w:rsid w:val="00155145"/>
    <w:rsid w:val="00155271"/>
    <w:rsid w:val="001556BD"/>
    <w:rsid w:val="0015573C"/>
    <w:rsid w:val="00155789"/>
    <w:rsid w:val="0015583E"/>
    <w:rsid w:val="00155D7F"/>
    <w:rsid w:val="00155E71"/>
    <w:rsid w:val="001566BF"/>
    <w:rsid w:val="001567E2"/>
    <w:rsid w:val="001568EC"/>
    <w:rsid w:val="00156A42"/>
    <w:rsid w:val="00156B80"/>
    <w:rsid w:val="00156CD1"/>
    <w:rsid w:val="00156D10"/>
    <w:rsid w:val="00156DDB"/>
    <w:rsid w:val="00157455"/>
    <w:rsid w:val="0015753D"/>
    <w:rsid w:val="00157816"/>
    <w:rsid w:val="0015788E"/>
    <w:rsid w:val="0015797F"/>
    <w:rsid w:val="001579AC"/>
    <w:rsid w:val="00157D5B"/>
    <w:rsid w:val="00157DCC"/>
    <w:rsid w:val="00157F10"/>
    <w:rsid w:val="00157F80"/>
    <w:rsid w:val="00160004"/>
    <w:rsid w:val="00160287"/>
    <w:rsid w:val="001606AB"/>
    <w:rsid w:val="001608BA"/>
    <w:rsid w:val="00160AB3"/>
    <w:rsid w:val="00160B75"/>
    <w:rsid w:val="00160B9D"/>
    <w:rsid w:val="00160E57"/>
    <w:rsid w:val="0016105D"/>
    <w:rsid w:val="0016123E"/>
    <w:rsid w:val="001612DD"/>
    <w:rsid w:val="00161664"/>
    <w:rsid w:val="00161880"/>
    <w:rsid w:val="001619CC"/>
    <w:rsid w:val="001619E6"/>
    <w:rsid w:val="00161AED"/>
    <w:rsid w:val="00161AF4"/>
    <w:rsid w:val="00161E4E"/>
    <w:rsid w:val="00161F96"/>
    <w:rsid w:val="0016213A"/>
    <w:rsid w:val="0016226F"/>
    <w:rsid w:val="00162351"/>
    <w:rsid w:val="001624F7"/>
    <w:rsid w:val="0016272D"/>
    <w:rsid w:val="001627F2"/>
    <w:rsid w:val="0016285C"/>
    <w:rsid w:val="0016296F"/>
    <w:rsid w:val="00162A2B"/>
    <w:rsid w:val="00162B31"/>
    <w:rsid w:val="00162C22"/>
    <w:rsid w:val="00163759"/>
    <w:rsid w:val="00163A03"/>
    <w:rsid w:val="00163AC1"/>
    <w:rsid w:val="00163ACA"/>
    <w:rsid w:val="00163EE9"/>
    <w:rsid w:val="00164000"/>
    <w:rsid w:val="001641FF"/>
    <w:rsid w:val="001644A6"/>
    <w:rsid w:val="001647C3"/>
    <w:rsid w:val="00164823"/>
    <w:rsid w:val="001648FA"/>
    <w:rsid w:val="00164967"/>
    <w:rsid w:val="001649D7"/>
    <w:rsid w:val="00164EA4"/>
    <w:rsid w:val="00164F35"/>
    <w:rsid w:val="00164FDB"/>
    <w:rsid w:val="001651C5"/>
    <w:rsid w:val="00165327"/>
    <w:rsid w:val="001653E3"/>
    <w:rsid w:val="0016559C"/>
    <w:rsid w:val="001656C8"/>
    <w:rsid w:val="00165736"/>
    <w:rsid w:val="001657D0"/>
    <w:rsid w:val="00165B6B"/>
    <w:rsid w:val="00165BD1"/>
    <w:rsid w:val="00165C30"/>
    <w:rsid w:val="00165E79"/>
    <w:rsid w:val="00166048"/>
    <w:rsid w:val="0016605B"/>
    <w:rsid w:val="00166558"/>
    <w:rsid w:val="00166573"/>
    <w:rsid w:val="00166D92"/>
    <w:rsid w:val="00166E68"/>
    <w:rsid w:val="00166EC8"/>
    <w:rsid w:val="00166EEF"/>
    <w:rsid w:val="00166F9C"/>
    <w:rsid w:val="00166FE5"/>
    <w:rsid w:val="0016701C"/>
    <w:rsid w:val="0016745E"/>
    <w:rsid w:val="0016751A"/>
    <w:rsid w:val="00167651"/>
    <w:rsid w:val="001678B4"/>
    <w:rsid w:val="001678DB"/>
    <w:rsid w:val="00167BC4"/>
    <w:rsid w:val="00167D1D"/>
    <w:rsid w:val="00167D36"/>
    <w:rsid w:val="00167F2E"/>
    <w:rsid w:val="00167FAB"/>
    <w:rsid w:val="00170022"/>
    <w:rsid w:val="00170329"/>
    <w:rsid w:val="0017041E"/>
    <w:rsid w:val="00170422"/>
    <w:rsid w:val="00170788"/>
    <w:rsid w:val="001709BD"/>
    <w:rsid w:val="001710B3"/>
    <w:rsid w:val="00171197"/>
    <w:rsid w:val="00171619"/>
    <w:rsid w:val="001717EA"/>
    <w:rsid w:val="00171905"/>
    <w:rsid w:val="001719DE"/>
    <w:rsid w:val="00171A50"/>
    <w:rsid w:val="00171B7C"/>
    <w:rsid w:val="00171CBE"/>
    <w:rsid w:val="00172179"/>
    <w:rsid w:val="00172356"/>
    <w:rsid w:val="001723CA"/>
    <w:rsid w:val="00172822"/>
    <w:rsid w:val="00172A44"/>
    <w:rsid w:val="00173862"/>
    <w:rsid w:val="00173931"/>
    <w:rsid w:val="00173CBE"/>
    <w:rsid w:val="00173CF6"/>
    <w:rsid w:val="0017403E"/>
    <w:rsid w:val="00174082"/>
    <w:rsid w:val="00174135"/>
    <w:rsid w:val="0017414C"/>
    <w:rsid w:val="00174255"/>
    <w:rsid w:val="00174286"/>
    <w:rsid w:val="00174C2B"/>
    <w:rsid w:val="00174C77"/>
    <w:rsid w:val="00174EEC"/>
    <w:rsid w:val="001750B1"/>
    <w:rsid w:val="00175103"/>
    <w:rsid w:val="0017546E"/>
    <w:rsid w:val="00175785"/>
    <w:rsid w:val="001757E9"/>
    <w:rsid w:val="00175817"/>
    <w:rsid w:val="00175A09"/>
    <w:rsid w:val="00175B6B"/>
    <w:rsid w:val="00176375"/>
    <w:rsid w:val="0017654F"/>
    <w:rsid w:val="0017660C"/>
    <w:rsid w:val="00176665"/>
    <w:rsid w:val="00176B36"/>
    <w:rsid w:val="00176D34"/>
    <w:rsid w:val="001771E0"/>
    <w:rsid w:val="0017743C"/>
    <w:rsid w:val="001776E0"/>
    <w:rsid w:val="00177889"/>
    <w:rsid w:val="00177B23"/>
    <w:rsid w:val="00177CCF"/>
    <w:rsid w:val="00177CF5"/>
    <w:rsid w:val="00180170"/>
    <w:rsid w:val="001803A9"/>
    <w:rsid w:val="00180406"/>
    <w:rsid w:val="001809B3"/>
    <w:rsid w:val="00180B61"/>
    <w:rsid w:val="00180D97"/>
    <w:rsid w:val="00180D99"/>
    <w:rsid w:val="001819AD"/>
    <w:rsid w:val="00181AFB"/>
    <w:rsid w:val="00181B5E"/>
    <w:rsid w:val="00182092"/>
    <w:rsid w:val="00182B73"/>
    <w:rsid w:val="00182E63"/>
    <w:rsid w:val="0018312E"/>
    <w:rsid w:val="001831D7"/>
    <w:rsid w:val="00183558"/>
    <w:rsid w:val="001835E9"/>
    <w:rsid w:val="00183603"/>
    <w:rsid w:val="00183690"/>
    <w:rsid w:val="00183D25"/>
    <w:rsid w:val="00183F25"/>
    <w:rsid w:val="0018413F"/>
    <w:rsid w:val="00184361"/>
    <w:rsid w:val="0018439C"/>
    <w:rsid w:val="00184BD3"/>
    <w:rsid w:val="00184D53"/>
    <w:rsid w:val="00184DAD"/>
    <w:rsid w:val="0018530D"/>
    <w:rsid w:val="0018534B"/>
    <w:rsid w:val="0018566D"/>
    <w:rsid w:val="001856D7"/>
    <w:rsid w:val="00185A5A"/>
    <w:rsid w:val="00185A6E"/>
    <w:rsid w:val="00185A8D"/>
    <w:rsid w:val="00185B0C"/>
    <w:rsid w:val="00185DF3"/>
    <w:rsid w:val="00185E15"/>
    <w:rsid w:val="00185F94"/>
    <w:rsid w:val="001860CD"/>
    <w:rsid w:val="001860E2"/>
    <w:rsid w:val="00186514"/>
    <w:rsid w:val="0018656B"/>
    <w:rsid w:val="00186AE6"/>
    <w:rsid w:val="00186AF1"/>
    <w:rsid w:val="001870A7"/>
    <w:rsid w:val="00187235"/>
    <w:rsid w:val="0018736E"/>
    <w:rsid w:val="0018799C"/>
    <w:rsid w:val="00187D73"/>
    <w:rsid w:val="00187DB1"/>
    <w:rsid w:val="00187DF7"/>
    <w:rsid w:val="00187FE5"/>
    <w:rsid w:val="0019004B"/>
    <w:rsid w:val="001901E2"/>
    <w:rsid w:val="00190779"/>
    <w:rsid w:val="00190B18"/>
    <w:rsid w:val="00190EB0"/>
    <w:rsid w:val="00190F58"/>
    <w:rsid w:val="0019131B"/>
    <w:rsid w:val="0019163A"/>
    <w:rsid w:val="00191B0D"/>
    <w:rsid w:val="00191B3E"/>
    <w:rsid w:val="00191BC6"/>
    <w:rsid w:val="00191E7F"/>
    <w:rsid w:val="00192158"/>
    <w:rsid w:val="0019234C"/>
    <w:rsid w:val="001929A5"/>
    <w:rsid w:val="00192AF4"/>
    <w:rsid w:val="00192F1A"/>
    <w:rsid w:val="00192F32"/>
    <w:rsid w:val="00193132"/>
    <w:rsid w:val="001931C7"/>
    <w:rsid w:val="0019325B"/>
    <w:rsid w:val="001936EF"/>
    <w:rsid w:val="00193843"/>
    <w:rsid w:val="00193A4E"/>
    <w:rsid w:val="00193B46"/>
    <w:rsid w:val="00193E4E"/>
    <w:rsid w:val="00193FA0"/>
    <w:rsid w:val="001940B5"/>
    <w:rsid w:val="001940E9"/>
    <w:rsid w:val="001942FD"/>
    <w:rsid w:val="00194402"/>
    <w:rsid w:val="00194484"/>
    <w:rsid w:val="00194D0E"/>
    <w:rsid w:val="00194D26"/>
    <w:rsid w:val="001954B0"/>
    <w:rsid w:val="00195610"/>
    <w:rsid w:val="00195651"/>
    <w:rsid w:val="00195949"/>
    <w:rsid w:val="00195950"/>
    <w:rsid w:val="00195953"/>
    <w:rsid w:val="00196604"/>
    <w:rsid w:val="00196980"/>
    <w:rsid w:val="00196AD3"/>
    <w:rsid w:val="00196CDF"/>
    <w:rsid w:val="00196CE9"/>
    <w:rsid w:val="00196E9A"/>
    <w:rsid w:val="00196EF4"/>
    <w:rsid w:val="0019745A"/>
    <w:rsid w:val="001975F4"/>
    <w:rsid w:val="001976B9"/>
    <w:rsid w:val="00197A39"/>
    <w:rsid w:val="00197BA7"/>
    <w:rsid w:val="00197F31"/>
    <w:rsid w:val="001A018E"/>
    <w:rsid w:val="001A0439"/>
    <w:rsid w:val="001A0A91"/>
    <w:rsid w:val="001A0D20"/>
    <w:rsid w:val="001A0D4B"/>
    <w:rsid w:val="001A0D88"/>
    <w:rsid w:val="001A1054"/>
    <w:rsid w:val="001A10C8"/>
    <w:rsid w:val="001A1341"/>
    <w:rsid w:val="001A19B6"/>
    <w:rsid w:val="001A1AAC"/>
    <w:rsid w:val="001A1E08"/>
    <w:rsid w:val="001A1E16"/>
    <w:rsid w:val="001A1F0B"/>
    <w:rsid w:val="001A202F"/>
    <w:rsid w:val="001A211B"/>
    <w:rsid w:val="001A2283"/>
    <w:rsid w:val="001A2538"/>
    <w:rsid w:val="001A253E"/>
    <w:rsid w:val="001A2553"/>
    <w:rsid w:val="001A28EF"/>
    <w:rsid w:val="001A2A60"/>
    <w:rsid w:val="001A2A7B"/>
    <w:rsid w:val="001A2C71"/>
    <w:rsid w:val="001A2CFD"/>
    <w:rsid w:val="001A2F46"/>
    <w:rsid w:val="001A2F73"/>
    <w:rsid w:val="001A32D1"/>
    <w:rsid w:val="001A331F"/>
    <w:rsid w:val="001A3327"/>
    <w:rsid w:val="001A3621"/>
    <w:rsid w:val="001A3625"/>
    <w:rsid w:val="001A3706"/>
    <w:rsid w:val="001A3B32"/>
    <w:rsid w:val="001A3C1E"/>
    <w:rsid w:val="001A3F75"/>
    <w:rsid w:val="001A424F"/>
    <w:rsid w:val="001A42CC"/>
    <w:rsid w:val="001A482F"/>
    <w:rsid w:val="001A4AC5"/>
    <w:rsid w:val="001A4E20"/>
    <w:rsid w:val="001A5064"/>
    <w:rsid w:val="001A5262"/>
    <w:rsid w:val="001A5376"/>
    <w:rsid w:val="001A5462"/>
    <w:rsid w:val="001A5A9D"/>
    <w:rsid w:val="001A5D34"/>
    <w:rsid w:val="001A61DB"/>
    <w:rsid w:val="001A63DE"/>
    <w:rsid w:val="001A68C1"/>
    <w:rsid w:val="001A6993"/>
    <w:rsid w:val="001A6B13"/>
    <w:rsid w:val="001A6D09"/>
    <w:rsid w:val="001A6EC6"/>
    <w:rsid w:val="001A704B"/>
    <w:rsid w:val="001A70CE"/>
    <w:rsid w:val="001A7227"/>
    <w:rsid w:val="001A72A7"/>
    <w:rsid w:val="001A7756"/>
    <w:rsid w:val="001A78CB"/>
    <w:rsid w:val="001A796C"/>
    <w:rsid w:val="001A7A68"/>
    <w:rsid w:val="001A7A76"/>
    <w:rsid w:val="001A7BBC"/>
    <w:rsid w:val="001A7F8C"/>
    <w:rsid w:val="001B01E1"/>
    <w:rsid w:val="001B035E"/>
    <w:rsid w:val="001B04E5"/>
    <w:rsid w:val="001B07DF"/>
    <w:rsid w:val="001B086A"/>
    <w:rsid w:val="001B0B72"/>
    <w:rsid w:val="001B0B97"/>
    <w:rsid w:val="001B0C0A"/>
    <w:rsid w:val="001B103C"/>
    <w:rsid w:val="001B1273"/>
    <w:rsid w:val="001B1352"/>
    <w:rsid w:val="001B15F9"/>
    <w:rsid w:val="001B1616"/>
    <w:rsid w:val="001B19AB"/>
    <w:rsid w:val="001B1AA5"/>
    <w:rsid w:val="001B1BDF"/>
    <w:rsid w:val="001B1C2F"/>
    <w:rsid w:val="001B1D9C"/>
    <w:rsid w:val="001B1F77"/>
    <w:rsid w:val="001B2279"/>
    <w:rsid w:val="001B24AA"/>
    <w:rsid w:val="001B24E3"/>
    <w:rsid w:val="001B256C"/>
    <w:rsid w:val="001B266B"/>
    <w:rsid w:val="001B2840"/>
    <w:rsid w:val="001B29F6"/>
    <w:rsid w:val="001B2E87"/>
    <w:rsid w:val="001B321F"/>
    <w:rsid w:val="001B32FA"/>
    <w:rsid w:val="001B3732"/>
    <w:rsid w:val="001B3775"/>
    <w:rsid w:val="001B381D"/>
    <w:rsid w:val="001B3EF4"/>
    <w:rsid w:val="001B4163"/>
    <w:rsid w:val="001B4480"/>
    <w:rsid w:val="001B47AB"/>
    <w:rsid w:val="001B4B92"/>
    <w:rsid w:val="001B4EC7"/>
    <w:rsid w:val="001B5060"/>
    <w:rsid w:val="001B52A5"/>
    <w:rsid w:val="001B55C8"/>
    <w:rsid w:val="001B561B"/>
    <w:rsid w:val="001B56D9"/>
    <w:rsid w:val="001B5993"/>
    <w:rsid w:val="001B5A24"/>
    <w:rsid w:val="001B5E34"/>
    <w:rsid w:val="001B5E7C"/>
    <w:rsid w:val="001B5F01"/>
    <w:rsid w:val="001B61A3"/>
    <w:rsid w:val="001B64EF"/>
    <w:rsid w:val="001B65DA"/>
    <w:rsid w:val="001B687F"/>
    <w:rsid w:val="001B6B10"/>
    <w:rsid w:val="001B74CC"/>
    <w:rsid w:val="001B7B13"/>
    <w:rsid w:val="001B7EB6"/>
    <w:rsid w:val="001C0241"/>
    <w:rsid w:val="001C024A"/>
    <w:rsid w:val="001C0417"/>
    <w:rsid w:val="001C05A4"/>
    <w:rsid w:val="001C0864"/>
    <w:rsid w:val="001C0AE4"/>
    <w:rsid w:val="001C0D6D"/>
    <w:rsid w:val="001C0E7A"/>
    <w:rsid w:val="001C0EED"/>
    <w:rsid w:val="001C0FC7"/>
    <w:rsid w:val="001C175F"/>
    <w:rsid w:val="001C1979"/>
    <w:rsid w:val="001C1AF5"/>
    <w:rsid w:val="001C1BF7"/>
    <w:rsid w:val="001C1D30"/>
    <w:rsid w:val="001C1D3C"/>
    <w:rsid w:val="001C1EBB"/>
    <w:rsid w:val="001C1F57"/>
    <w:rsid w:val="001C24EB"/>
    <w:rsid w:val="001C2BA9"/>
    <w:rsid w:val="001C2CC9"/>
    <w:rsid w:val="001C2E85"/>
    <w:rsid w:val="001C30E9"/>
    <w:rsid w:val="001C3450"/>
    <w:rsid w:val="001C378C"/>
    <w:rsid w:val="001C3C59"/>
    <w:rsid w:val="001C3F69"/>
    <w:rsid w:val="001C4088"/>
    <w:rsid w:val="001C41AC"/>
    <w:rsid w:val="001C42E0"/>
    <w:rsid w:val="001C4354"/>
    <w:rsid w:val="001C44A7"/>
    <w:rsid w:val="001C5110"/>
    <w:rsid w:val="001C521A"/>
    <w:rsid w:val="001C5257"/>
    <w:rsid w:val="001C55BE"/>
    <w:rsid w:val="001C55FC"/>
    <w:rsid w:val="001C5D1B"/>
    <w:rsid w:val="001C5ED6"/>
    <w:rsid w:val="001C604A"/>
    <w:rsid w:val="001C618F"/>
    <w:rsid w:val="001C621D"/>
    <w:rsid w:val="001C6498"/>
    <w:rsid w:val="001C671C"/>
    <w:rsid w:val="001C6781"/>
    <w:rsid w:val="001C6D57"/>
    <w:rsid w:val="001C72A8"/>
    <w:rsid w:val="001C72DC"/>
    <w:rsid w:val="001C72FD"/>
    <w:rsid w:val="001C7314"/>
    <w:rsid w:val="001C7472"/>
    <w:rsid w:val="001C7865"/>
    <w:rsid w:val="001C7998"/>
    <w:rsid w:val="001C79B3"/>
    <w:rsid w:val="001C7AB5"/>
    <w:rsid w:val="001C7C52"/>
    <w:rsid w:val="001C7DBF"/>
    <w:rsid w:val="001C7EDA"/>
    <w:rsid w:val="001D00C9"/>
    <w:rsid w:val="001D01D3"/>
    <w:rsid w:val="001D02D0"/>
    <w:rsid w:val="001D0477"/>
    <w:rsid w:val="001D04A9"/>
    <w:rsid w:val="001D05AF"/>
    <w:rsid w:val="001D08A3"/>
    <w:rsid w:val="001D09F1"/>
    <w:rsid w:val="001D0D47"/>
    <w:rsid w:val="001D0E49"/>
    <w:rsid w:val="001D0ED9"/>
    <w:rsid w:val="001D1116"/>
    <w:rsid w:val="001D119F"/>
    <w:rsid w:val="001D15F9"/>
    <w:rsid w:val="001D1954"/>
    <w:rsid w:val="001D1ABC"/>
    <w:rsid w:val="001D1C39"/>
    <w:rsid w:val="001D1F03"/>
    <w:rsid w:val="001D2274"/>
    <w:rsid w:val="001D22B3"/>
    <w:rsid w:val="001D2384"/>
    <w:rsid w:val="001D23B4"/>
    <w:rsid w:val="001D2806"/>
    <w:rsid w:val="001D2831"/>
    <w:rsid w:val="001D295D"/>
    <w:rsid w:val="001D2FAB"/>
    <w:rsid w:val="001D3325"/>
    <w:rsid w:val="001D34C7"/>
    <w:rsid w:val="001D39CC"/>
    <w:rsid w:val="001D3B47"/>
    <w:rsid w:val="001D3C64"/>
    <w:rsid w:val="001D3E60"/>
    <w:rsid w:val="001D40B8"/>
    <w:rsid w:val="001D41D7"/>
    <w:rsid w:val="001D42C3"/>
    <w:rsid w:val="001D44F9"/>
    <w:rsid w:val="001D4B74"/>
    <w:rsid w:val="001D4B85"/>
    <w:rsid w:val="001D4DFF"/>
    <w:rsid w:val="001D5302"/>
    <w:rsid w:val="001D5365"/>
    <w:rsid w:val="001D555D"/>
    <w:rsid w:val="001D570A"/>
    <w:rsid w:val="001D5B54"/>
    <w:rsid w:val="001D5DEC"/>
    <w:rsid w:val="001D5E45"/>
    <w:rsid w:val="001D5FC0"/>
    <w:rsid w:val="001D6042"/>
    <w:rsid w:val="001D65FE"/>
    <w:rsid w:val="001D6683"/>
    <w:rsid w:val="001D675F"/>
    <w:rsid w:val="001D6849"/>
    <w:rsid w:val="001D6FD0"/>
    <w:rsid w:val="001D733E"/>
    <w:rsid w:val="001D7496"/>
    <w:rsid w:val="001D759D"/>
    <w:rsid w:val="001D798C"/>
    <w:rsid w:val="001D7BB2"/>
    <w:rsid w:val="001D7FA4"/>
    <w:rsid w:val="001E028B"/>
    <w:rsid w:val="001E0554"/>
    <w:rsid w:val="001E062F"/>
    <w:rsid w:val="001E09E0"/>
    <w:rsid w:val="001E0B54"/>
    <w:rsid w:val="001E0C6C"/>
    <w:rsid w:val="001E0C70"/>
    <w:rsid w:val="001E0DBA"/>
    <w:rsid w:val="001E1484"/>
    <w:rsid w:val="001E149B"/>
    <w:rsid w:val="001E1667"/>
    <w:rsid w:val="001E18B0"/>
    <w:rsid w:val="001E18C9"/>
    <w:rsid w:val="001E1AFE"/>
    <w:rsid w:val="001E1CA6"/>
    <w:rsid w:val="001E1D51"/>
    <w:rsid w:val="001E215D"/>
    <w:rsid w:val="001E24C1"/>
    <w:rsid w:val="001E26C3"/>
    <w:rsid w:val="001E2719"/>
    <w:rsid w:val="001E2B4A"/>
    <w:rsid w:val="001E2C9D"/>
    <w:rsid w:val="001E2F29"/>
    <w:rsid w:val="001E3280"/>
    <w:rsid w:val="001E34B9"/>
    <w:rsid w:val="001E3506"/>
    <w:rsid w:val="001E35A2"/>
    <w:rsid w:val="001E3689"/>
    <w:rsid w:val="001E37CE"/>
    <w:rsid w:val="001E3AB0"/>
    <w:rsid w:val="001E3AF1"/>
    <w:rsid w:val="001E3B85"/>
    <w:rsid w:val="001E3C72"/>
    <w:rsid w:val="001E3D66"/>
    <w:rsid w:val="001E3E1F"/>
    <w:rsid w:val="001E4125"/>
    <w:rsid w:val="001E456D"/>
    <w:rsid w:val="001E47CB"/>
    <w:rsid w:val="001E4B20"/>
    <w:rsid w:val="001E4BC6"/>
    <w:rsid w:val="001E4E37"/>
    <w:rsid w:val="001E4E4B"/>
    <w:rsid w:val="001E4FF7"/>
    <w:rsid w:val="001E581D"/>
    <w:rsid w:val="001E5989"/>
    <w:rsid w:val="001E5B2C"/>
    <w:rsid w:val="001E5C3C"/>
    <w:rsid w:val="001E5C9B"/>
    <w:rsid w:val="001E603B"/>
    <w:rsid w:val="001E61E1"/>
    <w:rsid w:val="001E637A"/>
    <w:rsid w:val="001E640B"/>
    <w:rsid w:val="001E6829"/>
    <w:rsid w:val="001E6962"/>
    <w:rsid w:val="001E69CA"/>
    <w:rsid w:val="001E6A5B"/>
    <w:rsid w:val="001E6C30"/>
    <w:rsid w:val="001E6CB7"/>
    <w:rsid w:val="001E6CCC"/>
    <w:rsid w:val="001E6FE0"/>
    <w:rsid w:val="001E7328"/>
    <w:rsid w:val="001E772A"/>
    <w:rsid w:val="001E78CD"/>
    <w:rsid w:val="001E7B35"/>
    <w:rsid w:val="001E7B5D"/>
    <w:rsid w:val="001E7FBD"/>
    <w:rsid w:val="001F0830"/>
    <w:rsid w:val="001F0A3F"/>
    <w:rsid w:val="001F0C04"/>
    <w:rsid w:val="001F1042"/>
    <w:rsid w:val="001F12EC"/>
    <w:rsid w:val="001F17AD"/>
    <w:rsid w:val="001F1811"/>
    <w:rsid w:val="001F1A9C"/>
    <w:rsid w:val="001F1EA2"/>
    <w:rsid w:val="001F1F99"/>
    <w:rsid w:val="001F2021"/>
    <w:rsid w:val="001F22D8"/>
    <w:rsid w:val="001F23D3"/>
    <w:rsid w:val="001F2691"/>
    <w:rsid w:val="001F275A"/>
    <w:rsid w:val="001F29C8"/>
    <w:rsid w:val="001F29E2"/>
    <w:rsid w:val="001F2DAF"/>
    <w:rsid w:val="001F2DC0"/>
    <w:rsid w:val="001F2DD9"/>
    <w:rsid w:val="001F339C"/>
    <w:rsid w:val="001F350D"/>
    <w:rsid w:val="001F353C"/>
    <w:rsid w:val="001F3579"/>
    <w:rsid w:val="001F3705"/>
    <w:rsid w:val="001F3718"/>
    <w:rsid w:val="001F3A83"/>
    <w:rsid w:val="001F3B68"/>
    <w:rsid w:val="001F40A9"/>
    <w:rsid w:val="001F40FF"/>
    <w:rsid w:val="001F411C"/>
    <w:rsid w:val="001F42BE"/>
    <w:rsid w:val="001F438F"/>
    <w:rsid w:val="001F482F"/>
    <w:rsid w:val="001F4CFC"/>
    <w:rsid w:val="001F4DC4"/>
    <w:rsid w:val="001F5501"/>
    <w:rsid w:val="001F566C"/>
    <w:rsid w:val="001F58A6"/>
    <w:rsid w:val="001F59F1"/>
    <w:rsid w:val="001F5B54"/>
    <w:rsid w:val="001F5B7F"/>
    <w:rsid w:val="001F601D"/>
    <w:rsid w:val="001F63F3"/>
    <w:rsid w:val="001F677A"/>
    <w:rsid w:val="001F6B47"/>
    <w:rsid w:val="001F6D3E"/>
    <w:rsid w:val="001F6FDD"/>
    <w:rsid w:val="001F754E"/>
    <w:rsid w:val="001F793F"/>
    <w:rsid w:val="001F7AEF"/>
    <w:rsid w:val="0020000D"/>
    <w:rsid w:val="00200055"/>
    <w:rsid w:val="00200209"/>
    <w:rsid w:val="00200392"/>
    <w:rsid w:val="0020093D"/>
    <w:rsid w:val="00200A33"/>
    <w:rsid w:val="00200CDC"/>
    <w:rsid w:val="00200D07"/>
    <w:rsid w:val="00200E12"/>
    <w:rsid w:val="00200F21"/>
    <w:rsid w:val="002010C6"/>
    <w:rsid w:val="002010E9"/>
    <w:rsid w:val="00201696"/>
    <w:rsid w:val="0020192E"/>
    <w:rsid w:val="0020194B"/>
    <w:rsid w:val="00202167"/>
    <w:rsid w:val="002021EB"/>
    <w:rsid w:val="002022D5"/>
    <w:rsid w:val="002022EC"/>
    <w:rsid w:val="002022F2"/>
    <w:rsid w:val="0020248F"/>
    <w:rsid w:val="0020253E"/>
    <w:rsid w:val="002025B0"/>
    <w:rsid w:val="002026A0"/>
    <w:rsid w:val="00202813"/>
    <w:rsid w:val="00202D4D"/>
    <w:rsid w:val="002033BB"/>
    <w:rsid w:val="002033DD"/>
    <w:rsid w:val="00203402"/>
    <w:rsid w:val="002034C8"/>
    <w:rsid w:val="0020359A"/>
    <w:rsid w:val="00203C05"/>
    <w:rsid w:val="00203DCB"/>
    <w:rsid w:val="00203DD8"/>
    <w:rsid w:val="00203E7A"/>
    <w:rsid w:val="00204084"/>
    <w:rsid w:val="002042E7"/>
    <w:rsid w:val="00204843"/>
    <w:rsid w:val="00204985"/>
    <w:rsid w:val="00204995"/>
    <w:rsid w:val="002049B8"/>
    <w:rsid w:val="00204A04"/>
    <w:rsid w:val="00204BA7"/>
    <w:rsid w:val="002052BF"/>
    <w:rsid w:val="00205631"/>
    <w:rsid w:val="002056A7"/>
    <w:rsid w:val="00205826"/>
    <w:rsid w:val="002058AA"/>
    <w:rsid w:val="00205911"/>
    <w:rsid w:val="002059E9"/>
    <w:rsid w:val="00205B60"/>
    <w:rsid w:val="00205B7C"/>
    <w:rsid w:val="00205C48"/>
    <w:rsid w:val="00205C4B"/>
    <w:rsid w:val="00205EA6"/>
    <w:rsid w:val="00205EE3"/>
    <w:rsid w:val="00206052"/>
    <w:rsid w:val="0020619C"/>
    <w:rsid w:val="002062F4"/>
    <w:rsid w:val="002065E8"/>
    <w:rsid w:val="0020679D"/>
    <w:rsid w:val="002067EE"/>
    <w:rsid w:val="00206993"/>
    <w:rsid w:val="00206A17"/>
    <w:rsid w:val="00206AD4"/>
    <w:rsid w:val="00207479"/>
    <w:rsid w:val="00207571"/>
    <w:rsid w:val="002076E1"/>
    <w:rsid w:val="00207AC8"/>
    <w:rsid w:val="00207B6D"/>
    <w:rsid w:val="00207EAF"/>
    <w:rsid w:val="00207F65"/>
    <w:rsid w:val="0021015B"/>
    <w:rsid w:val="00210269"/>
    <w:rsid w:val="002103FF"/>
    <w:rsid w:val="00210526"/>
    <w:rsid w:val="00210620"/>
    <w:rsid w:val="0021075E"/>
    <w:rsid w:val="002108AD"/>
    <w:rsid w:val="00210AB8"/>
    <w:rsid w:val="00210E11"/>
    <w:rsid w:val="00210FAA"/>
    <w:rsid w:val="002110C3"/>
    <w:rsid w:val="0021111B"/>
    <w:rsid w:val="0021126F"/>
    <w:rsid w:val="00211B5F"/>
    <w:rsid w:val="00211D34"/>
    <w:rsid w:val="00211D9E"/>
    <w:rsid w:val="00211DDD"/>
    <w:rsid w:val="00211E32"/>
    <w:rsid w:val="00211EF0"/>
    <w:rsid w:val="0021202B"/>
    <w:rsid w:val="00212618"/>
    <w:rsid w:val="00212695"/>
    <w:rsid w:val="00212874"/>
    <w:rsid w:val="00212A91"/>
    <w:rsid w:val="00212ABB"/>
    <w:rsid w:val="00212D8E"/>
    <w:rsid w:val="00213010"/>
    <w:rsid w:val="002136E0"/>
    <w:rsid w:val="0021375D"/>
    <w:rsid w:val="002139D6"/>
    <w:rsid w:val="00213B7B"/>
    <w:rsid w:val="00213CFC"/>
    <w:rsid w:val="00213E5E"/>
    <w:rsid w:val="00213F48"/>
    <w:rsid w:val="00214095"/>
    <w:rsid w:val="002140F6"/>
    <w:rsid w:val="00214671"/>
    <w:rsid w:val="002147D4"/>
    <w:rsid w:val="00214BC9"/>
    <w:rsid w:val="00214C96"/>
    <w:rsid w:val="00214ECE"/>
    <w:rsid w:val="00214FDC"/>
    <w:rsid w:val="0021549B"/>
    <w:rsid w:val="00215C72"/>
    <w:rsid w:val="00216060"/>
    <w:rsid w:val="002164AC"/>
    <w:rsid w:val="0021667A"/>
    <w:rsid w:val="002167E8"/>
    <w:rsid w:val="00216905"/>
    <w:rsid w:val="00216C68"/>
    <w:rsid w:val="00216D8E"/>
    <w:rsid w:val="00217420"/>
    <w:rsid w:val="00217490"/>
    <w:rsid w:val="002176AE"/>
    <w:rsid w:val="002176E6"/>
    <w:rsid w:val="00217822"/>
    <w:rsid w:val="00217AA7"/>
    <w:rsid w:val="00217C47"/>
    <w:rsid w:val="00217C6D"/>
    <w:rsid w:val="00217EF4"/>
    <w:rsid w:val="0022008C"/>
    <w:rsid w:val="00220478"/>
    <w:rsid w:val="00220883"/>
    <w:rsid w:val="00220F89"/>
    <w:rsid w:val="00220FA3"/>
    <w:rsid w:val="0022104F"/>
    <w:rsid w:val="00221128"/>
    <w:rsid w:val="0022145F"/>
    <w:rsid w:val="00221804"/>
    <w:rsid w:val="00221A48"/>
    <w:rsid w:val="00221D0F"/>
    <w:rsid w:val="00221F27"/>
    <w:rsid w:val="00221F7E"/>
    <w:rsid w:val="00221FEE"/>
    <w:rsid w:val="002222A2"/>
    <w:rsid w:val="0022238E"/>
    <w:rsid w:val="00222EA4"/>
    <w:rsid w:val="00222F2D"/>
    <w:rsid w:val="002230A0"/>
    <w:rsid w:val="002230C8"/>
    <w:rsid w:val="0022368A"/>
    <w:rsid w:val="0022372A"/>
    <w:rsid w:val="00223B20"/>
    <w:rsid w:val="00223D5A"/>
    <w:rsid w:val="00223ECC"/>
    <w:rsid w:val="00223F9E"/>
    <w:rsid w:val="002243A9"/>
    <w:rsid w:val="00224707"/>
    <w:rsid w:val="002247E3"/>
    <w:rsid w:val="002249DB"/>
    <w:rsid w:val="00224A29"/>
    <w:rsid w:val="00224BBD"/>
    <w:rsid w:val="00224C7C"/>
    <w:rsid w:val="00224CA7"/>
    <w:rsid w:val="00224CE7"/>
    <w:rsid w:val="00224E7B"/>
    <w:rsid w:val="00224FB5"/>
    <w:rsid w:val="00225249"/>
    <w:rsid w:val="0022528C"/>
    <w:rsid w:val="00225376"/>
    <w:rsid w:val="002258E8"/>
    <w:rsid w:val="002259F3"/>
    <w:rsid w:val="00225A5D"/>
    <w:rsid w:val="00225ABA"/>
    <w:rsid w:val="00225DD2"/>
    <w:rsid w:val="002261BB"/>
    <w:rsid w:val="00226295"/>
    <w:rsid w:val="00226475"/>
    <w:rsid w:val="00226749"/>
    <w:rsid w:val="00226936"/>
    <w:rsid w:val="00226C91"/>
    <w:rsid w:val="00226D99"/>
    <w:rsid w:val="00226E10"/>
    <w:rsid w:val="00226EE3"/>
    <w:rsid w:val="0022725A"/>
    <w:rsid w:val="002272AD"/>
    <w:rsid w:val="00227550"/>
    <w:rsid w:val="00227BBD"/>
    <w:rsid w:val="00227C9E"/>
    <w:rsid w:val="00227EED"/>
    <w:rsid w:val="00230616"/>
    <w:rsid w:val="00230871"/>
    <w:rsid w:val="00230BB4"/>
    <w:rsid w:val="00230E6C"/>
    <w:rsid w:val="0023131D"/>
    <w:rsid w:val="00231A85"/>
    <w:rsid w:val="00231B5F"/>
    <w:rsid w:val="00231C33"/>
    <w:rsid w:val="00231E89"/>
    <w:rsid w:val="0023201A"/>
    <w:rsid w:val="002320A4"/>
    <w:rsid w:val="00232382"/>
    <w:rsid w:val="002324DA"/>
    <w:rsid w:val="002325A0"/>
    <w:rsid w:val="0023291C"/>
    <w:rsid w:val="00232926"/>
    <w:rsid w:val="00232AA9"/>
    <w:rsid w:val="00232BC7"/>
    <w:rsid w:val="00232C9D"/>
    <w:rsid w:val="00232EC3"/>
    <w:rsid w:val="0023329F"/>
    <w:rsid w:val="002332C8"/>
    <w:rsid w:val="0023371F"/>
    <w:rsid w:val="0023377A"/>
    <w:rsid w:val="00233A0F"/>
    <w:rsid w:val="00233D1B"/>
    <w:rsid w:val="00233F58"/>
    <w:rsid w:val="0023406D"/>
    <w:rsid w:val="0023426D"/>
    <w:rsid w:val="002346D9"/>
    <w:rsid w:val="00234D62"/>
    <w:rsid w:val="002350AC"/>
    <w:rsid w:val="002352AC"/>
    <w:rsid w:val="00235312"/>
    <w:rsid w:val="002355DA"/>
    <w:rsid w:val="0023560F"/>
    <w:rsid w:val="002359C7"/>
    <w:rsid w:val="00235A8D"/>
    <w:rsid w:val="00235AF9"/>
    <w:rsid w:val="00235B66"/>
    <w:rsid w:val="00235B67"/>
    <w:rsid w:val="00235C60"/>
    <w:rsid w:val="0023617A"/>
    <w:rsid w:val="00236279"/>
    <w:rsid w:val="00236399"/>
    <w:rsid w:val="002365B4"/>
    <w:rsid w:val="00236660"/>
    <w:rsid w:val="002368A6"/>
    <w:rsid w:val="00236968"/>
    <w:rsid w:val="00236C4E"/>
    <w:rsid w:val="00236E2D"/>
    <w:rsid w:val="00237099"/>
    <w:rsid w:val="0023710B"/>
    <w:rsid w:val="00237147"/>
    <w:rsid w:val="0023720D"/>
    <w:rsid w:val="002372E9"/>
    <w:rsid w:val="0023748A"/>
    <w:rsid w:val="0023750D"/>
    <w:rsid w:val="00237633"/>
    <w:rsid w:val="002379AF"/>
    <w:rsid w:val="00237B09"/>
    <w:rsid w:val="002400F2"/>
    <w:rsid w:val="002403CD"/>
    <w:rsid w:val="00240413"/>
    <w:rsid w:val="00240646"/>
    <w:rsid w:val="00240723"/>
    <w:rsid w:val="00240741"/>
    <w:rsid w:val="002407C3"/>
    <w:rsid w:val="00240E24"/>
    <w:rsid w:val="002412A5"/>
    <w:rsid w:val="00241390"/>
    <w:rsid w:val="00241540"/>
    <w:rsid w:val="00241774"/>
    <w:rsid w:val="00241910"/>
    <w:rsid w:val="0024192A"/>
    <w:rsid w:val="002419C6"/>
    <w:rsid w:val="002419D6"/>
    <w:rsid w:val="00241BBD"/>
    <w:rsid w:val="00241C2A"/>
    <w:rsid w:val="002421FA"/>
    <w:rsid w:val="002422DA"/>
    <w:rsid w:val="00242358"/>
    <w:rsid w:val="002426AC"/>
    <w:rsid w:val="002427D8"/>
    <w:rsid w:val="0024285E"/>
    <w:rsid w:val="00242A5D"/>
    <w:rsid w:val="00242E8C"/>
    <w:rsid w:val="0024323F"/>
    <w:rsid w:val="002432FA"/>
    <w:rsid w:val="00243AED"/>
    <w:rsid w:val="00243C17"/>
    <w:rsid w:val="00243CBC"/>
    <w:rsid w:val="00243E63"/>
    <w:rsid w:val="002444BA"/>
    <w:rsid w:val="00244554"/>
    <w:rsid w:val="00244747"/>
    <w:rsid w:val="00244A7F"/>
    <w:rsid w:val="00244DBC"/>
    <w:rsid w:val="00244FEC"/>
    <w:rsid w:val="0024506B"/>
    <w:rsid w:val="002450DB"/>
    <w:rsid w:val="002459CB"/>
    <w:rsid w:val="002459E5"/>
    <w:rsid w:val="00245A3E"/>
    <w:rsid w:val="00245A9D"/>
    <w:rsid w:val="00245F9A"/>
    <w:rsid w:val="00246081"/>
    <w:rsid w:val="002465BA"/>
    <w:rsid w:val="002469AE"/>
    <w:rsid w:val="00246ACC"/>
    <w:rsid w:val="00246EE9"/>
    <w:rsid w:val="00246F58"/>
    <w:rsid w:val="00247130"/>
    <w:rsid w:val="002472AA"/>
    <w:rsid w:val="0024775A"/>
    <w:rsid w:val="0024781D"/>
    <w:rsid w:val="002478FF"/>
    <w:rsid w:val="00247E42"/>
    <w:rsid w:val="00250290"/>
    <w:rsid w:val="0025064E"/>
    <w:rsid w:val="00250664"/>
    <w:rsid w:val="00250766"/>
    <w:rsid w:val="00250920"/>
    <w:rsid w:val="00250ACA"/>
    <w:rsid w:val="00250C84"/>
    <w:rsid w:val="00250D21"/>
    <w:rsid w:val="00251143"/>
    <w:rsid w:val="00251537"/>
    <w:rsid w:val="00251557"/>
    <w:rsid w:val="00251970"/>
    <w:rsid w:val="00251DAD"/>
    <w:rsid w:val="00252334"/>
    <w:rsid w:val="0025248A"/>
    <w:rsid w:val="00253153"/>
    <w:rsid w:val="002534BD"/>
    <w:rsid w:val="00253602"/>
    <w:rsid w:val="0025367A"/>
    <w:rsid w:val="002536FC"/>
    <w:rsid w:val="00253709"/>
    <w:rsid w:val="00253AE4"/>
    <w:rsid w:val="00253CB9"/>
    <w:rsid w:val="00253D7E"/>
    <w:rsid w:val="00253F2D"/>
    <w:rsid w:val="00253F3F"/>
    <w:rsid w:val="00254235"/>
    <w:rsid w:val="002543A6"/>
    <w:rsid w:val="00254449"/>
    <w:rsid w:val="002544DE"/>
    <w:rsid w:val="00254602"/>
    <w:rsid w:val="00254A12"/>
    <w:rsid w:val="00254B98"/>
    <w:rsid w:val="00254DB1"/>
    <w:rsid w:val="0025533D"/>
    <w:rsid w:val="002553E1"/>
    <w:rsid w:val="0025547C"/>
    <w:rsid w:val="002555B2"/>
    <w:rsid w:val="00255886"/>
    <w:rsid w:val="00255A46"/>
    <w:rsid w:val="00255BCC"/>
    <w:rsid w:val="00255C44"/>
    <w:rsid w:val="00255DFE"/>
    <w:rsid w:val="00255F00"/>
    <w:rsid w:val="00255FE4"/>
    <w:rsid w:val="00256246"/>
    <w:rsid w:val="00256267"/>
    <w:rsid w:val="002562EC"/>
    <w:rsid w:val="0025652B"/>
    <w:rsid w:val="0025652D"/>
    <w:rsid w:val="0025667A"/>
    <w:rsid w:val="002567F6"/>
    <w:rsid w:val="00256A18"/>
    <w:rsid w:val="00256B16"/>
    <w:rsid w:val="00256C13"/>
    <w:rsid w:val="00256C72"/>
    <w:rsid w:val="00256CA9"/>
    <w:rsid w:val="00257111"/>
    <w:rsid w:val="0025720B"/>
    <w:rsid w:val="00257718"/>
    <w:rsid w:val="00257D12"/>
    <w:rsid w:val="00257DE2"/>
    <w:rsid w:val="002600C1"/>
    <w:rsid w:val="0026052F"/>
    <w:rsid w:val="00260821"/>
    <w:rsid w:val="00260B6A"/>
    <w:rsid w:val="00260E9C"/>
    <w:rsid w:val="00261048"/>
    <w:rsid w:val="00261118"/>
    <w:rsid w:val="00261142"/>
    <w:rsid w:val="00261407"/>
    <w:rsid w:val="002616C8"/>
    <w:rsid w:val="002618D0"/>
    <w:rsid w:val="002618E6"/>
    <w:rsid w:val="00261976"/>
    <w:rsid w:val="00261A38"/>
    <w:rsid w:val="00261DBC"/>
    <w:rsid w:val="00262032"/>
    <w:rsid w:val="00262347"/>
    <w:rsid w:val="00262514"/>
    <w:rsid w:val="00262710"/>
    <w:rsid w:val="00262D13"/>
    <w:rsid w:val="00262EE2"/>
    <w:rsid w:val="00263066"/>
    <w:rsid w:val="00263167"/>
    <w:rsid w:val="0026334F"/>
    <w:rsid w:val="0026338E"/>
    <w:rsid w:val="002633CA"/>
    <w:rsid w:val="00263607"/>
    <w:rsid w:val="00263B76"/>
    <w:rsid w:val="00263BAB"/>
    <w:rsid w:val="00263D27"/>
    <w:rsid w:val="0026413A"/>
    <w:rsid w:val="0026433D"/>
    <w:rsid w:val="002645DB"/>
    <w:rsid w:val="0026495D"/>
    <w:rsid w:val="0026498A"/>
    <w:rsid w:val="0026499B"/>
    <w:rsid w:val="00264B9E"/>
    <w:rsid w:val="00264DB5"/>
    <w:rsid w:val="00264DBC"/>
    <w:rsid w:val="00264DE2"/>
    <w:rsid w:val="00265207"/>
    <w:rsid w:val="002652B2"/>
    <w:rsid w:val="00265395"/>
    <w:rsid w:val="00265450"/>
    <w:rsid w:val="00265D41"/>
    <w:rsid w:val="002661AA"/>
    <w:rsid w:val="00266435"/>
    <w:rsid w:val="0026650B"/>
    <w:rsid w:val="0026671C"/>
    <w:rsid w:val="002668F0"/>
    <w:rsid w:val="00266BA5"/>
    <w:rsid w:val="00266C93"/>
    <w:rsid w:val="00266D97"/>
    <w:rsid w:val="002670A2"/>
    <w:rsid w:val="0026729E"/>
    <w:rsid w:val="002672A8"/>
    <w:rsid w:val="0026738B"/>
    <w:rsid w:val="00267574"/>
    <w:rsid w:val="00267673"/>
    <w:rsid w:val="002677FB"/>
    <w:rsid w:val="002678B4"/>
    <w:rsid w:val="00267C0B"/>
    <w:rsid w:val="00267DF2"/>
    <w:rsid w:val="00267E07"/>
    <w:rsid w:val="00267E96"/>
    <w:rsid w:val="00270466"/>
    <w:rsid w:val="002704AD"/>
    <w:rsid w:val="002705C7"/>
    <w:rsid w:val="00270CD1"/>
    <w:rsid w:val="00270D39"/>
    <w:rsid w:val="00270D90"/>
    <w:rsid w:val="00270FD5"/>
    <w:rsid w:val="002711AF"/>
    <w:rsid w:val="0027132C"/>
    <w:rsid w:val="002715EF"/>
    <w:rsid w:val="0027179C"/>
    <w:rsid w:val="00271891"/>
    <w:rsid w:val="002718C1"/>
    <w:rsid w:val="002718FB"/>
    <w:rsid w:val="00271BC9"/>
    <w:rsid w:val="00271ED2"/>
    <w:rsid w:val="00272019"/>
    <w:rsid w:val="00272556"/>
    <w:rsid w:val="002727FE"/>
    <w:rsid w:val="00272A8F"/>
    <w:rsid w:val="00272E4A"/>
    <w:rsid w:val="00272E8B"/>
    <w:rsid w:val="00272F80"/>
    <w:rsid w:val="002731DB"/>
    <w:rsid w:val="00273427"/>
    <w:rsid w:val="00273693"/>
    <w:rsid w:val="002737C2"/>
    <w:rsid w:val="002738AB"/>
    <w:rsid w:val="00273A72"/>
    <w:rsid w:val="00273B05"/>
    <w:rsid w:val="00273DFB"/>
    <w:rsid w:val="0027403D"/>
    <w:rsid w:val="002740C5"/>
    <w:rsid w:val="00274366"/>
    <w:rsid w:val="002745AB"/>
    <w:rsid w:val="00274738"/>
    <w:rsid w:val="00274850"/>
    <w:rsid w:val="00274993"/>
    <w:rsid w:val="00274C49"/>
    <w:rsid w:val="00274C4A"/>
    <w:rsid w:val="00274C87"/>
    <w:rsid w:val="00274D8C"/>
    <w:rsid w:val="00274F0F"/>
    <w:rsid w:val="00275366"/>
    <w:rsid w:val="00275AA1"/>
    <w:rsid w:val="00275C62"/>
    <w:rsid w:val="00275D17"/>
    <w:rsid w:val="00275DE7"/>
    <w:rsid w:val="00275E95"/>
    <w:rsid w:val="00275ED3"/>
    <w:rsid w:val="00276194"/>
    <w:rsid w:val="002763FA"/>
    <w:rsid w:val="0027665E"/>
    <w:rsid w:val="00276BB6"/>
    <w:rsid w:val="00276E30"/>
    <w:rsid w:val="0027708F"/>
    <w:rsid w:val="00277818"/>
    <w:rsid w:val="00277B2C"/>
    <w:rsid w:val="00277B45"/>
    <w:rsid w:val="00277B9E"/>
    <w:rsid w:val="00277C1D"/>
    <w:rsid w:val="00277C83"/>
    <w:rsid w:val="00277CB9"/>
    <w:rsid w:val="00277D67"/>
    <w:rsid w:val="0028013D"/>
    <w:rsid w:val="0028070C"/>
    <w:rsid w:val="002812C6"/>
    <w:rsid w:val="002819C9"/>
    <w:rsid w:val="00281C43"/>
    <w:rsid w:val="00281D7E"/>
    <w:rsid w:val="00281E0C"/>
    <w:rsid w:val="00281EE9"/>
    <w:rsid w:val="0028236B"/>
    <w:rsid w:val="002826C0"/>
    <w:rsid w:val="002829B7"/>
    <w:rsid w:val="00282C01"/>
    <w:rsid w:val="00282FBC"/>
    <w:rsid w:val="00283F19"/>
    <w:rsid w:val="002844A2"/>
    <w:rsid w:val="00284666"/>
    <w:rsid w:val="00284847"/>
    <w:rsid w:val="00284BAD"/>
    <w:rsid w:val="00284C71"/>
    <w:rsid w:val="0028510E"/>
    <w:rsid w:val="002851A0"/>
    <w:rsid w:val="00285246"/>
    <w:rsid w:val="00285287"/>
    <w:rsid w:val="002854C2"/>
    <w:rsid w:val="002857DE"/>
    <w:rsid w:val="00285841"/>
    <w:rsid w:val="0028597B"/>
    <w:rsid w:val="00285E35"/>
    <w:rsid w:val="00285EA8"/>
    <w:rsid w:val="00286050"/>
    <w:rsid w:val="002862CC"/>
    <w:rsid w:val="0028630A"/>
    <w:rsid w:val="002863D9"/>
    <w:rsid w:val="00286520"/>
    <w:rsid w:val="00286551"/>
    <w:rsid w:val="0028689E"/>
    <w:rsid w:val="00286A25"/>
    <w:rsid w:val="00286B20"/>
    <w:rsid w:val="00286C9D"/>
    <w:rsid w:val="00286DA2"/>
    <w:rsid w:val="0028708D"/>
    <w:rsid w:val="00287177"/>
    <w:rsid w:val="002874F3"/>
    <w:rsid w:val="0028761C"/>
    <w:rsid w:val="00287B05"/>
    <w:rsid w:val="00287BC9"/>
    <w:rsid w:val="00287D92"/>
    <w:rsid w:val="002907E0"/>
    <w:rsid w:val="00290B59"/>
    <w:rsid w:val="00290B7F"/>
    <w:rsid w:val="00290D52"/>
    <w:rsid w:val="00290F43"/>
    <w:rsid w:val="00290FDA"/>
    <w:rsid w:val="0029134D"/>
    <w:rsid w:val="00291611"/>
    <w:rsid w:val="00291733"/>
    <w:rsid w:val="00291883"/>
    <w:rsid w:val="00291C2A"/>
    <w:rsid w:val="00291C9A"/>
    <w:rsid w:val="00292207"/>
    <w:rsid w:val="00292360"/>
    <w:rsid w:val="002923ED"/>
    <w:rsid w:val="0029265C"/>
    <w:rsid w:val="002927BB"/>
    <w:rsid w:val="002927D0"/>
    <w:rsid w:val="00292850"/>
    <w:rsid w:val="00292B8D"/>
    <w:rsid w:val="00292C17"/>
    <w:rsid w:val="00292C58"/>
    <w:rsid w:val="00292C7B"/>
    <w:rsid w:val="00292F72"/>
    <w:rsid w:val="002931C5"/>
    <w:rsid w:val="002931FC"/>
    <w:rsid w:val="0029320C"/>
    <w:rsid w:val="00293331"/>
    <w:rsid w:val="00293597"/>
    <w:rsid w:val="002939F0"/>
    <w:rsid w:val="00293B06"/>
    <w:rsid w:val="00293CAA"/>
    <w:rsid w:val="00293F08"/>
    <w:rsid w:val="00293FAA"/>
    <w:rsid w:val="00294113"/>
    <w:rsid w:val="00294526"/>
    <w:rsid w:val="00294698"/>
    <w:rsid w:val="00294752"/>
    <w:rsid w:val="002947CB"/>
    <w:rsid w:val="002949EF"/>
    <w:rsid w:val="00294A52"/>
    <w:rsid w:val="00294BB5"/>
    <w:rsid w:val="00294C7F"/>
    <w:rsid w:val="00294F2C"/>
    <w:rsid w:val="0029535F"/>
    <w:rsid w:val="00295361"/>
    <w:rsid w:val="002956C0"/>
    <w:rsid w:val="0029570E"/>
    <w:rsid w:val="0029585A"/>
    <w:rsid w:val="002958A7"/>
    <w:rsid w:val="00295973"/>
    <w:rsid w:val="00295A4A"/>
    <w:rsid w:val="00295A6D"/>
    <w:rsid w:val="00295D10"/>
    <w:rsid w:val="00295D45"/>
    <w:rsid w:val="00295D68"/>
    <w:rsid w:val="0029608D"/>
    <w:rsid w:val="002960AC"/>
    <w:rsid w:val="002962C7"/>
    <w:rsid w:val="00296596"/>
    <w:rsid w:val="0029666E"/>
    <w:rsid w:val="00296872"/>
    <w:rsid w:val="00296B0B"/>
    <w:rsid w:val="00296B19"/>
    <w:rsid w:val="002973DB"/>
    <w:rsid w:val="00297442"/>
    <w:rsid w:val="0029765A"/>
    <w:rsid w:val="00297811"/>
    <w:rsid w:val="002978C7"/>
    <w:rsid w:val="002978D7"/>
    <w:rsid w:val="00297E2C"/>
    <w:rsid w:val="002A0676"/>
    <w:rsid w:val="002A0B59"/>
    <w:rsid w:val="002A0D57"/>
    <w:rsid w:val="002A0ED1"/>
    <w:rsid w:val="002A0FF2"/>
    <w:rsid w:val="002A134F"/>
    <w:rsid w:val="002A138B"/>
    <w:rsid w:val="002A1567"/>
    <w:rsid w:val="002A15AC"/>
    <w:rsid w:val="002A1830"/>
    <w:rsid w:val="002A1B3C"/>
    <w:rsid w:val="002A22DD"/>
    <w:rsid w:val="002A23B3"/>
    <w:rsid w:val="002A253D"/>
    <w:rsid w:val="002A2B26"/>
    <w:rsid w:val="002A2B87"/>
    <w:rsid w:val="002A2DD8"/>
    <w:rsid w:val="002A33FD"/>
    <w:rsid w:val="002A38B3"/>
    <w:rsid w:val="002A38FA"/>
    <w:rsid w:val="002A3D60"/>
    <w:rsid w:val="002A3E24"/>
    <w:rsid w:val="002A3EDA"/>
    <w:rsid w:val="002A4034"/>
    <w:rsid w:val="002A4052"/>
    <w:rsid w:val="002A40C1"/>
    <w:rsid w:val="002A4275"/>
    <w:rsid w:val="002A4342"/>
    <w:rsid w:val="002A453A"/>
    <w:rsid w:val="002A4706"/>
    <w:rsid w:val="002A47D8"/>
    <w:rsid w:val="002A488F"/>
    <w:rsid w:val="002A4D15"/>
    <w:rsid w:val="002A4D46"/>
    <w:rsid w:val="002A4D89"/>
    <w:rsid w:val="002A5018"/>
    <w:rsid w:val="002A51C9"/>
    <w:rsid w:val="002A522A"/>
    <w:rsid w:val="002A5279"/>
    <w:rsid w:val="002A54A6"/>
    <w:rsid w:val="002A551A"/>
    <w:rsid w:val="002A5675"/>
    <w:rsid w:val="002A57CB"/>
    <w:rsid w:val="002A5851"/>
    <w:rsid w:val="002A5A21"/>
    <w:rsid w:val="002A5CAE"/>
    <w:rsid w:val="002A5D3B"/>
    <w:rsid w:val="002A5DE9"/>
    <w:rsid w:val="002A5F3C"/>
    <w:rsid w:val="002A600F"/>
    <w:rsid w:val="002A6270"/>
    <w:rsid w:val="002A62C6"/>
    <w:rsid w:val="002A639D"/>
    <w:rsid w:val="002A6405"/>
    <w:rsid w:val="002A6469"/>
    <w:rsid w:val="002A65AE"/>
    <w:rsid w:val="002A6736"/>
    <w:rsid w:val="002A6755"/>
    <w:rsid w:val="002A68F5"/>
    <w:rsid w:val="002A6982"/>
    <w:rsid w:val="002A69CC"/>
    <w:rsid w:val="002A6A2C"/>
    <w:rsid w:val="002A6C92"/>
    <w:rsid w:val="002A6D38"/>
    <w:rsid w:val="002A7125"/>
    <w:rsid w:val="002A727F"/>
    <w:rsid w:val="002A73F0"/>
    <w:rsid w:val="002A74E9"/>
    <w:rsid w:val="002A7619"/>
    <w:rsid w:val="002A76EF"/>
    <w:rsid w:val="002A7B6E"/>
    <w:rsid w:val="002A7CB8"/>
    <w:rsid w:val="002B0099"/>
    <w:rsid w:val="002B02D3"/>
    <w:rsid w:val="002B031F"/>
    <w:rsid w:val="002B088B"/>
    <w:rsid w:val="002B08B6"/>
    <w:rsid w:val="002B08BA"/>
    <w:rsid w:val="002B095E"/>
    <w:rsid w:val="002B09A3"/>
    <w:rsid w:val="002B0C6F"/>
    <w:rsid w:val="002B0EEC"/>
    <w:rsid w:val="002B0EF9"/>
    <w:rsid w:val="002B102E"/>
    <w:rsid w:val="002B10DF"/>
    <w:rsid w:val="002B1197"/>
    <w:rsid w:val="002B12D3"/>
    <w:rsid w:val="002B1381"/>
    <w:rsid w:val="002B17CF"/>
    <w:rsid w:val="002B18EB"/>
    <w:rsid w:val="002B190E"/>
    <w:rsid w:val="002B193E"/>
    <w:rsid w:val="002B1B3A"/>
    <w:rsid w:val="002B1B79"/>
    <w:rsid w:val="002B1D0A"/>
    <w:rsid w:val="002B1EAB"/>
    <w:rsid w:val="002B1F1E"/>
    <w:rsid w:val="002B2055"/>
    <w:rsid w:val="002B223F"/>
    <w:rsid w:val="002B23BC"/>
    <w:rsid w:val="002B274A"/>
    <w:rsid w:val="002B30C7"/>
    <w:rsid w:val="002B31C7"/>
    <w:rsid w:val="002B329D"/>
    <w:rsid w:val="002B3300"/>
    <w:rsid w:val="002B34C4"/>
    <w:rsid w:val="002B37BA"/>
    <w:rsid w:val="002B3A1A"/>
    <w:rsid w:val="002B3AC7"/>
    <w:rsid w:val="002B3B52"/>
    <w:rsid w:val="002B3DEB"/>
    <w:rsid w:val="002B411A"/>
    <w:rsid w:val="002B414E"/>
    <w:rsid w:val="002B414F"/>
    <w:rsid w:val="002B442C"/>
    <w:rsid w:val="002B4475"/>
    <w:rsid w:val="002B44ED"/>
    <w:rsid w:val="002B4A81"/>
    <w:rsid w:val="002B534F"/>
    <w:rsid w:val="002B57F6"/>
    <w:rsid w:val="002B5822"/>
    <w:rsid w:val="002B5842"/>
    <w:rsid w:val="002B585D"/>
    <w:rsid w:val="002B58F1"/>
    <w:rsid w:val="002B5C2B"/>
    <w:rsid w:val="002B5D52"/>
    <w:rsid w:val="002B64D6"/>
    <w:rsid w:val="002B658E"/>
    <w:rsid w:val="002B6676"/>
    <w:rsid w:val="002B6873"/>
    <w:rsid w:val="002B69CB"/>
    <w:rsid w:val="002B7274"/>
    <w:rsid w:val="002B72C5"/>
    <w:rsid w:val="002B769D"/>
    <w:rsid w:val="002B7BB6"/>
    <w:rsid w:val="002B7E2A"/>
    <w:rsid w:val="002C00A4"/>
    <w:rsid w:val="002C0264"/>
    <w:rsid w:val="002C050C"/>
    <w:rsid w:val="002C08CD"/>
    <w:rsid w:val="002C0919"/>
    <w:rsid w:val="002C0B07"/>
    <w:rsid w:val="002C0B9B"/>
    <w:rsid w:val="002C0BE2"/>
    <w:rsid w:val="002C0BFB"/>
    <w:rsid w:val="002C0D09"/>
    <w:rsid w:val="002C0D26"/>
    <w:rsid w:val="002C0D2D"/>
    <w:rsid w:val="002C0E0F"/>
    <w:rsid w:val="002C0EC7"/>
    <w:rsid w:val="002C164A"/>
    <w:rsid w:val="002C178F"/>
    <w:rsid w:val="002C18F2"/>
    <w:rsid w:val="002C1CE1"/>
    <w:rsid w:val="002C1DD4"/>
    <w:rsid w:val="002C1EF6"/>
    <w:rsid w:val="002C1FE5"/>
    <w:rsid w:val="002C20F9"/>
    <w:rsid w:val="002C2182"/>
    <w:rsid w:val="002C21EC"/>
    <w:rsid w:val="002C28B8"/>
    <w:rsid w:val="002C28CA"/>
    <w:rsid w:val="002C2A5B"/>
    <w:rsid w:val="002C2B34"/>
    <w:rsid w:val="002C2C1B"/>
    <w:rsid w:val="002C2FEB"/>
    <w:rsid w:val="002C336E"/>
    <w:rsid w:val="002C36D9"/>
    <w:rsid w:val="002C36E0"/>
    <w:rsid w:val="002C3966"/>
    <w:rsid w:val="002C3B60"/>
    <w:rsid w:val="002C3E36"/>
    <w:rsid w:val="002C4201"/>
    <w:rsid w:val="002C45F8"/>
    <w:rsid w:val="002C4916"/>
    <w:rsid w:val="002C4B1E"/>
    <w:rsid w:val="002C5065"/>
    <w:rsid w:val="002C589B"/>
    <w:rsid w:val="002C58A8"/>
    <w:rsid w:val="002C5B73"/>
    <w:rsid w:val="002C5BDE"/>
    <w:rsid w:val="002C5CDF"/>
    <w:rsid w:val="002C6081"/>
    <w:rsid w:val="002C61F0"/>
    <w:rsid w:val="002C625D"/>
    <w:rsid w:val="002C65F7"/>
    <w:rsid w:val="002C674E"/>
    <w:rsid w:val="002C6A65"/>
    <w:rsid w:val="002C6A86"/>
    <w:rsid w:val="002C6E65"/>
    <w:rsid w:val="002C6F5C"/>
    <w:rsid w:val="002C71DF"/>
    <w:rsid w:val="002C738C"/>
    <w:rsid w:val="002C73DF"/>
    <w:rsid w:val="002C752B"/>
    <w:rsid w:val="002C7986"/>
    <w:rsid w:val="002C7A1F"/>
    <w:rsid w:val="002C7ABE"/>
    <w:rsid w:val="002C7B3E"/>
    <w:rsid w:val="002C7CE2"/>
    <w:rsid w:val="002C7E1D"/>
    <w:rsid w:val="002C7FD8"/>
    <w:rsid w:val="002D001C"/>
    <w:rsid w:val="002D02F5"/>
    <w:rsid w:val="002D0414"/>
    <w:rsid w:val="002D043E"/>
    <w:rsid w:val="002D044F"/>
    <w:rsid w:val="002D0461"/>
    <w:rsid w:val="002D0728"/>
    <w:rsid w:val="002D090C"/>
    <w:rsid w:val="002D0D67"/>
    <w:rsid w:val="002D0DD4"/>
    <w:rsid w:val="002D0DED"/>
    <w:rsid w:val="002D10EC"/>
    <w:rsid w:val="002D123D"/>
    <w:rsid w:val="002D129B"/>
    <w:rsid w:val="002D134C"/>
    <w:rsid w:val="002D138F"/>
    <w:rsid w:val="002D1821"/>
    <w:rsid w:val="002D1A59"/>
    <w:rsid w:val="002D222D"/>
    <w:rsid w:val="002D263F"/>
    <w:rsid w:val="002D2855"/>
    <w:rsid w:val="002D2B95"/>
    <w:rsid w:val="002D2BBD"/>
    <w:rsid w:val="002D315F"/>
    <w:rsid w:val="002D35E4"/>
    <w:rsid w:val="002D3608"/>
    <w:rsid w:val="002D3718"/>
    <w:rsid w:val="002D385E"/>
    <w:rsid w:val="002D3AB0"/>
    <w:rsid w:val="002D3D7F"/>
    <w:rsid w:val="002D3F2A"/>
    <w:rsid w:val="002D3F95"/>
    <w:rsid w:val="002D402C"/>
    <w:rsid w:val="002D419A"/>
    <w:rsid w:val="002D48CA"/>
    <w:rsid w:val="002D494C"/>
    <w:rsid w:val="002D4AB5"/>
    <w:rsid w:val="002D4FD7"/>
    <w:rsid w:val="002D507F"/>
    <w:rsid w:val="002D5128"/>
    <w:rsid w:val="002D537C"/>
    <w:rsid w:val="002D5396"/>
    <w:rsid w:val="002D55C9"/>
    <w:rsid w:val="002D571B"/>
    <w:rsid w:val="002D57F5"/>
    <w:rsid w:val="002D5A7C"/>
    <w:rsid w:val="002D5C99"/>
    <w:rsid w:val="002D5E5D"/>
    <w:rsid w:val="002D5F3A"/>
    <w:rsid w:val="002D5F4C"/>
    <w:rsid w:val="002D5F88"/>
    <w:rsid w:val="002D5F9C"/>
    <w:rsid w:val="002D60DC"/>
    <w:rsid w:val="002D6136"/>
    <w:rsid w:val="002D6343"/>
    <w:rsid w:val="002D634C"/>
    <w:rsid w:val="002D63BE"/>
    <w:rsid w:val="002D6994"/>
    <w:rsid w:val="002D6C9F"/>
    <w:rsid w:val="002D6DA0"/>
    <w:rsid w:val="002D6F8B"/>
    <w:rsid w:val="002D72CB"/>
    <w:rsid w:val="002D74F5"/>
    <w:rsid w:val="002D7676"/>
    <w:rsid w:val="002D7A20"/>
    <w:rsid w:val="002D7C4B"/>
    <w:rsid w:val="002D7D80"/>
    <w:rsid w:val="002D7D85"/>
    <w:rsid w:val="002E0272"/>
    <w:rsid w:val="002E07D1"/>
    <w:rsid w:val="002E0818"/>
    <w:rsid w:val="002E0AB1"/>
    <w:rsid w:val="002E0E6B"/>
    <w:rsid w:val="002E171E"/>
    <w:rsid w:val="002E1A90"/>
    <w:rsid w:val="002E1C25"/>
    <w:rsid w:val="002E1C9D"/>
    <w:rsid w:val="002E22A7"/>
    <w:rsid w:val="002E2343"/>
    <w:rsid w:val="002E276E"/>
    <w:rsid w:val="002E27B6"/>
    <w:rsid w:val="002E28DE"/>
    <w:rsid w:val="002E2AF0"/>
    <w:rsid w:val="002E2B0C"/>
    <w:rsid w:val="002E3018"/>
    <w:rsid w:val="002E31C9"/>
    <w:rsid w:val="002E3238"/>
    <w:rsid w:val="002E3287"/>
    <w:rsid w:val="002E3442"/>
    <w:rsid w:val="002E3828"/>
    <w:rsid w:val="002E3971"/>
    <w:rsid w:val="002E4489"/>
    <w:rsid w:val="002E4BE7"/>
    <w:rsid w:val="002E4D50"/>
    <w:rsid w:val="002E4DE8"/>
    <w:rsid w:val="002E4FD7"/>
    <w:rsid w:val="002E5476"/>
    <w:rsid w:val="002E5935"/>
    <w:rsid w:val="002E59BA"/>
    <w:rsid w:val="002E5D28"/>
    <w:rsid w:val="002E5FD7"/>
    <w:rsid w:val="002E6B01"/>
    <w:rsid w:val="002E6CE6"/>
    <w:rsid w:val="002E6D17"/>
    <w:rsid w:val="002E7019"/>
    <w:rsid w:val="002E71C8"/>
    <w:rsid w:val="002E75E3"/>
    <w:rsid w:val="002E7784"/>
    <w:rsid w:val="002E7848"/>
    <w:rsid w:val="002E7A11"/>
    <w:rsid w:val="002E7BB0"/>
    <w:rsid w:val="002E7CE3"/>
    <w:rsid w:val="002E7D93"/>
    <w:rsid w:val="002E7DE6"/>
    <w:rsid w:val="002F017A"/>
    <w:rsid w:val="002F032A"/>
    <w:rsid w:val="002F076A"/>
    <w:rsid w:val="002F077B"/>
    <w:rsid w:val="002F0889"/>
    <w:rsid w:val="002F0B1A"/>
    <w:rsid w:val="002F0C3B"/>
    <w:rsid w:val="002F1094"/>
    <w:rsid w:val="002F117D"/>
    <w:rsid w:val="002F1296"/>
    <w:rsid w:val="002F16BE"/>
    <w:rsid w:val="002F180B"/>
    <w:rsid w:val="002F182C"/>
    <w:rsid w:val="002F1FC3"/>
    <w:rsid w:val="002F20B2"/>
    <w:rsid w:val="002F2404"/>
    <w:rsid w:val="002F2800"/>
    <w:rsid w:val="002F28E1"/>
    <w:rsid w:val="002F2AAA"/>
    <w:rsid w:val="002F2BCD"/>
    <w:rsid w:val="002F2D14"/>
    <w:rsid w:val="002F2E39"/>
    <w:rsid w:val="002F2F60"/>
    <w:rsid w:val="002F31C0"/>
    <w:rsid w:val="002F33FC"/>
    <w:rsid w:val="002F3659"/>
    <w:rsid w:val="002F4027"/>
    <w:rsid w:val="002F42AC"/>
    <w:rsid w:val="002F44E5"/>
    <w:rsid w:val="002F48CE"/>
    <w:rsid w:val="002F492B"/>
    <w:rsid w:val="002F4BB2"/>
    <w:rsid w:val="002F4EE5"/>
    <w:rsid w:val="002F5392"/>
    <w:rsid w:val="002F54BD"/>
    <w:rsid w:val="002F5891"/>
    <w:rsid w:val="002F620A"/>
    <w:rsid w:val="002F64E0"/>
    <w:rsid w:val="002F6CE5"/>
    <w:rsid w:val="002F70E5"/>
    <w:rsid w:val="002F71EE"/>
    <w:rsid w:val="002F72C7"/>
    <w:rsid w:val="002F740B"/>
    <w:rsid w:val="002F76B9"/>
    <w:rsid w:val="002F777C"/>
    <w:rsid w:val="002F7A60"/>
    <w:rsid w:val="002F7E71"/>
    <w:rsid w:val="00300159"/>
    <w:rsid w:val="003002D4"/>
    <w:rsid w:val="003007FA"/>
    <w:rsid w:val="00300868"/>
    <w:rsid w:val="0030095B"/>
    <w:rsid w:val="00300AFF"/>
    <w:rsid w:val="00300F13"/>
    <w:rsid w:val="003018B6"/>
    <w:rsid w:val="00301B68"/>
    <w:rsid w:val="00302076"/>
    <w:rsid w:val="00302951"/>
    <w:rsid w:val="0030297F"/>
    <w:rsid w:val="00302A92"/>
    <w:rsid w:val="00302D9F"/>
    <w:rsid w:val="00302FF8"/>
    <w:rsid w:val="0030301A"/>
    <w:rsid w:val="0030311C"/>
    <w:rsid w:val="0030324E"/>
    <w:rsid w:val="00303923"/>
    <w:rsid w:val="0030396B"/>
    <w:rsid w:val="00303B8E"/>
    <w:rsid w:val="00303C68"/>
    <w:rsid w:val="00303F3C"/>
    <w:rsid w:val="00303F64"/>
    <w:rsid w:val="003042BA"/>
    <w:rsid w:val="003042F4"/>
    <w:rsid w:val="003046E3"/>
    <w:rsid w:val="00304CA1"/>
    <w:rsid w:val="00304FFC"/>
    <w:rsid w:val="0030509C"/>
    <w:rsid w:val="003052D0"/>
    <w:rsid w:val="00305611"/>
    <w:rsid w:val="0030568A"/>
    <w:rsid w:val="0030597A"/>
    <w:rsid w:val="00305A01"/>
    <w:rsid w:val="00305A2B"/>
    <w:rsid w:val="00305BF1"/>
    <w:rsid w:val="00305F19"/>
    <w:rsid w:val="00305F73"/>
    <w:rsid w:val="003060C2"/>
    <w:rsid w:val="003060F7"/>
    <w:rsid w:val="00306173"/>
    <w:rsid w:val="003064F3"/>
    <w:rsid w:val="003067A1"/>
    <w:rsid w:val="003067DB"/>
    <w:rsid w:val="00306976"/>
    <w:rsid w:val="00306CAD"/>
    <w:rsid w:val="00306E80"/>
    <w:rsid w:val="00306EC4"/>
    <w:rsid w:val="00307114"/>
    <w:rsid w:val="003075C9"/>
    <w:rsid w:val="003076EE"/>
    <w:rsid w:val="00307869"/>
    <w:rsid w:val="00307AF4"/>
    <w:rsid w:val="003101C1"/>
    <w:rsid w:val="0031024E"/>
    <w:rsid w:val="00310280"/>
    <w:rsid w:val="00310336"/>
    <w:rsid w:val="00310797"/>
    <w:rsid w:val="00310851"/>
    <w:rsid w:val="00310A89"/>
    <w:rsid w:val="00310AE4"/>
    <w:rsid w:val="00310E56"/>
    <w:rsid w:val="00310EBD"/>
    <w:rsid w:val="00310ED3"/>
    <w:rsid w:val="00310EED"/>
    <w:rsid w:val="00310EF3"/>
    <w:rsid w:val="00310F4D"/>
    <w:rsid w:val="00311003"/>
    <w:rsid w:val="0031106B"/>
    <w:rsid w:val="003112A0"/>
    <w:rsid w:val="003112E1"/>
    <w:rsid w:val="00311687"/>
    <w:rsid w:val="003116FA"/>
    <w:rsid w:val="00311D87"/>
    <w:rsid w:val="00311D9E"/>
    <w:rsid w:val="00311DEF"/>
    <w:rsid w:val="00312116"/>
    <w:rsid w:val="003126F9"/>
    <w:rsid w:val="00312716"/>
    <w:rsid w:val="00312782"/>
    <w:rsid w:val="003128E5"/>
    <w:rsid w:val="00312943"/>
    <w:rsid w:val="00312A98"/>
    <w:rsid w:val="00312CAF"/>
    <w:rsid w:val="003134D2"/>
    <w:rsid w:val="0031363C"/>
    <w:rsid w:val="003137B4"/>
    <w:rsid w:val="00313827"/>
    <w:rsid w:val="003138F5"/>
    <w:rsid w:val="003145DF"/>
    <w:rsid w:val="00314775"/>
    <w:rsid w:val="00314819"/>
    <w:rsid w:val="00314AF3"/>
    <w:rsid w:val="00314D12"/>
    <w:rsid w:val="00314DF6"/>
    <w:rsid w:val="00314F0B"/>
    <w:rsid w:val="003150DC"/>
    <w:rsid w:val="003152BC"/>
    <w:rsid w:val="003155CD"/>
    <w:rsid w:val="00315C4B"/>
    <w:rsid w:val="00315D01"/>
    <w:rsid w:val="00315F31"/>
    <w:rsid w:val="00315FCC"/>
    <w:rsid w:val="003160B3"/>
    <w:rsid w:val="003166DD"/>
    <w:rsid w:val="00316872"/>
    <w:rsid w:val="003169E1"/>
    <w:rsid w:val="003169F6"/>
    <w:rsid w:val="00316D65"/>
    <w:rsid w:val="00316FBA"/>
    <w:rsid w:val="0031723C"/>
    <w:rsid w:val="00317916"/>
    <w:rsid w:val="003179F2"/>
    <w:rsid w:val="00317D2F"/>
    <w:rsid w:val="00317DE6"/>
    <w:rsid w:val="0032038F"/>
    <w:rsid w:val="003203E4"/>
    <w:rsid w:val="0032077A"/>
    <w:rsid w:val="0032099F"/>
    <w:rsid w:val="00320E9F"/>
    <w:rsid w:val="00320EF7"/>
    <w:rsid w:val="00321034"/>
    <w:rsid w:val="0032129D"/>
    <w:rsid w:val="003213D1"/>
    <w:rsid w:val="003216B9"/>
    <w:rsid w:val="00321776"/>
    <w:rsid w:val="00321B0D"/>
    <w:rsid w:val="00321B2F"/>
    <w:rsid w:val="00321D05"/>
    <w:rsid w:val="00321D95"/>
    <w:rsid w:val="00322069"/>
    <w:rsid w:val="003221B9"/>
    <w:rsid w:val="003221C9"/>
    <w:rsid w:val="003223ED"/>
    <w:rsid w:val="0032249A"/>
    <w:rsid w:val="003227E7"/>
    <w:rsid w:val="00322983"/>
    <w:rsid w:val="00322AAD"/>
    <w:rsid w:val="00322C33"/>
    <w:rsid w:val="003231C6"/>
    <w:rsid w:val="003231F7"/>
    <w:rsid w:val="00323261"/>
    <w:rsid w:val="00323289"/>
    <w:rsid w:val="00323334"/>
    <w:rsid w:val="003234CE"/>
    <w:rsid w:val="00323799"/>
    <w:rsid w:val="003238CC"/>
    <w:rsid w:val="00323C02"/>
    <w:rsid w:val="00324125"/>
    <w:rsid w:val="00324161"/>
    <w:rsid w:val="003241AE"/>
    <w:rsid w:val="00324272"/>
    <w:rsid w:val="0032437E"/>
    <w:rsid w:val="0032461B"/>
    <w:rsid w:val="00324640"/>
    <w:rsid w:val="003249FF"/>
    <w:rsid w:val="00324B88"/>
    <w:rsid w:val="00324E9B"/>
    <w:rsid w:val="00325CE8"/>
    <w:rsid w:val="00325E65"/>
    <w:rsid w:val="0032603A"/>
    <w:rsid w:val="003264EB"/>
    <w:rsid w:val="00326558"/>
    <w:rsid w:val="00327131"/>
    <w:rsid w:val="0032735E"/>
    <w:rsid w:val="00327495"/>
    <w:rsid w:val="003274B4"/>
    <w:rsid w:val="00327722"/>
    <w:rsid w:val="00327AA2"/>
    <w:rsid w:val="00327D2F"/>
    <w:rsid w:val="00327FC9"/>
    <w:rsid w:val="00327FF3"/>
    <w:rsid w:val="00330046"/>
    <w:rsid w:val="0033009E"/>
    <w:rsid w:val="00330473"/>
    <w:rsid w:val="00330503"/>
    <w:rsid w:val="00330804"/>
    <w:rsid w:val="0033095C"/>
    <w:rsid w:val="00330B34"/>
    <w:rsid w:val="00330D2F"/>
    <w:rsid w:val="00330DFD"/>
    <w:rsid w:val="00331056"/>
    <w:rsid w:val="0033196B"/>
    <w:rsid w:val="0033197E"/>
    <w:rsid w:val="00331984"/>
    <w:rsid w:val="00331AA2"/>
    <w:rsid w:val="00331B13"/>
    <w:rsid w:val="00331FD6"/>
    <w:rsid w:val="0033204C"/>
    <w:rsid w:val="003320FF"/>
    <w:rsid w:val="00332316"/>
    <w:rsid w:val="0033243C"/>
    <w:rsid w:val="0033280A"/>
    <w:rsid w:val="003329E4"/>
    <w:rsid w:val="00332A36"/>
    <w:rsid w:val="00332B9B"/>
    <w:rsid w:val="00332C34"/>
    <w:rsid w:val="00332CA7"/>
    <w:rsid w:val="00332E76"/>
    <w:rsid w:val="0033300D"/>
    <w:rsid w:val="00333528"/>
    <w:rsid w:val="003338AB"/>
    <w:rsid w:val="00333C55"/>
    <w:rsid w:val="00333D7A"/>
    <w:rsid w:val="00333E2D"/>
    <w:rsid w:val="003343F4"/>
    <w:rsid w:val="0033447C"/>
    <w:rsid w:val="00334659"/>
    <w:rsid w:val="003347BC"/>
    <w:rsid w:val="0033489B"/>
    <w:rsid w:val="00334F7C"/>
    <w:rsid w:val="003352FD"/>
    <w:rsid w:val="003354D0"/>
    <w:rsid w:val="0033571A"/>
    <w:rsid w:val="00335777"/>
    <w:rsid w:val="00335ACD"/>
    <w:rsid w:val="00335C58"/>
    <w:rsid w:val="00335D08"/>
    <w:rsid w:val="003361A9"/>
    <w:rsid w:val="003361ED"/>
    <w:rsid w:val="003361EF"/>
    <w:rsid w:val="0033632B"/>
    <w:rsid w:val="00336857"/>
    <w:rsid w:val="00336BA9"/>
    <w:rsid w:val="00336F84"/>
    <w:rsid w:val="0033728F"/>
    <w:rsid w:val="00337313"/>
    <w:rsid w:val="0033739F"/>
    <w:rsid w:val="003373C9"/>
    <w:rsid w:val="00337560"/>
    <w:rsid w:val="00337701"/>
    <w:rsid w:val="00337B8D"/>
    <w:rsid w:val="00337D63"/>
    <w:rsid w:val="00337EA9"/>
    <w:rsid w:val="0034019A"/>
    <w:rsid w:val="0034030C"/>
    <w:rsid w:val="0034084A"/>
    <w:rsid w:val="00340962"/>
    <w:rsid w:val="00340B46"/>
    <w:rsid w:val="00340CF4"/>
    <w:rsid w:val="00340E5B"/>
    <w:rsid w:val="00340FF9"/>
    <w:rsid w:val="003411BE"/>
    <w:rsid w:val="00341463"/>
    <w:rsid w:val="00341523"/>
    <w:rsid w:val="003415AD"/>
    <w:rsid w:val="00341677"/>
    <w:rsid w:val="00341B42"/>
    <w:rsid w:val="00341DBD"/>
    <w:rsid w:val="0034202A"/>
    <w:rsid w:val="00342088"/>
    <w:rsid w:val="00342254"/>
    <w:rsid w:val="0034251E"/>
    <w:rsid w:val="00342594"/>
    <w:rsid w:val="0034259A"/>
    <w:rsid w:val="00342AB0"/>
    <w:rsid w:val="00342B5B"/>
    <w:rsid w:val="00342CF9"/>
    <w:rsid w:val="003434BF"/>
    <w:rsid w:val="003434CF"/>
    <w:rsid w:val="003434EF"/>
    <w:rsid w:val="00343630"/>
    <w:rsid w:val="003437A3"/>
    <w:rsid w:val="0034389E"/>
    <w:rsid w:val="00343941"/>
    <w:rsid w:val="003439DB"/>
    <w:rsid w:val="00343C5E"/>
    <w:rsid w:val="003440A6"/>
    <w:rsid w:val="00344351"/>
    <w:rsid w:val="0034448D"/>
    <w:rsid w:val="00345270"/>
    <w:rsid w:val="003457AB"/>
    <w:rsid w:val="00345871"/>
    <w:rsid w:val="00345B91"/>
    <w:rsid w:val="00346070"/>
    <w:rsid w:val="003460B0"/>
    <w:rsid w:val="003460F2"/>
    <w:rsid w:val="0034620A"/>
    <w:rsid w:val="003462CF"/>
    <w:rsid w:val="00346609"/>
    <w:rsid w:val="00346618"/>
    <w:rsid w:val="003468D5"/>
    <w:rsid w:val="00346C3C"/>
    <w:rsid w:val="00346D41"/>
    <w:rsid w:val="00346E2D"/>
    <w:rsid w:val="00346FD6"/>
    <w:rsid w:val="0034726A"/>
    <w:rsid w:val="0034742B"/>
    <w:rsid w:val="00347671"/>
    <w:rsid w:val="003477F5"/>
    <w:rsid w:val="00347B9C"/>
    <w:rsid w:val="00347DDF"/>
    <w:rsid w:val="00347DEB"/>
    <w:rsid w:val="00347E12"/>
    <w:rsid w:val="00347FF4"/>
    <w:rsid w:val="00350667"/>
    <w:rsid w:val="0035092B"/>
    <w:rsid w:val="00351012"/>
    <w:rsid w:val="003511D6"/>
    <w:rsid w:val="0035199C"/>
    <w:rsid w:val="00351DA9"/>
    <w:rsid w:val="00351E56"/>
    <w:rsid w:val="00352108"/>
    <w:rsid w:val="003523D6"/>
    <w:rsid w:val="00352F4A"/>
    <w:rsid w:val="003535CA"/>
    <w:rsid w:val="0035366A"/>
    <w:rsid w:val="00353B1F"/>
    <w:rsid w:val="00354248"/>
    <w:rsid w:val="00354845"/>
    <w:rsid w:val="0035484F"/>
    <w:rsid w:val="00354958"/>
    <w:rsid w:val="00354D9D"/>
    <w:rsid w:val="00355589"/>
    <w:rsid w:val="00355763"/>
    <w:rsid w:val="003559DB"/>
    <w:rsid w:val="00355DB4"/>
    <w:rsid w:val="00355E9C"/>
    <w:rsid w:val="003560A6"/>
    <w:rsid w:val="00356152"/>
    <w:rsid w:val="00356210"/>
    <w:rsid w:val="0035630D"/>
    <w:rsid w:val="00356A93"/>
    <w:rsid w:val="00356AD9"/>
    <w:rsid w:val="00356B49"/>
    <w:rsid w:val="00356C62"/>
    <w:rsid w:val="00356CD7"/>
    <w:rsid w:val="0035719C"/>
    <w:rsid w:val="0035743F"/>
    <w:rsid w:val="00357681"/>
    <w:rsid w:val="00357E53"/>
    <w:rsid w:val="00357FAD"/>
    <w:rsid w:val="0036023E"/>
    <w:rsid w:val="003604F6"/>
    <w:rsid w:val="00360510"/>
    <w:rsid w:val="003607FD"/>
    <w:rsid w:val="00360B56"/>
    <w:rsid w:val="0036134F"/>
    <w:rsid w:val="00361478"/>
    <w:rsid w:val="00361495"/>
    <w:rsid w:val="003614DE"/>
    <w:rsid w:val="0036156F"/>
    <w:rsid w:val="00361804"/>
    <w:rsid w:val="00361820"/>
    <w:rsid w:val="00361950"/>
    <w:rsid w:val="00361F96"/>
    <w:rsid w:val="00361FFB"/>
    <w:rsid w:val="00362643"/>
    <w:rsid w:val="0036277B"/>
    <w:rsid w:val="003627E2"/>
    <w:rsid w:val="00362815"/>
    <w:rsid w:val="00362B44"/>
    <w:rsid w:val="00362E4E"/>
    <w:rsid w:val="0036349B"/>
    <w:rsid w:val="003634EA"/>
    <w:rsid w:val="003635C0"/>
    <w:rsid w:val="003635EB"/>
    <w:rsid w:val="00363743"/>
    <w:rsid w:val="00363746"/>
    <w:rsid w:val="00363B4D"/>
    <w:rsid w:val="00363BEB"/>
    <w:rsid w:val="00363D10"/>
    <w:rsid w:val="00363D6F"/>
    <w:rsid w:val="00364169"/>
    <w:rsid w:val="003647BA"/>
    <w:rsid w:val="00364879"/>
    <w:rsid w:val="003648BB"/>
    <w:rsid w:val="00364AC1"/>
    <w:rsid w:val="00364F01"/>
    <w:rsid w:val="00365053"/>
    <w:rsid w:val="0036520C"/>
    <w:rsid w:val="00365577"/>
    <w:rsid w:val="003657D7"/>
    <w:rsid w:val="00365864"/>
    <w:rsid w:val="003658AA"/>
    <w:rsid w:val="00365B9E"/>
    <w:rsid w:val="00365C9B"/>
    <w:rsid w:val="00365DCB"/>
    <w:rsid w:val="0036640A"/>
    <w:rsid w:val="0036649E"/>
    <w:rsid w:val="00366573"/>
    <w:rsid w:val="0036663A"/>
    <w:rsid w:val="003666DE"/>
    <w:rsid w:val="00366881"/>
    <w:rsid w:val="003669BB"/>
    <w:rsid w:val="00366C1F"/>
    <w:rsid w:val="00366D67"/>
    <w:rsid w:val="00366E15"/>
    <w:rsid w:val="00366F89"/>
    <w:rsid w:val="003670FB"/>
    <w:rsid w:val="00367F9B"/>
    <w:rsid w:val="00370222"/>
    <w:rsid w:val="003705D7"/>
    <w:rsid w:val="00370710"/>
    <w:rsid w:val="0037093A"/>
    <w:rsid w:val="003709D0"/>
    <w:rsid w:val="00370A73"/>
    <w:rsid w:val="00370C76"/>
    <w:rsid w:val="00370E85"/>
    <w:rsid w:val="0037127B"/>
    <w:rsid w:val="003714E0"/>
    <w:rsid w:val="003715B4"/>
    <w:rsid w:val="0037180B"/>
    <w:rsid w:val="0037193C"/>
    <w:rsid w:val="003719C0"/>
    <w:rsid w:val="00371B46"/>
    <w:rsid w:val="00371F19"/>
    <w:rsid w:val="0037206E"/>
    <w:rsid w:val="003720F1"/>
    <w:rsid w:val="00372222"/>
    <w:rsid w:val="00372261"/>
    <w:rsid w:val="003722BC"/>
    <w:rsid w:val="0037288A"/>
    <w:rsid w:val="00372AE0"/>
    <w:rsid w:val="00372B24"/>
    <w:rsid w:val="00372C51"/>
    <w:rsid w:val="00372F90"/>
    <w:rsid w:val="00372FBD"/>
    <w:rsid w:val="0037334A"/>
    <w:rsid w:val="00373394"/>
    <w:rsid w:val="00373652"/>
    <w:rsid w:val="0037365F"/>
    <w:rsid w:val="0037378E"/>
    <w:rsid w:val="003738B3"/>
    <w:rsid w:val="00373AB0"/>
    <w:rsid w:val="00373AE1"/>
    <w:rsid w:val="00373BB5"/>
    <w:rsid w:val="00373C17"/>
    <w:rsid w:val="00373D10"/>
    <w:rsid w:val="00373E5A"/>
    <w:rsid w:val="00373EE5"/>
    <w:rsid w:val="00373FD6"/>
    <w:rsid w:val="003743C9"/>
    <w:rsid w:val="00374644"/>
    <w:rsid w:val="003747C4"/>
    <w:rsid w:val="003747F7"/>
    <w:rsid w:val="00374856"/>
    <w:rsid w:val="00374C73"/>
    <w:rsid w:val="00374E6C"/>
    <w:rsid w:val="00374F81"/>
    <w:rsid w:val="003751ED"/>
    <w:rsid w:val="0037525F"/>
    <w:rsid w:val="0037532D"/>
    <w:rsid w:val="0037540C"/>
    <w:rsid w:val="00375429"/>
    <w:rsid w:val="0037542C"/>
    <w:rsid w:val="00375471"/>
    <w:rsid w:val="0037550D"/>
    <w:rsid w:val="00375580"/>
    <w:rsid w:val="0037559A"/>
    <w:rsid w:val="0037591D"/>
    <w:rsid w:val="00375D91"/>
    <w:rsid w:val="003760D8"/>
    <w:rsid w:val="0037619C"/>
    <w:rsid w:val="003763DE"/>
    <w:rsid w:val="00376423"/>
    <w:rsid w:val="00376488"/>
    <w:rsid w:val="00376621"/>
    <w:rsid w:val="003766DD"/>
    <w:rsid w:val="00377058"/>
    <w:rsid w:val="003770F6"/>
    <w:rsid w:val="00377219"/>
    <w:rsid w:val="003775D1"/>
    <w:rsid w:val="0037786E"/>
    <w:rsid w:val="003778B8"/>
    <w:rsid w:val="00377B25"/>
    <w:rsid w:val="0038003D"/>
    <w:rsid w:val="00380100"/>
    <w:rsid w:val="003802B1"/>
    <w:rsid w:val="00380554"/>
    <w:rsid w:val="00380667"/>
    <w:rsid w:val="003807AD"/>
    <w:rsid w:val="00380861"/>
    <w:rsid w:val="00380B05"/>
    <w:rsid w:val="00380BA5"/>
    <w:rsid w:val="00380EB3"/>
    <w:rsid w:val="00380FB9"/>
    <w:rsid w:val="00380FC6"/>
    <w:rsid w:val="00381055"/>
    <w:rsid w:val="00381340"/>
    <w:rsid w:val="00381452"/>
    <w:rsid w:val="00381BC8"/>
    <w:rsid w:val="00381CE6"/>
    <w:rsid w:val="00381D84"/>
    <w:rsid w:val="00381E28"/>
    <w:rsid w:val="00381F88"/>
    <w:rsid w:val="0038211B"/>
    <w:rsid w:val="0038221E"/>
    <w:rsid w:val="0038224B"/>
    <w:rsid w:val="003823D4"/>
    <w:rsid w:val="003823E4"/>
    <w:rsid w:val="003826D8"/>
    <w:rsid w:val="00382867"/>
    <w:rsid w:val="0038292B"/>
    <w:rsid w:val="0038294A"/>
    <w:rsid w:val="00382954"/>
    <w:rsid w:val="003829B6"/>
    <w:rsid w:val="00383004"/>
    <w:rsid w:val="00383929"/>
    <w:rsid w:val="00383E91"/>
    <w:rsid w:val="00383FAA"/>
    <w:rsid w:val="00384163"/>
    <w:rsid w:val="0038440C"/>
    <w:rsid w:val="00384570"/>
    <w:rsid w:val="00384779"/>
    <w:rsid w:val="003847A8"/>
    <w:rsid w:val="003847F1"/>
    <w:rsid w:val="00384A5E"/>
    <w:rsid w:val="00384A8D"/>
    <w:rsid w:val="00384CB6"/>
    <w:rsid w:val="00385114"/>
    <w:rsid w:val="003853D3"/>
    <w:rsid w:val="00385654"/>
    <w:rsid w:val="003856CE"/>
    <w:rsid w:val="003858A7"/>
    <w:rsid w:val="003858DB"/>
    <w:rsid w:val="003859A5"/>
    <w:rsid w:val="00385C07"/>
    <w:rsid w:val="00385D6F"/>
    <w:rsid w:val="0038602B"/>
    <w:rsid w:val="00386129"/>
    <w:rsid w:val="0038624A"/>
    <w:rsid w:val="003865B3"/>
    <w:rsid w:val="003866B7"/>
    <w:rsid w:val="00386895"/>
    <w:rsid w:val="00386B17"/>
    <w:rsid w:val="003873DC"/>
    <w:rsid w:val="00387747"/>
    <w:rsid w:val="00387803"/>
    <w:rsid w:val="0038788A"/>
    <w:rsid w:val="00387E0A"/>
    <w:rsid w:val="00387E4D"/>
    <w:rsid w:val="00387EEA"/>
    <w:rsid w:val="003906E5"/>
    <w:rsid w:val="00390B19"/>
    <w:rsid w:val="00390E0A"/>
    <w:rsid w:val="003912D4"/>
    <w:rsid w:val="00391331"/>
    <w:rsid w:val="0039189E"/>
    <w:rsid w:val="00391B15"/>
    <w:rsid w:val="00391D02"/>
    <w:rsid w:val="00391E00"/>
    <w:rsid w:val="00391F3A"/>
    <w:rsid w:val="0039250C"/>
    <w:rsid w:val="00392586"/>
    <w:rsid w:val="00392715"/>
    <w:rsid w:val="003927CC"/>
    <w:rsid w:val="00392A50"/>
    <w:rsid w:val="00392C5C"/>
    <w:rsid w:val="00392D52"/>
    <w:rsid w:val="00393019"/>
    <w:rsid w:val="003930B3"/>
    <w:rsid w:val="003931C2"/>
    <w:rsid w:val="00393237"/>
    <w:rsid w:val="0039350D"/>
    <w:rsid w:val="00393699"/>
    <w:rsid w:val="003936CC"/>
    <w:rsid w:val="00393896"/>
    <w:rsid w:val="003938A1"/>
    <w:rsid w:val="00393910"/>
    <w:rsid w:val="00393C04"/>
    <w:rsid w:val="00393D49"/>
    <w:rsid w:val="00393E5F"/>
    <w:rsid w:val="00393E96"/>
    <w:rsid w:val="00394188"/>
    <w:rsid w:val="003945ED"/>
    <w:rsid w:val="00394606"/>
    <w:rsid w:val="003948B1"/>
    <w:rsid w:val="003948E9"/>
    <w:rsid w:val="00394C10"/>
    <w:rsid w:val="00394F6A"/>
    <w:rsid w:val="00394F6B"/>
    <w:rsid w:val="003954D7"/>
    <w:rsid w:val="0039553D"/>
    <w:rsid w:val="00395675"/>
    <w:rsid w:val="003956C3"/>
    <w:rsid w:val="003958D4"/>
    <w:rsid w:val="00395E50"/>
    <w:rsid w:val="00396A87"/>
    <w:rsid w:val="00396BF1"/>
    <w:rsid w:val="00396E8F"/>
    <w:rsid w:val="00397099"/>
    <w:rsid w:val="003971EE"/>
    <w:rsid w:val="0039723F"/>
    <w:rsid w:val="003973FE"/>
    <w:rsid w:val="003976A8"/>
    <w:rsid w:val="00397894"/>
    <w:rsid w:val="0039793E"/>
    <w:rsid w:val="00397988"/>
    <w:rsid w:val="00397A27"/>
    <w:rsid w:val="00397A65"/>
    <w:rsid w:val="00397DA7"/>
    <w:rsid w:val="00397EFC"/>
    <w:rsid w:val="003A0016"/>
    <w:rsid w:val="003A014B"/>
    <w:rsid w:val="003A0200"/>
    <w:rsid w:val="003A0587"/>
    <w:rsid w:val="003A070D"/>
    <w:rsid w:val="003A083D"/>
    <w:rsid w:val="003A084E"/>
    <w:rsid w:val="003A08CF"/>
    <w:rsid w:val="003A09CE"/>
    <w:rsid w:val="003A0BC0"/>
    <w:rsid w:val="003A0BF1"/>
    <w:rsid w:val="003A0F8E"/>
    <w:rsid w:val="003A1234"/>
    <w:rsid w:val="003A13A1"/>
    <w:rsid w:val="003A13D6"/>
    <w:rsid w:val="003A1703"/>
    <w:rsid w:val="003A19F9"/>
    <w:rsid w:val="003A1A14"/>
    <w:rsid w:val="003A1AB3"/>
    <w:rsid w:val="003A1C4F"/>
    <w:rsid w:val="003A1DC5"/>
    <w:rsid w:val="003A2371"/>
    <w:rsid w:val="003A23C6"/>
    <w:rsid w:val="003A24BE"/>
    <w:rsid w:val="003A3237"/>
    <w:rsid w:val="003A372F"/>
    <w:rsid w:val="003A38B8"/>
    <w:rsid w:val="003A3AF7"/>
    <w:rsid w:val="003A3BCC"/>
    <w:rsid w:val="003A3E6E"/>
    <w:rsid w:val="003A403C"/>
    <w:rsid w:val="003A4147"/>
    <w:rsid w:val="003A43F7"/>
    <w:rsid w:val="003A4B34"/>
    <w:rsid w:val="003A4CB5"/>
    <w:rsid w:val="003A549E"/>
    <w:rsid w:val="003A54AB"/>
    <w:rsid w:val="003A5569"/>
    <w:rsid w:val="003A55BA"/>
    <w:rsid w:val="003A57AF"/>
    <w:rsid w:val="003A5929"/>
    <w:rsid w:val="003A63FF"/>
    <w:rsid w:val="003A665E"/>
    <w:rsid w:val="003A6B4F"/>
    <w:rsid w:val="003A7128"/>
    <w:rsid w:val="003A75CF"/>
    <w:rsid w:val="003A77AB"/>
    <w:rsid w:val="003A7AD2"/>
    <w:rsid w:val="003B0497"/>
    <w:rsid w:val="003B067D"/>
    <w:rsid w:val="003B06A1"/>
    <w:rsid w:val="003B084B"/>
    <w:rsid w:val="003B08BA"/>
    <w:rsid w:val="003B099F"/>
    <w:rsid w:val="003B0A12"/>
    <w:rsid w:val="003B0C41"/>
    <w:rsid w:val="003B0D27"/>
    <w:rsid w:val="003B0D5B"/>
    <w:rsid w:val="003B0F1A"/>
    <w:rsid w:val="003B1031"/>
    <w:rsid w:val="003B1A68"/>
    <w:rsid w:val="003B1C5D"/>
    <w:rsid w:val="003B295F"/>
    <w:rsid w:val="003B2AA8"/>
    <w:rsid w:val="003B2C54"/>
    <w:rsid w:val="003B2CC7"/>
    <w:rsid w:val="003B2CD6"/>
    <w:rsid w:val="003B2D35"/>
    <w:rsid w:val="003B2DEB"/>
    <w:rsid w:val="003B2FD5"/>
    <w:rsid w:val="003B3093"/>
    <w:rsid w:val="003B3386"/>
    <w:rsid w:val="003B379F"/>
    <w:rsid w:val="003B3F73"/>
    <w:rsid w:val="003B3FE4"/>
    <w:rsid w:val="003B3FE5"/>
    <w:rsid w:val="003B4348"/>
    <w:rsid w:val="003B440C"/>
    <w:rsid w:val="003B459F"/>
    <w:rsid w:val="003B464C"/>
    <w:rsid w:val="003B46AE"/>
    <w:rsid w:val="003B4DC7"/>
    <w:rsid w:val="003B51CF"/>
    <w:rsid w:val="003B5687"/>
    <w:rsid w:val="003B5CBA"/>
    <w:rsid w:val="003B5D81"/>
    <w:rsid w:val="003B5D82"/>
    <w:rsid w:val="003B5DA4"/>
    <w:rsid w:val="003B5F10"/>
    <w:rsid w:val="003B60E6"/>
    <w:rsid w:val="003B6134"/>
    <w:rsid w:val="003B632E"/>
    <w:rsid w:val="003B63BD"/>
    <w:rsid w:val="003B64A8"/>
    <w:rsid w:val="003B667B"/>
    <w:rsid w:val="003B686A"/>
    <w:rsid w:val="003B68D8"/>
    <w:rsid w:val="003B714D"/>
    <w:rsid w:val="003B7286"/>
    <w:rsid w:val="003B7529"/>
    <w:rsid w:val="003B7670"/>
    <w:rsid w:val="003B7865"/>
    <w:rsid w:val="003B79FB"/>
    <w:rsid w:val="003B7B2E"/>
    <w:rsid w:val="003B7B7A"/>
    <w:rsid w:val="003B7D37"/>
    <w:rsid w:val="003C00B1"/>
    <w:rsid w:val="003C00F3"/>
    <w:rsid w:val="003C02E8"/>
    <w:rsid w:val="003C0351"/>
    <w:rsid w:val="003C0353"/>
    <w:rsid w:val="003C067B"/>
    <w:rsid w:val="003C0846"/>
    <w:rsid w:val="003C0919"/>
    <w:rsid w:val="003C0C8D"/>
    <w:rsid w:val="003C0CE2"/>
    <w:rsid w:val="003C0E7F"/>
    <w:rsid w:val="003C1263"/>
    <w:rsid w:val="003C14E0"/>
    <w:rsid w:val="003C17AA"/>
    <w:rsid w:val="003C184E"/>
    <w:rsid w:val="003C185E"/>
    <w:rsid w:val="003C1928"/>
    <w:rsid w:val="003C1942"/>
    <w:rsid w:val="003C1D60"/>
    <w:rsid w:val="003C1DEB"/>
    <w:rsid w:val="003C258F"/>
    <w:rsid w:val="003C2771"/>
    <w:rsid w:val="003C29FA"/>
    <w:rsid w:val="003C2D2C"/>
    <w:rsid w:val="003C32B0"/>
    <w:rsid w:val="003C35F1"/>
    <w:rsid w:val="003C35F3"/>
    <w:rsid w:val="003C3644"/>
    <w:rsid w:val="003C36BA"/>
    <w:rsid w:val="003C3B40"/>
    <w:rsid w:val="003C3BE9"/>
    <w:rsid w:val="003C3FD8"/>
    <w:rsid w:val="003C4485"/>
    <w:rsid w:val="003C44CC"/>
    <w:rsid w:val="003C4536"/>
    <w:rsid w:val="003C4D38"/>
    <w:rsid w:val="003C4FC2"/>
    <w:rsid w:val="003C5465"/>
    <w:rsid w:val="003C5551"/>
    <w:rsid w:val="003C588A"/>
    <w:rsid w:val="003C5AD0"/>
    <w:rsid w:val="003C5D59"/>
    <w:rsid w:val="003C5E3D"/>
    <w:rsid w:val="003C5EF8"/>
    <w:rsid w:val="003C5FC8"/>
    <w:rsid w:val="003C6191"/>
    <w:rsid w:val="003C61E2"/>
    <w:rsid w:val="003C6344"/>
    <w:rsid w:val="003C6725"/>
    <w:rsid w:val="003C67C5"/>
    <w:rsid w:val="003C6AB2"/>
    <w:rsid w:val="003C6D0F"/>
    <w:rsid w:val="003C737E"/>
    <w:rsid w:val="003C73E4"/>
    <w:rsid w:val="003C74FB"/>
    <w:rsid w:val="003C7605"/>
    <w:rsid w:val="003C76CC"/>
    <w:rsid w:val="003C7879"/>
    <w:rsid w:val="003C7994"/>
    <w:rsid w:val="003C7E05"/>
    <w:rsid w:val="003C7FD0"/>
    <w:rsid w:val="003C7FD1"/>
    <w:rsid w:val="003D0196"/>
    <w:rsid w:val="003D03FD"/>
    <w:rsid w:val="003D095E"/>
    <w:rsid w:val="003D0AB2"/>
    <w:rsid w:val="003D0AD2"/>
    <w:rsid w:val="003D0B91"/>
    <w:rsid w:val="003D0E31"/>
    <w:rsid w:val="003D10A7"/>
    <w:rsid w:val="003D10E2"/>
    <w:rsid w:val="003D1214"/>
    <w:rsid w:val="003D153F"/>
    <w:rsid w:val="003D169D"/>
    <w:rsid w:val="003D18B0"/>
    <w:rsid w:val="003D1C47"/>
    <w:rsid w:val="003D1CC0"/>
    <w:rsid w:val="003D1DA8"/>
    <w:rsid w:val="003D1FA8"/>
    <w:rsid w:val="003D2181"/>
    <w:rsid w:val="003D22F8"/>
    <w:rsid w:val="003D26B0"/>
    <w:rsid w:val="003D2878"/>
    <w:rsid w:val="003D28ED"/>
    <w:rsid w:val="003D29FA"/>
    <w:rsid w:val="003D2A25"/>
    <w:rsid w:val="003D2C0B"/>
    <w:rsid w:val="003D3069"/>
    <w:rsid w:val="003D30EF"/>
    <w:rsid w:val="003D3182"/>
    <w:rsid w:val="003D32A7"/>
    <w:rsid w:val="003D33DD"/>
    <w:rsid w:val="003D3B43"/>
    <w:rsid w:val="003D3C5C"/>
    <w:rsid w:val="003D3D0B"/>
    <w:rsid w:val="003D3EED"/>
    <w:rsid w:val="003D420E"/>
    <w:rsid w:val="003D48BF"/>
    <w:rsid w:val="003D48CD"/>
    <w:rsid w:val="003D4CAB"/>
    <w:rsid w:val="003D4DFB"/>
    <w:rsid w:val="003D4E8C"/>
    <w:rsid w:val="003D4F1E"/>
    <w:rsid w:val="003D4F59"/>
    <w:rsid w:val="003D4F6C"/>
    <w:rsid w:val="003D50EB"/>
    <w:rsid w:val="003D52A2"/>
    <w:rsid w:val="003D5665"/>
    <w:rsid w:val="003D5678"/>
    <w:rsid w:val="003D58CB"/>
    <w:rsid w:val="003D5B1F"/>
    <w:rsid w:val="003D5EE4"/>
    <w:rsid w:val="003D5FD5"/>
    <w:rsid w:val="003D61AA"/>
    <w:rsid w:val="003D637B"/>
    <w:rsid w:val="003D64DB"/>
    <w:rsid w:val="003D64E3"/>
    <w:rsid w:val="003D679F"/>
    <w:rsid w:val="003D72F9"/>
    <w:rsid w:val="003D7363"/>
    <w:rsid w:val="003D7412"/>
    <w:rsid w:val="003D761F"/>
    <w:rsid w:val="003D762D"/>
    <w:rsid w:val="003D78C0"/>
    <w:rsid w:val="003D7A88"/>
    <w:rsid w:val="003D7B00"/>
    <w:rsid w:val="003D7E23"/>
    <w:rsid w:val="003E001E"/>
    <w:rsid w:val="003E00B6"/>
    <w:rsid w:val="003E0335"/>
    <w:rsid w:val="003E0864"/>
    <w:rsid w:val="003E0C7B"/>
    <w:rsid w:val="003E132E"/>
    <w:rsid w:val="003E16CD"/>
    <w:rsid w:val="003E1861"/>
    <w:rsid w:val="003E1910"/>
    <w:rsid w:val="003E1A76"/>
    <w:rsid w:val="003E20FA"/>
    <w:rsid w:val="003E25F6"/>
    <w:rsid w:val="003E2805"/>
    <w:rsid w:val="003E2877"/>
    <w:rsid w:val="003E2900"/>
    <w:rsid w:val="003E2C46"/>
    <w:rsid w:val="003E2EB9"/>
    <w:rsid w:val="003E2FBB"/>
    <w:rsid w:val="003E308E"/>
    <w:rsid w:val="003E30E8"/>
    <w:rsid w:val="003E3314"/>
    <w:rsid w:val="003E392B"/>
    <w:rsid w:val="003E3AF7"/>
    <w:rsid w:val="003E3D73"/>
    <w:rsid w:val="003E3DA8"/>
    <w:rsid w:val="003E409E"/>
    <w:rsid w:val="003E4110"/>
    <w:rsid w:val="003E4344"/>
    <w:rsid w:val="003E4500"/>
    <w:rsid w:val="003E4855"/>
    <w:rsid w:val="003E4C4C"/>
    <w:rsid w:val="003E4C9D"/>
    <w:rsid w:val="003E4E22"/>
    <w:rsid w:val="003E50CB"/>
    <w:rsid w:val="003E5306"/>
    <w:rsid w:val="003E59C6"/>
    <w:rsid w:val="003E5AEB"/>
    <w:rsid w:val="003E5DE7"/>
    <w:rsid w:val="003E62FF"/>
    <w:rsid w:val="003E63D9"/>
    <w:rsid w:val="003E6517"/>
    <w:rsid w:val="003E67A0"/>
    <w:rsid w:val="003E6C90"/>
    <w:rsid w:val="003E70DA"/>
    <w:rsid w:val="003E719C"/>
    <w:rsid w:val="003E7466"/>
    <w:rsid w:val="003E747E"/>
    <w:rsid w:val="003E765B"/>
    <w:rsid w:val="003E7CF6"/>
    <w:rsid w:val="003E7E5A"/>
    <w:rsid w:val="003E7ECA"/>
    <w:rsid w:val="003E7FDD"/>
    <w:rsid w:val="003F00F9"/>
    <w:rsid w:val="003F0130"/>
    <w:rsid w:val="003F03B3"/>
    <w:rsid w:val="003F040F"/>
    <w:rsid w:val="003F0635"/>
    <w:rsid w:val="003F0718"/>
    <w:rsid w:val="003F0AFE"/>
    <w:rsid w:val="003F0D49"/>
    <w:rsid w:val="003F1240"/>
    <w:rsid w:val="003F14FD"/>
    <w:rsid w:val="003F163E"/>
    <w:rsid w:val="003F17AE"/>
    <w:rsid w:val="003F17F6"/>
    <w:rsid w:val="003F1AC1"/>
    <w:rsid w:val="003F1DF9"/>
    <w:rsid w:val="003F1F24"/>
    <w:rsid w:val="003F2033"/>
    <w:rsid w:val="003F2059"/>
    <w:rsid w:val="003F2509"/>
    <w:rsid w:val="003F25E6"/>
    <w:rsid w:val="003F27B9"/>
    <w:rsid w:val="003F2E69"/>
    <w:rsid w:val="003F3159"/>
    <w:rsid w:val="003F31A3"/>
    <w:rsid w:val="003F31B2"/>
    <w:rsid w:val="003F3290"/>
    <w:rsid w:val="003F345F"/>
    <w:rsid w:val="003F3725"/>
    <w:rsid w:val="003F3C19"/>
    <w:rsid w:val="003F3CD0"/>
    <w:rsid w:val="003F3E9A"/>
    <w:rsid w:val="003F3FC2"/>
    <w:rsid w:val="003F425F"/>
    <w:rsid w:val="003F4284"/>
    <w:rsid w:val="003F428E"/>
    <w:rsid w:val="003F4478"/>
    <w:rsid w:val="003F485D"/>
    <w:rsid w:val="003F4ADE"/>
    <w:rsid w:val="003F4BC0"/>
    <w:rsid w:val="003F4CDD"/>
    <w:rsid w:val="003F4D27"/>
    <w:rsid w:val="003F539E"/>
    <w:rsid w:val="003F5B5B"/>
    <w:rsid w:val="003F5EB5"/>
    <w:rsid w:val="003F5FA7"/>
    <w:rsid w:val="003F62F7"/>
    <w:rsid w:val="003F6378"/>
    <w:rsid w:val="003F66D0"/>
    <w:rsid w:val="003F69CD"/>
    <w:rsid w:val="003F6CA8"/>
    <w:rsid w:val="003F6F3E"/>
    <w:rsid w:val="003F7127"/>
    <w:rsid w:val="003F714E"/>
    <w:rsid w:val="003F738A"/>
    <w:rsid w:val="003F7604"/>
    <w:rsid w:val="003F7681"/>
    <w:rsid w:val="003F76DB"/>
    <w:rsid w:val="003F7964"/>
    <w:rsid w:val="003F7AB1"/>
    <w:rsid w:val="00400008"/>
    <w:rsid w:val="004000A7"/>
    <w:rsid w:val="00400242"/>
    <w:rsid w:val="0040068C"/>
    <w:rsid w:val="00400734"/>
    <w:rsid w:val="0040085D"/>
    <w:rsid w:val="00400B9D"/>
    <w:rsid w:val="00400CD1"/>
    <w:rsid w:val="00400D19"/>
    <w:rsid w:val="00400DC1"/>
    <w:rsid w:val="0040122E"/>
    <w:rsid w:val="00401365"/>
    <w:rsid w:val="00401489"/>
    <w:rsid w:val="004015FA"/>
    <w:rsid w:val="0040160D"/>
    <w:rsid w:val="004017AD"/>
    <w:rsid w:val="004017E6"/>
    <w:rsid w:val="004017EF"/>
    <w:rsid w:val="00401A20"/>
    <w:rsid w:val="00401AA9"/>
    <w:rsid w:val="00401DEB"/>
    <w:rsid w:val="00402075"/>
    <w:rsid w:val="00402774"/>
    <w:rsid w:val="00402B1F"/>
    <w:rsid w:val="00402BCB"/>
    <w:rsid w:val="00402C17"/>
    <w:rsid w:val="00402E94"/>
    <w:rsid w:val="00402E96"/>
    <w:rsid w:val="00402EA2"/>
    <w:rsid w:val="00402F45"/>
    <w:rsid w:val="00402FB5"/>
    <w:rsid w:val="00403193"/>
    <w:rsid w:val="004032CE"/>
    <w:rsid w:val="004037F1"/>
    <w:rsid w:val="00403D68"/>
    <w:rsid w:val="00403FAC"/>
    <w:rsid w:val="00404097"/>
    <w:rsid w:val="00404274"/>
    <w:rsid w:val="00404439"/>
    <w:rsid w:val="004047F3"/>
    <w:rsid w:val="00404A49"/>
    <w:rsid w:val="00404B02"/>
    <w:rsid w:val="00404BE2"/>
    <w:rsid w:val="004053CB"/>
    <w:rsid w:val="00405499"/>
    <w:rsid w:val="00405900"/>
    <w:rsid w:val="00405C38"/>
    <w:rsid w:val="00405CF2"/>
    <w:rsid w:val="00405D8B"/>
    <w:rsid w:val="00405DBC"/>
    <w:rsid w:val="00405DEE"/>
    <w:rsid w:val="00405E5C"/>
    <w:rsid w:val="00406476"/>
    <w:rsid w:val="00406BFF"/>
    <w:rsid w:val="00406F5E"/>
    <w:rsid w:val="0040790D"/>
    <w:rsid w:val="0040791C"/>
    <w:rsid w:val="004079BA"/>
    <w:rsid w:val="00407A43"/>
    <w:rsid w:val="00407E28"/>
    <w:rsid w:val="0041041C"/>
    <w:rsid w:val="00410561"/>
    <w:rsid w:val="00410894"/>
    <w:rsid w:val="00410A44"/>
    <w:rsid w:val="00410A83"/>
    <w:rsid w:val="00410ACB"/>
    <w:rsid w:val="00410B30"/>
    <w:rsid w:val="00410B63"/>
    <w:rsid w:val="00410C1D"/>
    <w:rsid w:val="00410DEC"/>
    <w:rsid w:val="004110A0"/>
    <w:rsid w:val="004114DC"/>
    <w:rsid w:val="00411542"/>
    <w:rsid w:val="00411FBD"/>
    <w:rsid w:val="00412028"/>
    <w:rsid w:val="00412256"/>
    <w:rsid w:val="00412747"/>
    <w:rsid w:val="00412D1D"/>
    <w:rsid w:val="00412D8F"/>
    <w:rsid w:val="00412E48"/>
    <w:rsid w:val="0041339F"/>
    <w:rsid w:val="004133B6"/>
    <w:rsid w:val="0041342F"/>
    <w:rsid w:val="004136F7"/>
    <w:rsid w:val="00413A3B"/>
    <w:rsid w:val="00413AFD"/>
    <w:rsid w:val="00413C00"/>
    <w:rsid w:val="00413F6B"/>
    <w:rsid w:val="004140CC"/>
    <w:rsid w:val="00414371"/>
    <w:rsid w:val="00414798"/>
    <w:rsid w:val="00414813"/>
    <w:rsid w:val="0041481E"/>
    <w:rsid w:val="00414C64"/>
    <w:rsid w:val="00414F04"/>
    <w:rsid w:val="00415207"/>
    <w:rsid w:val="004153DA"/>
    <w:rsid w:val="004154F2"/>
    <w:rsid w:val="0041550F"/>
    <w:rsid w:val="0041555A"/>
    <w:rsid w:val="00415583"/>
    <w:rsid w:val="004156D0"/>
    <w:rsid w:val="004157C0"/>
    <w:rsid w:val="00415824"/>
    <w:rsid w:val="0041583B"/>
    <w:rsid w:val="00415A59"/>
    <w:rsid w:val="004166A4"/>
    <w:rsid w:val="0041673A"/>
    <w:rsid w:val="004168F3"/>
    <w:rsid w:val="00416B26"/>
    <w:rsid w:val="00416C62"/>
    <w:rsid w:val="00416C82"/>
    <w:rsid w:val="00416E45"/>
    <w:rsid w:val="0041715C"/>
    <w:rsid w:val="00417370"/>
    <w:rsid w:val="00417480"/>
    <w:rsid w:val="0041764A"/>
    <w:rsid w:val="004179CB"/>
    <w:rsid w:val="00417B55"/>
    <w:rsid w:val="00417C98"/>
    <w:rsid w:val="00417CAC"/>
    <w:rsid w:val="00417F4E"/>
    <w:rsid w:val="00420057"/>
    <w:rsid w:val="00420172"/>
    <w:rsid w:val="0042029B"/>
    <w:rsid w:val="0042058C"/>
    <w:rsid w:val="004209C2"/>
    <w:rsid w:val="004209F2"/>
    <w:rsid w:val="00420A91"/>
    <w:rsid w:val="00421028"/>
    <w:rsid w:val="00421118"/>
    <w:rsid w:val="004212DC"/>
    <w:rsid w:val="00421699"/>
    <w:rsid w:val="004217C7"/>
    <w:rsid w:val="00421890"/>
    <w:rsid w:val="00421BC8"/>
    <w:rsid w:val="00421CEA"/>
    <w:rsid w:val="00421D13"/>
    <w:rsid w:val="004221C3"/>
    <w:rsid w:val="004223FA"/>
    <w:rsid w:val="00422707"/>
    <w:rsid w:val="0042287F"/>
    <w:rsid w:val="004228B3"/>
    <w:rsid w:val="00422AB2"/>
    <w:rsid w:val="00422B7F"/>
    <w:rsid w:val="00422BE3"/>
    <w:rsid w:val="00422FFB"/>
    <w:rsid w:val="00423114"/>
    <w:rsid w:val="0042347F"/>
    <w:rsid w:val="00423751"/>
    <w:rsid w:val="00423BCC"/>
    <w:rsid w:val="00423D0C"/>
    <w:rsid w:val="00423E00"/>
    <w:rsid w:val="00423E86"/>
    <w:rsid w:val="00423F7B"/>
    <w:rsid w:val="004242E5"/>
    <w:rsid w:val="004243E6"/>
    <w:rsid w:val="00424459"/>
    <w:rsid w:val="00424478"/>
    <w:rsid w:val="0042470C"/>
    <w:rsid w:val="00424874"/>
    <w:rsid w:val="004249A0"/>
    <w:rsid w:val="00424A84"/>
    <w:rsid w:val="00424B90"/>
    <w:rsid w:val="00425300"/>
    <w:rsid w:val="0042549B"/>
    <w:rsid w:val="004254FC"/>
    <w:rsid w:val="00425627"/>
    <w:rsid w:val="004257B6"/>
    <w:rsid w:val="00425916"/>
    <w:rsid w:val="00425977"/>
    <w:rsid w:val="004259A7"/>
    <w:rsid w:val="004259DB"/>
    <w:rsid w:val="00426243"/>
    <w:rsid w:val="00426564"/>
    <w:rsid w:val="004265D5"/>
    <w:rsid w:val="00426645"/>
    <w:rsid w:val="00426BE5"/>
    <w:rsid w:val="00426CAC"/>
    <w:rsid w:val="00426DDF"/>
    <w:rsid w:val="004271FA"/>
    <w:rsid w:val="004272C0"/>
    <w:rsid w:val="004273B7"/>
    <w:rsid w:val="00427536"/>
    <w:rsid w:val="00427614"/>
    <w:rsid w:val="0042778B"/>
    <w:rsid w:val="00427886"/>
    <w:rsid w:val="004279AD"/>
    <w:rsid w:val="00427F24"/>
    <w:rsid w:val="00430143"/>
    <w:rsid w:val="004303C5"/>
    <w:rsid w:val="004303F8"/>
    <w:rsid w:val="004304E4"/>
    <w:rsid w:val="004308E5"/>
    <w:rsid w:val="00430994"/>
    <w:rsid w:val="00430A6A"/>
    <w:rsid w:val="00430CD4"/>
    <w:rsid w:val="004311E9"/>
    <w:rsid w:val="0043122A"/>
    <w:rsid w:val="00431298"/>
    <w:rsid w:val="0043146D"/>
    <w:rsid w:val="00431C52"/>
    <w:rsid w:val="00431CAA"/>
    <w:rsid w:val="00431DE0"/>
    <w:rsid w:val="004320AF"/>
    <w:rsid w:val="00432193"/>
    <w:rsid w:val="0043222F"/>
    <w:rsid w:val="004325A7"/>
    <w:rsid w:val="004328E4"/>
    <w:rsid w:val="00432934"/>
    <w:rsid w:val="00432BC5"/>
    <w:rsid w:val="00432C37"/>
    <w:rsid w:val="00432D2F"/>
    <w:rsid w:val="00432EA9"/>
    <w:rsid w:val="0043302C"/>
    <w:rsid w:val="0043340D"/>
    <w:rsid w:val="004336B5"/>
    <w:rsid w:val="00433D11"/>
    <w:rsid w:val="00433DFF"/>
    <w:rsid w:val="00433E3D"/>
    <w:rsid w:val="00433F9B"/>
    <w:rsid w:val="004341A2"/>
    <w:rsid w:val="004341DA"/>
    <w:rsid w:val="00434492"/>
    <w:rsid w:val="004345EE"/>
    <w:rsid w:val="0043460A"/>
    <w:rsid w:val="0043479B"/>
    <w:rsid w:val="00434EA6"/>
    <w:rsid w:val="00434EC9"/>
    <w:rsid w:val="0043515B"/>
    <w:rsid w:val="00435358"/>
    <w:rsid w:val="00435AF2"/>
    <w:rsid w:val="00435E08"/>
    <w:rsid w:val="00435F51"/>
    <w:rsid w:val="004360B0"/>
    <w:rsid w:val="004360EC"/>
    <w:rsid w:val="0043683B"/>
    <w:rsid w:val="00436B9F"/>
    <w:rsid w:val="00436CBE"/>
    <w:rsid w:val="00436D4B"/>
    <w:rsid w:val="00436F94"/>
    <w:rsid w:val="004370A4"/>
    <w:rsid w:val="004370C3"/>
    <w:rsid w:val="004375A2"/>
    <w:rsid w:val="00437683"/>
    <w:rsid w:val="0043773B"/>
    <w:rsid w:val="00437CA2"/>
    <w:rsid w:val="00437CD1"/>
    <w:rsid w:val="00437EB2"/>
    <w:rsid w:val="00437F40"/>
    <w:rsid w:val="0044084C"/>
    <w:rsid w:val="00440ACD"/>
    <w:rsid w:val="00440AD2"/>
    <w:rsid w:val="0044114D"/>
    <w:rsid w:val="004416A1"/>
    <w:rsid w:val="00441876"/>
    <w:rsid w:val="00441973"/>
    <w:rsid w:val="00441A29"/>
    <w:rsid w:val="00441E22"/>
    <w:rsid w:val="00442243"/>
    <w:rsid w:val="0044236C"/>
    <w:rsid w:val="004423E3"/>
    <w:rsid w:val="0044287E"/>
    <w:rsid w:val="00442889"/>
    <w:rsid w:val="004429CA"/>
    <w:rsid w:val="00442B2A"/>
    <w:rsid w:val="00442D6E"/>
    <w:rsid w:val="00442DF6"/>
    <w:rsid w:val="00442E7C"/>
    <w:rsid w:val="004432EB"/>
    <w:rsid w:val="00443411"/>
    <w:rsid w:val="0044379F"/>
    <w:rsid w:val="00443A43"/>
    <w:rsid w:val="00443A9A"/>
    <w:rsid w:val="00443C3A"/>
    <w:rsid w:val="00443F45"/>
    <w:rsid w:val="00444050"/>
    <w:rsid w:val="0044410D"/>
    <w:rsid w:val="004445EC"/>
    <w:rsid w:val="00444738"/>
    <w:rsid w:val="00444749"/>
    <w:rsid w:val="00444764"/>
    <w:rsid w:val="004448B3"/>
    <w:rsid w:val="00444CE1"/>
    <w:rsid w:val="00444CF0"/>
    <w:rsid w:val="00444DCB"/>
    <w:rsid w:val="00444E91"/>
    <w:rsid w:val="00444FD6"/>
    <w:rsid w:val="0044586A"/>
    <w:rsid w:val="00445B2F"/>
    <w:rsid w:val="00445B3B"/>
    <w:rsid w:val="00445B7E"/>
    <w:rsid w:val="00445CCF"/>
    <w:rsid w:val="00445D12"/>
    <w:rsid w:val="00445E63"/>
    <w:rsid w:val="00446588"/>
    <w:rsid w:val="00446D75"/>
    <w:rsid w:val="00446DD2"/>
    <w:rsid w:val="00447006"/>
    <w:rsid w:val="004472C4"/>
    <w:rsid w:val="00447941"/>
    <w:rsid w:val="00447A1B"/>
    <w:rsid w:val="00447C81"/>
    <w:rsid w:val="00447F7A"/>
    <w:rsid w:val="004502FC"/>
    <w:rsid w:val="004505CE"/>
    <w:rsid w:val="0045089A"/>
    <w:rsid w:val="004509C4"/>
    <w:rsid w:val="00450D09"/>
    <w:rsid w:val="00450E58"/>
    <w:rsid w:val="00451267"/>
    <w:rsid w:val="004517EA"/>
    <w:rsid w:val="00451C27"/>
    <w:rsid w:val="00451F48"/>
    <w:rsid w:val="00451F4D"/>
    <w:rsid w:val="00451FDF"/>
    <w:rsid w:val="004520C6"/>
    <w:rsid w:val="0045229A"/>
    <w:rsid w:val="004522C6"/>
    <w:rsid w:val="00452588"/>
    <w:rsid w:val="00452D81"/>
    <w:rsid w:val="00452EFE"/>
    <w:rsid w:val="0045302C"/>
    <w:rsid w:val="004531BB"/>
    <w:rsid w:val="004532B2"/>
    <w:rsid w:val="0045345A"/>
    <w:rsid w:val="00453561"/>
    <w:rsid w:val="00453872"/>
    <w:rsid w:val="004539DA"/>
    <w:rsid w:val="00453A51"/>
    <w:rsid w:val="00453F02"/>
    <w:rsid w:val="0045425E"/>
    <w:rsid w:val="00454444"/>
    <w:rsid w:val="004544BD"/>
    <w:rsid w:val="00454905"/>
    <w:rsid w:val="00454FFC"/>
    <w:rsid w:val="004551C4"/>
    <w:rsid w:val="004553CD"/>
    <w:rsid w:val="004553D4"/>
    <w:rsid w:val="004554A6"/>
    <w:rsid w:val="00455532"/>
    <w:rsid w:val="00455ADC"/>
    <w:rsid w:val="00455B89"/>
    <w:rsid w:val="00455D51"/>
    <w:rsid w:val="004562E6"/>
    <w:rsid w:val="00456433"/>
    <w:rsid w:val="004564DB"/>
    <w:rsid w:val="004564F3"/>
    <w:rsid w:val="00456548"/>
    <w:rsid w:val="00456794"/>
    <w:rsid w:val="00456D51"/>
    <w:rsid w:val="00456E26"/>
    <w:rsid w:val="00456EAA"/>
    <w:rsid w:val="00456F5E"/>
    <w:rsid w:val="00457475"/>
    <w:rsid w:val="0045783B"/>
    <w:rsid w:val="00457859"/>
    <w:rsid w:val="004578D6"/>
    <w:rsid w:val="00457C7B"/>
    <w:rsid w:val="00460051"/>
    <w:rsid w:val="004601CC"/>
    <w:rsid w:val="00460469"/>
    <w:rsid w:val="004606FA"/>
    <w:rsid w:val="0046085F"/>
    <w:rsid w:val="00460A8C"/>
    <w:rsid w:val="00460C12"/>
    <w:rsid w:val="00460CA9"/>
    <w:rsid w:val="00460F21"/>
    <w:rsid w:val="00460F88"/>
    <w:rsid w:val="00461173"/>
    <w:rsid w:val="004614AE"/>
    <w:rsid w:val="00461536"/>
    <w:rsid w:val="0046187F"/>
    <w:rsid w:val="00461DE1"/>
    <w:rsid w:val="00461FB6"/>
    <w:rsid w:val="0046217E"/>
    <w:rsid w:val="00462299"/>
    <w:rsid w:val="0046244F"/>
    <w:rsid w:val="00462597"/>
    <w:rsid w:val="004625AC"/>
    <w:rsid w:val="00462930"/>
    <w:rsid w:val="00462C7D"/>
    <w:rsid w:val="00462DA6"/>
    <w:rsid w:val="00462E6C"/>
    <w:rsid w:val="00462E7C"/>
    <w:rsid w:val="00463060"/>
    <w:rsid w:val="00463862"/>
    <w:rsid w:val="004638D4"/>
    <w:rsid w:val="00463C37"/>
    <w:rsid w:val="004640AB"/>
    <w:rsid w:val="004641E2"/>
    <w:rsid w:val="004642A1"/>
    <w:rsid w:val="00464400"/>
    <w:rsid w:val="004644FB"/>
    <w:rsid w:val="00464616"/>
    <w:rsid w:val="0046473A"/>
    <w:rsid w:val="00464955"/>
    <w:rsid w:val="00464B1A"/>
    <w:rsid w:val="00465066"/>
    <w:rsid w:val="004652D4"/>
    <w:rsid w:val="004652DA"/>
    <w:rsid w:val="004654A2"/>
    <w:rsid w:val="00465572"/>
    <w:rsid w:val="00465633"/>
    <w:rsid w:val="00465768"/>
    <w:rsid w:val="004659C3"/>
    <w:rsid w:val="00465B07"/>
    <w:rsid w:val="00465D73"/>
    <w:rsid w:val="00465DCD"/>
    <w:rsid w:val="00466026"/>
    <w:rsid w:val="00466207"/>
    <w:rsid w:val="004666B3"/>
    <w:rsid w:val="00466833"/>
    <w:rsid w:val="0046699B"/>
    <w:rsid w:val="00466A73"/>
    <w:rsid w:val="00466BC5"/>
    <w:rsid w:val="00466D21"/>
    <w:rsid w:val="00466F2D"/>
    <w:rsid w:val="00467053"/>
    <w:rsid w:val="0046744F"/>
    <w:rsid w:val="00467458"/>
    <w:rsid w:val="00467480"/>
    <w:rsid w:val="00467528"/>
    <w:rsid w:val="00467688"/>
    <w:rsid w:val="004676C7"/>
    <w:rsid w:val="004676F6"/>
    <w:rsid w:val="00467826"/>
    <w:rsid w:val="004679E7"/>
    <w:rsid w:val="0047022D"/>
    <w:rsid w:val="0047033D"/>
    <w:rsid w:val="0047048E"/>
    <w:rsid w:val="0047066D"/>
    <w:rsid w:val="004709D4"/>
    <w:rsid w:val="00470A92"/>
    <w:rsid w:val="00470EC4"/>
    <w:rsid w:val="00470F00"/>
    <w:rsid w:val="004718AE"/>
    <w:rsid w:val="004722C3"/>
    <w:rsid w:val="0047236F"/>
    <w:rsid w:val="004723E6"/>
    <w:rsid w:val="00472437"/>
    <w:rsid w:val="00472559"/>
    <w:rsid w:val="0047267C"/>
    <w:rsid w:val="00472CFF"/>
    <w:rsid w:val="00472D3F"/>
    <w:rsid w:val="00472EAB"/>
    <w:rsid w:val="00472F8F"/>
    <w:rsid w:val="00473296"/>
    <w:rsid w:val="0047354A"/>
    <w:rsid w:val="00473551"/>
    <w:rsid w:val="00473C7C"/>
    <w:rsid w:val="00473CD8"/>
    <w:rsid w:val="00473D58"/>
    <w:rsid w:val="00473EFD"/>
    <w:rsid w:val="00473FDE"/>
    <w:rsid w:val="0047404F"/>
    <w:rsid w:val="004743A3"/>
    <w:rsid w:val="0047448F"/>
    <w:rsid w:val="0047478D"/>
    <w:rsid w:val="00474A8C"/>
    <w:rsid w:val="00474F87"/>
    <w:rsid w:val="00475592"/>
    <w:rsid w:val="0047585D"/>
    <w:rsid w:val="0047586B"/>
    <w:rsid w:val="00475A13"/>
    <w:rsid w:val="00475CAA"/>
    <w:rsid w:val="00475D98"/>
    <w:rsid w:val="00475F0E"/>
    <w:rsid w:val="0047618A"/>
    <w:rsid w:val="004763E8"/>
    <w:rsid w:val="0047646E"/>
    <w:rsid w:val="004766D7"/>
    <w:rsid w:val="004767B1"/>
    <w:rsid w:val="004768DA"/>
    <w:rsid w:val="00476A04"/>
    <w:rsid w:val="00476A24"/>
    <w:rsid w:val="00476BA5"/>
    <w:rsid w:val="00476E22"/>
    <w:rsid w:val="00476F70"/>
    <w:rsid w:val="00476F9B"/>
    <w:rsid w:val="00477093"/>
    <w:rsid w:val="004770CE"/>
    <w:rsid w:val="00477135"/>
    <w:rsid w:val="0047715D"/>
    <w:rsid w:val="00477526"/>
    <w:rsid w:val="004776A3"/>
    <w:rsid w:val="004777AF"/>
    <w:rsid w:val="00477968"/>
    <w:rsid w:val="00477A88"/>
    <w:rsid w:val="00477FAD"/>
    <w:rsid w:val="00480126"/>
    <w:rsid w:val="00480327"/>
    <w:rsid w:val="004803A7"/>
    <w:rsid w:val="0048098B"/>
    <w:rsid w:val="00480A07"/>
    <w:rsid w:val="00480B9F"/>
    <w:rsid w:val="00480F43"/>
    <w:rsid w:val="00480FF6"/>
    <w:rsid w:val="0048119F"/>
    <w:rsid w:val="004811A7"/>
    <w:rsid w:val="00481693"/>
    <w:rsid w:val="00481862"/>
    <w:rsid w:val="00481B41"/>
    <w:rsid w:val="00481C59"/>
    <w:rsid w:val="00481D51"/>
    <w:rsid w:val="00481E21"/>
    <w:rsid w:val="00481EDD"/>
    <w:rsid w:val="00482369"/>
    <w:rsid w:val="004823C3"/>
    <w:rsid w:val="00482455"/>
    <w:rsid w:val="00482509"/>
    <w:rsid w:val="00482E57"/>
    <w:rsid w:val="004831B2"/>
    <w:rsid w:val="004832AA"/>
    <w:rsid w:val="004832B7"/>
    <w:rsid w:val="004832CA"/>
    <w:rsid w:val="00483D7B"/>
    <w:rsid w:val="00483E7C"/>
    <w:rsid w:val="00483F54"/>
    <w:rsid w:val="00484864"/>
    <w:rsid w:val="004848EC"/>
    <w:rsid w:val="00484BA6"/>
    <w:rsid w:val="00484C7D"/>
    <w:rsid w:val="00484F97"/>
    <w:rsid w:val="004850FB"/>
    <w:rsid w:val="004850FE"/>
    <w:rsid w:val="0048546C"/>
    <w:rsid w:val="00485848"/>
    <w:rsid w:val="004858ED"/>
    <w:rsid w:val="00485908"/>
    <w:rsid w:val="00485946"/>
    <w:rsid w:val="00485A93"/>
    <w:rsid w:val="00485AE5"/>
    <w:rsid w:val="00486345"/>
    <w:rsid w:val="004867E3"/>
    <w:rsid w:val="00486962"/>
    <w:rsid w:val="00486C3C"/>
    <w:rsid w:val="00486C69"/>
    <w:rsid w:val="004874B2"/>
    <w:rsid w:val="004876EA"/>
    <w:rsid w:val="0048779B"/>
    <w:rsid w:val="00487929"/>
    <w:rsid w:val="00487A54"/>
    <w:rsid w:val="00487C88"/>
    <w:rsid w:val="0049003D"/>
    <w:rsid w:val="0049035F"/>
    <w:rsid w:val="004905E2"/>
    <w:rsid w:val="00490A14"/>
    <w:rsid w:val="00490A48"/>
    <w:rsid w:val="00490AE3"/>
    <w:rsid w:val="00490B62"/>
    <w:rsid w:val="00490C06"/>
    <w:rsid w:val="0049125F"/>
    <w:rsid w:val="00491495"/>
    <w:rsid w:val="004915F0"/>
    <w:rsid w:val="004918DE"/>
    <w:rsid w:val="00491962"/>
    <w:rsid w:val="00491C88"/>
    <w:rsid w:val="00492085"/>
    <w:rsid w:val="00492096"/>
    <w:rsid w:val="00492457"/>
    <w:rsid w:val="00492659"/>
    <w:rsid w:val="00492737"/>
    <w:rsid w:val="00492A68"/>
    <w:rsid w:val="00492A6A"/>
    <w:rsid w:val="00492CCA"/>
    <w:rsid w:val="00492FF3"/>
    <w:rsid w:val="00493383"/>
    <w:rsid w:val="004935B0"/>
    <w:rsid w:val="004936A3"/>
    <w:rsid w:val="00493806"/>
    <w:rsid w:val="00493AAC"/>
    <w:rsid w:val="00493BFA"/>
    <w:rsid w:val="00493F0A"/>
    <w:rsid w:val="0049429A"/>
    <w:rsid w:val="0049451E"/>
    <w:rsid w:val="004945A7"/>
    <w:rsid w:val="0049471B"/>
    <w:rsid w:val="00494FBA"/>
    <w:rsid w:val="0049530D"/>
    <w:rsid w:val="0049577A"/>
    <w:rsid w:val="00495868"/>
    <w:rsid w:val="00495B5D"/>
    <w:rsid w:val="00495C0E"/>
    <w:rsid w:val="00496180"/>
    <w:rsid w:val="004965C8"/>
    <w:rsid w:val="004966E4"/>
    <w:rsid w:val="0049686C"/>
    <w:rsid w:val="00496B7F"/>
    <w:rsid w:val="00496CB4"/>
    <w:rsid w:val="00496FA3"/>
    <w:rsid w:val="00496FCE"/>
    <w:rsid w:val="0049726E"/>
    <w:rsid w:val="004975AA"/>
    <w:rsid w:val="00497F85"/>
    <w:rsid w:val="004A01AA"/>
    <w:rsid w:val="004A06ED"/>
    <w:rsid w:val="004A073F"/>
    <w:rsid w:val="004A0D7F"/>
    <w:rsid w:val="004A11BE"/>
    <w:rsid w:val="004A1532"/>
    <w:rsid w:val="004A17B4"/>
    <w:rsid w:val="004A19A5"/>
    <w:rsid w:val="004A1B28"/>
    <w:rsid w:val="004A1C4A"/>
    <w:rsid w:val="004A1D14"/>
    <w:rsid w:val="004A1E33"/>
    <w:rsid w:val="004A1E53"/>
    <w:rsid w:val="004A213A"/>
    <w:rsid w:val="004A25BD"/>
    <w:rsid w:val="004A26DA"/>
    <w:rsid w:val="004A271B"/>
    <w:rsid w:val="004A2819"/>
    <w:rsid w:val="004A2D83"/>
    <w:rsid w:val="004A2F77"/>
    <w:rsid w:val="004A318A"/>
    <w:rsid w:val="004A3492"/>
    <w:rsid w:val="004A3CF9"/>
    <w:rsid w:val="004A3D97"/>
    <w:rsid w:val="004A3F74"/>
    <w:rsid w:val="004A4026"/>
    <w:rsid w:val="004A4807"/>
    <w:rsid w:val="004A483F"/>
    <w:rsid w:val="004A4843"/>
    <w:rsid w:val="004A49B8"/>
    <w:rsid w:val="004A4B2B"/>
    <w:rsid w:val="004A4C56"/>
    <w:rsid w:val="004A4EC8"/>
    <w:rsid w:val="004A4F20"/>
    <w:rsid w:val="004A5387"/>
    <w:rsid w:val="004A547A"/>
    <w:rsid w:val="004A549E"/>
    <w:rsid w:val="004A5560"/>
    <w:rsid w:val="004A55E3"/>
    <w:rsid w:val="004A56A7"/>
    <w:rsid w:val="004A5CCB"/>
    <w:rsid w:val="004A5E76"/>
    <w:rsid w:val="004A5E84"/>
    <w:rsid w:val="004A5F40"/>
    <w:rsid w:val="004A5F69"/>
    <w:rsid w:val="004A6179"/>
    <w:rsid w:val="004A6235"/>
    <w:rsid w:val="004A66CD"/>
    <w:rsid w:val="004A69A8"/>
    <w:rsid w:val="004A6D9D"/>
    <w:rsid w:val="004A6E40"/>
    <w:rsid w:val="004A7482"/>
    <w:rsid w:val="004A7B1C"/>
    <w:rsid w:val="004A7F7A"/>
    <w:rsid w:val="004B0168"/>
    <w:rsid w:val="004B0186"/>
    <w:rsid w:val="004B0224"/>
    <w:rsid w:val="004B03D5"/>
    <w:rsid w:val="004B06DF"/>
    <w:rsid w:val="004B0898"/>
    <w:rsid w:val="004B0AA8"/>
    <w:rsid w:val="004B0D90"/>
    <w:rsid w:val="004B0EA7"/>
    <w:rsid w:val="004B1274"/>
    <w:rsid w:val="004B149A"/>
    <w:rsid w:val="004B192F"/>
    <w:rsid w:val="004B1BDD"/>
    <w:rsid w:val="004B1CA8"/>
    <w:rsid w:val="004B20C3"/>
    <w:rsid w:val="004B26D6"/>
    <w:rsid w:val="004B2846"/>
    <w:rsid w:val="004B2953"/>
    <w:rsid w:val="004B2ACE"/>
    <w:rsid w:val="004B2B1F"/>
    <w:rsid w:val="004B2EE1"/>
    <w:rsid w:val="004B2FF8"/>
    <w:rsid w:val="004B31CB"/>
    <w:rsid w:val="004B3491"/>
    <w:rsid w:val="004B37A8"/>
    <w:rsid w:val="004B393F"/>
    <w:rsid w:val="004B3A05"/>
    <w:rsid w:val="004B3DF7"/>
    <w:rsid w:val="004B3FA4"/>
    <w:rsid w:val="004B41D1"/>
    <w:rsid w:val="004B4205"/>
    <w:rsid w:val="004B4313"/>
    <w:rsid w:val="004B4499"/>
    <w:rsid w:val="004B44EB"/>
    <w:rsid w:val="004B45FA"/>
    <w:rsid w:val="004B46CA"/>
    <w:rsid w:val="004B4B7A"/>
    <w:rsid w:val="004B4EF8"/>
    <w:rsid w:val="004B4F56"/>
    <w:rsid w:val="004B4FD8"/>
    <w:rsid w:val="004B503D"/>
    <w:rsid w:val="004B5254"/>
    <w:rsid w:val="004B553F"/>
    <w:rsid w:val="004B5814"/>
    <w:rsid w:val="004B5847"/>
    <w:rsid w:val="004B587E"/>
    <w:rsid w:val="004B5B13"/>
    <w:rsid w:val="004B5CBF"/>
    <w:rsid w:val="004B60D6"/>
    <w:rsid w:val="004B62A7"/>
    <w:rsid w:val="004B6448"/>
    <w:rsid w:val="004B6BC1"/>
    <w:rsid w:val="004B7589"/>
    <w:rsid w:val="004B759E"/>
    <w:rsid w:val="004B75E6"/>
    <w:rsid w:val="004B76D6"/>
    <w:rsid w:val="004B7D1C"/>
    <w:rsid w:val="004B7D7D"/>
    <w:rsid w:val="004B7DB3"/>
    <w:rsid w:val="004C0054"/>
    <w:rsid w:val="004C0177"/>
    <w:rsid w:val="004C0849"/>
    <w:rsid w:val="004C09A4"/>
    <w:rsid w:val="004C0BF8"/>
    <w:rsid w:val="004C0E65"/>
    <w:rsid w:val="004C0E78"/>
    <w:rsid w:val="004C0EF0"/>
    <w:rsid w:val="004C0F20"/>
    <w:rsid w:val="004C108B"/>
    <w:rsid w:val="004C10DA"/>
    <w:rsid w:val="004C1224"/>
    <w:rsid w:val="004C122D"/>
    <w:rsid w:val="004C13BC"/>
    <w:rsid w:val="004C14AF"/>
    <w:rsid w:val="004C15E5"/>
    <w:rsid w:val="004C187B"/>
    <w:rsid w:val="004C20E2"/>
    <w:rsid w:val="004C215F"/>
    <w:rsid w:val="004C2245"/>
    <w:rsid w:val="004C2524"/>
    <w:rsid w:val="004C2556"/>
    <w:rsid w:val="004C2688"/>
    <w:rsid w:val="004C27E8"/>
    <w:rsid w:val="004C2940"/>
    <w:rsid w:val="004C2993"/>
    <w:rsid w:val="004C2CA5"/>
    <w:rsid w:val="004C3201"/>
    <w:rsid w:val="004C32A5"/>
    <w:rsid w:val="004C332B"/>
    <w:rsid w:val="004C3411"/>
    <w:rsid w:val="004C359F"/>
    <w:rsid w:val="004C36F6"/>
    <w:rsid w:val="004C3739"/>
    <w:rsid w:val="004C38F7"/>
    <w:rsid w:val="004C3903"/>
    <w:rsid w:val="004C3953"/>
    <w:rsid w:val="004C3B83"/>
    <w:rsid w:val="004C3BAC"/>
    <w:rsid w:val="004C3D48"/>
    <w:rsid w:val="004C3EBA"/>
    <w:rsid w:val="004C454D"/>
    <w:rsid w:val="004C461D"/>
    <w:rsid w:val="004C47E4"/>
    <w:rsid w:val="004C4A6E"/>
    <w:rsid w:val="004C4AB5"/>
    <w:rsid w:val="004C4C7E"/>
    <w:rsid w:val="004C4EEB"/>
    <w:rsid w:val="004C4F67"/>
    <w:rsid w:val="004C503C"/>
    <w:rsid w:val="004C5135"/>
    <w:rsid w:val="004C59BD"/>
    <w:rsid w:val="004C5BBF"/>
    <w:rsid w:val="004C5CB9"/>
    <w:rsid w:val="004C63A8"/>
    <w:rsid w:val="004C63B7"/>
    <w:rsid w:val="004C6A7E"/>
    <w:rsid w:val="004C6C7A"/>
    <w:rsid w:val="004C6CD2"/>
    <w:rsid w:val="004C6DE1"/>
    <w:rsid w:val="004C6F6E"/>
    <w:rsid w:val="004C78B5"/>
    <w:rsid w:val="004C791A"/>
    <w:rsid w:val="004C7949"/>
    <w:rsid w:val="004C7B2A"/>
    <w:rsid w:val="004C7C5A"/>
    <w:rsid w:val="004C7CED"/>
    <w:rsid w:val="004C7E1F"/>
    <w:rsid w:val="004C7F18"/>
    <w:rsid w:val="004C7F92"/>
    <w:rsid w:val="004D0217"/>
    <w:rsid w:val="004D04ED"/>
    <w:rsid w:val="004D09B5"/>
    <w:rsid w:val="004D09F8"/>
    <w:rsid w:val="004D0D09"/>
    <w:rsid w:val="004D1129"/>
    <w:rsid w:val="004D128E"/>
    <w:rsid w:val="004D1396"/>
    <w:rsid w:val="004D13EA"/>
    <w:rsid w:val="004D16CF"/>
    <w:rsid w:val="004D192C"/>
    <w:rsid w:val="004D1B36"/>
    <w:rsid w:val="004D1FAD"/>
    <w:rsid w:val="004D24E9"/>
    <w:rsid w:val="004D263F"/>
    <w:rsid w:val="004D26B7"/>
    <w:rsid w:val="004D2775"/>
    <w:rsid w:val="004D2F75"/>
    <w:rsid w:val="004D3180"/>
    <w:rsid w:val="004D31DB"/>
    <w:rsid w:val="004D3590"/>
    <w:rsid w:val="004D3615"/>
    <w:rsid w:val="004D39B7"/>
    <w:rsid w:val="004D3A17"/>
    <w:rsid w:val="004D3B10"/>
    <w:rsid w:val="004D3C72"/>
    <w:rsid w:val="004D3EA2"/>
    <w:rsid w:val="004D3EDA"/>
    <w:rsid w:val="004D4016"/>
    <w:rsid w:val="004D47DB"/>
    <w:rsid w:val="004D4B2B"/>
    <w:rsid w:val="004D4CAD"/>
    <w:rsid w:val="004D4CF2"/>
    <w:rsid w:val="004D4D08"/>
    <w:rsid w:val="004D4E35"/>
    <w:rsid w:val="004D4F73"/>
    <w:rsid w:val="004D51D5"/>
    <w:rsid w:val="004D535B"/>
    <w:rsid w:val="004D57D5"/>
    <w:rsid w:val="004D5D57"/>
    <w:rsid w:val="004D629C"/>
    <w:rsid w:val="004D64DD"/>
    <w:rsid w:val="004D6990"/>
    <w:rsid w:val="004D69C0"/>
    <w:rsid w:val="004D6A6D"/>
    <w:rsid w:val="004D6B48"/>
    <w:rsid w:val="004D6BEA"/>
    <w:rsid w:val="004D6CB2"/>
    <w:rsid w:val="004D6CD4"/>
    <w:rsid w:val="004D6FE8"/>
    <w:rsid w:val="004D75D7"/>
    <w:rsid w:val="004D7732"/>
    <w:rsid w:val="004D777F"/>
    <w:rsid w:val="004D79B0"/>
    <w:rsid w:val="004D7B0B"/>
    <w:rsid w:val="004D7C18"/>
    <w:rsid w:val="004D7EFD"/>
    <w:rsid w:val="004E015E"/>
    <w:rsid w:val="004E028A"/>
    <w:rsid w:val="004E035D"/>
    <w:rsid w:val="004E0688"/>
    <w:rsid w:val="004E06DC"/>
    <w:rsid w:val="004E0A40"/>
    <w:rsid w:val="004E0D19"/>
    <w:rsid w:val="004E0F0D"/>
    <w:rsid w:val="004E0F56"/>
    <w:rsid w:val="004E1084"/>
    <w:rsid w:val="004E1167"/>
    <w:rsid w:val="004E1685"/>
    <w:rsid w:val="004E16C5"/>
    <w:rsid w:val="004E1793"/>
    <w:rsid w:val="004E189E"/>
    <w:rsid w:val="004E198A"/>
    <w:rsid w:val="004E1AF6"/>
    <w:rsid w:val="004E22AD"/>
    <w:rsid w:val="004E22B7"/>
    <w:rsid w:val="004E23D1"/>
    <w:rsid w:val="004E24D7"/>
    <w:rsid w:val="004E24DE"/>
    <w:rsid w:val="004E2767"/>
    <w:rsid w:val="004E2793"/>
    <w:rsid w:val="004E27D6"/>
    <w:rsid w:val="004E2832"/>
    <w:rsid w:val="004E2AAE"/>
    <w:rsid w:val="004E2B8C"/>
    <w:rsid w:val="004E2FEA"/>
    <w:rsid w:val="004E32C5"/>
    <w:rsid w:val="004E3469"/>
    <w:rsid w:val="004E3893"/>
    <w:rsid w:val="004E392A"/>
    <w:rsid w:val="004E3B5C"/>
    <w:rsid w:val="004E3C69"/>
    <w:rsid w:val="004E479D"/>
    <w:rsid w:val="004E48ED"/>
    <w:rsid w:val="004E4C28"/>
    <w:rsid w:val="004E52D8"/>
    <w:rsid w:val="004E53AA"/>
    <w:rsid w:val="004E53AF"/>
    <w:rsid w:val="004E53E4"/>
    <w:rsid w:val="004E5502"/>
    <w:rsid w:val="004E5670"/>
    <w:rsid w:val="004E592C"/>
    <w:rsid w:val="004E5D06"/>
    <w:rsid w:val="004E5F98"/>
    <w:rsid w:val="004E617C"/>
    <w:rsid w:val="004E6284"/>
    <w:rsid w:val="004E6320"/>
    <w:rsid w:val="004E656F"/>
    <w:rsid w:val="004E65E6"/>
    <w:rsid w:val="004E66D3"/>
    <w:rsid w:val="004E6799"/>
    <w:rsid w:val="004E68E4"/>
    <w:rsid w:val="004E6DA6"/>
    <w:rsid w:val="004E6F35"/>
    <w:rsid w:val="004E6FB0"/>
    <w:rsid w:val="004E7017"/>
    <w:rsid w:val="004E73E0"/>
    <w:rsid w:val="004E74BD"/>
    <w:rsid w:val="004E786F"/>
    <w:rsid w:val="004E78B7"/>
    <w:rsid w:val="004E7920"/>
    <w:rsid w:val="004E7A0C"/>
    <w:rsid w:val="004E7A3C"/>
    <w:rsid w:val="004E7C0A"/>
    <w:rsid w:val="004E7D9E"/>
    <w:rsid w:val="004E7FA2"/>
    <w:rsid w:val="004F0410"/>
    <w:rsid w:val="004F08DD"/>
    <w:rsid w:val="004F092D"/>
    <w:rsid w:val="004F09A1"/>
    <w:rsid w:val="004F0A57"/>
    <w:rsid w:val="004F0B3F"/>
    <w:rsid w:val="004F0DDC"/>
    <w:rsid w:val="004F1094"/>
    <w:rsid w:val="004F13EB"/>
    <w:rsid w:val="004F1751"/>
    <w:rsid w:val="004F19C5"/>
    <w:rsid w:val="004F1EAA"/>
    <w:rsid w:val="004F2154"/>
    <w:rsid w:val="004F2490"/>
    <w:rsid w:val="004F2599"/>
    <w:rsid w:val="004F276A"/>
    <w:rsid w:val="004F281E"/>
    <w:rsid w:val="004F2B10"/>
    <w:rsid w:val="004F2BE5"/>
    <w:rsid w:val="004F3125"/>
    <w:rsid w:val="004F325B"/>
    <w:rsid w:val="004F36D3"/>
    <w:rsid w:val="004F3766"/>
    <w:rsid w:val="004F3BF1"/>
    <w:rsid w:val="004F3CAD"/>
    <w:rsid w:val="004F3D1E"/>
    <w:rsid w:val="004F3D20"/>
    <w:rsid w:val="004F3D57"/>
    <w:rsid w:val="004F3E73"/>
    <w:rsid w:val="004F40C6"/>
    <w:rsid w:val="004F43A8"/>
    <w:rsid w:val="004F4479"/>
    <w:rsid w:val="004F44CA"/>
    <w:rsid w:val="004F470F"/>
    <w:rsid w:val="004F4905"/>
    <w:rsid w:val="004F49BD"/>
    <w:rsid w:val="004F49EA"/>
    <w:rsid w:val="004F4B03"/>
    <w:rsid w:val="004F4C7B"/>
    <w:rsid w:val="004F4DF5"/>
    <w:rsid w:val="004F502B"/>
    <w:rsid w:val="004F533E"/>
    <w:rsid w:val="004F543D"/>
    <w:rsid w:val="004F54DB"/>
    <w:rsid w:val="004F55F6"/>
    <w:rsid w:val="004F5757"/>
    <w:rsid w:val="004F57D1"/>
    <w:rsid w:val="004F58FB"/>
    <w:rsid w:val="004F59F4"/>
    <w:rsid w:val="004F5DB6"/>
    <w:rsid w:val="004F5DD6"/>
    <w:rsid w:val="004F5E78"/>
    <w:rsid w:val="004F610F"/>
    <w:rsid w:val="004F612C"/>
    <w:rsid w:val="004F6572"/>
    <w:rsid w:val="004F6582"/>
    <w:rsid w:val="004F6945"/>
    <w:rsid w:val="004F6A8B"/>
    <w:rsid w:val="004F6CB6"/>
    <w:rsid w:val="004F6EFA"/>
    <w:rsid w:val="004F78AC"/>
    <w:rsid w:val="004F7E1C"/>
    <w:rsid w:val="004F7E84"/>
    <w:rsid w:val="005004D5"/>
    <w:rsid w:val="005005C7"/>
    <w:rsid w:val="0050066C"/>
    <w:rsid w:val="00500906"/>
    <w:rsid w:val="00500E2C"/>
    <w:rsid w:val="00500E53"/>
    <w:rsid w:val="00500F5A"/>
    <w:rsid w:val="005014DE"/>
    <w:rsid w:val="005014FE"/>
    <w:rsid w:val="00501577"/>
    <w:rsid w:val="00501672"/>
    <w:rsid w:val="0050172A"/>
    <w:rsid w:val="00501C04"/>
    <w:rsid w:val="00501CC1"/>
    <w:rsid w:val="00501F72"/>
    <w:rsid w:val="00502269"/>
    <w:rsid w:val="00502634"/>
    <w:rsid w:val="005027C2"/>
    <w:rsid w:val="005028E2"/>
    <w:rsid w:val="0050294F"/>
    <w:rsid w:val="005029EB"/>
    <w:rsid w:val="00502C21"/>
    <w:rsid w:val="00502FC2"/>
    <w:rsid w:val="00503169"/>
    <w:rsid w:val="005032A0"/>
    <w:rsid w:val="00503390"/>
    <w:rsid w:val="00503794"/>
    <w:rsid w:val="005038D3"/>
    <w:rsid w:val="005039BF"/>
    <w:rsid w:val="00503BE8"/>
    <w:rsid w:val="005044C1"/>
    <w:rsid w:val="005045E0"/>
    <w:rsid w:val="005045E7"/>
    <w:rsid w:val="005048E4"/>
    <w:rsid w:val="00504B1B"/>
    <w:rsid w:val="00505329"/>
    <w:rsid w:val="005059D9"/>
    <w:rsid w:val="005059EB"/>
    <w:rsid w:val="00505B0E"/>
    <w:rsid w:val="00505F1E"/>
    <w:rsid w:val="00506214"/>
    <w:rsid w:val="00506228"/>
    <w:rsid w:val="00506559"/>
    <w:rsid w:val="00506A53"/>
    <w:rsid w:val="005071A9"/>
    <w:rsid w:val="005077DC"/>
    <w:rsid w:val="00507B03"/>
    <w:rsid w:val="00507BE0"/>
    <w:rsid w:val="00507E5C"/>
    <w:rsid w:val="00507FF2"/>
    <w:rsid w:val="00510244"/>
    <w:rsid w:val="005102D9"/>
    <w:rsid w:val="00510325"/>
    <w:rsid w:val="00510776"/>
    <w:rsid w:val="0051087A"/>
    <w:rsid w:val="0051087E"/>
    <w:rsid w:val="00510A52"/>
    <w:rsid w:val="00510D04"/>
    <w:rsid w:val="00510EBD"/>
    <w:rsid w:val="00510FC7"/>
    <w:rsid w:val="005113F0"/>
    <w:rsid w:val="005116E5"/>
    <w:rsid w:val="00511791"/>
    <w:rsid w:val="00511966"/>
    <w:rsid w:val="0051199B"/>
    <w:rsid w:val="00511FCB"/>
    <w:rsid w:val="00511FE0"/>
    <w:rsid w:val="00512248"/>
    <w:rsid w:val="0051266E"/>
    <w:rsid w:val="00512AE2"/>
    <w:rsid w:val="00513050"/>
    <w:rsid w:val="00513138"/>
    <w:rsid w:val="00513270"/>
    <w:rsid w:val="00513278"/>
    <w:rsid w:val="0051327D"/>
    <w:rsid w:val="005132A8"/>
    <w:rsid w:val="0051333F"/>
    <w:rsid w:val="005134A1"/>
    <w:rsid w:val="00513894"/>
    <w:rsid w:val="00513CC7"/>
    <w:rsid w:val="00513DFB"/>
    <w:rsid w:val="00513E35"/>
    <w:rsid w:val="00513E7B"/>
    <w:rsid w:val="0051442B"/>
    <w:rsid w:val="00514BEE"/>
    <w:rsid w:val="00514C16"/>
    <w:rsid w:val="00514E54"/>
    <w:rsid w:val="005151D6"/>
    <w:rsid w:val="00515379"/>
    <w:rsid w:val="00515445"/>
    <w:rsid w:val="0051548E"/>
    <w:rsid w:val="00515AF5"/>
    <w:rsid w:val="00515BDD"/>
    <w:rsid w:val="00515BE7"/>
    <w:rsid w:val="00515D04"/>
    <w:rsid w:val="00515D6C"/>
    <w:rsid w:val="00515F9D"/>
    <w:rsid w:val="00516033"/>
    <w:rsid w:val="0051620E"/>
    <w:rsid w:val="005163E9"/>
    <w:rsid w:val="005164CC"/>
    <w:rsid w:val="005165CD"/>
    <w:rsid w:val="005167C1"/>
    <w:rsid w:val="005167EF"/>
    <w:rsid w:val="00516814"/>
    <w:rsid w:val="005168A9"/>
    <w:rsid w:val="00516A54"/>
    <w:rsid w:val="00516F78"/>
    <w:rsid w:val="0051708E"/>
    <w:rsid w:val="00517296"/>
    <w:rsid w:val="005173DA"/>
    <w:rsid w:val="00517AF6"/>
    <w:rsid w:val="00517DFD"/>
    <w:rsid w:val="00517E7C"/>
    <w:rsid w:val="00517ED9"/>
    <w:rsid w:val="00517F4D"/>
    <w:rsid w:val="005203EE"/>
    <w:rsid w:val="005206B5"/>
    <w:rsid w:val="00520961"/>
    <w:rsid w:val="00520982"/>
    <w:rsid w:val="005209C2"/>
    <w:rsid w:val="00520A04"/>
    <w:rsid w:val="00520DD5"/>
    <w:rsid w:val="00520E46"/>
    <w:rsid w:val="005210B6"/>
    <w:rsid w:val="00521224"/>
    <w:rsid w:val="005214FF"/>
    <w:rsid w:val="00521791"/>
    <w:rsid w:val="005218F8"/>
    <w:rsid w:val="005219D3"/>
    <w:rsid w:val="00521AD2"/>
    <w:rsid w:val="00521B0C"/>
    <w:rsid w:val="00521CC0"/>
    <w:rsid w:val="00521DA4"/>
    <w:rsid w:val="00521EAF"/>
    <w:rsid w:val="00521FE1"/>
    <w:rsid w:val="00522119"/>
    <w:rsid w:val="00522350"/>
    <w:rsid w:val="00523277"/>
    <w:rsid w:val="005234C6"/>
    <w:rsid w:val="005239AB"/>
    <w:rsid w:val="00523FB9"/>
    <w:rsid w:val="0052401D"/>
    <w:rsid w:val="0052409B"/>
    <w:rsid w:val="005240D5"/>
    <w:rsid w:val="00524202"/>
    <w:rsid w:val="00525022"/>
    <w:rsid w:val="005251BD"/>
    <w:rsid w:val="00525255"/>
    <w:rsid w:val="005252B8"/>
    <w:rsid w:val="005252F6"/>
    <w:rsid w:val="0052539D"/>
    <w:rsid w:val="005253AD"/>
    <w:rsid w:val="005254D2"/>
    <w:rsid w:val="005255D2"/>
    <w:rsid w:val="0052575D"/>
    <w:rsid w:val="005259DE"/>
    <w:rsid w:val="00525AB9"/>
    <w:rsid w:val="00525B89"/>
    <w:rsid w:val="00525BE3"/>
    <w:rsid w:val="00525CEB"/>
    <w:rsid w:val="005260DF"/>
    <w:rsid w:val="00526140"/>
    <w:rsid w:val="005264FA"/>
    <w:rsid w:val="00526796"/>
    <w:rsid w:val="00526806"/>
    <w:rsid w:val="00526AC5"/>
    <w:rsid w:val="00527136"/>
    <w:rsid w:val="005275C6"/>
    <w:rsid w:val="0052766F"/>
    <w:rsid w:val="00527745"/>
    <w:rsid w:val="00527837"/>
    <w:rsid w:val="005278D3"/>
    <w:rsid w:val="005279BF"/>
    <w:rsid w:val="005279F4"/>
    <w:rsid w:val="00527C22"/>
    <w:rsid w:val="00527DEC"/>
    <w:rsid w:val="0053017B"/>
    <w:rsid w:val="00530B7E"/>
    <w:rsid w:val="00530C0E"/>
    <w:rsid w:val="00530F63"/>
    <w:rsid w:val="00531154"/>
    <w:rsid w:val="005311DB"/>
    <w:rsid w:val="00531D0C"/>
    <w:rsid w:val="00532033"/>
    <w:rsid w:val="00532318"/>
    <w:rsid w:val="005324D2"/>
    <w:rsid w:val="0053252D"/>
    <w:rsid w:val="00532753"/>
    <w:rsid w:val="005329BA"/>
    <w:rsid w:val="00532A29"/>
    <w:rsid w:val="00532B40"/>
    <w:rsid w:val="00532EA4"/>
    <w:rsid w:val="00532F34"/>
    <w:rsid w:val="00532FBD"/>
    <w:rsid w:val="005331FC"/>
    <w:rsid w:val="0053362A"/>
    <w:rsid w:val="00533763"/>
    <w:rsid w:val="00533781"/>
    <w:rsid w:val="005337CC"/>
    <w:rsid w:val="0053393A"/>
    <w:rsid w:val="00533C31"/>
    <w:rsid w:val="005343AF"/>
    <w:rsid w:val="005346B5"/>
    <w:rsid w:val="00534716"/>
    <w:rsid w:val="00534A17"/>
    <w:rsid w:val="00534A31"/>
    <w:rsid w:val="00534BB4"/>
    <w:rsid w:val="00534CD0"/>
    <w:rsid w:val="00534F67"/>
    <w:rsid w:val="00535126"/>
    <w:rsid w:val="00535773"/>
    <w:rsid w:val="00535C2F"/>
    <w:rsid w:val="00535EA0"/>
    <w:rsid w:val="005362FA"/>
    <w:rsid w:val="005363FA"/>
    <w:rsid w:val="0053659E"/>
    <w:rsid w:val="00536BA8"/>
    <w:rsid w:val="00536DF9"/>
    <w:rsid w:val="00536E14"/>
    <w:rsid w:val="00537453"/>
    <w:rsid w:val="005374BF"/>
    <w:rsid w:val="005377A0"/>
    <w:rsid w:val="00537B8B"/>
    <w:rsid w:val="00537D69"/>
    <w:rsid w:val="005401E3"/>
    <w:rsid w:val="005407D8"/>
    <w:rsid w:val="005407D9"/>
    <w:rsid w:val="00540A01"/>
    <w:rsid w:val="00541178"/>
    <w:rsid w:val="005415E4"/>
    <w:rsid w:val="00541793"/>
    <w:rsid w:val="005417D9"/>
    <w:rsid w:val="0054185C"/>
    <w:rsid w:val="005418B3"/>
    <w:rsid w:val="00541C88"/>
    <w:rsid w:val="00541ED1"/>
    <w:rsid w:val="00541F9D"/>
    <w:rsid w:val="00542005"/>
    <w:rsid w:val="00542026"/>
    <w:rsid w:val="00542070"/>
    <w:rsid w:val="00542408"/>
    <w:rsid w:val="005424F9"/>
    <w:rsid w:val="005425FF"/>
    <w:rsid w:val="00542890"/>
    <w:rsid w:val="00542BF4"/>
    <w:rsid w:val="00542BFF"/>
    <w:rsid w:val="00542C5C"/>
    <w:rsid w:val="005431C3"/>
    <w:rsid w:val="005435FD"/>
    <w:rsid w:val="005438F0"/>
    <w:rsid w:val="00543B8E"/>
    <w:rsid w:val="00543D1F"/>
    <w:rsid w:val="00543EBB"/>
    <w:rsid w:val="00543F17"/>
    <w:rsid w:val="00543FF5"/>
    <w:rsid w:val="0054402B"/>
    <w:rsid w:val="0054441D"/>
    <w:rsid w:val="005446AD"/>
    <w:rsid w:val="00544879"/>
    <w:rsid w:val="00544992"/>
    <w:rsid w:val="00544A74"/>
    <w:rsid w:val="00544AA7"/>
    <w:rsid w:val="00544B21"/>
    <w:rsid w:val="00544B58"/>
    <w:rsid w:val="00544D1E"/>
    <w:rsid w:val="00544DD2"/>
    <w:rsid w:val="00544DE4"/>
    <w:rsid w:val="00544F86"/>
    <w:rsid w:val="00544F89"/>
    <w:rsid w:val="005453FD"/>
    <w:rsid w:val="005454D5"/>
    <w:rsid w:val="005457ED"/>
    <w:rsid w:val="005459FB"/>
    <w:rsid w:val="00545DCA"/>
    <w:rsid w:val="00545E85"/>
    <w:rsid w:val="005465AA"/>
    <w:rsid w:val="005468A1"/>
    <w:rsid w:val="00546939"/>
    <w:rsid w:val="00546B71"/>
    <w:rsid w:val="00546D01"/>
    <w:rsid w:val="00546FD8"/>
    <w:rsid w:val="0054715D"/>
    <w:rsid w:val="00547AE3"/>
    <w:rsid w:val="00547B36"/>
    <w:rsid w:val="00547DCE"/>
    <w:rsid w:val="00547DD6"/>
    <w:rsid w:val="0055016B"/>
    <w:rsid w:val="0055017F"/>
    <w:rsid w:val="00550191"/>
    <w:rsid w:val="0055030B"/>
    <w:rsid w:val="005506D9"/>
    <w:rsid w:val="005507CD"/>
    <w:rsid w:val="005508DA"/>
    <w:rsid w:val="00550B27"/>
    <w:rsid w:val="00550B5F"/>
    <w:rsid w:val="005511E1"/>
    <w:rsid w:val="00551237"/>
    <w:rsid w:val="0055137B"/>
    <w:rsid w:val="00551500"/>
    <w:rsid w:val="00551539"/>
    <w:rsid w:val="00551671"/>
    <w:rsid w:val="0055182B"/>
    <w:rsid w:val="00551B14"/>
    <w:rsid w:val="005533FF"/>
    <w:rsid w:val="005538E7"/>
    <w:rsid w:val="005539AF"/>
    <w:rsid w:val="00553B14"/>
    <w:rsid w:val="00554699"/>
    <w:rsid w:val="00554B26"/>
    <w:rsid w:val="005554B5"/>
    <w:rsid w:val="005557BE"/>
    <w:rsid w:val="00555879"/>
    <w:rsid w:val="00555D6D"/>
    <w:rsid w:val="00555DF1"/>
    <w:rsid w:val="00555E31"/>
    <w:rsid w:val="00555EDB"/>
    <w:rsid w:val="00556134"/>
    <w:rsid w:val="005563DB"/>
    <w:rsid w:val="0055659E"/>
    <w:rsid w:val="005569FA"/>
    <w:rsid w:val="00556CD5"/>
    <w:rsid w:val="00556E2E"/>
    <w:rsid w:val="00557297"/>
    <w:rsid w:val="00557302"/>
    <w:rsid w:val="005575BC"/>
    <w:rsid w:val="00557612"/>
    <w:rsid w:val="00557BD1"/>
    <w:rsid w:val="005602DD"/>
    <w:rsid w:val="005603E0"/>
    <w:rsid w:val="005605DB"/>
    <w:rsid w:val="00560631"/>
    <w:rsid w:val="00560720"/>
    <w:rsid w:val="0056092A"/>
    <w:rsid w:val="00560A8B"/>
    <w:rsid w:val="00560AB9"/>
    <w:rsid w:val="00560AC0"/>
    <w:rsid w:val="00560AE6"/>
    <w:rsid w:val="00560B07"/>
    <w:rsid w:val="00560C03"/>
    <w:rsid w:val="00560F8A"/>
    <w:rsid w:val="00561316"/>
    <w:rsid w:val="005615CE"/>
    <w:rsid w:val="0056160F"/>
    <w:rsid w:val="005616E7"/>
    <w:rsid w:val="00561799"/>
    <w:rsid w:val="00561ADD"/>
    <w:rsid w:val="00561C38"/>
    <w:rsid w:val="00561CEF"/>
    <w:rsid w:val="0056226A"/>
    <w:rsid w:val="005626CD"/>
    <w:rsid w:val="00562734"/>
    <w:rsid w:val="00562758"/>
    <w:rsid w:val="00562B47"/>
    <w:rsid w:val="00562B85"/>
    <w:rsid w:val="00563581"/>
    <w:rsid w:val="0056393B"/>
    <w:rsid w:val="00563AC2"/>
    <w:rsid w:val="00563AFE"/>
    <w:rsid w:val="00563CD8"/>
    <w:rsid w:val="0056400D"/>
    <w:rsid w:val="0056417A"/>
    <w:rsid w:val="00564460"/>
    <w:rsid w:val="005647D5"/>
    <w:rsid w:val="00564821"/>
    <w:rsid w:val="00564953"/>
    <w:rsid w:val="005649A2"/>
    <w:rsid w:val="00564FA8"/>
    <w:rsid w:val="0056553C"/>
    <w:rsid w:val="005656F2"/>
    <w:rsid w:val="00565B82"/>
    <w:rsid w:val="00565C91"/>
    <w:rsid w:val="00565CB6"/>
    <w:rsid w:val="00565ECB"/>
    <w:rsid w:val="00565F9D"/>
    <w:rsid w:val="0056610A"/>
    <w:rsid w:val="005665B6"/>
    <w:rsid w:val="005665DA"/>
    <w:rsid w:val="00566963"/>
    <w:rsid w:val="00566A64"/>
    <w:rsid w:val="00566B1C"/>
    <w:rsid w:val="00566C1F"/>
    <w:rsid w:val="00567239"/>
    <w:rsid w:val="00567829"/>
    <w:rsid w:val="005678D8"/>
    <w:rsid w:val="00567DE3"/>
    <w:rsid w:val="0057023F"/>
    <w:rsid w:val="00570376"/>
    <w:rsid w:val="0057047E"/>
    <w:rsid w:val="00570631"/>
    <w:rsid w:val="0057071B"/>
    <w:rsid w:val="0057090C"/>
    <w:rsid w:val="00570DDE"/>
    <w:rsid w:val="00570F13"/>
    <w:rsid w:val="00570F3C"/>
    <w:rsid w:val="00570FCF"/>
    <w:rsid w:val="0057170D"/>
    <w:rsid w:val="00571724"/>
    <w:rsid w:val="00571A9A"/>
    <w:rsid w:val="00571B08"/>
    <w:rsid w:val="00571E20"/>
    <w:rsid w:val="005720A7"/>
    <w:rsid w:val="005722B4"/>
    <w:rsid w:val="00572705"/>
    <w:rsid w:val="005728C3"/>
    <w:rsid w:val="0057293A"/>
    <w:rsid w:val="005730BA"/>
    <w:rsid w:val="00573169"/>
    <w:rsid w:val="005738B0"/>
    <w:rsid w:val="00573A09"/>
    <w:rsid w:val="00573AAB"/>
    <w:rsid w:val="00573D7B"/>
    <w:rsid w:val="0057414F"/>
    <w:rsid w:val="005743B6"/>
    <w:rsid w:val="0057466D"/>
    <w:rsid w:val="0057483D"/>
    <w:rsid w:val="0057493F"/>
    <w:rsid w:val="00574B6F"/>
    <w:rsid w:val="00574E72"/>
    <w:rsid w:val="00574EFA"/>
    <w:rsid w:val="005751FB"/>
    <w:rsid w:val="00575355"/>
    <w:rsid w:val="005756F0"/>
    <w:rsid w:val="005764B5"/>
    <w:rsid w:val="0057691F"/>
    <w:rsid w:val="00576A9E"/>
    <w:rsid w:val="00576BCF"/>
    <w:rsid w:val="00576C37"/>
    <w:rsid w:val="00576DDB"/>
    <w:rsid w:val="00576EC5"/>
    <w:rsid w:val="0057708A"/>
    <w:rsid w:val="005776AD"/>
    <w:rsid w:val="00580183"/>
    <w:rsid w:val="0058044A"/>
    <w:rsid w:val="00580453"/>
    <w:rsid w:val="0058084F"/>
    <w:rsid w:val="00580A1A"/>
    <w:rsid w:val="00580A46"/>
    <w:rsid w:val="00580C1F"/>
    <w:rsid w:val="00580E30"/>
    <w:rsid w:val="00580FB2"/>
    <w:rsid w:val="005811E1"/>
    <w:rsid w:val="005814B5"/>
    <w:rsid w:val="00581580"/>
    <w:rsid w:val="005817DF"/>
    <w:rsid w:val="00581BA2"/>
    <w:rsid w:val="005820D8"/>
    <w:rsid w:val="00582146"/>
    <w:rsid w:val="00582187"/>
    <w:rsid w:val="005821C9"/>
    <w:rsid w:val="005823B2"/>
    <w:rsid w:val="005825D2"/>
    <w:rsid w:val="0058279E"/>
    <w:rsid w:val="0058279F"/>
    <w:rsid w:val="00582907"/>
    <w:rsid w:val="00582CE1"/>
    <w:rsid w:val="00582D73"/>
    <w:rsid w:val="0058360E"/>
    <w:rsid w:val="00583B34"/>
    <w:rsid w:val="00583BFD"/>
    <w:rsid w:val="00583E31"/>
    <w:rsid w:val="00583EFE"/>
    <w:rsid w:val="00583F76"/>
    <w:rsid w:val="0058401A"/>
    <w:rsid w:val="00584064"/>
    <w:rsid w:val="00584315"/>
    <w:rsid w:val="005845F7"/>
    <w:rsid w:val="005847B9"/>
    <w:rsid w:val="00584818"/>
    <w:rsid w:val="00584AD7"/>
    <w:rsid w:val="00584C08"/>
    <w:rsid w:val="00585171"/>
    <w:rsid w:val="00585227"/>
    <w:rsid w:val="00585649"/>
    <w:rsid w:val="0058568A"/>
    <w:rsid w:val="00585A70"/>
    <w:rsid w:val="00585A90"/>
    <w:rsid w:val="00585D9B"/>
    <w:rsid w:val="005860B5"/>
    <w:rsid w:val="00586227"/>
    <w:rsid w:val="00586330"/>
    <w:rsid w:val="005863B5"/>
    <w:rsid w:val="005863C8"/>
    <w:rsid w:val="00586410"/>
    <w:rsid w:val="005865C4"/>
    <w:rsid w:val="0058693C"/>
    <w:rsid w:val="00586971"/>
    <w:rsid w:val="00586FE8"/>
    <w:rsid w:val="0058737F"/>
    <w:rsid w:val="00587429"/>
    <w:rsid w:val="00587527"/>
    <w:rsid w:val="0058763A"/>
    <w:rsid w:val="005878D8"/>
    <w:rsid w:val="00587F11"/>
    <w:rsid w:val="00590922"/>
    <w:rsid w:val="00590A7F"/>
    <w:rsid w:val="00590C1F"/>
    <w:rsid w:val="00590C74"/>
    <w:rsid w:val="005911E4"/>
    <w:rsid w:val="0059169E"/>
    <w:rsid w:val="00591746"/>
    <w:rsid w:val="00591762"/>
    <w:rsid w:val="00591AE5"/>
    <w:rsid w:val="00592216"/>
    <w:rsid w:val="00592255"/>
    <w:rsid w:val="00592439"/>
    <w:rsid w:val="00592BF2"/>
    <w:rsid w:val="00592E14"/>
    <w:rsid w:val="00592EAB"/>
    <w:rsid w:val="00592FE9"/>
    <w:rsid w:val="005930AB"/>
    <w:rsid w:val="005930E7"/>
    <w:rsid w:val="00593157"/>
    <w:rsid w:val="005933A9"/>
    <w:rsid w:val="005936E0"/>
    <w:rsid w:val="00593B3F"/>
    <w:rsid w:val="00593E7D"/>
    <w:rsid w:val="005941C5"/>
    <w:rsid w:val="005943F5"/>
    <w:rsid w:val="00594401"/>
    <w:rsid w:val="00594849"/>
    <w:rsid w:val="00594BF4"/>
    <w:rsid w:val="00594C0D"/>
    <w:rsid w:val="00595050"/>
    <w:rsid w:val="005950B1"/>
    <w:rsid w:val="005954D7"/>
    <w:rsid w:val="00595587"/>
    <w:rsid w:val="0059563E"/>
    <w:rsid w:val="00595A64"/>
    <w:rsid w:val="00595EDD"/>
    <w:rsid w:val="005960E2"/>
    <w:rsid w:val="0059633A"/>
    <w:rsid w:val="00596969"/>
    <w:rsid w:val="00596D44"/>
    <w:rsid w:val="0059703E"/>
    <w:rsid w:val="005970E7"/>
    <w:rsid w:val="0059720E"/>
    <w:rsid w:val="005972EF"/>
    <w:rsid w:val="00597647"/>
    <w:rsid w:val="0059789E"/>
    <w:rsid w:val="00597BAB"/>
    <w:rsid w:val="00597C52"/>
    <w:rsid w:val="00597F0D"/>
    <w:rsid w:val="005A009C"/>
    <w:rsid w:val="005A048C"/>
    <w:rsid w:val="005A066A"/>
    <w:rsid w:val="005A0A4B"/>
    <w:rsid w:val="005A0AFA"/>
    <w:rsid w:val="005A0D64"/>
    <w:rsid w:val="005A0F2B"/>
    <w:rsid w:val="005A0F87"/>
    <w:rsid w:val="005A0FBF"/>
    <w:rsid w:val="005A10B4"/>
    <w:rsid w:val="005A16A4"/>
    <w:rsid w:val="005A18BD"/>
    <w:rsid w:val="005A19A7"/>
    <w:rsid w:val="005A1C3A"/>
    <w:rsid w:val="005A1D42"/>
    <w:rsid w:val="005A1D53"/>
    <w:rsid w:val="005A21EA"/>
    <w:rsid w:val="005A244C"/>
    <w:rsid w:val="005A2637"/>
    <w:rsid w:val="005A26F8"/>
    <w:rsid w:val="005A2D7A"/>
    <w:rsid w:val="005A2DCB"/>
    <w:rsid w:val="005A2EF1"/>
    <w:rsid w:val="005A2F9E"/>
    <w:rsid w:val="005A3672"/>
    <w:rsid w:val="005A37E9"/>
    <w:rsid w:val="005A3A31"/>
    <w:rsid w:val="005A3CE4"/>
    <w:rsid w:val="005A412A"/>
    <w:rsid w:val="005A4625"/>
    <w:rsid w:val="005A46DD"/>
    <w:rsid w:val="005A4C5B"/>
    <w:rsid w:val="005A4F1A"/>
    <w:rsid w:val="005A513E"/>
    <w:rsid w:val="005A5950"/>
    <w:rsid w:val="005A5B26"/>
    <w:rsid w:val="005A5DC4"/>
    <w:rsid w:val="005A62C1"/>
    <w:rsid w:val="005A6396"/>
    <w:rsid w:val="005A6409"/>
    <w:rsid w:val="005A6718"/>
    <w:rsid w:val="005A692F"/>
    <w:rsid w:val="005A6A71"/>
    <w:rsid w:val="005A6CEF"/>
    <w:rsid w:val="005A6E7B"/>
    <w:rsid w:val="005A6F38"/>
    <w:rsid w:val="005A72DA"/>
    <w:rsid w:val="005A75A2"/>
    <w:rsid w:val="005A77AE"/>
    <w:rsid w:val="005A79CA"/>
    <w:rsid w:val="005A7AAE"/>
    <w:rsid w:val="005A7D53"/>
    <w:rsid w:val="005A7DB1"/>
    <w:rsid w:val="005A7FC6"/>
    <w:rsid w:val="005B03DF"/>
    <w:rsid w:val="005B06A4"/>
    <w:rsid w:val="005B0701"/>
    <w:rsid w:val="005B0872"/>
    <w:rsid w:val="005B094E"/>
    <w:rsid w:val="005B09DC"/>
    <w:rsid w:val="005B0B9A"/>
    <w:rsid w:val="005B0DE7"/>
    <w:rsid w:val="005B0F7F"/>
    <w:rsid w:val="005B1317"/>
    <w:rsid w:val="005B13D5"/>
    <w:rsid w:val="005B183F"/>
    <w:rsid w:val="005B1A65"/>
    <w:rsid w:val="005B1C0C"/>
    <w:rsid w:val="005B216B"/>
    <w:rsid w:val="005B216E"/>
    <w:rsid w:val="005B2404"/>
    <w:rsid w:val="005B2836"/>
    <w:rsid w:val="005B28EA"/>
    <w:rsid w:val="005B29CE"/>
    <w:rsid w:val="005B2C27"/>
    <w:rsid w:val="005B2CF8"/>
    <w:rsid w:val="005B2D32"/>
    <w:rsid w:val="005B2E2E"/>
    <w:rsid w:val="005B2F7A"/>
    <w:rsid w:val="005B326A"/>
    <w:rsid w:val="005B3638"/>
    <w:rsid w:val="005B3C6E"/>
    <w:rsid w:val="005B407F"/>
    <w:rsid w:val="005B4122"/>
    <w:rsid w:val="005B44A8"/>
    <w:rsid w:val="005B4550"/>
    <w:rsid w:val="005B4B58"/>
    <w:rsid w:val="005B4C34"/>
    <w:rsid w:val="005B4C90"/>
    <w:rsid w:val="005B4DCB"/>
    <w:rsid w:val="005B5061"/>
    <w:rsid w:val="005B5396"/>
    <w:rsid w:val="005B53B9"/>
    <w:rsid w:val="005B5582"/>
    <w:rsid w:val="005B5588"/>
    <w:rsid w:val="005B5A62"/>
    <w:rsid w:val="005B5C00"/>
    <w:rsid w:val="005B5C54"/>
    <w:rsid w:val="005B5D62"/>
    <w:rsid w:val="005B6051"/>
    <w:rsid w:val="005B62F3"/>
    <w:rsid w:val="005B63BE"/>
    <w:rsid w:val="005B655F"/>
    <w:rsid w:val="005B6646"/>
    <w:rsid w:val="005B6CF4"/>
    <w:rsid w:val="005B6E1E"/>
    <w:rsid w:val="005B706E"/>
    <w:rsid w:val="005B73BC"/>
    <w:rsid w:val="005B779A"/>
    <w:rsid w:val="005B7949"/>
    <w:rsid w:val="005B7A88"/>
    <w:rsid w:val="005B7E8C"/>
    <w:rsid w:val="005C00DF"/>
    <w:rsid w:val="005C015B"/>
    <w:rsid w:val="005C04E0"/>
    <w:rsid w:val="005C0559"/>
    <w:rsid w:val="005C09E4"/>
    <w:rsid w:val="005C0E11"/>
    <w:rsid w:val="005C0F0F"/>
    <w:rsid w:val="005C0F81"/>
    <w:rsid w:val="005C10B9"/>
    <w:rsid w:val="005C137F"/>
    <w:rsid w:val="005C140D"/>
    <w:rsid w:val="005C1665"/>
    <w:rsid w:val="005C183A"/>
    <w:rsid w:val="005C192E"/>
    <w:rsid w:val="005C1B32"/>
    <w:rsid w:val="005C1B9A"/>
    <w:rsid w:val="005C1DA0"/>
    <w:rsid w:val="005C1DD4"/>
    <w:rsid w:val="005C1FE1"/>
    <w:rsid w:val="005C23A1"/>
    <w:rsid w:val="005C28C6"/>
    <w:rsid w:val="005C2A01"/>
    <w:rsid w:val="005C2D36"/>
    <w:rsid w:val="005C31A3"/>
    <w:rsid w:val="005C3320"/>
    <w:rsid w:val="005C3465"/>
    <w:rsid w:val="005C3D3F"/>
    <w:rsid w:val="005C440B"/>
    <w:rsid w:val="005C4410"/>
    <w:rsid w:val="005C45B6"/>
    <w:rsid w:val="005C46F0"/>
    <w:rsid w:val="005C48D9"/>
    <w:rsid w:val="005C4996"/>
    <w:rsid w:val="005C49F3"/>
    <w:rsid w:val="005C4E12"/>
    <w:rsid w:val="005C4F56"/>
    <w:rsid w:val="005C516D"/>
    <w:rsid w:val="005C52CE"/>
    <w:rsid w:val="005C59BF"/>
    <w:rsid w:val="005C5A11"/>
    <w:rsid w:val="005C60FA"/>
    <w:rsid w:val="005C6144"/>
    <w:rsid w:val="005C6367"/>
    <w:rsid w:val="005C63A6"/>
    <w:rsid w:val="005C6ABC"/>
    <w:rsid w:val="005C6BE8"/>
    <w:rsid w:val="005C6DBD"/>
    <w:rsid w:val="005C6F4A"/>
    <w:rsid w:val="005C737C"/>
    <w:rsid w:val="005C7770"/>
    <w:rsid w:val="005C788B"/>
    <w:rsid w:val="005C7C26"/>
    <w:rsid w:val="005C7CB8"/>
    <w:rsid w:val="005D04DE"/>
    <w:rsid w:val="005D0542"/>
    <w:rsid w:val="005D0862"/>
    <w:rsid w:val="005D087B"/>
    <w:rsid w:val="005D0BF6"/>
    <w:rsid w:val="005D0DD3"/>
    <w:rsid w:val="005D0FEE"/>
    <w:rsid w:val="005D103E"/>
    <w:rsid w:val="005D12AE"/>
    <w:rsid w:val="005D1334"/>
    <w:rsid w:val="005D16FE"/>
    <w:rsid w:val="005D18F6"/>
    <w:rsid w:val="005D1A6E"/>
    <w:rsid w:val="005D1BC8"/>
    <w:rsid w:val="005D1D91"/>
    <w:rsid w:val="005D1E1C"/>
    <w:rsid w:val="005D1E7B"/>
    <w:rsid w:val="005D20A8"/>
    <w:rsid w:val="005D2125"/>
    <w:rsid w:val="005D21BF"/>
    <w:rsid w:val="005D21FC"/>
    <w:rsid w:val="005D22E8"/>
    <w:rsid w:val="005D238B"/>
    <w:rsid w:val="005D2474"/>
    <w:rsid w:val="005D24E1"/>
    <w:rsid w:val="005D276D"/>
    <w:rsid w:val="005D27D9"/>
    <w:rsid w:val="005D2A8B"/>
    <w:rsid w:val="005D2AF9"/>
    <w:rsid w:val="005D2D07"/>
    <w:rsid w:val="005D340D"/>
    <w:rsid w:val="005D353E"/>
    <w:rsid w:val="005D3549"/>
    <w:rsid w:val="005D35BD"/>
    <w:rsid w:val="005D3634"/>
    <w:rsid w:val="005D384A"/>
    <w:rsid w:val="005D3C88"/>
    <w:rsid w:val="005D3F63"/>
    <w:rsid w:val="005D40C7"/>
    <w:rsid w:val="005D417A"/>
    <w:rsid w:val="005D4208"/>
    <w:rsid w:val="005D456F"/>
    <w:rsid w:val="005D46CE"/>
    <w:rsid w:val="005D48C3"/>
    <w:rsid w:val="005D48E6"/>
    <w:rsid w:val="005D4A0F"/>
    <w:rsid w:val="005D4AF7"/>
    <w:rsid w:val="005D5044"/>
    <w:rsid w:val="005D505F"/>
    <w:rsid w:val="005D59A1"/>
    <w:rsid w:val="005D5A93"/>
    <w:rsid w:val="005D5BF8"/>
    <w:rsid w:val="005D5C98"/>
    <w:rsid w:val="005D5E6A"/>
    <w:rsid w:val="005D602D"/>
    <w:rsid w:val="005D6194"/>
    <w:rsid w:val="005D63C8"/>
    <w:rsid w:val="005D66C8"/>
    <w:rsid w:val="005D6C6D"/>
    <w:rsid w:val="005D7098"/>
    <w:rsid w:val="005D7635"/>
    <w:rsid w:val="005D76D4"/>
    <w:rsid w:val="005D7F93"/>
    <w:rsid w:val="005E0064"/>
    <w:rsid w:val="005E0175"/>
    <w:rsid w:val="005E01EA"/>
    <w:rsid w:val="005E0530"/>
    <w:rsid w:val="005E056A"/>
    <w:rsid w:val="005E0651"/>
    <w:rsid w:val="005E06B3"/>
    <w:rsid w:val="005E0743"/>
    <w:rsid w:val="005E08CE"/>
    <w:rsid w:val="005E0F5F"/>
    <w:rsid w:val="005E0F9C"/>
    <w:rsid w:val="005E0FEA"/>
    <w:rsid w:val="005E119A"/>
    <w:rsid w:val="005E120A"/>
    <w:rsid w:val="005E162F"/>
    <w:rsid w:val="005E1C21"/>
    <w:rsid w:val="005E1E39"/>
    <w:rsid w:val="005E1EE7"/>
    <w:rsid w:val="005E1FB2"/>
    <w:rsid w:val="005E1FC7"/>
    <w:rsid w:val="005E204F"/>
    <w:rsid w:val="005E2178"/>
    <w:rsid w:val="005E2698"/>
    <w:rsid w:val="005E29E4"/>
    <w:rsid w:val="005E2CFE"/>
    <w:rsid w:val="005E2EA1"/>
    <w:rsid w:val="005E32C2"/>
    <w:rsid w:val="005E34CB"/>
    <w:rsid w:val="005E351F"/>
    <w:rsid w:val="005E35A5"/>
    <w:rsid w:val="005E3657"/>
    <w:rsid w:val="005E38ED"/>
    <w:rsid w:val="005E39FC"/>
    <w:rsid w:val="005E3B75"/>
    <w:rsid w:val="005E3B8C"/>
    <w:rsid w:val="005E3FFF"/>
    <w:rsid w:val="005E403F"/>
    <w:rsid w:val="005E433B"/>
    <w:rsid w:val="005E43F5"/>
    <w:rsid w:val="005E4862"/>
    <w:rsid w:val="005E4C57"/>
    <w:rsid w:val="005E4CA5"/>
    <w:rsid w:val="005E500D"/>
    <w:rsid w:val="005E551B"/>
    <w:rsid w:val="005E5566"/>
    <w:rsid w:val="005E558F"/>
    <w:rsid w:val="005E5600"/>
    <w:rsid w:val="005E5729"/>
    <w:rsid w:val="005E577B"/>
    <w:rsid w:val="005E59EB"/>
    <w:rsid w:val="005E5B3B"/>
    <w:rsid w:val="005E5F7E"/>
    <w:rsid w:val="005E60C8"/>
    <w:rsid w:val="005E62C5"/>
    <w:rsid w:val="005E638C"/>
    <w:rsid w:val="005E66E8"/>
    <w:rsid w:val="005E6936"/>
    <w:rsid w:val="005E6A28"/>
    <w:rsid w:val="005E6BD9"/>
    <w:rsid w:val="005E70F2"/>
    <w:rsid w:val="005E7159"/>
    <w:rsid w:val="005E7384"/>
    <w:rsid w:val="005E7C82"/>
    <w:rsid w:val="005E7ECD"/>
    <w:rsid w:val="005E7FF6"/>
    <w:rsid w:val="005F05D4"/>
    <w:rsid w:val="005F06A7"/>
    <w:rsid w:val="005F073F"/>
    <w:rsid w:val="005F0917"/>
    <w:rsid w:val="005F0AE5"/>
    <w:rsid w:val="005F0F2C"/>
    <w:rsid w:val="005F149F"/>
    <w:rsid w:val="005F1F5D"/>
    <w:rsid w:val="005F2083"/>
    <w:rsid w:val="005F2090"/>
    <w:rsid w:val="005F2181"/>
    <w:rsid w:val="005F2345"/>
    <w:rsid w:val="005F2751"/>
    <w:rsid w:val="005F2AA3"/>
    <w:rsid w:val="005F2AA8"/>
    <w:rsid w:val="005F2B23"/>
    <w:rsid w:val="005F2BCB"/>
    <w:rsid w:val="005F2F24"/>
    <w:rsid w:val="005F2FC7"/>
    <w:rsid w:val="005F3305"/>
    <w:rsid w:val="005F349A"/>
    <w:rsid w:val="005F35F9"/>
    <w:rsid w:val="005F3651"/>
    <w:rsid w:val="005F3853"/>
    <w:rsid w:val="005F389F"/>
    <w:rsid w:val="005F38A8"/>
    <w:rsid w:val="005F3B10"/>
    <w:rsid w:val="005F3C5B"/>
    <w:rsid w:val="005F3D14"/>
    <w:rsid w:val="005F3DF3"/>
    <w:rsid w:val="005F4091"/>
    <w:rsid w:val="005F4212"/>
    <w:rsid w:val="005F4225"/>
    <w:rsid w:val="005F42F7"/>
    <w:rsid w:val="005F4315"/>
    <w:rsid w:val="005F4407"/>
    <w:rsid w:val="005F4465"/>
    <w:rsid w:val="005F4782"/>
    <w:rsid w:val="005F4979"/>
    <w:rsid w:val="005F4B37"/>
    <w:rsid w:val="005F511B"/>
    <w:rsid w:val="005F5480"/>
    <w:rsid w:val="005F581F"/>
    <w:rsid w:val="005F59E5"/>
    <w:rsid w:val="005F5C71"/>
    <w:rsid w:val="005F5D1C"/>
    <w:rsid w:val="005F5E62"/>
    <w:rsid w:val="005F60DD"/>
    <w:rsid w:val="005F624E"/>
    <w:rsid w:val="005F6262"/>
    <w:rsid w:val="005F64EB"/>
    <w:rsid w:val="005F6634"/>
    <w:rsid w:val="005F6AED"/>
    <w:rsid w:val="005F6BAD"/>
    <w:rsid w:val="005F6C35"/>
    <w:rsid w:val="005F6CCF"/>
    <w:rsid w:val="005F6D05"/>
    <w:rsid w:val="005F7004"/>
    <w:rsid w:val="005F70A3"/>
    <w:rsid w:val="005F714B"/>
    <w:rsid w:val="005F71EB"/>
    <w:rsid w:val="005F736F"/>
    <w:rsid w:val="005F73DA"/>
    <w:rsid w:val="005F753D"/>
    <w:rsid w:val="005F78FE"/>
    <w:rsid w:val="005F7959"/>
    <w:rsid w:val="005F79A5"/>
    <w:rsid w:val="005F7BC5"/>
    <w:rsid w:val="0060045C"/>
    <w:rsid w:val="00600712"/>
    <w:rsid w:val="006007B8"/>
    <w:rsid w:val="0060092A"/>
    <w:rsid w:val="00600959"/>
    <w:rsid w:val="00600A4B"/>
    <w:rsid w:val="00600C39"/>
    <w:rsid w:val="00600F27"/>
    <w:rsid w:val="00600FD9"/>
    <w:rsid w:val="0060163F"/>
    <w:rsid w:val="006017D1"/>
    <w:rsid w:val="00601992"/>
    <w:rsid w:val="00601D0F"/>
    <w:rsid w:val="00601EC8"/>
    <w:rsid w:val="00601FFB"/>
    <w:rsid w:val="00602098"/>
    <w:rsid w:val="006020ED"/>
    <w:rsid w:val="006020F8"/>
    <w:rsid w:val="0060221B"/>
    <w:rsid w:val="00602779"/>
    <w:rsid w:val="00602E51"/>
    <w:rsid w:val="0060306E"/>
    <w:rsid w:val="006032DE"/>
    <w:rsid w:val="006036AB"/>
    <w:rsid w:val="00603722"/>
    <w:rsid w:val="00603901"/>
    <w:rsid w:val="00603B82"/>
    <w:rsid w:val="00603BCA"/>
    <w:rsid w:val="00603CA0"/>
    <w:rsid w:val="0060411D"/>
    <w:rsid w:val="00604166"/>
    <w:rsid w:val="00604177"/>
    <w:rsid w:val="006045F6"/>
    <w:rsid w:val="0060471F"/>
    <w:rsid w:val="00604799"/>
    <w:rsid w:val="006047DA"/>
    <w:rsid w:val="00604907"/>
    <w:rsid w:val="00604EB3"/>
    <w:rsid w:val="0060587B"/>
    <w:rsid w:val="006059FF"/>
    <w:rsid w:val="00605CDF"/>
    <w:rsid w:val="00605EA5"/>
    <w:rsid w:val="006068A8"/>
    <w:rsid w:val="00606DFD"/>
    <w:rsid w:val="00606F72"/>
    <w:rsid w:val="00606F78"/>
    <w:rsid w:val="00607037"/>
    <w:rsid w:val="00607291"/>
    <w:rsid w:val="006072A8"/>
    <w:rsid w:val="00607378"/>
    <w:rsid w:val="0060763A"/>
    <w:rsid w:val="006079F1"/>
    <w:rsid w:val="00607B40"/>
    <w:rsid w:val="00607C03"/>
    <w:rsid w:val="00607E89"/>
    <w:rsid w:val="00610242"/>
    <w:rsid w:val="006102D4"/>
    <w:rsid w:val="006106FD"/>
    <w:rsid w:val="00610761"/>
    <w:rsid w:val="00610AF0"/>
    <w:rsid w:val="00610CBE"/>
    <w:rsid w:val="00611209"/>
    <w:rsid w:val="0061151B"/>
    <w:rsid w:val="00611550"/>
    <w:rsid w:val="006115B5"/>
    <w:rsid w:val="00611A73"/>
    <w:rsid w:val="00611CA0"/>
    <w:rsid w:val="00611CD5"/>
    <w:rsid w:val="00611E09"/>
    <w:rsid w:val="00612299"/>
    <w:rsid w:val="00612551"/>
    <w:rsid w:val="00612670"/>
    <w:rsid w:val="00612B21"/>
    <w:rsid w:val="00612C54"/>
    <w:rsid w:val="00612E1B"/>
    <w:rsid w:val="0061300D"/>
    <w:rsid w:val="006130DF"/>
    <w:rsid w:val="00613128"/>
    <w:rsid w:val="00613398"/>
    <w:rsid w:val="006133D9"/>
    <w:rsid w:val="0061355A"/>
    <w:rsid w:val="0061371A"/>
    <w:rsid w:val="006138C6"/>
    <w:rsid w:val="00613AA5"/>
    <w:rsid w:val="00613E35"/>
    <w:rsid w:val="0061415C"/>
    <w:rsid w:val="0061506A"/>
    <w:rsid w:val="00615264"/>
    <w:rsid w:val="006152C8"/>
    <w:rsid w:val="006155A9"/>
    <w:rsid w:val="00615809"/>
    <w:rsid w:val="00615A45"/>
    <w:rsid w:val="00615B62"/>
    <w:rsid w:val="00615C48"/>
    <w:rsid w:val="00616109"/>
    <w:rsid w:val="006164D0"/>
    <w:rsid w:val="00616664"/>
    <w:rsid w:val="0061694C"/>
    <w:rsid w:val="00616AE2"/>
    <w:rsid w:val="00616D5B"/>
    <w:rsid w:val="00616F03"/>
    <w:rsid w:val="00616FD1"/>
    <w:rsid w:val="006170AC"/>
    <w:rsid w:val="006174F4"/>
    <w:rsid w:val="0061760D"/>
    <w:rsid w:val="0061765C"/>
    <w:rsid w:val="006179E6"/>
    <w:rsid w:val="006179F6"/>
    <w:rsid w:val="00617B47"/>
    <w:rsid w:val="00617DD1"/>
    <w:rsid w:val="00617E8C"/>
    <w:rsid w:val="0062027E"/>
    <w:rsid w:val="006203DE"/>
    <w:rsid w:val="00620409"/>
    <w:rsid w:val="0062094D"/>
    <w:rsid w:val="00620AB1"/>
    <w:rsid w:val="00620BD9"/>
    <w:rsid w:val="00620BF4"/>
    <w:rsid w:val="00620E2D"/>
    <w:rsid w:val="00621033"/>
    <w:rsid w:val="00621175"/>
    <w:rsid w:val="00621451"/>
    <w:rsid w:val="00621551"/>
    <w:rsid w:val="006219BD"/>
    <w:rsid w:val="00621CEB"/>
    <w:rsid w:val="00621F12"/>
    <w:rsid w:val="006221B1"/>
    <w:rsid w:val="006226D6"/>
    <w:rsid w:val="00622782"/>
    <w:rsid w:val="006228E5"/>
    <w:rsid w:val="00622953"/>
    <w:rsid w:val="00623385"/>
    <w:rsid w:val="0062353C"/>
    <w:rsid w:val="0062363D"/>
    <w:rsid w:val="006236BC"/>
    <w:rsid w:val="006238C8"/>
    <w:rsid w:val="0062395E"/>
    <w:rsid w:val="00623B6E"/>
    <w:rsid w:val="00623CB4"/>
    <w:rsid w:val="00623D54"/>
    <w:rsid w:val="0062406C"/>
    <w:rsid w:val="006243A0"/>
    <w:rsid w:val="006244F9"/>
    <w:rsid w:val="006245F6"/>
    <w:rsid w:val="006246D2"/>
    <w:rsid w:val="0062478E"/>
    <w:rsid w:val="0062485A"/>
    <w:rsid w:val="00624905"/>
    <w:rsid w:val="006249C9"/>
    <w:rsid w:val="00624C61"/>
    <w:rsid w:val="00624FF0"/>
    <w:rsid w:val="00625047"/>
    <w:rsid w:val="006250A8"/>
    <w:rsid w:val="00625113"/>
    <w:rsid w:val="0062516D"/>
    <w:rsid w:val="006252A9"/>
    <w:rsid w:val="00625652"/>
    <w:rsid w:val="006256FD"/>
    <w:rsid w:val="00625730"/>
    <w:rsid w:val="006258EC"/>
    <w:rsid w:val="00625967"/>
    <w:rsid w:val="00625A5B"/>
    <w:rsid w:val="00626547"/>
    <w:rsid w:val="00626704"/>
    <w:rsid w:val="006269DB"/>
    <w:rsid w:val="00626A5B"/>
    <w:rsid w:val="00626A7D"/>
    <w:rsid w:val="00626D83"/>
    <w:rsid w:val="006270C3"/>
    <w:rsid w:val="006271BE"/>
    <w:rsid w:val="0062741B"/>
    <w:rsid w:val="00627D96"/>
    <w:rsid w:val="00627EAB"/>
    <w:rsid w:val="00627FC4"/>
    <w:rsid w:val="0063001B"/>
    <w:rsid w:val="0063007F"/>
    <w:rsid w:val="0063015D"/>
    <w:rsid w:val="00630423"/>
    <w:rsid w:val="00630681"/>
    <w:rsid w:val="00630B70"/>
    <w:rsid w:val="00630EDC"/>
    <w:rsid w:val="00631911"/>
    <w:rsid w:val="006320A8"/>
    <w:rsid w:val="00632243"/>
    <w:rsid w:val="00632636"/>
    <w:rsid w:val="00632A80"/>
    <w:rsid w:val="00632B29"/>
    <w:rsid w:val="00632D82"/>
    <w:rsid w:val="00632E55"/>
    <w:rsid w:val="006331B5"/>
    <w:rsid w:val="00633684"/>
    <w:rsid w:val="0063395D"/>
    <w:rsid w:val="0063395F"/>
    <w:rsid w:val="00633ACA"/>
    <w:rsid w:val="00633D5A"/>
    <w:rsid w:val="00633E55"/>
    <w:rsid w:val="00633EC3"/>
    <w:rsid w:val="00633F82"/>
    <w:rsid w:val="00633FC5"/>
    <w:rsid w:val="00634007"/>
    <w:rsid w:val="006347E0"/>
    <w:rsid w:val="00634AB2"/>
    <w:rsid w:val="006351DB"/>
    <w:rsid w:val="00635551"/>
    <w:rsid w:val="006357B4"/>
    <w:rsid w:val="00635E67"/>
    <w:rsid w:val="00635F38"/>
    <w:rsid w:val="006361ED"/>
    <w:rsid w:val="006364C1"/>
    <w:rsid w:val="0063661E"/>
    <w:rsid w:val="00636804"/>
    <w:rsid w:val="00636916"/>
    <w:rsid w:val="00636ACE"/>
    <w:rsid w:val="00636E0B"/>
    <w:rsid w:val="00637075"/>
    <w:rsid w:val="00637113"/>
    <w:rsid w:val="006371FE"/>
    <w:rsid w:val="0063753D"/>
    <w:rsid w:val="006379F9"/>
    <w:rsid w:val="00637AC1"/>
    <w:rsid w:val="00637B69"/>
    <w:rsid w:val="00637BA4"/>
    <w:rsid w:val="00637C61"/>
    <w:rsid w:val="00637C95"/>
    <w:rsid w:val="00637E98"/>
    <w:rsid w:val="00637EDF"/>
    <w:rsid w:val="00637F7B"/>
    <w:rsid w:val="006400BA"/>
    <w:rsid w:val="006402BC"/>
    <w:rsid w:val="00640306"/>
    <w:rsid w:val="0064064A"/>
    <w:rsid w:val="00640990"/>
    <w:rsid w:val="00640C92"/>
    <w:rsid w:val="00640CD3"/>
    <w:rsid w:val="00640DA4"/>
    <w:rsid w:val="00640E17"/>
    <w:rsid w:val="00641246"/>
    <w:rsid w:val="00641399"/>
    <w:rsid w:val="00641538"/>
    <w:rsid w:val="006416CD"/>
    <w:rsid w:val="00641708"/>
    <w:rsid w:val="00641A13"/>
    <w:rsid w:val="00641AEE"/>
    <w:rsid w:val="006421BC"/>
    <w:rsid w:val="00642406"/>
    <w:rsid w:val="00642559"/>
    <w:rsid w:val="00642599"/>
    <w:rsid w:val="00642891"/>
    <w:rsid w:val="00642B21"/>
    <w:rsid w:val="00642E2B"/>
    <w:rsid w:val="00642EBD"/>
    <w:rsid w:val="00642F45"/>
    <w:rsid w:val="00643298"/>
    <w:rsid w:val="0064369E"/>
    <w:rsid w:val="006438C5"/>
    <w:rsid w:val="00643CD1"/>
    <w:rsid w:val="00643CFF"/>
    <w:rsid w:val="00643EB8"/>
    <w:rsid w:val="006440F4"/>
    <w:rsid w:val="006441BD"/>
    <w:rsid w:val="0064455D"/>
    <w:rsid w:val="00644BD6"/>
    <w:rsid w:val="00644D1B"/>
    <w:rsid w:val="00644E5F"/>
    <w:rsid w:val="006451BF"/>
    <w:rsid w:val="006452B4"/>
    <w:rsid w:val="00645424"/>
    <w:rsid w:val="00645B8F"/>
    <w:rsid w:val="00645F4B"/>
    <w:rsid w:val="00646088"/>
    <w:rsid w:val="006463DC"/>
    <w:rsid w:val="006464C4"/>
    <w:rsid w:val="0064673C"/>
    <w:rsid w:val="006467A2"/>
    <w:rsid w:val="00646D1B"/>
    <w:rsid w:val="00646D21"/>
    <w:rsid w:val="00646FD5"/>
    <w:rsid w:val="00647138"/>
    <w:rsid w:val="006471F5"/>
    <w:rsid w:val="006472DA"/>
    <w:rsid w:val="0064736D"/>
    <w:rsid w:val="006475DF"/>
    <w:rsid w:val="00647635"/>
    <w:rsid w:val="00647925"/>
    <w:rsid w:val="00647CDE"/>
    <w:rsid w:val="00647D34"/>
    <w:rsid w:val="00647D37"/>
    <w:rsid w:val="00647F5B"/>
    <w:rsid w:val="006502D3"/>
    <w:rsid w:val="006503A7"/>
    <w:rsid w:val="00650550"/>
    <w:rsid w:val="0065069B"/>
    <w:rsid w:val="0065088A"/>
    <w:rsid w:val="006509A0"/>
    <w:rsid w:val="00650D68"/>
    <w:rsid w:val="00650DAC"/>
    <w:rsid w:val="00650FB7"/>
    <w:rsid w:val="00651262"/>
    <w:rsid w:val="0065128F"/>
    <w:rsid w:val="006514F7"/>
    <w:rsid w:val="00651567"/>
    <w:rsid w:val="0065177E"/>
    <w:rsid w:val="006529B4"/>
    <w:rsid w:val="00652C01"/>
    <w:rsid w:val="00652D13"/>
    <w:rsid w:val="00652D2A"/>
    <w:rsid w:val="0065327C"/>
    <w:rsid w:val="00653916"/>
    <w:rsid w:val="00653CF8"/>
    <w:rsid w:val="0065427B"/>
    <w:rsid w:val="00654466"/>
    <w:rsid w:val="00654472"/>
    <w:rsid w:val="006544D6"/>
    <w:rsid w:val="0065464D"/>
    <w:rsid w:val="006546F1"/>
    <w:rsid w:val="00654A96"/>
    <w:rsid w:val="00654C0F"/>
    <w:rsid w:val="00654C56"/>
    <w:rsid w:val="00654D8C"/>
    <w:rsid w:val="00655317"/>
    <w:rsid w:val="006554E6"/>
    <w:rsid w:val="00655ADC"/>
    <w:rsid w:val="00655D25"/>
    <w:rsid w:val="00655E46"/>
    <w:rsid w:val="00655EDF"/>
    <w:rsid w:val="00655FD7"/>
    <w:rsid w:val="00656105"/>
    <w:rsid w:val="00656231"/>
    <w:rsid w:val="006563C0"/>
    <w:rsid w:val="006563CC"/>
    <w:rsid w:val="00656572"/>
    <w:rsid w:val="00656B7B"/>
    <w:rsid w:val="00656C8E"/>
    <w:rsid w:val="00656E53"/>
    <w:rsid w:val="00656F0C"/>
    <w:rsid w:val="00656FDF"/>
    <w:rsid w:val="00656FEC"/>
    <w:rsid w:val="00657069"/>
    <w:rsid w:val="006571F3"/>
    <w:rsid w:val="006573B6"/>
    <w:rsid w:val="0065747F"/>
    <w:rsid w:val="006574C7"/>
    <w:rsid w:val="00657717"/>
    <w:rsid w:val="00657BCE"/>
    <w:rsid w:val="00657EE8"/>
    <w:rsid w:val="00657F37"/>
    <w:rsid w:val="00660092"/>
    <w:rsid w:val="006600A0"/>
    <w:rsid w:val="0066029F"/>
    <w:rsid w:val="006603B2"/>
    <w:rsid w:val="006603E2"/>
    <w:rsid w:val="0066071D"/>
    <w:rsid w:val="00660816"/>
    <w:rsid w:val="0066096D"/>
    <w:rsid w:val="00660D54"/>
    <w:rsid w:val="00660D7D"/>
    <w:rsid w:val="006615CF"/>
    <w:rsid w:val="00661735"/>
    <w:rsid w:val="00661882"/>
    <w:rsid w:val="00661BE2"/>
    <w:rsid w:val="00661CB9"/>
    <w:rsid w:val="00662196"/>
    <w:rsid w:val="006628D2"/>
    <w:rsid w:val="00662D23"/>
    <w:rsid w:val="00662D57"/>
    <w:rsid w:val="00662E10"/>
    <w:rsid w:val="006632F5"/>
    <w:rsid w:val="00663691"/>
    <w:rsid w:val="00663726"/>
    <w:rsid w:val="00663A31"/>
    <w:rsid w:val="00663ABB"/>
    <w:rsid w:val="00663B51"/>
    <w:rsid w:val="00663C7A"/>
    <w:rsid w:val="00663F08"/>
    <w:rsid w:val="00663F1D"/>
    <w:rsid w:val="00664214"/>
    <w:rsid w:val="00664300"/>
    <w:rsid w:val="0066435C"/>
    <w:rsid w:val="0066443F"/>
    <w:rsid w:val="00664472"/>
    <w:rsid w:val="006649F0"/>
    <w:rsid w:val="00664BF0"/>
    <w:rsid w:val="00664C95"/>
    <w:rsid w:val="00664DDC"/>
    <w:rsid w:val="00664F0E"/>
    <w:rsid w:val="00664F2F"/>
    <w:rsid w:val="00665422"/>
    <w:rsid w:val="006654BA"/>
    <w:rsid w:val="006655CF"/>
    <w:rsid w:val="00665A7E"/>
    <w:rsid w:val="00665C69"/>
    <w:rsid w:val="00665CC9"/>
    <w:rsid w:val="00665D05"/>
    <w:rsid w:val="00665E03"/>
    <w:rsid w:val="00665EBA"/>
    <w:rsid w:val="006661C7"/>
    <w:rsid w:val="006661D1"/>
    <w:rsid w:val="0066624B"/>
    <w:rsid w:val="006662E9"/>
    <w:rsid w:val="006663DF"/>
    <w:rsid w:val="0066660E"/>
    <w:rsid w:val="00666A05"/>
    <w:rsid w:val="00666C65"/>
    <w:rsid w:val="00666DF1"/>
    <w:rsid w:val="00666E47"/>
    <w:rsid w:val="006670EA"/>
    <w:rsid w:val="006674A0"/>
    <w:rsid w:val="006675D2"/>
    <w:rsid w:val="00667789"/>
    <w:rsid w:val="006678C4"/>
    <w:rsid w:val="00667C66"/>
    <w:rsid w:val="00667D23"/>
    <w:rsid w:val="00667DE6"/>
    <w:rsid w:val="00667F3C"/>
    <w:rsid w:val="00667FD5"/>
    <w:rsid w:val="0067000B"/>
    <w:rsid w:val="00670389"/>
    <w:rsid w:val="00670407"/>
    <w:rsid w:val="00670456"/>
    <w:rsid w:val="00670965"/>
    <w:rsid w:val="00670A54"/>
    <w:rsid w:val="00670C18"/>
    <w:rsid w:val="00670FC0"/>
    <w:rsid w:val="00671159"/>
    <w:rsid w:val="006711C6"/>
    <w:rsid w:val="0067169F"/>
    <w:rsid w:val="00671958"/>
    <w:rsid w:val="00671A97"/>
    <w:rsid w:val="00671C21"/>
    <w:rsid w:val="00671DA2"/>
    <w:rsid w:val="00671DBC"/>
    <w:rsid w:val="00671F6A"/>
    <w:rsid w:val="00672227"/>
    <w:rsid w:val="00672A2D"/>
    <w:rsid w:val="00672CCF"/>
    <w:rsid w:val="006730EB"/>
    <w:rsid w:val="00673160"/>
    <w:rsid w:val="006736BD"/>
    <w:rsid w:val="006736D9"/>
    <w:rsid w:val="006738DA"/>
    <w:rsid w:val="006738E6"/>
    <w:rsid w:val="006739F8"/>
    <w:rsid w:val="00673A34"/>
    <w:rsid w:val="00673A7C"/>
    <w:rsid w:val="00673BD7"/>
    <w:rsid w:val="00673DE4"/>
    <w:rsid w:val="0067430A"/>
    <w:rsid w:val="006747B5"/>
    <w:rsid w:val="00674812"/>
    <w:rsid w:val="00674817"/>
    <w:rsid w:val="006748AD"/>
    <w:rsid w:val="00675038"/>
    <w:rsid w:val="0067526E"/>
    <w:rsid w:val="006754D2"/>
    <w:rsid w:val="00675514"/>
    <w:rsid w:val="006755B2"/>
    <w:rsid w:val="006757E5"/>
    <w:rsid w:val="00675976"/>
    <w:rsid w:val="00675C63"/>
    <w:rsid w:val="00675CA6"/>
    <w:rsid w:val="00675F5E"/>
    <w:rsid w:val="006761AF"/>
    <w:rsid w:val="00676696"/>
    <w:rsid w:val="00676822"/>
    <w:rsid w:val="00676848"/>
    <w:rsid w:val="00676B54"/>
    <w:rsid w:val="00676BEF"/>
    <w:rsid w:val="00676D2F"/>
    <w:rsid w:val="00676F13"/>
    <w:rsid w:val="00677254"/>
    <w:rsid w:val="006772AB"/>
    <w:rsid w:val="006772D4"/>
    <w:rsid w:val="006772FC"/>
    <w:rsid w:val="00677627"/>
    <w:rsid w:val="0067766D"/>
    <w:rsid w:val="0067769E"/>
    <w:rsid w:val="00677A3D"/>
    <w:rsid w:val="00677B46"/>
    <w:rsid w:val="0068019E"/>
    <w:rsid w:val="006801AE"/>
    <w:rsid w:val="006806E5"/>
    <w:rsid w:val="006808F0"/>
    <w:rsid w:val="006809A8"/>
    <w:rsid w:val="00680B14"/>
    <w:rsid w:val="00680CCD"/>
    <w:rsid w:val="00680EC9"/>
    <w:rsid w:val="006810A6"/>
    <w:rsid w:val="006811D9"/>
    <w:rsid w:val="00681258"/>
    <w:rsid w:val="00681309"/>
    <w:rsid w:val="0068154B"/>
    <w:rsid w:val="00681667"/>
    <w:rsid w:val="00681B0E"/>
    <w:rsid w:val="00682270"/>
    <w:rsid w:val="006824B2"/>
    <w:rsid w:val="00682843"/>
    <w:rsid w:val="00682CCE"/>
    <w:rsid w:val="0068302B"/>
    <w:rsid w:val="00683383"/>
    <w:rsid w:val="0068358E"/>
    <w:rsid w:val="00683621"/>
    <w:rsid w:val="00683697"/>
    <w:rsid w:val="00683700"/>
    <w:rsid w:val="0068384B"/>
    <w:rsid w:val="00683D75"/>
    <w:rsid w:val="0068406C"/>
    <w:rsid w:val="00684101"/>
    <w:rsid w:val="0068443C"/>
    <w:rsid w:val="00684580"/>
    <w:rsid w:val="00684581"/>
    <w:rsid w:val="006845B0"/>
    <w:rsid w:val="00684A0B"/>
    <w:rsid w:val="00684A19"/>
    <w:rsid w:val="00684ABA"/>
    <w:rsid w:val="0068510B"/>
    <w:rsid w:val="00685605"/>
    <w:rsid w:val="006858DF"/>
    <w:rsid w:val="00685BCF"/>
    <w:rsid w:val="00685C40"/>
    <w:rsid w:val="00685D8D"/>
    <w:rsid w:val="00685FDD"/>
    <w:rsid w:val="00686422"/>
    <w:rsid w:val="00686724"/>
    <w:rsid w:val="00686915"/>
    <w:rsid w:val="00686B97"/>
    <w:rsid w:val="00686C41"/>
    <w:rsid w:val="00686C6C"/>
    <w:rsid w:val="00686D92"/>
    <w:rsid w:val="00686FAF"/>
    <w:rsid w:val="00687416"/>
    <w:rsid w:val="0068781F"/>
    <w:rsid w:val="006878C6"/>
    <w:rsid w:val="00687ADC"/>
    <w:rsid w:val="00687BDF"/>
    <w:rsid w:val="00687D45"/>
    <w:rsid w:val="006903E8"/>
    <w:rsid w:val="00690D68"/>
    <w:rsid w:val="006912FB"/>
    <w:rsid w:val="00691618"/>
    <w:rsid w:val="00691674"/>
    <w:rsid w:val="00691686"/>
    <w:rsid w:val="00691720"/>
    <w:rsid w:val="00691839"/>
    <w:rsid w:val="00691943"/>
    <w:rsid w:val="00691ABF"/>
    <w:rsid w:val="00691AD9"/>
    <w:rsid w:val="00691C8C"/>
    <w:rsid w:val="00691CB9"/>
    <w:rsid w:val="00691ECF"/>
    <w:rsid w:val="00691F3D"/>
    <w:rsid w:val="00691F6B"/>
    <w:rsid w:val="00691F92"/>
    <w:rsid w:val="006921D5"/>
    <w:rsid w:val="006925F9"/>
    <w:rsid w:val="006926F8"/>
    <w:rsid w:val="006928A0"/>
    <w:rsid w:val="0069298B"/>
    <w:rsid w:val="00692CB6"/>
    <w:rsid w:val="00693161"/>
    <w:rsid w:val="00693270"/>
    <w:rsid w:val="0069357C"/>
    <w:rsid w:val="006937F2"/>
    <w:rsid w:val="00693919"/>
    <w:rsid w:val="006939F7"/>
    <w:rsid w:val="00693B36"/>
    <w:rsid w:val="00693D08"/>
    <w:rsid w:val="00693EB2"/>
    <w:rsid w:val="0069412F"/>
    <w:rsid w:val="00694159"/>
    <w:rsid w:val="00694637"/>
    <w:rsid w:val="00694981"/>
    <w:rsid w:val="00695012"/>
    <w:rsid w:val="0069521B"/>
    <w:rsid w:val="00695607"/>
    <w:rsid w:val="00695640"/>
    <w:rsid w:val="00695C7F"/>
    <w:rsid w:val="006962B9"/>
    <w:rsid w:val="00696365"/>
    <w:rsid w:val="006963AD"/>
    <w:rsid w:val="00696417"/>
    <w:rsid w:val="00696909"/>
    <w:rsid w:val="00696CBE"/>
    <w:rsid w:val="0069713A"/>
    <w:rsid w:val="0069737F"/>
    <w:rsid w:val="00697AF8"/>
    <w:rsid w:val="00697F8D"/>
    <w:rsid w:val="006A01FE"/>
    <w:rsid w:val="006A0260"/>
    <w:rsid w:val="006A04A9"/>
    <w:rsid w:val="006A0881"/>
    <w:rsid w:val="006A0952"/>
    <w:rsid w:val="006A0C51"/>
    <w:rsid w:val="006A0F63"/>
    <w:rsid w:val="006A135B"/>
    <w:rsid w:val="006A14F8"/>
    <w:rsid w:val="006A15C2"/>
    <w:rsid w:val="006A1D04"/>
    <w:rsid w:val="006A1FDE"/>
    <w:rsid w:val="006A222B"/>
    <w:rsid w:val="006A26CD"/>
    <w:rsid w:val="006A2721"/>
    <w:rsid w:val="006A27FC"/>
    <w:rsid w:val="006A288C"/>
    <w:rsid w:val="006A2906"/>
    <w:rsid w:val="006A299D"/>
    <w:rsid w:val="006A2A7A"/>
    <w:rsid w:val="006A2C2F"/>
    <w:rsid w:val="006A2C4D"/>
    <w:rsid w:val="006A2DC4"/>
    <w:rsid w:val="006A2FB7"/>
    <w:rsid w:val="006A346E"/>
    <w:rsid w:val="006A3578"/>
    <w:rsid w:val="006A35C6"/>
    <w:rsid w:val="006A3668"/>
    <w:rsid w:val="006A3691"/>
    <w:rsid w:val="006A3736"/>
    <w:rsid w:val="006A3C5D"/>
    <w:rsid w:val="006A3C71"/>
    <w:rsid w:val="006A3E83"/>
    <w:rsid w:val="006A4347"/>
    <w:rsid w:val="006A44B4"/>
    <w:rsid w:val="006A45BB"/>
    <w:rsid w:val="006A4642"/>
    <w:rsid w:val="006A47A0"/>
    <w:rsid w:val="006A4DF1"/>
    <w:rsid w:val="006A4E95"/>
    <w:rsid w:val="006A5007"/>
    <w:rsid w:val="006A503D"/>
    <w:rsid w:val="006A505D"/>
    <w:rsid w:val="006A5639"/>
    <w:rsid w:val="006A56C7"/>
    <w:rsid w:val="006A5888"/>
    <w:rsid w:val="006A5917"/>
    <w:rsid w:val="006A5934"/>
    <w:rsid w:val="006A5A32"/>
    <w:rsid w:val="006A5BAB"/>
    <w:rsid w:val="006A5BE5"/>
    <w:rsid w:val="006A5D06"/>
    <w:rsid w:val="006A5E70"/>
    <w:rsid w:val="006A5E7B"/>
    <w:rsid w:val="006A603A"/>
    <w:rsid w:val="006A606C"/>
    <w:rsid w:val="006A62AC"/>
    <w:rsid w:val="006A6434"/>
    <w:rsid w:val="006A66C1"/>
    <w:rsid w:val="006A68D2"/>
    <w:rsid w:val="006A6965"/>
    <w:rsid w:val="006A6998"/>
    <w:rsid w:val="006A6D2E"/>
    <w:rsid w:val="006A70A5"/>
    <w:rsid w:val="006A7235"/>
    <w:rsid w:val="006A73A5"/>
    <w:rsid w:val="006A7936"/>
    <w:rsid w:val="006A79B5"/>
    <w:rsid w:val="006A7BE2"/>
    <w:rsid w:val="006A7F13"/>
    <w:rsid w:val="006B00D2"/>
    <w:rsid w:val="006B00FD"/>
    <w:rsid w:val="006B0260"/>
    <w:rsid w:val="006B04DA"/>
    <w:rsid w:val="006B08E8"/>
    <w:rsid w:val="006B0906"/>
    <w:rsid w:val="006B0A89"/>
    <w:rsid w:val="006B0BFE"/>
    <w:rsid w:val="006B0D1F"/>
    <w:rsid w:val="006B0F85"/>
    <w:rsid w:val="006B140A"/>
    <w:rsid w:val="006B16BC"/>
    <w:rsid w:val="006B16ED"/>
    <w:rsid w:val="006B1941"/>
    <w:rsid w:val="006B1BDE"/>
    <w:rsid w:val="006B1D21"/>
    <w:rsid w:val="006B1F39"/>
    <w:rsid w:val="006B206A"/>
    <w:rsid w:val="006B209B"/>
    <w:rsid w:val="006B2180"/>
    <w:rsid w:val="006B24DE"/>
    <w:rsid w:val="006B2647"/>
    <w:rsid w:val="006B2742"/>
    <w:rsid w:val="006B2850"/>
    <w:rsid w:val="006B29B0"/>
    <w:rsid w:val="006B2B04"/>
    <w:rsid w:val="006B2BA4"/>
    <w:rsid w:val="006B3697"/>
    <w:rsid w:val="006B3B97"/>
    <w:rsid w:val="006B3C82"/>
    <w:rsid w:val="006B3CBE"/>
    <w:rsid w:val="006B3D56"/>
    <w:rsid w:val="006B3FD2"/>
    <w:rsid w:val="006B44EC"/>
    <w:rsid w:val="006B4514"/>
    <w:rsid w:val="006B459C"/>
    <w:rsid w:val="006B49BF"/>
    <w:rsid w:val="006B4A5C"/>
    <w:rsid w:val="006B5498"/>
    <w:rsid w:val="006B58B3"/>
    <w:rsid w:val="006B59D7"/>
    <w:rsid w:val="006B5C30"/>
    <w:rsid w:val="006B5DF0"/>
    <w:rsid w:val="006B5E98"/>
    <w:rsid w:val="006B5FC2"/>
    <w:rsid w:val="006B6231"/>
    <w:rsid w:val="006B6602"/>
    <w:rsid w:val="006B7110"/>
    <w:rsid w:val="006B7592"/>
    <w:rsid w:val="006B7789"/>
    <w:rsid w:val="006B7A05"/>
    <w:rsid w:val="006B7C1F"/>
    <w:rsid w:val="006B7CE9"/>
    <w:rsid w:val="006B7CEB"/>
    <w:rsid w:val="006B7D42"/>
    <w:rsid w:val="006C04DF"/>
    <w:rsid w:val="006C07C8"/>
    <w:rsid w:val="006C0BBE"/>
    <w:rsid w:val="006C0C72"/>
    <w:rsid w:val="006C0DBE"/>
    <w:rsid w:val="006C0DF8"/>
    <w:rsid w:val="006C0E14"/>
    <w:rsid w:val="006C0F98"/>
    <w:rsid w:val="006C1959"/>
    <w:rsid w:val="006C19AF"/>
    <w:rsid w:val="006C1A09"/>
    <w:rsid w:val="006C1AF7"/>
    <w:rsid w:val="006C1E98"/>
    <w:rsid w:val="006C1EBA"/>
    <w:rsid w:val="006C1EF9"/>
    <w:rsid w:val="006C2200"/>
    <w:rsid w:val="006C22BE"/>
    <w:rsid w:val="006C24DA"/>
    <w:rsid w:val="006C25A3"/>
    <w:rsid w:val="006C2612"/>
    <w:rsid w:val="006C2928"/>
    <w:rsid w:val="006C2958"/>
    <w:rsid w:val="006C2AED"/>
    <w:rsid w:val="006C2C1D"/>
    <w:rsid w:val="006C2D70"/>
    <w:rsid w:val="006C2E0E"/>
    <w:rsid w:val="006C32E5"/>
    <w:rsid w:val="006C33AE"/>
    <w:rsid w:val="006C356D"/>
    <w:rsid w:val="006C35BE"/>
    <w:rsid w:val="006C35C8"/>
    <w:rsid w:val="006C39CF"/>
    <w:rsid w:val="006C3A72"/>
    <w:rsid w:val="006C3FC8"/>
    <w:rsid w:val="006C402B"/>
    <w:rsid w:val="006C47D6"/>
    <w:rsid w:val="006C4CBB"/>
    <w:rsid w:val="006C4CBF"/>
    <w:rsid w:val="006C4D11"/>
    <w:rsid w:val="006C5A2D"/>
    <w:rsid w:val="006C5BD8"/>
    <w:rsid w:val="006C5E3F"/>
    <w:rsid w:val="006C638C"/>
    <w:rsid w:val="006C64A4"/>
    <w:rsid w:val="006C64FF"/>
    <w:rsid w:val="006C6932"/>
    <w:rsid w:val="006C6A73"/>
    <w:rsid w:val="006C6A8A"/>
    <w:rsid w:val="006C6CAF"/>
    <w:rsid w:val="006C6E71"/>
    <w:rsid w:val="006C6FC6"/>
    <w:rsid w:val="006C6FE2"/>
    <w:rsid w:val="006C780C"/>
    <w:rsid w:val="006C7ADE"/>
    <w:rsid w:val="006C7B38"/>
    <w:rsid w:val="006C7BE1"/>
    <w:rsid w:val="006C7BF6"/>
    <w:rsid w:val="006C7D99"/>
    <w:rsid w:val="006C7DDD"/>
    <w:rsid w:val="006D0521"/>
    <w:rsid w:val="006D0846"/>
    <w:rsid w:val="006D089D"/>
    <w:rsid w:val="006D089E"/>
    <w:rsid w:val="006D09D8"/>
    <w:rsid w:val="006D0CFD"/>
    <w:rsid w:val="006D0FFD"/>
    <w:rsid w:val="006D104B"/>
    <w:rsid w:val="006D121A"/>
    <w:rsid w:val="006D183C"/>
    <w:rsid w:val="006D184C"/>
    <w:rsid w:val="006D1A6B"/>
    <w:rsid w:val="006D1CE0"/>
    <w:rsid w:val="006D1D64"/>
    <w:rsid w:val="006D1EDA"/>
    <w:rsid w:val="006D202F"/>
    <w:rsid w:val="006D22F1"/>
    <w:rsid w:val="006D2578"/>
    <w:rsid w:val="006D28B8"/>
    <w:rsid w:val="006D2C3A"/>
    <w:rsid w:val="006D2C53"/>
    <w:rsid w:val="006D2DC3"/>
    <w:rsid w:val="006D2DEE"/>
    <w:rsid w:val="006D2EBA"/>
    <w:rsid w:val="006D3388"/>
    <w:rsid w:val="006D3603"/>
    <w:rsid w:val="006D375E"/>
    <w:rsid w:val="006D3C19"/>
    <w:rsid w:val="006D3C5D"/>
    <w:rsid w:val="006D4216"/>
    <w:rsid w:val="006D47C2"/>
    <w:rsid w:val="006D4877"/>
    <w:rsid w:val="006D4EE5"/>
    <w:rsid w:val="006D4FAE"/>
    <w:rsid w:val="006D517A"/>
    <w:rsid w:val="006D53C6"/>
    <w:rsid w:val="006D55A6"/>
    <w:rsid w:val="006D5777"/>
    <w:rsid w:val="006D5A4F"/>
    <w:rsid w:val="006D5B29"/>
    <w:rsid w:val="006D5B57"/>
    <w:rsid w:val="006D5F32"/>
    <w:rsid w:val="006D6733"/>
    <w:rsid w:val="006D67AB"/>
    <w:rsid w:val="006D6C9C"/>
    <w:rsid w:val="006D6D9C"/>
    <w:rsid w:val="006D6E38"/>
    <w:rsid w:val="006D72CB"/>
    <w:rsid w:val="006D74FE"/>
    <w:rsid w:val="006D7511"/>
    <w:rsid w:val="006D76DC"/>
    <w:rsid w:val="006D79F2"/>
    <w:rsid w:val="006D7E5B"/>
    <w:rsid w:val="006D7F27"/>
    <w:rsid w:val="006E038A"/>
    <w:rsid w:val="006E049B"/>
    <w:rsid w:val="006E078E"/>
    <w:rsid w:val="006E0AF6"/>
    <w:rsid w:val="006E0B13"/>
    <w:rsid w:val="006E0BD7"/>
    <w:rsid w:val="006E0DFB"/>
    <w:rsid w:val="006E0E62"/>
    <w:rsid w:val="006E104D"/>
    <w:rsid w:val="006E1097"/>
    <w:rsid w:val="006E1196"/>
    <w:rsid w:val="006E1357"/>
    <w:rsid w:val="006E1498"/>
    <w:rsid w:val="006E169E"/>
    <w:rsid w:val="006E198D"/>
    <w:rsid w:val="006E1A7A"/>
    <w:rsid w:val="006E1D62"/>
    <w:rsid w:val="006E1E87"/>
    <w:rsid w:val="006E1FA6"/>
    <w:rsid w:val="006E2793"/>
    <w:rsid w:val="006E27D6"/>
    <w:rsid w:val="006E290C"/>
    <w:rsid w:val="006E2920"/>
    <w:rsid w:val="006E2E10"/>
    <w:rsid w:val="006E2E43"/>
    <w:rsid w:val="006E2E9D"/>
    <w:rsid w:val="006E3239"/>
    <w:rsid w:val="006E3285"/>
    <w:rsid w:val="006E390A"/>
    <w:rsid w:val="006E3C3D"/>
    <w:rsid w:val="006E3E3D"/>
    <w:rsid w:val="006E3E61"/>
    <w:rsid w:val="006E3ECE"/>
    <w:rsid w:val="006E3F92"/>
    <w:rsid w:val="006E42CA"/>
    <w:rsid w:val="006E43B3"/>
    <w:rsid w:val="006E4508"/>
    <w:rsid w:val="006E45E4"/>
    <w:rsid w:val="006E479C"/>
    <w:rsid w:val="006E4980"/>
    <w:rsid w:val="006E49A3"/>
    <w:rsid w:val="006E4D12"/>
    <w:rsid w:val="006E4FE7"/>
    <w:rsid w:val="006E50D0"/>
    <w:rsid w:val="006E581A"/>
    <w:rsid w:val="006E590B"/>
    <w:rsid w:val="006E5D84"/>
    <w:rsid w:val="006E5E05"/>
    <w:rsid w:val="006E5EF6"/>
    <w:rsid w:val="006E5FBD"/>
    <w:rsid w:val="006E61D8"/>
    <w:rsid w:val="006E630A"/>
    <w:rsid w:val="006E63AB"/>
    <w:rsid w:val="006E650F"/>
    <w:rsid w:val="006E68CF"/>
    <w:rsid w:val="006E69DF"/>
    <w:rsid w:val="006E6A19"/>
    <w:rsid w:val="006E6D8F"/>
    <w:rsid w:val="006E6E86"/>
    <w:rsid w:val="006E7175"/>
    <w:rsid w:val="006E7207"/>
    <w:rsid w:val="006E721D"/>
    <w:rsid w:val="006E75FC"/>
    <w:rsid w:val="006E763A"/>
    <w:rsid w:val="006E77C4"/>
    <w:rsid w:val="006E7870"/>
    <w:rsid w:val="006E78D6"/>
    <w:rsid w:val="006E7ABD"/>
    <w:rsid w:val="006E7B34"/>
    <w:rsid w:val="006E7D47"/>
    <w:rsid w:val="006E7E93"/>
    <w:rsid w:val="006E7F97"/>
    <w:rsid w:val="006F0242"/>
    <w:rsid w:val="006F03CB"/>
    <w:rsid w:val="006F0952"/>
    <w:rsid w:val="006F0A37"/>
    <w:rsid w:val="006F0ACA"/>
    <w:rsid w:val="006F0BB5"/>
    <w:rsid w:val="006F1159"/>
    <w:rsid w:val="006F12A1"/>
    <w:rsid w:val="006F1646"/>
    <w:rsid w:val="006F1774"/>
    <w:rsid w:val="006F1BA6"/>
    <w:rsid w:val="006F1FC7"/>
    <w:rsid w:val="006F2264"/>
    <w:rsid w:val="006F23ED"/>
    <w:rsid w:val="006F2501"/>
    <w:rsid w:val="006F2679"/>
    <w:rsid w:val="006F278E"/>
    <w:rsid w:val="006F27BC"/>
    <w:rsid w:val="006F2BF5"/>
    <w:rsid w:val="006F2E35"/>
    <w:rsid w:val="006F2FA0"/>
    <w:rsid w:val="006F333D"/>
    <w:rsid w:val="006F336B"/>
    <w:rsid w:val="006F341F"/>
    <w:rsid w:val="006F37F2"/>
    <w:rsid w:val="006F3CF9"/>
    <w:rsid w:val="006F3D3B"/>
    <w:rsid w:val="006F4223"/>
    <w:rsid w:val="006F4235"/>
    <w:rsid w:val="006F4347"/>
    <w:rsid w:val="006F4464"/>
    <w:rsid w:val="006F4519"/>
    <w:rsid w:val="006F45FD"/>
    <w:rsid w:val="006F4D88"/>
    <w:rsid w:val="006F4EFD"/>
    <w:rsid w:val="006F51C0"/>
    <w:rsid w:val="006F5249"/>
    <w:rsid w:val="006F52EF"/>
    <w:rsid w:val="006F5379"/>
    <w:rsid w:val="006F55DE"/>
    <w:rsid w:val="006F5717"/>
    <w:rsid w:val="006F5806"/>
    <w:rsid w:val="006F5927"/>
    <w:rsid w:val="006F599F"/>
    <w:rsid w:val="006F5BB2"/>
    <w:rsid w:val="006F5C17"/>
    <w:rsid w:val="006F5D3A"/>
    <w:rsid w:val="006F5EC5"/>
    <w:rsid w:val="006F5EF5"/>
    <w:rsid w:val="006F5F92"/>
    <w:rsid w:val="006F61B3"/>
    <w:rsid w:val="006F6488"/>
    <w:rsid w:val="006F6501"/>
    <w:rsid w:val="006F6516"/>
    <w:rsid w:val="006F66E5"/>
    <w:rsid w:val="006F66F7"/>
    <w:rsid w:val="006F6890"/>
    <w:rsid w:val="006F6AAC"/>
    <w:rsid w:val="006F6DA6"/>
    <w:rsid w:val="006F6ECD"/>
    <w:rsid w:val="006F6F48"/>
    <w:rsid w:val="006F6F73"/>
    <w:rsid w:val="006F729C"/>
    <w:rsid w:val="006F7527"/>
    <w:rsid w:val="006F7642"/>
    <w:rsid w:val="006F771E"/>
    <w:rsid w:val="006F78A8"/>
    <w:rsid w:val="006F7C15"/>
    <w:rsid w:val="00700028"/>
    <w:rsid w:val="00700039"/>
    <w:rsid w:val="007000A2"/>
    <w:rsid w:val="00700189"/>
    <w:rsid w:val="00700248"/>
    <w:rsid w:val="00700BE4"/>
    <w:rsid w:val="00700D43"/>
    <w:rsid w:val="00700EF5"/>
    <w:rsid w:val="0070101E"/>
    <w:rsid w:val="00701469"/>
    <w:rsid w:val="0070173A"/>
    <w:rsid w:val="00701930"/>
    <w:rsid w:val="00701BC9"/>
    <w:rsid w:val="00701E94"/>
    <w:rsid w:val="00702006"/>
    <w:rsid w:val="0070259E"/>
    <w:rsid w:val="007025DE"/>
    <w:rsid w:val="00702885"/>
    <w:rsid w:val="00702A0B"/>
    <w:rsid w:val="007034F3"/>
    <w:rsid w:val="007035FA"/>
    <w:rsid w:val="00703749"/>
    <w:rsid w:val="00703C54"/>
    <w:rsid w:val="00703CB9"/>
    <w:rsid w:val="00703D1A"/>
    <w:rsid w:val="00703DE9"/>
    <w:rsid w:val="007041BA"/>
    <w:rsid w:val="00704610"/>
    <w:rsid w:val="00704A15"/>
    <w:rsid w:val="00704B97"/>
    <w:rsid w:val="00704C40"/>
    <w:rsid w:val="00704DA2"/>
    <w:rsid w:val="00704E87"/>
    <w:rsid w:val="00704F1D"/>
    <w:rsid w:val="00704FE5"/>
    <w:rsid w:val="007051AB"/>
    <w:rsid w:val="00705272"/>
    <w:rsid w:val="0070535C"/>
    <w:rsid w:val="007053D5"/>
    <w:rsid w:val="0070544D"/>
    <w:rsid w:val="007057E5"/>
    <w:rsid w:val="007059D7"/>
    <w:rsid w:val="00705A2A"/>
    <w:rsid w:val="00705B61"/>
    <w:rsid w:val="00706913"/>
    <w:rsid w:val="0070717C"/>
    <w:rsid w:val="00707188"/>
    <w:rsid w:val="007071C4"/>
    <w:rsid w:val="00707326"/>
    <w:rsid w:val="0070759B"/>
    <w:rsid w:val="0070765F"/>
    <w:rsid w:val="007077DE"/>
    <w:rsid w:val="00707BBD"/>
    <w:rsid w:val="00707DD2"/>
    <w:rsid w:val="00707DD6"/>
    <w:rsid w:val="00707E74"/>
    <w:rsid w:val="00710121"/>
    <w:rsid w:val="00710134"/>
    <w:rsid w:val="00710194"/>
    <w:rsid w:val="00710267"/>
    <w:rsid w:val="007103DA"/>
    <w:rsid w:val="007105E1"/>
    <w:rsid w:val="00710BEC"/>
    <w:rsid w:val="00710C28"/>
    <w:rsid w:val="0071140F"/>
    <w:rsid w:val="007114C2"/>
    <w:rsid w:val="00711549"/>
    <w:rsid w:val="00711A53"/>
    <w:rsid w:val="00711DD4"/>
    <w:rsid w:val="00711F26"/>
    <w:rsid w:val="0071248F"/>
    <w:rsid w:val="00712C49"/>
    <w:rsid w:val="00712CD3"/>
    <w:rsid w:val="00712F6A"/>
    <w:rsid w:val="00712F6E"/>
    <w:rsid w:val="00712FC1"/>
    <w:rsid w:val="00713792"/>
    <w:rsid w:val="00713BAA"/>
    <w:rsid w:val="00713DC6"/>
    <w:rsid w:val="00714042"/>
    <w:rsid w:val="00714761"/>
    <w:rsid w:val="007147A3"/>
    <w:rsid w:val="00714AEC"/>
    <w:rsid w:val="00714BB0"/>
    <w:rsid w:val="00714DB3"/>
    <w:rsid w:val="00715419"/>
    <w:rsid w:val="00715483"/>
    <w:rsid w:val="00715951"/>
    <w:rsid w:val="00715A4A"/>
    <w:rsid w:val="00715D74"/>
    <w:rsid w:val="00715DB2"/>
    <w:rsid w:val="0071608D"/>
    <w:rsid w:val="00716154"/>
    <w:rsid w:val="00716445"/>
    <w:rsid w:val="007166A9"/>
    <w:rsid w:val="0071677B"/>
    <w:rsid w:val="00716858"/>
    <w:rsid w:val="00716B3F"/>
    <w:rsid w:val="00716C88"/>
    <w:rsid w:val="00716C8F"/>
    <w:rsid w:val="00716E71"/>
    <w:rsid w:val="0071752F"/>
    <w:rsid w:val="007175EA"/>
    <w:rsid w:val="00717680"/>
    <w:rsid w:val="007177FC"/>
    <w:rsid w:val="00717A93"/>
    <w:rsid w:val="00717ADF"/>
    <w:rsid w:val="00717BFE"/>
    <w:rsid w:val="00717C2E"/>
    <w:rsid w:val="007201DD"/>
    <w:rsid w:val="007201EA"/>
    <w:rsid w:val="0072046F"/>
    <w:rsid w:val="00720759"/>
    <w:rsid w:val="00720828"/>
    <w:rsid w:val="00720B88"/>
    <w:rsid w:val="00720BE7"/>
    <w:rsid w:val="00720C66"/>
    <w:rsid w:val="00720D6C"/>
    <w:rsid w:val="00721103"/>
    <w:rsid w:val="007214CC"/>
    <w:rsid w:val="00721547"/>
    <w:rsid w:val="007215C9"/>
    <w:rsid w:val="00721837"/>
    <w:rsid w:val="00721862"/>
    <w:rsid w:val="007218BB"/>
    <w:rsid w:val="00721B1F"/>
    <w:rsid w:val="00721B56"/>
    <w:rsid w:val="00721CE4"/>
    <w:rsid w:val="00721D39"/>
    <w:rsid w:val="00721DC6"/>
    <w:rsid w:val="00722091"/>
    <w:rsid w:val="007222CA"/>
    <w:rsid w:val="00722CE1"/>
    <w:rsid w:val="00722F01"/>
    <w:rsid w:val="00722F4B"/>
    <w:rsid w:val="007233C3"/>
    <w:rsid w:val="00723401"/>
    <w:rsid w:val="00723969"/>
    <w:rsid w:val="00723ADD"/>
    <w:rsid w:val="00723C0C"/>
    <w:rsid w:val="00723C39"/>
    <w:rsid w:val="00723C51"/>
    <w:rsid w:val="0072405A"/>
    <w:rsid w:val="00724067"/>
    <w:rsid w:val="00724453"/>
    <w:rsid w:val="007244AD"/>
    <w:rsid w:val="0072462F"/>
    <w:rsid w:val="0072469D"/>
    <w:rsid w:val="007246C5"/>
    <w:rsid w:val="00724721"/>
    <w:rsid w:val="00724CEC"/>
    <w:rsid w:val="00724E75"/>
    <w:rsid w:val="00725145"/>
    <w:rsid w:val="00725672"/>
    <w:rsid w:val="007256D4"/>
    <w:rsid w:val="00725B30"/>
    <w:rsid w:val="00725EC1"/>
    <w:rsid w:val="00725F4E"/>
    <w:rsid w:val="007261C3"/>
    <w:rsid w:val="007261D4"/>
    <w:rsid w:val="007263BE"/>
    <w:rsid w:val="0072662F"/>
    <w:rsid w:val="00726AE0"/>
    <w:rsid w:val="00726C64"/>
    <w:rsid w:val="00726C84"/>
    <w:rsid w:val="00726DFB"/>
    <w:rsid w:val="007273A2"/>
    <w:rsid w:val="007277CF"/>
    <w:rsid w:val="00727937"/>
    <w:rsid w:val="00727C19"/>
    <w:rsid w:val="00727D45"/>
    <w:rsid w:val="00727EF0"/>
    <w:rsid w:val="007302B5"/>
    <w:rsid w:val="0073030E"/>
    <w:rsid w:val="00730810"/>
    <w:rsid w:val="007308A4"/>
    <w:rsid w:val="007308FF"/>
    <w:rsid w:val="00730BF0"/>
    <w:rsid w:val="00730F8C"/>
    <w:rsid w:val="007311B2"/>
    <w:rsid w:val="007314FC"/>
    <w:rsid w:val="00731A5B"/>
    <w:rsid w:val="00731AA2"/>
    <w:rsid w:val="00731C49"/>
    <w:rsid w:val="00732130"/>
    <w:rsid w:val="0073219F"/>
    <w:rsid w:val="007324BB"/>
    <w:rsid w:val="00732522"/>
    <w:rsid w:val="00732798"/>
    <w:rsid w:val="007327EF"/>
    <w:rsid w:val="00732845"/>
    <w:rsid w:val="00732A10"/>
    <w:rsid w:val="00732B24"/>
    <w:rsid w:val="00732C65"/>
    <w:rsid w:val="00732CCB"/>
    <w:rsid w:val="00732DB6"/>
    <w:rsid w:val="00732FEB"/>
    <w:rsid w:val="00733248"/>
    <w:rsid w:val="007333F1"/>
    <w:rsid w:val="007334B7"/>
    <w:rsid w:val="00733549"/>
    <w:rsid w:val="00733CE6"/>
    <w:rsid w:val="007341B6"/>
    <w:rsid w:val="007344AE"/>
    <w:rsid w:val="0073478E"/>
    <w:rsid w:val="007348BC"/>
    <w:rsid w:val="00734980"/>
    <w:rsid w:val="007349D7"/>
    <w:rsid w:val="00734FDB"/>
    <w:rsid w:val="0073514A"/>
    <w:rsid w:val="007354AE"/>
    <w:rsid w:val="0073573D"/>
    <w:rsid w:val="00735B43"/>
    <w:rsid w:val="00735BA0"/>
    <w:rsid w:val="00735D3A"/>
    <w:rsid w:val="00735D9A"/>
    <w:rsid w:val="00735ECB"/>
    <w:rsid w:val="0073635E"/>
    <w:rsid w:val="0073652F"/>
    <w:rsid w:val="00736708"/>
    <w:rsid w:val="0073683C"/>
    <w:rsid w:val="00736C8C"/>
    <w:rsid w:val="00736DC9"/>
    <w:rsid w:val="00736E25"/>
    <w:rsid w:val="00736E6F"/>
    <w:rsid w:val="00736FE6"/>
    <w:rsid w:val="00736FF1"/>
    <w:rsid w:val="007370B8"/>
    <w:rsid w:val="007370F3"/>
    <w:rsid w:val="007371A7"/>
    <w:rsid w:val="007372CC"/>
    <w:rsid w:val="00737CC0"/>
    <w:rsid w:val="00737D4F"/>
    <w:rsid w:val="007401D3"/>
    <w:rsid w:val="0074024D"/>
    <w:rsid w:val="007403BB"/>
    <w:rsid w:val="00740454"/>
    <w:rsid w:val="00740BBB"/>
    <w:rsid w:val="00740D5E"/>
    <w:rsid w:val="00741014"/>
    <w:rsid w:val="00741228"/>
    <w:rsid w:val="00741236"/>
    <w:rsid w:val="007414BF"/>
    <w:rsid w:val="007414EB"/>
    <w:rsid w:val="007415DE"/>
    <w:rsid w:val="0074169A"/>
    <w:rsid w:val="0074179A"/>
    <w:rsid w:val="00741BF0"/>
    <w:rsid w:val="00741E45"/>
    <w:rsid w:val="00741E74"/>
    <w:rsid w:val="00741E98"/>
    <w:rsid w:val="00741EBC"/>
    <w:rsid w:val="00741FA3"/>
    <w:rsid w:val="007421E0"/>
    <w:rsid w:val="00742207"/>
    <w:rsid w:val="00742552"/>
    <w:rsid w:val="00742C73"/>
    <w:rsid w:val="007432A0"/>
    <w:rsid w:val="00743761"/>
    <w:rsid w:val="00743A7F"/>
    <w:rsid w:val="007440E0"/>
    <w:rsid w:val="007440FB"/>
    <w:rsid w:val="00744873"/>
    <w:rsid w:val="00744AFF"/>
    <w:rsid w:val="00744D46"/>
    <w:rsid w:val="00745242"/>
    <w:rsid w:val="007457D4"/>
    <w:rsid w:val="00745908"/>
    <w:rsid w:val="00745E1C"/>
    <w:rsid w:val="00745F2B"/>
    <w:rsid w:val="0074612D"/>
    <w:rsid w:val="0074636C"/>
    <w:rsid w:val="007463E1"/>
    <w:rsid w:val="007466CF"/>
    <w:rsid w:val="007466D0"/>
    <w:rsid w:val="00746732"/>
    <w:rsid w:val="0074697C"/>
    <w:rsid w:val="00747147"/>
    <w:rsid w:val="0074744A"/>
    <w:rsid w:val="0074755D"/>
    <w:rsid w:val="0074758A"/>
    <w:rsid w:val="007475A5"/>
    <w:rsid w:val="00747760"/>
    <w:rsid w:val="00747801"/>
    <w:rsid w:val="007479AF"/>
    <w:rsid w:val="00747A6E"/>
    <w:rsid w:val="00747B69"/>
    <w:rsid w:val="00747BA8"/>
    <w:rsid w:val="00747D72"/>
    <w:rsid w:val="00750302"/>
    <w:rsid w:val="007507E1"/>
    <w:rsid w:val="007507E3"/>
    <w:rsid w:val="0075091D"/>
    <w:rsid w:val="007509CC"/>
    <w:rsid w:val="00750A92"/>
    <w:rsid w:val="00750DF8"/>
    <w:rsid w:val="007510C1"/>
    <w:rsid w:val="007511C1"/>
    <w:rsid w:val="00751522"/>
    <w:rsid w:val="00751A05"/>
    <w:rsid w:val="00751B59"/>
    <w:rsid w:val="00751DDF"/>
    <w:rsid w:val="0075236E"/>
    <w:rsid w:val="00752497"/>
    <w:rsid w:val="00752D16"/>
    <w:rsid w:val="007539EA"/>
    <w:rsid w:val="00753D59"/>
    <w:rsid w:val="007546EA"/>
    <w:rsid w:val="00754848"/>
    <w:rsid w:val="0075490C"/>
    <w:rsid w:val="00754A66"/>
    <w:rsid w:val="00754B85"/>
    <w:rsid w:val="00754E6A"/>
    <w:rsid w:val="00754EF3"/>
    <w:rsid w:val="00754FAF"/>
    <w:rsid w:val="0075519C"/>
    <w:rsid w:val="007551FA"/>
    <w:rsid w:val="007552D5"/>
    <w:rsid w:val="0075539D"/>
    <w:rsid w:val="00755512"/>
    <w:rsid w:val="00755593"/>
    <w:rsid w:val="007555AB"/>
    <w:rsid w:val="0075575F"/>
    <w:rsid w:val="00755860"/>
    <w:rsid w:val="007559DC"/>
    <w:rsid w:val="00755ACE"/>
    <w:rsid w:val="00755E39"/>
    <w:rsid w:val="0075604B"/>
    <w:rsid w:val="007563EB"/>
    <w:rsid w:val="00756765"/>
    <w:rsid w:val="007569B4"/>
    <w:rsid w:val="00756AA9"/>
    <w:rsid w:val="00756D40"/>
    <w:rsid w:val="00756D69"/>
    <w:rsid w:val="007570D7"/>
    <w:rsid w:val="007571F1"/>
    <w:rsid w:val="00757219"/>
    <w:rsid w:val="0075768C"/>
    <w:rsid w:val="00757877"/>
    <w:rsid w:val="007578AB"/>
    <w:rsid w:val="00757982"/>
    <w:rsid w:val="00757AE9"/>
    <w:rsid w:val="00757BDF"/>
    <w:rsid w:val="00757D5F"/>
    <w:rsid w:val="00757E1F"/>
    <w:rsid w:val="00757FAC"/>
    <w:rsid w:val="007603C0"/>
    <w:rsid w:val="00760452"/>
    <w:rsid w:val="007604FA"/>
    <w:rsid w:val="0076051B"/>
    <w:rsid w:val="00760B6D"/>
    <w:rsid w:val="00760CED"/>
    <w:rsid w:val="00760DDA"/>
    <w:rsid w:val="00760FB4"/>
    <w:rsid w:val="00761354"/>
    <w:rsid w:val="007613B3"/>
    <w:rsid w:val="00761437"/>
    <w:rsid w:val="00761743"/>
    <w:rsid w:val="00761932"/>
    <w:rsid w:val="007619D7"/>
    <w:rsid w:val="00761FE0"/>
    <w:rsid w:val="0076219C"/>
    <w:rsid w:val="007624EC"/>
    <w:rsid w:val="007628D5"/>
    <w:rsid w:val="00762AAB"/>
    <w:rsid w:val="007630BE"/>
    <w:rsid w:val="00763136"/>
    <w:rsid w:val="007634AF"/>
    <w:rsid w:val="007634BE"/>
    <w:rsid w:val="00763516"/>
    <w:rsid w:val="007639A6"/>
    <w:rsid w:val="00763A1C"/>
    <w:rsid w:val="00763CB9"/>
    <w:rsid w:val="00763FDF"/>
    <w:rsid w:val="0076400A"/>
    <w:rsid w:val="0076404A"/>
    <w:rsid w:val="00764236"/>
    <w:rsid w:val="0076448E"/>
    <w:rsid w:val="00764591"/>
    <w:rsid w:val="00764A77"/>
    <w:rsid w:val="00764A89"/>
    <w:rsid w:val="00764BD4"/>
    <w:rsid w:val="00764DEF"/>
    <w:rsid w:val="0076581E"/>
    <w:rsid w:val="00765A46"/>
    <w:rsid w:val="00765B56"/>
    <w:rsid w:val="00765C84"/>
    <w:rsid w:val="00765FC6"/>
    <w:rsid w:val="00766140"/>
    <w:rsid w:val="00766528"/>
    <w:rsid w:val="00766590"/>
    <w:rsid w:val="0076660E"/>
    <w:rsid w:val="00766701"/>
    <w:rsid w:val="007667B4"/>
    <w:rsid w:val="00766949"/>
    <w:rsid w:val="00766A27"/>
    <w:rsid w:val="00766C30"/>
    <w:rsid w:val="00766CEA"/>
    <w:rsid w:val="00766FCF"/>
    <w:rsid w:val="0076705E"/>
    <w:rsid w:val="0076710C"/>
    <w:rsid w:val="007679FD"/>
    <w:rsid w:val="00767C63"/>
    <w:rsid w:val="00767F5A"/>
    <w:rsid w:val="007700F6"/>
    <w:rsid w:val="00770308"/>
    <w:rsid w:val="0077051D"/>
    <w:rsid w:val="0077065D"/>
    <w:rsid w:val="00770662"/>
    <w:rsid w:val="00770A67"/>
    <w:rsid w:val="00770E7B"/>
    <w:rsid w:val="007712CF"/>
    <w:rsid w:val="007713F8"/>
    <w:rsid w:val="00771C7E"/>
    <w:rsid w:val="00771C9D"/>
    <w:rsid w:val="00771EDA"/>
    <w:rsid w:val="007726E5"/>
    <w:rsid w:val="00772A77"/>
    <w:rsid w:val="00772C8C"/>
    <w:rsid w:val="00772D5E"/>
    <w:rsid w:val="00772FE1"/>
    <w:rsid w:val="00773213"/>
    <w:rsid w:val="007733D2"/>
    <w:rsid w:val="00773529"/>
    <w:rsid w:val="007736AD"/>
    <w:rsid w:val="00773841"/>
    <w:rsid w:val="00773C23"/>
    <w:rsid w:val="007740AB"/>
    <w:rsid w:val="0077487F"/>
    <w:rsid w:val="00774A51"/>
    <w:rsid w:val="00774EC4"/>
    <w:rsid w:val="0077507F"/>
    <w:rsid w:val="0077521A"/>
    <w:rsid w:val="007757A4"/>
    <w:rsid w:val="00775A1C"/>
    <w:rsid w:val="00775B7F"/>
    <w:rsid w:val="00775CCB"/>
    <w:rsid w:val="00775DDF"/>
    <w:rsid w:val="007760C9"/>
    <w:rsid w:val="007762C4"/>
    <w:rsid w:val="00776605"/>
    <w:rsid w:val="0077677C"/>
    <w:rsid w:val="007767E5"/>
    <w:rsid w:val="0077688D"/>
    <w:rsid w:val="00776940"/>
    <w:rsid w:val="00776D8C"/>
    <w:rsid w:val="00776F6C"/>
    <w:rsid w:val="00776FF0"/>
    <w:rsid w:val="00777522"/>
    <w:rsid w:val="0077765D"/>
    <w:rsid w:val="00777868"/>
    <w:rsid w:val="00777DE4"/>
    <w:rsid w:val="00780037"/>
    <w:rsid w:val="00780283"/>
    <w:rsid w:val="007802FE"/>
    <w:rsid w:val="007805A1"/>
    <w:rsid w:val="007806C3"/>
    <w:rsid w:val="00780916"/>
    <w:rsid w:val="00780AC3"/>
    <w:rsid w:val="00780E02"/>
    <w:rsid w:val="00780E50"/>
    <w:rsid w:val="00780EE4"/>
    <w:rsid w:val="007810E6"/>
    <w:rsid w:val="007814C3"/>
    <w:rsid w:val="007818EF"/>
    <w:rsid w:val="0078199C"/>
    <w:rsid w:val="00781CDD"/>
    <w:rsid w:val="00781F55"/>
    <w:rsid w:val="00782808"/>
    <w:rsid w:val="0078296D"/>
    <w:rsid w:val="00782A92"/>
    <w:rsid w:val="00782B39"/>
    <w:rsid w:val="00782B91"/>
    <w:rsid w:val="00782C01"/>
    <w:rsid w:val="00782CE5"/>
    <w:rsid w:val="00782CEE"/>
    <w:rsid w:val="00782D5B"/>
    <w:rsid w:val="00782DB5"/>
    <w:rsid w:val="007832CC"/>
    <w:rsid w:val="00783605"/>
    <w:rsid w:val="00783706"/>
    <w:rsid w:val="007839B3"/>
    <w:rsid w:val="007839F0"/>
    <w:rsid w:val="00783A37"/>
    <w:rsid w:val="00783BB1"/>
    <w:rsid w:val="00783E80"/>
    <w:rsid w:val="00783F5E"/>
    <w:rsid w:val="00784011"/>
    <w:rsid w:val="007842C4"/>
    <w:rsid w:val="00784479"/>
    <w:rsid w:val="0078481C"/>
    <w:rsid w:val="00784A42"/>
    <w:rsid w:val="00784DBE"/>
    <w:rsid w:val="00785091"/>
    <w:rsid w:val="0078553D"/>
    <w:rsid w:val="0078554F"/>
    <w:rsid w:val="0078563B"/>
    <w:rsid w:val="00785666"/>
    <w:rsid w:val="00785B64"/>
    <w:rsid w:val="00785B69"/>
    <w:rsid w:val="00786085"/>
    <w:rsid w:val="007864D5"/>
    <w:rsid w:val="0078669B"/>
    <w:rsid w:val="00786D23"/>
    <w:rsid w:val="00786FAB"/>
    <w:rsid w:val="00787A51"/>
    <w:rsid w:val="00787AC0"/>
    <w:rsid w:val="00787C91"/>
    <w:rsid w:val="00787DC4"/>
    <w:rsid w:val="00787FF3"/>
    <w:rsid w:val="007902B2"/>
    <w:rsid w:val="007908FA"/>
    <w:rsid w:val="007909C7"/>
    <w:rsid w:val="007909E7"/>
    <w:rsid w:val="007909EA"/>
    <w:rsid w:val="00790D96"/>
    <w:rsid w:val="00791120"/>
    <w:rsid w:val="007911B1"/>
    <w:rsid w:val="007913A6"/>
    <w:rsid w:val="007913AD"/>
    <w:rsid w:val="007915CB"/>
    <w:rsid w:val="007919D7"/>
    <w:rsid w:val="00791A95"/>
    <w:rsid w:val="00791B6F"/>
    <w:rsid w:val="00791BAD"/>
    <w:rsid w:val="00791DDB"/>
    <w:rsid w:val="00791F23"/>
    <w:rsid w:val="007920F9"/>
    <w:rsid w:val="00792149"/>
    <w:rsid w:val="00792350"/>
    <w:rsid w:val="00792464"/>
    <w:rsid w:val="00792489"/>
    <w:rsid w:val="00792497"/>
    <w:rsid w:val="007926D4"/>
    <w:rsid w:val="007927B1"/>
    <w:rsid w:val="0079296F"/>
    <w:rsid w:val="00792996"/>
    <w:rsid w:val="007929D5"/>
    <w:rsid w:val="00792A94"/>
    <w:rsid w:val="00792AF7"/>
    <w:rsid w:val="00792D50"/>
    <w:rsid w:val="00792F37"/>
    <w:rsid w:val="00792FD8"/>
    <w:rsid w:val="0079359A"/>
    <w:rsid w:val="00793857"/>
    <w:rsid w:val="0079388F"/>
    <w:rsid w:val="007939E3"/>
    <w:rsid w:val="00793AA3"/>
    <w:rsid w:val="00793B3A"/>
    <w:rsid w:val="00793D02"/>
    <w:rsid w:val="00794102"/>
    <w:rsid w:val="007941E6"/>
    <w:rsid w:val="00794346"/>
    <w:rsid w:val="00794614"/>
    <w:rsid w:val="00794664"/>
    <w:rsid w:val="00794B48"/>
    <w:rsid w:val="00794C66"/>
    <w:rsid w:val="00794E10"/>
    <w:rsid w:val="00794F44"/>
    <w:rsid w:val="00794F83"/>
    <w:rsid w:val="007955A4"/>
    <w:rsid w:val="007955C1"/>
    <w:rsid w:val="00795D45"/>
    <w:rsid w:val="00795FB7"/>
    <w:rsid w:val="0079600D"/>
    <w:rsid w:val="007960AF"/>
    <w:rsid w:val="007960D8"/>
    <w:rsid w:val="0079673A"/>
    <w:rsid w:val="00796740"/>
    <w:rsid w:val="00796814"/>
    <w:rsid w:val="00796A21"/>
    <w:rsid w:val="00796B99"/>
    <w:rsid w:val="00796C20"/>
    <w:rsid w:val="0079715E"/>
    <w:rsid w:val="007971DD"/>
    <w:rsid w:val="0079740A"/>
    <w:rsid w:val="00797742"/>
    <w:rsid w:val="0079778A"/>
    <w:rsid w:val="00797863"/>
    <w:rsid w:val="00797873"/>
    <w:rsid w:val="007A01D2"/>
    <w:rsid w:val="007A0447"/>
    <w:rsid w:val="007A054D"/>
    <w:rsid w:val="007A06DB"/>
    <w:rsid w:val="007A079D"/>
    <w:rsid w:val="007A0974"/>
    <w:rsid w:val="007A0B96"/>
    <w:rsid w:val="007A0D24"/>
    <w:rsid w:val="007A116D"/>
    <w:rsid w:val="007A12D9"/>
    <w:rsid w:val="007A14B7"/>
    <w:rsid w:val="007A1558"/>
    <w:rsid w:val="007A1602"/>
    <w:rsid w:val="007A1874"/>
    <w:rsid w:val="007A18C6"/>
    <w:rsid w:val="007A1C0B"/>
    <w:rsid w:val="007A1CB8"/>
    <w:rsid w:val="007A1EFE"/>
    <w:rsid w:val="007A1F0D"/>
    <w:rsid w:val="007A1FC1"/>
    <w:rsid w:val="007A20AB"/>
    <w:rsid w:val="007A2356"/>
    <w:rsid w:val="007A2517"/>
    <w:rsid w:val="007A277B"/>
    <w:rsid w:val="007A2A2C"/>
    <w:rsid w:val="007A2A74"/>
    <w:rsid w:val="007A2BBE"/>
    <w:rsid w:val="007A31AE"/>
    <w:rsid w:val="007A3219"/>
    <w:rsid w:val="007A3276"/>
    <w:rsid w:val="007A330B"/>
    <w:rsid w:val="007A330D"/>
    <w:rsid w:val="007A34ED"/>
    <w:rsid w:val="007A3770"/>
    <w:rsid w:val="007A38E9"/>
    <w:rsid w:val="007A3C08"/>
    <w:rsid w:val="007A3DF7"/>
    <w:rsid w:val="007A3E0C"/>
    <w:rsid w:val="007A3EC9"/>
    <w:rsid w:val="007A41AC"/>
    <w:rsid w:val="007A4836"/>
    <w:rsid w:val="007A496E"/>
    <w:rsid w:val="007A4E80"/>
    <w:rsid w:val="007A4FF1"/>
    <w:rsid w:val="007A515E"/>
    <w:rsid w:val="007A52BB"/>
    <w:rsid w:val="007A5333"/>
    <w:rsid w:val="007A539D"/>
    <w:rsid w:val="007A5483"/>
    <w:rsid w:val="007A5784"/>
    <w:rsid w:val="007A5C32"/>
    <w:rsid w:val="007A5D0E"/>
    <w:rsid w:val="007A5DA3"/>
    <w:rsid w:val="007A5E1A"/>
    <w:rsid w:val="007A5F9C"/>
    <w:rsid w:val="007A5FF0"/>
    <w:rsid w:val="007A688B"/>
    <w:rsid w:val="007A68A8"/>
    <w:rsid w:val="007A69E0"/>
    <w:rsid w:val="007A6A8A"/>
    <w:rsid w:val="007A6E05"/>
    <w:rsid w:val="007A6F3E"/>
    <w:rsid w:val="007A6FAC"/>
    <w:rsid w:val="007A7285"/>
    <w:rsid w:val="007A741E"/>
    <w:rsid w:val="007A7456"/>
    <w:rsid w:val="007A7F04"/>
    <w:rsid w:val="007B01A3"/>
    <w:rsid w:val="007B0445"/>
    <w:rsid w:val="007B05CB"/>
    <w:rsid w:val="007B06A0"/>
    <w:rsid w:val="007B071E"/>
    <w:rsid w:val="007B075E"/>
    <w:rsid w:val="007B0BA4"/>
    <w:rsid w:val="007B0C55"/>
    <w:rsid w:val="007B0CAE"/>
    <w:rsid w:val="007B0FE3"/>
    <w:rsid w:val="007B0FE9"/>
    <w:rsid w:val="007B1711"/>
    <w:rsid w:val="007B17BE"/>
    <w:rsid w:val="007B19CD"/>
    <w:rsid w:val="007B1CA5"/>
    <w:rsid w:val="007B1CFC"/>
    <w:rsid w:val="007B2487"/>
    <w:rsid w:val="007B2607"/>
    <w:rsid w:val="007B268C"/>
    <w:rsid w:val="007B2813"/>
    <w:rsid w:val="007B2C1C"/>
    <w:rsid w:val="007B3324"/>
    <w:rsid w:val="007B34D2"/>
    <w:rsid w:val="007B34E6"/>
    <w:rsid w:val="007B36A0"/>
    <w:rsid w:val="007B3779"/>
    <w:rsid w:val="007B3858"/>
    <w:rsid w:val="007B3943"/>
    <w:rsid w:val="007B395E"/>
    <w:rsid w:val="007B3F5B"/>
    <w:rsid w:val="007B41BA"/>
    <w:rsid w:val="007B41CD"/>
    <w:rsid w:val="007B42A1"/>
    <w:rsid w:val="007B42C1"/>
    <w:rsid w:val="007B4B02"/>
    <w:rsid w:val="007B4E5D"/>
    <w:rsid w:val="007B543F"/>
    <w:rsid w:val="007B54A2"/>
    <w:rsid w:val="007B5586"/>
    <w:rsid w:val="007B5CC7"/>
    <w:rsid w:val="007B5D70"/>
    <w:rsid w:val="007B61DE"/>
    <w:rsid w:val="007B62C3"/>
    <w:rsid w:val="007B68FF"/>
    <w:rsid w:val="007B6BFA"/>
    <w:rsid w:val="007B6DE5"/>
    <w:rsid w:val="007B6FD3"/>
    <w:rsid w:val="007B719E"/>
    <w:rsid w:val="007B72FB"/>
    <w:rsid w:val="007B73C4"/>
    <w:rsid w:val="007B74D2"/>
    <w:rsid w:val="007B7540"/>
    <w:rsid w:val="007B755D"/>
    <w:rsid w:val="007B79AD"/>
    <w:rsid w:val="007B7B0A"/>
    <w:rsid w:val="007B7D40"/>
    <w:rsid w:val="007C026D"/>
    <w:rsid w:val="007C04D1"/>
    <w:rsid w:val="007C051D"/>
    <w:rsid w:val="007C069F"/>
    <w:rsid w:val="007C07F8"/>
    <w:rsid w:val="007C09D3"/>
    <w:rsid w:val="007C0AE7"/>
    <w:rsid w:val="007C0D3B"/>
    <w:rsid w:val="007C0E4E"/>
    <w:rsid w:val="007C111E"/>
    <w:rsid w:val="007C1572"/>
    <w:rsid w:val="007C1623"/>
    <w:rsid w:val="007C183A"/>
    <w:rsid w:val="007C1930"/>
    <w:rsid w:val="007C19A8"/>
    <w:rsid w:val="007C1CFA"/>
    <w:rsid w:val="007C1F52"/>
    <w:rsid w:val="007C1F80"/>
    <w:rsid w:val="007C2167"/>
    <w:rsid w:val="007C2187"/>
    <w:rsid w:val="007C2567"/>
    <w:rsid w:val="007C2614"/>
    <w:rsid w:val="007C2664"/>
    <w:rsid w:val="007C27A2"/>
    <w:rsid w:val="007C2DFE"/>
    <w:rsid w:val="007C2F9B"/>
    <w:rsid w:val="007C3137"/>
    <w:rsid w:val="007C34AE"/>
    <w:rsid w:val="007C381D"/>
    <w:rsid w:val="007C39A5"/>
    <w:rsid w:val="007C39AE"/>
    <w:rsid w:val="007C3A84"/>
    <w:rsid w:val="007C3E41"/>
    <w:rsid w:val="007C4377"/>
    <w:rsid w:val="007C4505"/>
    <w:rsid w:val="007C456C"/>
    <w:rsid w:val="007C46BB"/>
    <w:rsid w:val="007C4972"/>
    <w:rsid w:val="007C4BFD"/>
    <w:rsid w:val="007C4F68"/>
    <w:rsid w:val="007C540C"/>
    <w:rsid w:val="007C5561"/>
    <w:rsid w:val="007C578F"/>
    <w:rsid w:val="007C58DC"/>
    <w:rsid w:val="007C5941"/>
    <w:rsid w:val="007C5A9E"/>
    <w:rsid w:val="007C5C27"/>
    <w:rsid w:val="007C60DE"/>
    <w:rsid w:val="007C638B"/>
    <w:rsid w:val="007C643A"/>
    <w:rsid w:val="007C64ED"/>
    <w:rsid w:val="007C6594"/>
    <w:rsid w:val="007C66C1"/>
    <w:rsid w:val="007C677B"/>
    <w:rsid w:val="007C67CE"/>
    <w:rsid w:val="007C67F8"/>
    <w:rsid w:val="007C68C1"/>
    <w:rsid w:val="007C6B2E"/>
    <w:rsid w:val="007C6C7C"/>
    <w:rsid w:val="007C700B"/>
    <w:rsid w:val="007C70DF"/>
    <w:rsid w:val="007C73E0"/>
    <w:rsid w:val="007C73E4"/>
    <w:rsid w:val="007C744A"/>
    <w:rsid w:val="007C74C0"/>
    <w:rsid w:val="007C7887"/>
    <w:rsid w:val="007C7969"/>
    <w:rsid w:val="007C79A4"/>
    <w:rsid w:val="007C7B66"/>
    <w:rsid w:val="007C7CF3"/>
    <w:rsid w:val="007C7E15"/>
    <w:rsid w:val="007D0526"/>
    <w:rsid w:val="007D0880"/>
    <w:rsid w:val="007D0C3F"/>
    <w:rsid w:val="007D0F62"/>
    <w:rsid w:val="007D13DD"/>
    <w:rsid w:val="007D18C5"/>
    <w:rsid w:val="007D18F1"/>
    <w:rsid w:val="007D1A5B"/>
    <w:rsid w:val="007D1B46"/>
    <w:rsid w:val="007D1FA0"/>
    <w:rsid w:val="007D2024"/>
    <w:rsid w:val="007D2208"/>
    <w:rsid w:val="007D222B"/>
    <w:rsid w:val="007D2741"/>
    <w:rsid w:val="007D2A6D"/>
    <w:rsid w:val="007D2DF6"/>
    <w:rsid w:val="007D2E65"/>
    <w:rsid w:val="007D306C"/>
    <w:rsid w:val="007D30B5"/>
    <w:rsid w:val="007D32EA"/>
    <w:rsid w:val="007D3519"/>
    <w:rsid w:val="007D3528"/>
    <w:rsid w:val="007D3542"/>
    <w:rsid w:val="007D35E8"/>
    <w:rsid w:val="007D3865"/>
    <w:rsid w:val="007D3C8C"/>
    <w:rsid w:val="007D3C98"/>
    <w:rsid w:val="007D3D5D"/>
    <w:rsid w:val="007D3D8E"/>
    <w:rsid w:val="007D3DBF"/>
    <w:rsid w:val="007D42E6"/>
    <w:rsid w:val="007D4400"/>
    <w:rsid w:val="007D448F"/>
    <w:rsid w:val="007D44B6"/>
    <w:rsid w:val="007D45CE"/>
    <w:rsid w:val="007D46EF"/>
    <w:rsid w:val="007D4D0D"/>
    <w:rsid w:val="007D5065"/>
    <w:rsid w:val="007D5237"/>
    <w:rsid w:val="007D5CF2"/>
    <w:rsid w:val="007D6053"/>
    <w:rsid w:val="007D6357"/>
    <w:rsid w:val="007D6554"/>
    <w:rsid w:val="007D6810"/>
    <w:rsid w:val="007D6B0C"/>
    <w:rsid w:val="007D71D5"/>
    <w:rsid w:val="007D7342"/>
    <w:rsid w:val="007D734A"/>
    <w:rsid w:val="007D7644"/>
    <w:rsid w:val="007D787A"/>
    <w:rsid w:val="007E02F5"/>
    <w:rsid w:val="007E040A"/>
    <w:rsid w:val="007E0715"/>
    <w:rsid w:val="007E0A7A"/>
    <w:rsid w:val="007E0B77"/>
    <w:rsid w:val="007E0F81"/>
    <w:rsid w:val="007E1079"/>
    <w:rsid w:val="007E10C4"/>
    <w:rsid w:val="007E1505"/>
    <w:rsid w:val="007E1C9A"/>
    <w:rsid w:val="007E1E68"/>
    <w:rsid w:val="007E1E9D"/>
    <w:rsid w:val="007E1EB6"/>
    <w:rsid w:val="007E201C"/>
    <w:rsid w:val="007E2061"/>
    <w:rsid w:val="007E21C3"/>
    <w:rsid w:val="007E222A"/>
    <w:rsid w:val="007E23C3"/>
    <w:rsid w:val="007E23E8"/>
    <w:rsid w:val="007E243B"/>
    <w:rsid w:val="007E27D7"/>
    <w:rsid w:val="007E28FC"/>
    <w:rsid w:val="007E29FF"/>
    <w:rsid w:val="007E2AEB"/>
    <w:rsid w:val="007E2D03"/>
    <w:rsid w:val="007E2FDF"/>
    <w:rsid w:val="007E34EE"/>
    <w:rsid w:val="007E3525"/>
    <w:rsid w:val="007E38C6"/>
    <w:rsid w:val="007E3CE6"/>
    <w:rsid w:val="007E3F4C"/>
    <w:rsid w:val="007E419B"/>
    <w:rsid w:val="007E4507"/>
    <w:rsid w:val="007E4587"/>
    <w:rsid w:val="007E46BF"/>
    <w:rsid w:val="007E46EA"/>
    <w:rsid w:val="007E4704"/>
    <w:rsid w:val="007E4B9A"/>
    <w:rsid w:val="007E50E2"/>
    <w:rsid w:val="007E52CC"/>
    <w:rsid w:val="007E544D"/>
    <w:rsid w:val="007E5612"/>
    <w:rsid w:val="007E567A"/>
    <w:rsid w:val="007E5770"/>
    <w:rsid w:val="007E5973"/>
    <w:rsid w:val="007E5ADC"/>
    <w:rsid w:val="007E5CAA"/>
    <w:rsid w:val="007E5DC6"/>
    <w:rsid w:val="007E5EAC"/>
    <w:rsid w:val="007E604C"/>
    <w:rsid w:val="007E64FB"/>
    <w:rsid w:val="007E6765"/>
    <w:rsid w:val="007E6A1C"/>
    <w:rsid w:val="007E6B72"/>
    <w:rsid w:val="007E6B91"/>
    <w:rsid w:val="007E6F3B"/>
    <w:rsid w:val="007E7068"/>
    <w:rsid w:val="007E70D2"/>
    <w:rsid w:val="007E782B"/>
    <w:rsid w:val="007E7A24"/>
    <w:rsid w:val="007E7A79"/>
    <w:rsid w:val="007E7D7A"/>
    <w:rsid w:val="007F00E7"/>
    <w:rsid w:val="007F0124"/>
    <w:rsid w:val="007F0514"/>
    <w:rsid w:val="007F07AE"/>
    <w:rsid w:val="007F0916"/>
    <w:rsid w:val="007F0D5A"/>
    <w:rsid w:val="007F0D94"/>
    <w:rsid w:val="007F0FC6"/>
    <w:rsid w:val="007F100A"/>
    <w:rsid w:val="007F108A"/>
    <w:rsid w:val="007F176F"/>
    <w:rsid w:val="007F19FF"/>
    <w:rsid w:val="007F1D16"/>
    <w:rsid w:val="007F1F3C"/>
    <w:rsid w:val="007F23E7"/>
    <w:rsid w:val="007F2405"/>
    <w:rsid w:val="007F2637"/>
    <w:rsid w:val="007F27D0"/>
    <w:rsid w:val="007F29E1"/>
    <w:rsid w:val="007F29E4"/>
    <w:rsid w:val="007F2A99"/>
    <w:rsid w:val="007F2CA8"/>
    <w:rsid w:val="007F3B3D"/>
    <w:rsid w:val="007F3B51"/>
    <w:rsid w:val="007F3BA1"/>
    <w:rsid w:val="007F3E1E"/>
    <w:rsid w:val="007F3F7D"/>
    <w:rsid w:val="007F4077"/>
    <w:rsid w:val="007F4755"/>
    <w:rsid w:val="007F4A83"/>
    <w:rsid w:val="007F4D51"/>
    <w:rsid w:val="007F4E25"/>
    <w:rsid w:val="007F5029"/>
    <w:rsid w:val="007F5114"/>
    <w:rsid w:val="007F5178"/>
    <w:rsid w:val="007F51AF"/>
    <w:rsid w:val="007F53C6"/>
    <w:rsid w:val="007F56E0"/>
    <w:rsid w:val="007F5A81"/>
    <w:rsid w:val="007F5A8A"/>
    <w:rsid w:val="007F5AC6"/>
    <w:rsid w:val="007F5B43"/>
    <w:rsid w:val="007F5BB2"/>
    <w:rsid w:val="007F5BEF"/>
    <w:rsid w:val="007F5C1D"/>
    <w:rsid w:val="007F5E61"/>
    <w:rsid w:val="007F5F6D"/>
    <w:rsid w:val="007F60C4"/>
    <w:rsid w:val="007F6180"/>
    <w:rsid w:val="007F645B"/>
    <w:rsid w:val="007F6526"/>
    <w:rsid w:val="007F6A3A"/>
    <w:rsid w:val="007F72B1"/>
    <w:rsid w:val="007F735A"/>
    <w:rsid w:val="007F741A"/>
    <w:rsid w:val="007F747D"/>
    <w:rsid w:val="007F757C"/>
    <w:rsid w:val="007F764D"/>
    <w:rsid w:val="007F79DA"/>
    <w:rsid w:val="007F7A8C"/>
    <w:rsid w:val="007F7BB7"/>
    <w:rsid w:val="007F7DFE"/>
    <w:rsid w:val="007F7F7C"/>
    <w:rsid w:val="007F7FE7"/>
    <w:rsid w:val="00800060"/>
    <w:rsid w:val="00800D88"/>
    <w:rsid w:val="00800DA3"/>
    <w:rsid w:val="00801008"/>
    <w:rsid w:val="00801552"/>
    <w:rsid w:val="008015A6"/>
    <w:rsid w:val="00801687"/>
    <w:rsid w:val="00801A9B"/>
    <w:rsid w:val="00801B41"/>
    <w:rsid w:val="00801C21"/>
    <w:rsid w:val="00801C3A"/>
    <w:rsid w:val="00801E00"/>
    <w:rsid w:val="00801F7C"/>
    <w:rsid w:val="008022D7"/>
    <w:rsid w:val="00802477"/>
    <w:rsid w:val="008028B6"/>
    <w:rsid w:val="00802983"/>
    <w:rsid w:val="00802C08"/>
    <w:rsid w:val="00802C68"/>
    <w:rsid w:val="00802FD9"/>
    <w:rsid w:val="00803457"/>
    <w:rsid w:val="008036AD"/>
    <w:rsid w:val="008038B8"/>
    <w:rsid w:val="00803AE8"/>
    <w:rsid w:val="00803CEF"/>
    <w:rsid w:val="00803F86"/>
    <w:rsid w:val="00803FCA"/>
    <w:rsid w:val="0080406E"/>
    <w:rsid w:val="008041DE"/>
    <w:rsid w:val="008041F1"/>
    <w:rsid w:val="00804337"/>
    <w:rsid w:val="0080489C"/>
    <w:rsid w:val="008048E7"/>
    <w:rsid w:val="00804AEC"/>
    <w:rsid w:val="00804EEC"/>
    <w:rsid w:val="00805016"/>
    <w:rsid w:val="00805323"/>
    <w:rsid w:val="00805510"/>
    <w:rsid w:val="008056E7"/>
    <w:rsid w:val="00805779"/>
    <w:rsid w:val="008058E2"/>
    <w:rsid w:val="00805D22"/>
    <w:rsid w:val="00805DED"/>
    <w:rsid w:val="00805E31"/>
    <w:rsid w:val="0080623E"/>
    <w:rsid w:val="00806283"/>
    <w:rsid w:val="0080628C"/>
    <w:rsid w:val="00806300"/>
    <w:rsid w:val="008064F1"/>
    <w:rsid w:val="008065A0"/>
    <w:rsid w:val="00806719"/>
    <w:rsid w:val="00807034"/>
    <w:rsid w:val="00807089"/>
    <w:rsid w:val="00807749"/>
    <w:rsid w:val="00807814"/>
    <w:rsid w:val="00807994"/>
    <w:rsid w:val="008079DC"/>
    <w:rsid w:val="008079ED"/>
    <w:rsid w:val="00807FE4"/>
    <w:rsid w:val="0081001F"/>
    <w:rsid w:val="00810146"/>
    <w:rsid w:val="008102B8"/>
    <w:rsid w:val="00810362"/>
    <w:rsid w:val="0081061E"/>
    <w:rsid w:val="00810D57"/>
    <w:rsid w:val="00810F74"/>
    <w:rsid w:val="00811271"/>
    <w:rsid w:val="008113B3"/>
    <w:rsid w:val="00811551"/>
    <w:rsid w:val="00811565"/>
    <w:rsid w:val="00811627"/>
    <w:rsid w:val="00811B30"/>
    <w:rsid w:val="00811D6B"/>
    <w:rsid w:val="00811EA4"/>
    <w:rsid w:val="00811FC6"/>
    <w:rsid w:val="00812050"/>
    <w:rsid w:val="0081226C"/>
    <w:rsid w:val="008126E2"/>
    <w:rsid w:val="00812E6F"/>
    <w:rsid w:val="0081309E"/>
    <w:rsid w:val="008130C8"/>
    <w:rsid w:val="008131A5"/>
    <w:rsid w:val="0081323E"/>
    <w:rsid w:val="008134F3"/>
    <w:rsid w:val="00813528"/>
    <w:rsid w:val="00813633"/>
    <w:rsid w:val="00813A7D"/>
    <w:rsid w:val="00813A8B"/>
    <w:rsid w:val="00813DAE"/>
    <w:rsid w:val="00814306"/>
    <w:rsid w:val="00814390"/>
    <w:rsid w:val="008144AC"/>
    <w:rsid w:val="0081475D"/>
    <w:rsid w:val="00814990"/>
    <w:rsid w:val="00814A70"/>
    <w:rsid w:val="00814B33"/>
    <w:rsid w:val="00815066"/>
    <w:rsid w:val="00815097"/>
    <w:rsid w:val="008154A9"/>
    <w:rsid w:val="008154F8"/>
    <w:rsid w:val="00815873"/>
    <w:rsid w:val="00815A95"/>
    <w:rsid w:val="00815C11"/>
    <w:rsid w:val="00816575"/>
    <w:rsid w:val="008165C4"/>
    <w:rsid w:val="008167CF"/>
    <w:rsid w:val="00816BCC"/>
    <w:rsid w:val="00816BE7"/>
    <w:rsid w:val="0081728C"/>
    <w:rsid w:val="008172B2"/>
    <w:rsid w:val="0081730C"/>
    <w:rsid w:val="0081759E"/>
    <w:rsid w:val="00817623"/>
    <w:rsid w:val="008177F6"/>
    <w:rsid w:val="00817A9A"/>
    <w:rsid w:val="00820322"/>
    <w:rsid w:val="008203BC"/>
    <w:rsid w:val="0082051C"/>
    <w:rsid w:val="0082057B"/>
    <w:rsid w:val="00820777"/>
    <w:rsid w:val="00820A2E"/>
    <w:rsid w:val="00820AE7"/>
    <w:rsid w:val="00820C64"/>
    <w:rsid w:val="00820E0B"/>
    <w:rsid w:val="00820E76"/>
    <w:rsid w:val="008210C4"/>
    <w:rsid w:val="0082113C"/>
    <w:rsid w:val="008212F2"/>
    <w:rsid w:val="008213FD"/>
    <w:rsid w:val="0082150D"/>
    <w:rsid w:val="008215AC"/>
    <w:rsid w:val="00821DCB"/>
    <w:rsid w:val="00821F0F"/>
    <w:rsid w:val="00822595"/>
    <w:rsid w:val="0082282F"/>
    <w:rsid w:val="008228C1"/>
    <w:rsid w:val="00822A30"/>
    <w:rsid w:val="00822A6C"/>
    <w:rsid w:val="00822C37"/>
    <w:rsid w:val="008231DD"/>
    <w:rsid w:val="0082388F"/>
    <w:rsid w:val="00823A12"/>
    <w:rsid w:val="00823F13"/>
    <w:rsid w:val="00824021"/>
    <w:rsid w:val="00824119"/>
    <w:rsid w:val="00824412"/>
    <w:rsid w:val="008249F3"/>
    <w:rsid w:val="00825100"/>
    <w:rsid w:val="00825164"/>
    <w:rsid w:val="0082543B"/>
    <w:rsid w:val="00825671"/>
    <w:rsid w:val="00825780"/>
    <w:rsid w:val="00825A4C"/>
    <w:rsid w:val="0082626E"/>
    <w:rsid w:val="00826460"/>
    <w:rsid w:val="008267BA"/>
    <w:rsid w:val="00826A79"/>
    <w:rsid w:val="00826B7E"/>
    <w:rsid w:val="00826BB6"/>
    <w:rsid w:val="00826BEE"/>
    <w:rsid w:val="00826C54"/>
    <w:rsid w:val="00826C7E"/>
    <w:rsid w:val="00826D2D"/>
    <w:rsid w:val="00827010"/>
    <w:rsid w:val="0082716D"/>
    <w:rsid w:val="0082737B"/>
    <w:rsid w:val="00827430"/>
    <w:rsid w:val="00827731"/>
    <w:rsid w:val="00827B1A"/>
    <w:rsid w:val="00827B91"/>
    <w:rsid w:val="00827DBE"/>
    <w:rsid w:val="00827E18"/>
    <w:rsid w:val="00827F6A"/>
    <w:rsid w:val="0083007E"/>
    <w:rsid w:val="00830667"/>
    <w:rsid w:val="00830743"/>
    <w:rsid w:val="0083078E"/>
    <w:rsid w:val="008308B2"/>
    <w:rsid w:val="00830A12"/>
    <w:rsid w:val="00830B01"/>
    <w:rsid w:val="00830CE8"/>
    <w:rsid w:val="00830E26"/>
    <w:rsid w:val="00830E50"/>
    <w:rsid w:val="00831139"/>
    <w:rsid w:val="0083130F"/>
    <w:rsid w:val="0083143D"/>
    <w:rsid w:val="008317D5"/>
    <w:rsid w:val="00831B79"/>
    <w:rsid w:val="00832372"/>
    <w:rsid w:val="0083286F"/>
    <w:rsid w:val="00832F74"/>
    <w:rsid w:val="00833080"/>
    <w:rsid w:val="0083318E"/>
    <w:rsid w:val="008336E8"/>
    <w:rsid w:val="0083380D"/>
    <w:rsid w:val="00833AE3"/>
    <w:rsid w:val="00833AE5"/>
    <w:rsid w:val="00833B0B"/>
    <w:rsid w:val="00833F43"/>
    <w:rsid w:val="00834050"/>
    <w:rsid w:val="0083469F"/>
    <w:rsid w:val="00834757"/>
    <w:rsid w:val="00834894"/>
    <w:rsid w:val="008349C8"/>
    <w:rsid w:val="00834A7F"/>
    <w:rsid w:val="00834B6D"/>
    <w:rsid w:val="00834FEA"/>
    <w:rsid w:val="00835065"/>
    <w:rsid w:val="00835396"/>
    <w:rsid w:val="00835823"/>
    <w:rsid w:val="008358D3"/>
    <w:rsid w:val="00835F93"/>
    <w:rsid w:val="00836263"/>
    <w:rsid w:val="00836449"/>
    <w:rsid w:val="008365A3"/>
    <w:rsid w:val="00836A80"/>
    <w:rsid w:val="00836AA0"/>
    <w:rsid w:val="00836AAA"/>
    <w:rsid w:val="00836C7F"/>
    <w:rsid w:val="00836FA8"/>
    <w:rsid w:val="008372FC"/>
    <w:rsid w:val="00837472"/>
    <w:rsid w:val="008374A9"/>
    <w:rsid w:val="00837747"/>
    <w:rsid w:val="00837D59"/>
    <w:rsid w:val="00840012"/>
    <w:rsid w:val="00840108"/>
    <w:rsid w:val="00840449"/>
    <w:rsid w:val="0084071C"/>
    <w:rsid w:val="00840775"/>
    <w:rsid w:val="00840951"/>
    <w:rsid w:val="00840ACF"/>
    <w:rsid w:val="00840D4D"/>
    <w:rsid w:val="00841052"/>
    <w:rsid w:val="00841150"/>
    <w:rsid w:val="008411E9"/>
    <w:rsid w:val="00841226"/>
    <w:rsid w:val="00841405"/>
    <w:rsid w:val="0084166E"/>
    <w:rsid w:val="00841C50"/>
    <w:rsid w:val="00841CC2"/>
    <w:rsid w:val="00841D08"/>
    <w:rsid w:val="00841DD1"/>
    <w:rsid w:val="00841FF0"/>
    <w:rsid w:val="00842121"/>
    <w:rsid w:val="00842270"/>
    <w:rsid w:val="0084284E"/>
    <w:rsid w:val="00842BE9"/>
    <w:rsid w:val="00842D2E"/>
    <w:rsid w:val="00842E7A"/>
    <w:rsid w:val="00842EA1"/>
    <w:rsid w:val="00842EA4"/>
    <w:rsid w:val="0084331F"/>
    <w:rsid w:val="00843424"/>
    <w:rsid w:val="00843428"/>
    <w:rsid w:val="00843576"/>
    <w:rsid w:val="008438EE"/>
    <w:rsid w:val="00843B6F"/>
    <w:rsid w:val="00843BD9"/>
    <w:rsid w:val="00843D6A"/>
    <w:rsid w:val="00843E15"/>
    <w:rsid w:val="008440F7"/>
    <w:rsid w:val="008446B1"/>
    <w:rsid w:val="008449B5"/>
    <w:rsid w:val="00844D21"/>
    <w:rsid w:val="00844F0C"/>
    <w:rsid w:val="00844F21"/>
    <w:rsid w:val="008453E0"/>
    <w:rsid w:val="00845411"/>
    <w:rsid w:val="00845421"/>
    <w:rsid w:val="00845538"/>
    <w:rsid w:val="00845618"/>
    <w:rsid w:val="008456F9"/>
    <w:rsid w:val="008458D2"/>
    <w:rsid w:val="00845B35"/>
    <w:rsid w:val="00845C11"/>
    <w:rsid w:val="00845D93"/>
    <w:rsid w:val="008461A2"/>
    <w:rsid w:val="0084627E"/>
    <w:rsid w:val="008465D0"/>
    <w:rsid w:val="008466ED"/>
    <w:rsid w:val="00846B75"/>
    <w:rsid w:val="00846DAA"/>
    <w:rsid w:val="0084702C"/>
    <w:rsid w:val="0084711C"/>
    <w:rsid w:val="0084748F"/>
    <w:rsid w:val="00847803"/>
    <w:rsid w:val="00847A29"/>
    <w:rsid w:val="00850165"/>
    <w:rsid w:val="008501A2"/>
    <w:rsid w:val="0085025B"/>
    <w:rsid w:val="008502C5"/>
    <w:rsid w:val="00850346"/>
    <w:rsid w:val="008507A5"/>
    <w:rsid w:val="00850BEF"/>
    <w:rsid w:val="00850C3F"/>
    <w:rsid w:val="00850C41"/>
    <w:rsid w:val="00850CAD"/>
    <w:rsid w:val="00850CE7"/>
    <w:rsid w:val="00850D3F"/>
    <w:rsid w:val="00850E7D"/>
    <w:rsid w:val="00851185"/>
    <w:rsid w:val="008515EF"/>
    <w:rsid w:val="008517F0"/>
    <w:rsid w:val="008519A9"/>
    <w:rsid w:val="00851A4A"/>
    <w:rsid w:val="00851BE4"/>
    <w:rsid w:val="00851CE5"/>
    <w:rsid w:val="00851E15"/>
    <w:rsid w:val="00851E29"/>
    <w:rsid w:val="008522A1"/>
    <w:rsid w:val="008522CA"/>
    <w:rsid w:val="0085231D"/>
    <w:rsid w:val="008523E6"/>
    <w:rsid w:val="008527E8"/>
    <w:rsid w:val="0085280F"/>
    <w:rsid w:val="00852813"/>
    <w:rsid w:val="0085281F"/>
    <w:rsid w:val="00852A7B"/>
    <w:rsid w:val="00852E91"/>
    <w:rsid w:val="00852F0E"/>
    <w:rsid w:val="008530DE"/>
    <w:rsid w:val="0085328E"/>
    <w:rsid w:val="008535FC"/>
    <w:rsid w:val="00853926"/>
    <w:rsid w:val="008539D3"/>
    <w:rsid w:val="00853A63"/>
    <w:rsid w:val="00853AF4"/>
    <w:rsid w:val="00853C55"/>
    <w:rsid w:val="00853E54"/>
    <w:rsid w:val="00853E8E"/>
    <w:rsid w:val="00853F20"/>
    <w:rsid w:val="0085411D"/>
    <w:rsid w:val="00854129"/>
    <w:rsid w:val="0085432D"/>
    <w:rsid w:val="0085451B"/>
    <w:rsid w:val="0085454C"/>
    <w:rsid w:val="008545BF"/>
    <w:rsid w:val="00854769"/>
    <w:rsid w:val="008551E9"/>
    <w:rsid w:val="0085520B"/>
    <w:rsid w:val="00855366"/>
    <w:rsid w:val="0085544C"/>
    <w:rsid w:val="00855B95"/>
    <w:rsid w:val="00855C73"/>
    <w:rsid w:val="00855CCA"/>
    <w:rsid w:val="00855EAC"/>
    <w:rsid w:val="00855F7F"/>
    <w:rsid w:val="00856B3C"/>
    <w:rsid w:val="0085768E"/>
    <w:rsid w:val="00857780"/>
    <w:rsid w:val="00857803"/>
    <w:rsid w:val="00857878"/>
    <w:rsid w:val="008578EC"/>
    <w:rsid w:val="0085797C"/>
    <w:rsid w:val="00857B3E"/>
    <w:rsid w:val="00857C8A"/>
    <w:rsid w:val="00857D40"/>
    <w:rsid w:val="00857E76"/>
    <w:rsid w:val="00857F47"/>
    <w:rsid w:val="00857F8B"/>
    <w:rsid w:val="0086012F"/>
    <w:rsid w:val="008604B5"/>
    <w:rsid w:val="008605A6"/>
    <w:rsid w:val="008605F3"/>
    <w:rsid w:val="0086077E"/>
    <w:rsid w:val="008608E3"/>
    <w:rsid w:val="00860997"/>
    <w:rsid w:val="008609C5"/>
    <w:rsid w:val="00860C06"/>
    <w:rsid w:val="00860F50"/>
    <w:rsid w:val="00860FAF"/>
    <w:rsid w:val="008612B7"/>
    <w:rsid w:val="0086155F"/>
    <w:rsid w:val="00861750"/>
    <w:rsid w:val="0086188C"/>
    <w:rsid w:val="00861BFC"/>
    <w:rsid w:val="00861C57"/>
    <w:rsid w:val="008621A8"/>
    <w:rsid w:val="00862740"/>
    <w:rsid w:val="00862959"/>
    <w:rsid w:val="00862B3D"/>
    <w:rsid w:val="00862E6C"/>
    <w:rsid w:val="00862EBC"/>
    <w:rsid w:val="008630DB"/>
    <w:rsid w:val="00863377"/>
    <w:rsid w:val="00863411"/>
    <w:rsid w:val="008634F0"/>
    <w:rsid w:val="00863525"/>
    <w:rsid w:val="00863D6B"/>
    <w:rsid w:val="008640BC"/>
    <w:rsid w:val="00864421"/>
    <w:rsid w:val="00864595"/>
    <w:rsid w:val="00864718"/>
    <w:rsid w:val="008648B5"/>
    <w:rsid w:val="00864960"/>
    <w:rsid w:val="00864A4C"/>
    <w:rsid w:val="00864D4A"/>
    <w:rsid w:val="00864D7B"/>
    <w:rsid w:val="00864F13"/>
    <w:rsid w:val="0086507C"/>
    <w:rsid w:val="008651F2"/>
    <w:rsid w:val="00865542"/>
    <w:rsid w:val="00865A27"/>
    <w:rsid w:val="00865A2A"/>
    <w:rsid w:val="00865BE9"/>
    <w:rsid w:val="00865F39"/>
    <w:rsid w:val="00866104"/>
    <w:rsid w:val="0086624D"/>
    <w:rsid w:val="0086626C"/>
    <w:rsid w:val="0086627C"/>
    <w:rsid w:val="00866457"/>
    <w:rsid w:val="00866482"/>
    <w:rsid w:val="00866572"/>
    <w:rsid w:val="0086697A"/>
    <w:rsid w:val="008669F1"/>
    <w:rsid w:val="00866B41"/>
    <w:rsid w:val="00866E54"/>
    <w:rsid w:val="00866F03"/>
    <w:rsid w:val="008675B7"/>
    <w:rsid w:val="008676A3"/>
    <w:rsid w:val="008676C0"/>
    <w:rsid w:val="00870193"/>
    <w:rsid w:val="008701FD"/>
    <w:rsid w:val="00870541"/>
    <w:rsid w:val="00870598"/>
    <w:rsid w:val="00870650"/>
    <w:rsid w:val="00870651"/>
    <w:rsid w:val="0087067E"/>
    <w:rsid w:val="00870966"/>
    <w:rsid w:val="008709D7"/>
    <w:rsid w:val="00870A90"/>
    <w:rsid w:val="00870B2B"/>
    <w:rsid w:val="00870B97"/>
    <w:rsid w:val="00870B9B"/>
    <w:rsid w:val="00871400"/>
    <w:rsid w:val="0087179D"/>
    <w:rsid w:val="0087191F"/>
    <w:rsid w:val="008719DD"/>
    <w:rsid w:val="00871AF9"/>
    <w:rsid w:val="00871C30"/>
    <w:rsid w:val="00871D7C"/>
    <w:rsid w:val="0087207F"/>
    <w:rsid w:val="00872106"/>
    <w:rsid w:val="00872353"/>
    <w:rsid w:val="00872396"/>
    <w:rsid w:val="0087273F"/>
    <w:rsid w:val="00872A54"/>
    <w:rsid w:val="00872ABE"/>
    <w:rsid w:val="008730B9"/>
    <w:rsid w:val="00873115"/>
    <w:rsid w:val="008731EE"/>
    <w:rsid w:val="00873C55"/>
    <w:rsid w:val="00873D77"/>
    <w:rsid w:val="00874120"/>
    <w:rsid w:val="008741F7"/>
    <w:rsid w:val="00874348"/>
    <w:rsid w:val="00874401"/>
    <w:rsid w:val="008744B1"/>
    <w:rsid w:val="00874929"/>
    <w:rsid w:val="00874A51"/>
    <w:rsid w:val="0087541A"/>
    <w:rsid w:val="008755B3"/>
    <w:rsid w:val="0087579F"/>
    <w:rsid w:val="00875897"/>
    <w:rsid w:val="008758A4"/>
    <w:rsid w:val="00875987"/>
    <w:rsid w:val="008759A8"/>
    <w:rsid w:val="00875A01"/>
    <w:rsid w:val="00875D53"/>
    <w:rsid w:val="00876121"/>
    <w:rsid w:val="00876504"/>
    <w:rsid w:val="0087680A"/>
    <w:rsid w:val="008769AC"/>
    <w:rsid w:val="00876E72"/>
    <w:rsid w:val="00877098"/>
    <w:rsid w:val="00877357"/>
    <w:rsid w:val="00877472"/>
    <w:rsid w:val="008776C7"/>
    <w:rsid w:val="0087780B"/>
    <w:rsid w:val="0087786D"/>
    <w:rsid w:val="008778BE"/>
    <w:rsid w:val="008779FF"/>
    <w:rsid w:val="00877A16"/>
    <w:rsid w:val="00877AA4"/>
    <w:rsid w:val="00877B0D"/>
    <w:rsid w:val="00877DC8"/>
    <w:rsid w:val="00877F19"/>
    <w:rsid w:val="00877F72"/>
    <w:rsid w:val="00880593"/>
    <w:rsid w:val="008805EB"/>
    <w:rsid w:val="00880676"/>
    <w:rsid w:val="00880688"/>
    <w:rsid w:val="00880AE9"/>
    <w:rsid w:val="00880D88"/>
    <w:rsid w:val="00880EAA"/>
    <w:rsid w:val="00880F14"/>
    <w:rsid w:val="0088206A"/>
    <w:rsid w:val="00882318"/>
    <w:rsid w:val="00882CC6"/>
    <w:rsid w:val="00882F98"/>
    <w:rsid w:val="0088319E"/>
    <w:rsid w:val="0088340E"/>
    <w:rsid w:val="00883457"/>
    <w:rsid w:val="00883A3E"/>
    <w:rsid w:val="00883A70"/>
    <w:rsid w:val="00883B24"/>
    <w:rsid w:val="00883B80"/>
    <w:rsid w:val="00883DAC"/>
    <w:rsid w:val="00883F43"/>
    <w:rsid w:val="00883F72"/>
    <w:rsid w:val="00883FF0"/>
    <w:rsid w:val="00884371"/>
    <w:rsid w:val="008843E0"/>
    <w:rsid w:val="008845E9"/>
    <w:rsid w:val="0088463E"/>
    <w:rsid w:val="00884734"/>
    <w:rsid w:val="00884796"/>
    <w:rsid w:val="0088480C"/>
    <w:rsid w:val="00884A39"/>
    <w:rsid w:val="00884CF1"/>
    <w:rsid w:val="00884D2C"/>
    <w:rsid w:val="00885015"/>
    <w:rsid w:val="008850DB"/>
    <w:rsid w:val="008850E5"/>
    <w:rsid w:val="0088515C"/>
    <w:rsid w:val="008854BC"/>
    <w:rsid w:val="008855BB"/>
    <w:rsid w:val="00885639"/>
    <w:rsid w:val="008856C9"/>
    <w:rsid w:val="0088598B"/>
    <w:rsid w:val="00885C13"/>
    <w:rsid w:val="00885FBB"/>
    <w:rsid w:val="00886064"/>
    <w:rsid w:val="0088640B"/>
    <w:rsid w:val="00886733"/>
    <w:rsid w:val="00886998"/>
    <w:rsid w:val="00886F40"/>
    <w:rsid w:val="0088704A"/>
    <w:rsid w:val="008870CC"/>
    <w:rsid w:val="008870EE"/>
    <w:rsid w:val="00887798"/>
    <w:rsid w:val="00890CEF"/>
    <w:rsid w:val="0089114B"/>
    <w:rsid w:val="00891190"/>
    <w:rsid w:val="0089127E"/>
    <w:rsid w:val="0089134A"/>
    <w:rsid w:val="00891774"/>
    <w:rsid w:val="00891986"/>
    <w:rsid w:val="00891F30"/>
    <w:rsid w:val="00892161"/>
    <w:rsid w:val="0089217E"/>
    <w:rsid w:val="008923EE"/>
    <w:rsid w:val="00892660"/>
    <w:rsid w:val="008928F7"/>
    <w:rsid w:val="00892E04"/>
    <w:rsid w:val="00892F3E"/>
    <w:rsid w:val="008931EA"/>
    <w:rsid w:val="008933AD"/>
    <w:rsid w:val="008933F6"/>
    <w:rsid w:val="00893412"/>
    <w:rsid w:val="008935BE"/>
    <w:rsid w:val="00893740"/>
    <w:rsid w:val="008938F6"/>
    <w:rsid w:val="00893BB8"/>
    <w:rsid w:val="00893CE5"/>
    <w:rsid w:val="00893EB3"/>
    <w:rsid w:val="00894044"/>
    <w:rsid w:val="00894139"/>
    <w:rsid w:val="008941CB"/>
    <w:rsid w:val="008941D9"/>
    <w:rsid w:val="008941F0"/>
    <w:rsid w:val="00894442"/>
    <w:rsid w:val="00894632"/>
    <w:rsid w:val="00894A52"/>
    <w:rsid w:val="00894D4B"/>
    <w:rsid w:val="00894D64"/>
    <w:rsid w:val="00894DF0"/>
    <w:rsid w:val="0089541B"/>
    <w:rsid w:val="0089544F"/>
    <w:rsid w:val="00895552"/>
    <w:rsid w:val="0089567A"/>
    <w:rsid w:val="0089581C"/>
    <w:rsid w:val="00895DEB"/>
    <w:rsid w:val="00895EAE"/>
    <w:rsid w:val="00895FE6"/>
    <w:rsid w:val="00896035"/>
    <w:rsid w:val="008964C2"/>
    <w:rsid w:val="008966E5"/>
    <w:rsid w:val="00896B99"/>
    <w:rsid w:val="00896BFA"/>
    <w:rsid w:val="00896E71"/>
    <w:rsid w:val="00896EA0"/>
    <w:rsid w:val="00896FE9"/>
    <w:rsid w:val="00897160"/>
    <w:rsid w:val="008973E3"/>
    <w:rsid w:val="0089744C"/>
    <w:rsid w:val="00897457"/>
    <w:rsid w:val="00897798"/>
    <w:rsid w:val="00897DF3"/>
    <w:rsid w:val="00897E6F"/>
    <w:rsid w:val="00897FD2"/>
    <w:rsid w:val="008A0011"/>
    <w:rsid w:val="008A01CB"/>
    <w:rsid w:val="008A03AC"/>
    <w:rsid w:val="008A05AB"/>
    <w:rsid w:val="008A0823"/>
    <w:rsid w:val="008A0915"/>
    <w:rsid w:val="008A092D"/>
    <w:rsid w:val="008A0B5B"/>
    <w:rsid w:val="008A0B89"/>
    <w:rsid w:val="008A0C2C"/>
    <w:rsid w:val="008A0DF3"/>
    <w:rsid w:val="008A0E41"/>
    <w:rsid w:val="008A0FB7"/>
    <w:rsid w:val="008A1333"/>
    <w:rsid w:val="008A1499"/>
    <w:rsid w:val="008A1603"/>
    <w:rsid w:val="008A1AD4"/>
    <w:rsid w:val="008A1B31"/>
    <w:rsid w:val="008A1DFE"/>
    <w:rsid w:val="008A1E15"/>
    <w:rsid w:val="008A2558"/>
    <w:rsid w:val="008A273B"/>
    <w:rsid w:val="008A2C55"/>
    <w:rsid w:val="008A2FE6"/>
    <w:rsid w:val="008A2FF9"/>
    <w:rsid w:val="008A3010"/>
    <w:rsid w:val="008A321F"/>
    <w:rsid w:val="008A3615"/>
    <w:rsid w:val="008A4205"/>
    <w:rsid w:val="008A434D"/>
    <w:rsid w:val="008A4363"/>
    <w:rsid w:val="008A4677"/>
    <w:rsid w:val="008A4781"/>
    <w:rsid w:val="008A4846"/>
    <w:rsid w:val="008A4BAB"/>
    <w:rsid w:val="008A5103"/>
    <w:rsid w:val="008A55D2"/>
    <w:rsid w:val="008A5724"/>
    <w:rsid w:val="008A58D3"/>
    <w:rsid w:val="008A6068"/>
    <w:rsid w:val="008A6161"/>
    <w:rsid w:val="008A64DE"/>
    <w:rsid w:val="008A6679"/>
    <w:rsid w:val="008A6759"/>
    <w:rsid w:val="008A6819"/>
    <w:rsid w:val="008A6B12"/>
    <w:rsid w:val="008A6DB6"/>
    <w:rsid w:val="008A6FC5"/>
    <w:rsid w:val="008A70F7"/>
    <w:rsid w:val="008A74E5"/>
    <w:rsid w:val="008A753F"/>
    <w:rsid w:val="008A76DC"/>
    <w:rsid w:val="008A7D4B"/>
    <w:rsid w:val="008A7E8C"/>
    <w:rsid w:val="008B075D"/>
    <w:rsid w:val="008B0795"/>
    <w:rsid w:val="008B096C"/>
    <w:rsid w:val="008B0AFE"/>
    <w:rsid w:val="008B0B05"/>
    <w:rsid w:val="008B0EDF"/>
    <w:rsid w:val="008B0F37"/>
    <w:rsid w:val="008B114D"/>
    <w:rsid w:val="008B1180"/>
    <w:rsid w:val="008B1371"/>
    <w:rsid w:val="008B148D"/>
    <w:rsid w:val="008B1BB4"/>
    <w:rsid w:val="008B1D1E"/>
    <w:rsid w:val="008B2362"/>
    <w:rsid w:val="008B27FF"/>
    <w:rsid w:val="008B2849"/>
    <w:rsid w:val="008B2902"/>
    <w:rsid w:val="008B29A1"/>
    <w:rsid w:val="008B3197"/>
    <w:rsid w:val="008B31A9"/>
    <w:rsid w:val="008B32C7"/>
    <w:rsid w:val="008B33EE"/>
    <w:rsid w:val="008B346A"/>
    <w:rsid w:val="008B3AB9"/>
    <w:rsid w:val="008B3C95"/>
    <w:rsid w:val="008B42AE"/>
    <w:rsid w:val="008B44C0"/>
    <w:rsid w:val="008B4873"/>
    <w:rsid w:val="008B4BA5"/>
    <w:rsid w:val="008B4C30"/>
    <w:rsid w:val="008B4EAE"/>
    <w:rsid w:val="008B4F24"/>
    <w:rsid w:val="008B50DA"/>
    <w:rsid w:val="008B52F4"/>
    <w:rsid w:val="008B5327"/>
    <w:rsid w:val="008B54D0"/>
    <w:rsid w:val="008B553D"/>
    <w:rsid w:val="008B5570"/>
    <w:rsid w:val="008B57EB"/>
    <w:rsid w:val="008B57F2"/>
    <w:rsid w:val="008B5BC1"/>
    <w:rsid w:val="008B5D78"/>
    <w:rsid w:val="008B5D81"/>
    <w:rsid w:val="008B649C"/>
    <w:rsid w:val="008B653A"/>
    <w:rsid w:val="008B68CF"/>
    <w:rsid w:val="008B6D67"/>
    <w:rsid w:val="008B6E8E"/>
    <w:rsid w:val="008B6E99"/>
    <w:rsid w:val="008B71B1"/>
    <w:rsid w:val="008B725C"/>
    <w:rsid w:val="008B7429"/>
    <w:rsid w:val="008B7487"/>
    <w:rsid w:val="008B758F"/>
    <w:rsid w:val="008B79AD"/>
    <w:rsid w:val="008B7B36"/>
    <w:rsid w:val="008B7D30"/>
    <w:rsid w:val="008C00DF"/>
    <w:rsid w:val="008C0164"/>
    <w:rsid w:val="008C021F"/>
    <w:rsid w:val="008C0259"/>
    <w:rsid w:val="008C0920"/>
    <w:rsid w:val="008C0927"/>
    <w:rsid w:val="008C09FE"/>
    <w:rsid w:val="008C0DCF"/>
    <w:rsid w:val="008C119F"/>
    <w:rsid w:val="008C13CD"/>
    <w:rsid w:val="008C1450"/>
    <w:rsid w:val="008C1606"/>
    <w:rsid w:val="008C1610"/>
    <w:rsid w:val="008C1792"/>
    <w:rsid w:val="008C19F4"/>
    <w:rsid w:val="008C1ABC"/>
    <w:rsid w:val="008C1CEC"/>
    <w:rsid w:val="008C1CED"/>
    <w:rsid w:val="008C1D29"/>
    <w:rsid w:val="008C1D3A"/>
    <w:rsid w:val="008C1E21"/>
    <w:rsid w:val="008C2040"/>
    <w:rsid w:val="008C2722"/>
    <w:rsid w:val="008C272E"/>
    <w:rsid w:val="008C2AE4"/>
    <w:rsid w:val="008C2C2E"/>
    <w:rsid w:val="008C2D39"/>
    <w:rsid w:val="008C2D8B"/>
    <w:rsid w:val="008C3120"/>
    <w:rsid w:val="008C32D1"/>
    <w:rsid w:val="008C3488"/>
    <w:rsid w:val="008C348A"/>
    <w:rsid w:val="008C35AA"/>
    <w:rsid w:val="008C3BDF"/>
    <w:rsid w:val="008C3D46"/>
    <w:rsid w:val="008C3E2A"/>
    <w:rsid w:val="008C40AD"/>
    <w:rsid w:val="008C41EF"/>
    <w:rsid w:val="008C4329"/>
    <w:rsid w:val="008C4418"/>
    <w:rsid w:val="008C4477"/>
    <w:rsid w:val="008C46C2"/>
    <w:rsid w:val="008C4744"/>
    <w:rsid w:val="008C479E"/>
    <w:rsid w:val="008C4EA5"/>
    <w:rsid w:val="008C50B8"/>
    <w:rsid w:val="008C50E5"/>
    <w:rsid w:val="008C5168"/>
    <w:rsid w:val="008C550B"/>
    <w:rsid w:val="008C57CA"/>
    <w:rsid w:val="008C5807"/>
    <w:rsid w:val="008C5CE0"/>
    <w:rsid w:val="008C5D3F"/>
    <w:rsid w:val="008C636A"/>
    <w:rsid w:val="008C6397"/>
    <w:rsid w:val="008C659F"/>
    <w:rsid w:val="008C6776"/>
    <w:rsid w:val="008C67CF"/>
    <w:rsid w:val="008C6A37"/>
    <w:rsid w:val="008C6BC3"/>
    <w:rsid w:val="008C6D38"/>
    <w:rsid w:val="008C6E23"/>
    <w:rsid w:val="008C708E"/>
    <w:rsid w:val="008C7B1E"/>
    <w:rsid w:val="008C7ECE"/>
    <w:rsid w:val="008C7F33"/>
    <w:rsid w:val="008D00DB"/>
    <w:rsid w:val="008D05B8"/>
    <w:rsid w:val="008D0938"/>
    <w:rsid w:val="008D0DA7"/>
    <w:rsid w:val="008D0F1B"/>
    <w:rsid w:val="008D105D"/>
    <w:rsid w:val="008D1638"/>
    <w:rsid w:val="008D1677"/>
    <w:rsid w:val="008D17F0"/>
    <w:rsid w:val="008D1A0F"/>
    <w:rsid w:val="008D1A23"/>
    <w:rsid w:val="008D1B44"/>
    <w:rsid w:val="008D1CDD"/>
    <w:rsid w:val="008D2389"/>
    <w:rsid w:val="008D2447"/>
    <w:rsid w:val="008D2553"/>
    <w:rsid w:val="008D2A40"/>
    <w:rsid w:val="008D2B9D"/>
    <w:rsid w:val="008D2BE6"/>
    <w:rsid w:val="008D2FA2"/>
    <w:rsid w:val="008D2FC0"/>
    <w:rsid w:val="008D2FFF"/>
    <w:rsid w:val="008D34A3"/>
    <w:rsid w:val="008D3542"/>
    <w:rsid w:val="008D3972"/>
    <w:rsid w:val="008D3A0B"/>
    <w:rsid w:val="008D3D92"/>
    <w:rsid w:val="008D3DB9"/>
    <w:rsid w:val="008D3FC8"/>
    <w:rsid w:val="008D42B0"/>
    <w:rsid w:val="008D4354"/>
    <w:rsid w:val="008D44AD"/>
    <w:rsid w:val="008D47E4"/>
    <w:rsid w:val="008D4978"/>
    <w:rsid w:val="008D4CC9"/>
    <w:rsid w:val="008D4DFB"/>
    <w:rsid w:val="008D4E7E"/>
    <w:rsid w:val="008D4FCA"/>
    <w:rsid w:val="008D50C5"/>
    <w:rsid w:val="008D5178"/>
    <w:rsid w:val="008D5383"/>
    <w:rsid w:val="008D53F7"/>
    <w:rsid w:val="008D545F"/>
    <w:rsid w:val="008D57F5"/>
    <w:rsid w:val="008D599F"/>
    <w:rsid w:val="008D5A29"/>
    <w:rsid w:val="008D5A77"/>
    <w:rsid w:val="008D5B8B"/>
    <w:rsid w:val="008D5FAF"/>
    <w:rsid w:val="008D62CD"/>
    <w:rsid w:val="008D6893"/>
    <w:rsid w:val="008D6B2D"/>
    <w:rsid w:val="008D6E26"/>
    <w:rsid w:val="008D6E34"/>
    <w:rsid w:val="008D6E6A"/>
    <w:rsid w:val="008D6EEE"/>
    <w:rsid w:val="008D720F"/>
    <w:rsid w:val="008D73DA"/>
    <w:rsid w:val="008D74C0"/>
    <w:rsid w:val="008D7812"/>
    <w:rsid w:val="008D7901"/>
    <w:rsid w:val="008D795E"/>
    <w:rsid w:val="008D7B60"/>
    <w:rsid w:val="008D7F60"/>
    <w:rsid w:val="008E0460"/>
    <w:rsid w:val="008E05C0"/>
    <w:rsid w:val="008E0806"/>
    <w:rsid w:val="008E098C"/>
    <w:rsid w:val="008E0AC0"/>
    <w:rsid w:val="008E0B48"/>
    <w:rsid w:val="008E0BE1"/>
    <w:rsid w:val="008E0C66"/>
    <w:rsid w:val="008E0C91"/>
    <w:rsid w:val="008E0CC5"/>
    <w:rsid w:val="008E0CED"/>
    <w:rsid w:val="008E0DA6"/>
    <w:rsid w:val="008E12F5"/>
    <w:rsid w:val="008E15FA"/>
    <w:rsid w:val="008E16CC"/>
    <w:rsid w:val="008E1A0C"/>
    <w:rsid w:val="008E1AC6"/>
    <w:rsid w:val="008E1C06"/>
    <w:rsid w:val="008E256C"/>
    <w:rsid w:val="008E2A56"/>
    <w:rsid w:val="008E2B45"/>
    <w:rsid w:val="008E2F8C"/>
    <w:rsid w:val="008E3049"/>
    <w:rsid w:val="008E356D"/>
    <w:rsid w:val="008E4104"/>
    <w:rsid w:val="008E415C"/>
    <w:rsid w:val="008E4452"/>
    <w:rsid w:val="008E45DA"/>
    <w:rsid w:val="008E49D7"/>
    <w:rsid w:val="008E4BA8"/>
    <w:rsid w:val="008E4DD5"/>
    <w:rsid w:val="008E4F75"/>
    <w:rsid w:val="008E4FCA"/>
    <w:rsid w:val="008E5234"/>
    <w:rsid w:val="008E5253"/>
    <w:rsid w:val="008E52BC"/>
    <w:rsid w:val="008E5480"/>
    <w:rsid w:val="008E5C91"/>
    <w:rsid w:val="008E5E55"/>
    <w:rsid w:val="008E6261"/>
    <w:rsid w:val="008E6578"/>
    <w:rsid w:val="008E683D"/>
    <w:rsid w:val="008E6950"/>
    <w:rsid w:val="008E6EFD"/>
    <w:rsid w:val="008E7384"/>
    <w:rsid w:val="008E751E"/>
    <w:rsid w:val="008E7561"/>
    <w:rsid w:val="008E7724"/>
    <w:rsid w:val="008E7A88"/>
    <w:rsid w:val="008E7BC8"/>
    <w:rsid w:val="008E7C89"/>
    <w:rsid w:val="008E7D3E"/>
    <w:rsid w:val="008E7F80"/>
    <w:rsid w:val="008F017F"/>
    <w:rsid w:val="008F0533"/>
    <w:rsid w:val="008F0615"/>
    <w:rsid w:val="008F0758"/>
    <w:rsid w:val="008F083C"/>
    <w:rsid w:val="008F089E"/>
    <w:rsid w:val="008F09C9"/>
    <w:rsid w:val="008F0DAF"/>
    <w:rsid w:val="008F0FF9"/>
    <w:rsid w:val="008F1020"/>
    <w:rsid w:val="008F1137"/>
    <w:rsid w:val="008F12FD"/>
    <w:rsid w:val="008F13DE"/>
    <w:rsid w:val="008F142F"/>
    <w:rsid w:val="008F15A2"/>
    <w:rsid w:val="008F1D67"/>
    <w:rsid w:val="008F209F"/>
    <w:rsid w:val="008F2664"/>
    <w:rsid w:val="008F28B7"/>
    <w:rsid w:val="008F28F6"/>
    <w:rsid w:val="008F29DA"/>
    <w:rsid w:val="008F2E9A"/>
    <w:rsid w:val="008F2EE8"/>
    <w:rsid w:val="008F3633"/>
    <w:rsid w:val="008F3675"/>
    <w:rsid w:val="008F39A6"/>
    <w:rsid w:val="008F39BF"/>
    <w:rsid w:val="008F3DD9"/>
    <w:rsid w:val="008F3F9A"/>
    <w:rsid w:val="008F44C5"/>
    <w:rsid w:val="008F4511"/>
    <w:rsid w:val="008F4691"/>
    <w:rsid w:val="008F46B2"/>
    <w:rsid w:val="008F46E4"/>
    <w:rsid w:val="008F46F7"/>
    <w:rsid w:val="008F477E"/>
    <w:rsid w:val="008F4A3C"/>
    <w:rsid w:val="008F4ABE"/>
    <w:rsid w:val="008F4AC5"/>
    <w:rsid w:val="008F4B35"/>
    <w:rsid w:val="008F4BB1"/>
    <w:rsid w:val="008F4CD6"/>
    <w:rsid w:val="008F4DCF"/>
    <w:rsid w:val="008F523F"/>
    <w:rsid w:val="008F52D9"/>
    <w:rsid w:val="008F5539"/>
    <w:rsid w:val="008F58D8"/>
    <w:rsid w:val="008F5A20"/>
    <w:rsid w:val="008F60CF"/>
    <w:rsid w:val="008F62ED"/>
    <w:rsid w:val="008F63E7"/>
    <w:rsid w:val="008F65C5"/>
    <w:rsid w:val="008F6855"/>
    <w:rsid w:val="008F68A4"/>
    <w:rsid w:val="008F6BB1"/>
    <w:rsid w:val="008F6FDC"/>
    <w:rsid w:val="008F704C"/>
    <w:rsid w:val="008F7794"/>
    <w:rsid w:val="008F7992"/>
    <w:rsid w:val="008F7BD0"/>
    <w:rsid w:val="008F7D6B"/>
    <w:rsid w:val="00900130"/>
    <w:rsid w:val="00900294"/>
    <w:rsid w:val="00900438"/>
    <w:rsid w:val="009009FA"/>
    <w:rsid w:val="00900BAF"/>
    <w:rsid w:val="00900D1C"/>
    <w:rsid w:val="00900D2A"/>
    <w:rsid w:val="00900E8A"/>
    <w:rsid w:val="00900EF4"/>
    <w:rsid w:val="0090113A"/>
    <w:rsid w:val="00901650"/>
    <w:rsid w:val="00901EB5"/>
    <w:rsid w:val="00901F7A"/>
    <w:rsid w:val="009025E1"/>
    <w:rsid w:val="00902945"/>
    <w:rsid w:val="009029AC"/>
    <w:rsid w:val="00902B20"/>
    <w:rsid w:val="00902C55"/>
    <w:rsid w:val="00902E4F"/>
    <w:rsid w:val="00902E93"/>
    <w:rsid w:val="00902FE3"/>
    <w:rsid w:val="0090323A"/>
    <w:rsid w:val="00903341"/>
    <w:rsid w:val="009033C6"/>
    <w:rsid w:val="009034F9"/>
    <w:rsid w:val="009035E0"/>
    <w:rsid w:val="00903723"/>
    <w:rsid w:val="00903D00"/>
    <w:rsid w:val="00903D61"/>
    <w:rsid w:val="00903D81"/>
    <w:rsid w:val="00903D94"/>
    <w:rsid w:val="009043DD"/>
    <w:rsid w:val="009043E4"/>
    <w:rsid w:val="0090449F"/>
    <w:rsid w:val="00904578"/>
    <w:rsid w:val="00904633"/>
    <w:rsid w:val="009046D2"/>
    <w:rsid w:val="0090480E"/>
    <w:rsid w:val="00904904"/>
    <w:rsid w:val="00904A36"/>
    <w:rsid w:val="00904AC0"/>
    <w:rsid w:val="00904B8C"/>
    <w:rsid w:val="00904B9F"/>
    <w:rsid w:val="00904E0D"/>
    <w:rsid w:val="00904F9B"/>
    <w:rsid w:val="00905183"/>
    <w:rsid w:val="00905649"/>
    <w:rsid w:val="009057F2"/>
    <w:rsid w:val="00905D99"/>
    <w:rsid w:val="00905E90"/>
    <w:rsid w:val="00905FE9"/>
    <w:rsid w:val="00906013"/>
    <w:rsid w:val="00906304"/>
    <w:rsid w:val="009065D4"/>
    <w:rsid w:val="009068CD"/>
    <w:rsid w:val="00907059"/>
    <w:rsid w:val="00907450"/>
    <w:rsid w:val="009077C1"/>
    <w:rsid w:val="00907A06"/>
    <w:rsid w:val="00907A38"/>
    <w:rsid w:val="00907B8D"/>
    <w:rsid w:val="00907DD9"/>
    <w:rsid w:val="00907EBC"/>
    <w:rsid w:val="00907EF2"/>
    <w:rsid w:val="00907EFE"/>
    <w:rsid w:val="00910098"/>
    <w:rsid w:val="0091011E"/>
    <w:rsid w:val="0091047A"/>
    <w:rsid w:val="00910612"/>
    <w:rsid w:val="00910D02"/>
    <w:rsid w:val="00910F2B"/>
    <w:rsid w:val="00910FD2"/>
    <w:rsid w:val="009113E8"/>
    <w:rsid w:val="00911A2C"/>
    <w:rsid w:val="00911A59"/>
    <w:rsid w:val="00911C0F"/>
    <w:rsid w:val="00911EC1"/>
    <w:rsid w:val="0091203D"/>
    <w:rsid w:val="009122BF"/>
    <w:rsid w:val="0091251C"/>
    <w:rsid w:val="00912E24"/>
    <w:rsid w:val="00913104"/>
    <w:rsid w:val="00913157"/>
    <w:rsid w:val="00913253"/>
    <w:rsid w:val="00913309"/>
    <w:rsid w:val="009133C1"/>
    <w:rsid w:val="009133EF"/>
    <w:rsid w:val="009133F8"/>
    <w:rsid w:val="00913408"/>
    <w:rsid w:val="009136EA"/>
    <w:rsid w:val="00913BE1"/>
    <w:rsid w:val="009140DE"/>
    <w:rsid w:val="00914109"/>
    <w:rsid w:val="0091413E"/>
    <w:rsid w:val="009142B5"/>
    <w:rsid w:val="00914335"/>
    <w:rsid w:val="00914411"/>
    <w:rsid w:val="00914624"/>
    <w:rsid w:val="00914823"/>
    <w:rsid w:val="00914890"/>
    <w:rsid w:val="00915031"/>
    <w:rsid w:val="0091533B"/>
    <w:rsid w:val="00915468"/>
    <w:rsid w:val="00915489"/>
    <w:rsid w:val="009157E8"/>
    <w:rsid w:val="0091582D"/>
    <w:rsid w:val="00915BCE"/>
    <w:rsid w:val="00915DDF"/>
    <w:rsid w:val="00916284"/>
    <w:rsid w:val="0091628B"/>
    <w:rsid w:val="00916671"/>
    <w:rsid w:val="00916B5B"/>
    <w:rsid w:val="00916CFC"/>
    <w:rsid w:val="00917046"/>
    <w:rsid w:val="00917458"/>
    <w:rsid w:val="009174F2"/>
    <w:rsid w:val="00917665"/>
    <w:rsid w:val="009177DF"/>
    <w:rsid w:val="009177E9"/>
    <w:rsid w:val="00917C56"/>
    <w:rsid w:val="00917F3D"/>
    <w:rsid w:val="009203C6"/>
    <w:rsid w:val="0092048D"/>
    <w:rsid w:val="009204A7"/>
    <w:rsid w:val="00920736"/>
    <w:rsid w:val="00920900"/>
    <w:rsid w:val="00920B91"/>
    <w:rsid w:val="00920DAE"/>
    <w:rsid w:val="0092100E"/>
    <w:rsid w:val="009212AC"/>
    <w:rsid w:val="009213B2"/>
    <w:rsid w:val="009215AE"/>
    <w:rsid w:val="0092162C"/>
    <w:rsid w:val="00921B36"/>
    <w:rsid w:val="00921E8F"/>
    <w:rsid w:val="00922080"/>
    <w:rsid w:val="00922282"/>
    <w:rsid w:val="00922745"/>
    <w:rsid w:val="00922781"/>
    <w:rsid w:val="00922907"/>
    <w:rsid w:val="00922CCC"/>
    <w:rsid w:val="00922E9B"/>
    <w:rsid w:val="00922F7B"/>
    <w:rsid w:val="0092326D"/>
    <w:rsid w:val="00923302"/>
    <w:rsid w:val="00923347"/>
    <w:rsid w:val="009233F6"/>
    <w:rsid w:val="009236F5"/>
    <w:rsid w:val="00923869"/>
    <w:rsid w:val="00923914"/>
    <w:rsid w:val="00923BAF"/>
    <w:rsid w:val="00923D6A"/>
    <w:rsid w:val="00923F25"/>
    <w:rsid w:val="00924096"/>
    <w:rsid w:val="0092448F"/>
    <w:rsid w:val="00924C05"/>
    <w:rsid w:val="00924C12"/>
    <w:rsid w:val="00924D04"/>
    <w:rsid w:val="00924DA6"/>
    <w:rsid w:val="00924E53"/>
    <w:rsid w:val="00924EC7"/>
    <w:rsid w:val="00924F59"/>
    <w:rsid w:val="00925051"/>
    <w:rsid w:val="009251B1"/>
    <w:rsid w:val="0092539C"/>
    <w:rsid w:val="00925402"/>
    <w:rsid w:val="009256B6"/>
    <w:rsid w:val="009257B8"/>
    <w:rsid w:val="00925876"/>
    <w:rsid w:val="00925949"/>
    <w:rsid w:val="009259EB"/>
    <w:rsid w:val="00925C24"/>
    <w:rsid w:val="00925EBE"/>
    <w:rsid w:val="0092623C"/>
    <w:rsid w:val="00926268"/>
    <w:rsid w:val="009267FD"/>
    <w:rsid w:val="0092692F"/>
    <w:rsid w:val="00927059"/>
    <w:rsid w:val="00927191"/>
    <w:rsid w:val="00927313"/>
    <w:rsid w:val="009276CC"/>
    <w:rsid w:val="009279CB"/>
    <w:rsid w:val="00927AB0"/>
    <w:rsid w:val="00927F09"/>
    <w:rsid w:val="00927F3A"/>
    <w:rsid w:val="009301BF"/>
    <w:rsid w:val="00930293"/>
    <w:rsid w:val="009305AF"/>
    <w:rsid w:val="00930BB3"/>
    <w:rsid w:val="00930BC2"/>
    <w:rsid w:val="00930C8B"/>
    <w:rsid w:val="00930F2F"/>
    <w:rsid w:val="00930FA2"/>
    <w:rsid w:val="00931431"/>
    <w:rsid w:val="009315F3"/>
    <w:rsid w:val="0093169A"/>
    <w:rsid w:val="00931789"/>
    <w:rsid w:val="00931EE4"/>
    <w:rsid w:val="00931F20"/>
    <w:rsid w:val="009320A4"/>
    <w:rsid w:val="00932260"/>
    <w:rsid w:val="00932331"/>
    <w:rsid w:val="0093254E"/>
    <w:rsid w:val="00932756"/>
    <w:rsid w:val="00932F11"/>
    <w:rsid w:val="0093320B"/>
    <w:rsid w:val="0093326C"/>
    <w:rsid w:val="00933522"/>
    <w:rsid w:val="0093354B"/>
    <w:rsid w:val="0093364B"/>
    <w:rsid w:val="009338B8"/>
    <w:rsid w:val="0093392F"/>
    <w:rsid w:val="00933B0F"/>
    <w:rsid w:val="00933B68"/>
    <w:rsid w:val="00933E29"/>
    <w:rsid w:val="00934147"/>
    <w:rsid w:val="009344F4"/>
    <w:rsid w:val="009346BC"/>
    <w:rsid w:val="00934740"/>
    <w:rsid w:val="0093479B"/>
    <w:rsid w:val="00934BEF"/>
    <w:rsid w:val="00934E03"/>
    <w:rsid w:val="00935118"/>
    <w:rsid w:val="0093528B"/>
    <w:rsid w:val="0093539D"/>
    <w:rsid w:val="009353FF"/>
    <w:rsid w:val="0093548E"/>
    <w:rsid w:val="009354AC"/>
    <w:rsid w:val="0093558F"/>
    <w:rsid w:val="00935641"/>
    <w:rsid w:val="009357AC"/>
    <w:rsid w:val="009357DB"/>
    <w:rsid w:val="009357E0"/>
    <w:rsid w:val="00935899"/>
    <w:rsid w:val="00935912"/>
    <w:rsid w:val="00935A53"/>
    <w:rsid w:val="009362CF"/>
    <w:rsid w:val="0093651B"/>
    <w:rsid w:val="009367C1"/>
    <w:rsid w:val="00936842"/>
    <w:rsid w:val="009369FC"/>
    <w:rsid w:val="00936C5D"/>
    <w:rsid w:val="00937147"/>
    <w:rsid w:val="00937517"/>
    <w:rsid w:val="009377FD"/>
    <w:rsid w:val="009400DF"/>
    <w:rsid w:val="00940297"/>
    <w:rsid w:val="009404C4"/>
    <w:rsid w:val="009405AF"/>
    <w:rsid w:val="009408A6"/>
    <w:rsid w:val="0094096D"/>
    <w:rsid w:val="00940D86"/>
    <w:rsid w:val="0094104E"/>
    <w:rsid w:val="00941458"/>
    <w:rsid w:val="009418F7"/>
    <w:rsid w:val="00941A0E"/>
    <w:rsid w:val="00941C3E"/>
    <w:rsid w:val="00941C9D"/>
    <w:rsid w:val="00941DAC"/>
    <w:rsid w:val="00941F16"/>
    <w:rsid w:val="00942183"/>
    <w:rsid w:val="00942294"/>
    <w:rsid w:val="0094234B"/>
    <w:rsid w:val="0094238D"/>
    <w:rsid w:val="009423D1"/>
    <w:rsid w:val="009425F8"/>
    <w:rsid w:val="009426B4"/>
    <w:rsid w:val="009427BA"/>
    <w:rsid w:val="00942ADF"/>
    <w:rsid w:val="00942FE5"/>
    <w:rsid w:val="009434B4"/>
    <w:rsid w:val="009434D3"/>
    <w:rsid w:val="00943633"/>
    <w:rsid w:val="009438A7"/>
    <w:rsid w:val="00943E73"/>
    <w:rsid w:val="00943E8F"/>
    <w:rsid w:val="00944900"/>
    <w:rsid w:val="00944945"/>
    <w:rsid w:val="00945056"/>
    <w:rsid w:val="0094515C"/>
    <w:rsid w:val="0094518B"/>
    <w:rsid w:val="009453E6"/>
    <w:rsid w:val="00945717"/>
    <w:rsid w:val="0094577C"/>
    <w:rsid w:val="00945B60"/>
    <w:rsid w:val="00945B98"/>
    <w:rsid w:val="00945D2C"/>
    <w:rsid w:val="00945EF5"/>
    <w:rsid w:val="00945F1D"/>
    <w:rsid w:val="009460EA"/>
    <w:rsid w:val="0094646C"/>
    <w:rsid w:val="009464E2"/>
    <w:rsid w:val="00946640"/>
    <w:rsid w:val="0094669F"/>
    <w:rsid w:val="009466FD"/>
    <w:rsid w:val="009468D1"/>
    <w:rsid w:val="0094695E"/>
    <w:rsid w:val="00946B47"/>
    <w:rsid w:val="00946F63"/>
    <w:rsid w:val="0094708A"/>
    <w:rsid w:val="0094716E"/>
    <w:rsid w:val="0094743A"/>
    <w:rsid w:val="00947764"/>
    <w:rsid w:val="009479C5"/>
    <w:rsid w:val="00947BA0"/>
    <w:rsid w:val="00947E12"/>
    <w:rsid w:val="00947EE4"/>
    <w:rsid w:val="00950216"/>
    <w:rsid w:val="009505F7"/>
    <w:rsid w:val="0095063C"/>
    <w:rsid w:val="009507D1"/>
    <w:rsid w:val="00950A80"/>
    <w:rsid w:val="00950BF7"/>
    <w:rsid w:val="00950F3F"/>
    <w:rsid w:val="00950F56"/>
    <w:rsid w:val="00950FD2"/>
    <w:rsid w:val="00951024"/>
    <w:rsid w:val="00951068"/>
    <w:rsid w:val="009510D0"/>
    <w:rsid w:val="0095129C"/>
    <w:rsid w:val="009513C2"/>
    <w:rsid w:val="00951703"/>
    <w:rsid w:val="009518D5"/>
    <w:rsid w:val="00951B01"/>
    <w:rsid w:val="00951BA5"/>
    <w:rsid w:val="00952142"/>
    <w:rsid w:val="00952223"/>
    <w:rsid w:val="00952409"/>
    <w:rsid w:val="009525A6"/>
    <w:rsid w:val="0095266D"/>
    <w:rsid w:val="00952796"/>
    <w:rsid w:val="00952B7D"/>
    <w:rsid w:val="00952BCC"/>
    <w:rsid w:val="00952DB2"/>
    <w:rsid w:val="009535D0"/>
    <w:rsid w:val="00953CEE"/>
    <w:rsid w:val="00953D24"/>
    <w:rsid w:val="00953D43"/>
    <w:rsid w:val="00953ECE"/>
    <w:rsid w:val="00954340"/>
    <w:rsid w:val="00954361"/>
    <w:rsid w:val="009544BB"/>
    <w:rsid w:val="00954784"/>
    <w:rsid w:val="00954D4B"/>
    <w:rsid w:val="00954E1F"/>
    <w:rsid w:val="00954F4B"/>
    <w:rsid w:val="009550BC"/>
    <w:rsid w:val="00955264"/>
    <w:rsid w:val="00955567"/>
    <w:rsid w:val="00955629"/>
    <w:rsid w:val="00955768"/>
    <w:rsid w:val="009558CF"/>
    <w:rsid w:val="009559AD"/>
    <w:rsid w:val="00955BA5"/>
    <w:rsid w:val="00955BD7"/>
    <w:rsid w:val="009560AD"/>
    <w:rsid w:val="0095624C"/>
    <w:rsid w:val="0095649F"/>
    <w:rsid w:val="009564C5"/>
    <w:rsid w:val="009565FB"/>
    <w:rsid w:val="00956939"/>
    <w:rsid w:val="00956D0F"/>
    <w:rsid w:val="00956F0B"/>
    <w:rsid w:val="0095721A"/>
    <w:rsid w:val="0095735E"/>
    <w:rsid w:val="009573FE"/>
    <w:rsid w:val="00957400"/>
    <w:rsid w:val="009575D6"/>
    <w:rsid w:val="009577D1"/>
    <w:rsid w:val="0095795E"/>
    <w:rsid w:val="009579C1"/>
    <w:rsid w:val="00957A7F"/>
    <w:rsid w:val="00957D1C"/>
    <w:rsid w:val="009606EC"/>
    <w:rsid w:val="0096076F"/>
    <w:rsid w:val="0096080F"/>
    <w:rsid w:val="00960F6B"/>
    <w:rsid w:val="0096105D"/>
    <w:rsid w:val="00961351"/>
    <w:rsid w:val="00961399"/>
    <w:rsid w:val="009613D4"/>
    <w:rsid w:val="00961AB8"/>
    <w:rsid w:val="00961E18"/>
    <w:rsid w:val="00961F0D"/>
    <w:rsid w:val="00962005"/>
    <w:rsid w:val="009624F2"/>
    <w:rsid w:val="009629F1"/>
    <w:rsid w:val="00962EA5"/>
    <w:rsid w:val="00962F5F"/>
    <w:rsid w:val="00963403"/>
    <w:rsid w:val="00963729"/>
    <w:rsid w:val="009639A6"/>
    <w:rsid w:val="00963DA6"/>
    <w:rsid w:val="00963EB3"/>
    <w:rsid w:val="00963F9D"/>
    <w:rsid w:val="00964050"/>
    <w:rsid w:val="009642CC"/>
    <w:rsid w:val="009642D7"/>
    <w:rsid w:val="009643FE"/>
    <w:rsid w:val="0096448B"/>
    <w:rsid w:val="009647A7"/>
    <w:rsid w:val="00964867"/>
    <w:rsid w:val="00964B0E"/>
    <w:rsid w:val="00965071"/>
    <w:rsid w:val="0096537E"/>
    <w:rsid w:val="00965387"/>
    <w:rsid w:val="009663D5"/>
    <w:rsid w:val="009667A9"/>
    <w:rsid w:val="00966841"/>
    <w:rsid w:val="0096685E"/>
    <w:rsid w:val="00966973"/>
    <w:rsid w:val="009669B0"/>
    <w:rsid w:val="009669B4"/>
    <w:rsid w:val="00966C37"/>
    <w:rsid w:val="00966F44"/>
    <w:rsid w:val="00967817"/>
    <w:rsid w:val="00967A85"/>
    <w:rsid w:val="00967D49"/>
    <w:rsid w:val="00967F7D"/>
    <w:rsid w:val="00970995"/>
    <w:rsid w:val="00970AB5"/>
    <w:rsid w:val="00970DD1"/>
    <w:rsid w:val="0097102B"/>
    <w:rsid w:val="00971065"/>
    <w:rsid w:val="009711ED"/>
    <w:rsid w:val="0097139C"/>
    <w:rsid w:val="009714B6"/>
    <w:rsid w:val="00971B08"/>
    <w:rsid w:val="00971C2D"/>
    <w:rsid w:val="00971C72"/>
    <w:rsid w:val="00971E0A"/>
    <w:rsid w:val="00972680"/>
    <w:rsid w:val="00972951"/>
    <w:rsid w:val="00972988"/>
    <w:rsid w:val="00972BD7"/>
    <w:rsid w:val="00972D21"/>
    <w:rsid w:val="00972E91"/>
    <w:rsid w:val="00972F26"/>
    <w:rsid w:val="009731C2"/>
    <w:rsid w:val="00973367"/>
    <w:rsid w:val="009736B5"/>
    <w:rsid w:val="0097386D"/>
    <w:rsid w:val="009739B0"/>
    <w:rsid w:val="00973BCB"/>
    <w:rsid w:val="00973FEB"/>
    <w:rsid w:val="009741A6"/>
    <w:rsid w:val="009742BF"/>
    <w:rsid w:val="00974918"/>
    <w:rsid w:val="00974A12"/>
    <w:rsid w:val="00974A3D"/>
    <w:rsid w:val="00974A9D"/>
    <w:rsid w:val="00974DB2"/>
    <w:rsid w:val="00974E5A"/>
    <w:rsid w:val="009751A2"/>
    <w:rsid w:val="009752E7"/>
    <w:rsid w:val="00975562"/>
    <w:rsid w:val="00975624"/>
    <w:rsid w:val="00975668"/>
    <w:rsid w:val="009756BE"/>
    <w:rsid w:val="0097571A"/>
    <w:rsid w:val="009757F6"/>
    <w:rsid w:val="00975DD1"/>
    <w:rsid w:val="009760C4"/>
    <w:rsid w:val="0097645D"/>
    <w:rsid w:val="00976792"/>
    <w:rsid w:val="00976B37"/>
    <w:rsid w:val="00976B8A"/>
    <w:rsid w:val="00976C2D"/>
    <w:rsid w:val="00976D54"/>
    <w:rsid w:val="00976E76"/>
    <w:rsid w:val="00977493"/>
    <w:rsid w:val="00977B48"/>
    <w:rsid w:val="00977C3B"/>
    <w:rsid w:val="00977CB6"/>
    <w:rsid w:val="009802E3"/>
    <w:rsid w:val="0098045B"/>
    <w:rsid w:val="00980611"/>
    <w:rsid w:val="00980791"/>
    <w:rsid w:val="0098086B"/>
    <w:rsid w:val="00980872"/>
    <w:rsid w:val="00980924"/>
    <w:rsid w:val="00980B65"/>
    <w:rsid w:val="0098114C"/>
    <w:rsid w:val="00981215"/>
    <w:rsid w:val="00981284"/>
    <w:rsid w:val="00981B24"/>
    <w:rsid w:val="00981C3E"/>
    <w:rsid w:val="00981D3A"/>
    <w:rsid w:val="00981D62"/>
    <w:rsid w:val="00981DB6"/>
    <w:rsid w:val="00982289"/>
    <w:rsid w:val="0098240A"/>
    <w:rsid w:val="00982797"/>
    <w:rsid w:val="00982BB9"/>
    <w:rsid w:val="00982DB8"/>
    <w:rsid w:val="00982E04"/>
    <w:rsid w:val="00982E8F"/>
    <w:rsid w:val="00983038"/>
    <w:rsid w:val="00983307"/>
    <w:rsid w:val="009833FD"/>
    <w:rsid w:val="009835B3"/>
    <w:rsid w:val="00983791"/>
    <w:rsid w:val="00983D90"/>
    <w:rsid w:val="00983F16"/>
    <w:rsid w:val="00983F25"/>
    <w:rsid w:val="00984017"/>
    <w:rsid w:val="009840D7"/>
    <w:rsid w:val="009843D9"/>
    <w:rsid w:val="0098462A"/>
    <w:rsid w:val="009846AF"/>
    <w:rsid w:val="009850EA"/>
    <w:rsid w:val="009852BF"/>
    <w:rsid w:val="009853B2"/>
    <w:rsid w:val="009854B9"/>
    <w:rsid w:val="009855C5"/>
    <w:rsid w:val="009855FC"/>
    <w:rsid w:val="00985CA0"/>
    <w:rsid w:val="00986132"/>
    <w:rsid w:val="0098627A"/>
    <w:rsid w:val="009865A3"/>
    <w:rsid w:val="009866C5"/>
    <w:rsid w:val="00986BEE"/>
    <w:rsid w:val="00986C6D"/>
    <w:rsid w:val="00986E0C"/>
    <w:rsid w:val="00986E4F"/>
    <w:rsid w:val="00986FCE"/>
    <w:rsid w:val="0098740B"/>
    <w:rsid w:val="009874A3"/>
    <w:rsid w:val="009875AB"/>
    <w:rsid w:val="00987649"/>
    <w:rsid w:val="0098772D"/>
    <w:rsid w:val="009878CD"/>
    <w:rsid w:val="009878D3"/>
    <w:rsid w:val="00987CCE"/>
    <w:rsid w:val="00987E12"/>
    <w:rsid w:val="00987E51"/>
    <w:rsid w:val="00990194"/>
    <w:rsid w:val="009901A6"/>
    <w:rsid w:val="009902F8"/>
    <w:rsid w:val="00990DEB"/>
    <w:rsid w:val="00990E00"/>
    <w:rsid w:val="00990EB3"/>
    <w:rsid w:val="00990EC8"/>
    <w:rsid w:val="0099102D"/>
    <w:rsid w:val="00991B90"/>
    <w:rsid w:val="00991DB2"/>
    <w:rsid w:val="00991F85"/>
    <w:rsid w:val="0099220B"/>
    <w:rsid w:val="00992321"/>
    <w:rsid w:val="00992378"/>
    <w:rsid w:val="0099238A"/>
    <w:rsid w:val="0099258C"/>
    <w:rsid w:val="009925AB"/>
    <w:rsid w:val="0099273E"/>
    <w:rsid w:val="0099278D"/>
    <w:rsid w:val="00992895"/>
    <w:rsid w:val="009928B3"/>
    <w:rsid w:val="00992F24"/>
    <w:rsid w:val="00993064"/>
    <w:rsid w:val="009931FD"/>
    <w:rsid w:val="009933B5"/>
    <w:rsid w:val="009939F2"/>
    <w:rsid w:val="00994131"/>
    <w:rsid w:val="009942B2"/>
    <w:rsid w:val="00994326"/>
    <w:rsid w:val="00994334"/>
    <w:rsid w:val="009943A2"/>
    <w:rsid w:val="009945BA"/>
    <w:rsid w:val="0099462E"/>
    <w:rsid w:val="00994782"/>
    <w:rsid w:val="00994971"/>
    <w:rsid w:val="00994EA3"/>
    <w:rsid w:val="00994ED4"/>
    <w:rsid w:val="009952A8"/>
    <w:rsid w:val="009955CF"/>
    <w:rsid w:val="009955F2"/>
    <w:rsid w:val="00995767"/>
    <w:rsid w:val="00995A1A"/>
    <w:rsid w:val="00995C5A"/>
    <w:rsid w:val="00995CE7"/>
    <w:rsid w:val="00995DDD"/>
    <w:rsid w:val="00995E6A"/>
    <w:rsid w:val="00995F7C"/>
    <w:rsid w:val="0099617A"/>
    <w:rsid w:val="0099636E"/>
    <w:rsid w:val="00996617"/>
    <w:rsid w:val="0099699D"/>
    <w:rsid w:val="00996DCD"/>
    <w:rsid w:val="00996ED7"/>
    <w:rsid w:val="00997099"/>
    <w:rsid w:val="009971D3"/>
    <w:rsid w:val="00997395"/>
    <w:rsid w:val="009974F2"/>
    <w:rsid w:val="009976AC"/>
    <w:rsid w:val="00997834"/>
    <w:rsid w:val="009978FB"/>
    <w:rsid w:val="00997DCA"/>
    <w:rsid w:val="00997E6E"/>
    <w:rsid w:val="00997FE6"/>
    <w:rsid w:val="009A01C6"/>
    <w:rsid w:val="009A01C7"/>
    <w:rsid w:val="009A0347"/>
    <w:rsid w:val="009A0368"/>
    <w:rsid w:val="009A03D2"/>
    <w:rsid w:val="009A0447"/>
    <w:rsid w:val="009A0461"/>
    <w:rsid w:val="009A07EE"/>
    <w:rsid w:val="009A09E0"/>
    <w:rsid w:val="009A1311"/>
    <w:rsid w:val="009A1595"/>
    <w:rsid w:val="009A1653"/>
    <w:rsid w:val="009A1779"/>
    <w:rsid w:val="009A1895"/>
    <w:rsid w:val="009A18E7"/>
    <w:rsid w:val="009A1BB6"/>
    <w:rsid w:val="009A1DC4"/>
    <w:rsid w:val="009A229B"/>
    <w:rsid w:val="009A240E"/>
    <w:rsid w:val="009A30D9"/>
    <w:rsid w:val="009A31A1"/>
    <w:rsid w:val="009A34DC"/>
    <w:rsid w:val="009A3558"/>
    <w:rsid w:val="009A389D"/>
    <w:rsid w:val="009A3942"/>
    <w:rsid w:val="009A3974"/>
    <w:rsid w:val="009A3D0A"/>
    <w:rsid w:val="009A3F46"/>
    <w:rsid w:val="009A404D"/>
    <w:rsid w:val="009A42DF"/>
    <w:rsid w:val="009A4312"/>
    <w:rsid w:val="009A44F8"/>
    <w:rsid w:val="009A4708"/>
    <w:rsid w:val="009A4A82"/>
    <w:rsid w:val="009A5113"/>
    <w:rsid w:val="009A551E"/>
    <w:rsid w:val="009A57D4"/>
    <w:rsid w:val="009A5ED9"/>
    <w:rsid w:val="009A6274"/>
    <w:rsid w:val="009A62A9"/>
    <w:rsid w:val="009A658D"/>
    <w:rsid w:val="009A6ECE"/>
    <w:rsid w:val="009A71B9"/>
    <w:rsid w:val="009A72D8"/>
    <w:rsid w:val="009A7A58"/>
    <w:rsid w:val="009A7AEB"/>
    <w:rsid w:val="009A7C46"/>
    <w:rsid w:val="009A7D2C"/>
    <w:rsid w:val="009A7D36"/>
    <w:rsid w:val="009A7E1C"/>
    <w:rsid w:val="009A7E8F"/>
    <w:rsid w:val="009A7F29"/>
    <w:rsid w:val="009A7F9A"/>
    <w:rsid w:val="009A7FF3"/>
    <w:rsid w:val="009B0695"/>
    <w:rsid w:val="009B07DA"/>
    <w:rsid w:val="009B0897"/>
    <w:rsid w:val="009B09A4"/>
    <w:rsid w:val="009B0D0D"/>
    <w:rsid w:val="009B1162"/>
    <w:rsid w:val="009B165F"/>
    <w:rsid w:val="009B170F"/>
    <w:rsid w:val="009B1738"/>
    <w:rsid w:val="009B193C"/>
    <w:rsid w:val="009B19C1"/>
    <w:rsid w:val="009B1A7D"/>
    <w:rsid w:val="009B1EB5"/>
    <w:rsid w:val="009B1FFA"/>
    <w:rsid w:val="009B23A9"/>
    <w:rsid w:val="009B25C7"/>
    <w:rsid w:val="009B26BD"/>
    <w:rsid w:val="009B2A1C"/>
    <w:rsid w:val="009B2A66"/>
    <w:rsid w:val="009B2B0C"/>
    <w:rsid w:val="009B2CFB"/>
    <w:rsid w:val="009B3098"/>
    <w:rsid w:val="009B31DA"/>
    <w:rsid w:val="009B33BD"/>
    <w:rsid w:val="009B352B"/>
    <w:rsid w:val="009B39DE"/>
    <w:rsid w:val="009B3B61"/>
    <w:rsid w:val="009B3CC0"/>
    <w:rsid w:val="009B3DEF"/>
    <w:rsid w:val="009B3F96"/>
    <w:rsid w:val="009B4115"/>
    <w:rsid w:val="009B4225"/>
    <w:rsid w:val="009B429F"/>
    <w:rsid w:val="009B4470"/>
    <w:rsid w:val="009B4530"/>
    <w:rsid w:val="009B48DC"/>
    <w:rsid w:val="009B4A5D"/>
    <w:rsid w:val="009B4C34"/>
    <w:rsid w:val="009B4EB2"/>
    <w:rsid w:val="009B5A9D"/>
    <w:rsid w:val="009B5AB2"/>
    <w:rsid w:val="009B5D82"/>
    <w:rsid w:val="009B602E"/>
    <w:rsid w:val="009B633D"/>
    <w:rsid w:val="009B6A51"/>
    <w:rsid w:val="009B6D2A"/>
    <w:rsid w:val="009B6F04"/>
    <w:rsid w:val="009B7073"/>
    <w:rsid w:val="009B7319"/>
    <w:rsid w:val="009B74DB"/>
    <w:rsid w:val="009B7508"/>
    <w:rsid w:val="009B754E"/>
    <w:rsid w:val="009B7627"/>
    <w:rsid w:val="009B780F"/>
    <w:rsid w:val="009B7927"/>
    <w:rsid w:val="009B7B1D"/>
    <w:rsid w:val="009B7D2E"/>
    <w:rsid w:val="009B7D35"/>
    <w:rsid w:val="009C0236"/>
    <w:rsid w:val="009C026C"/>
    <w:rsid w:val="009C03AA"/>
    <w:rsid w:val="009C03CC"/>
    <w:rsid w:val="009C0477"/>
    <w:rsid w:val="009C0654"/>
    <w:rsid w:val="009C09ED"/>
    <w:rsid w:val="009C0C6E"/>
    <w:rsid w:val="009C0E1D"/>
    <w:rsid w:val="009C0EBB"/>
    <w:rsid w:val="009C0FC1"/>
    <w:rsid w:val="009C10F9"/>
    <w:rsid w:val="009C1475"/>
    <w:rsid w:val="009C1526"/>
    <w:rsid w:val="009C171C"/>
    <w:rsid w:val="009C17F1"/>
    <w:rsid w:val="009C1A20"/>
    <w:rsid w:val="009C1AAA"/>
    <w:rsid w:val="009C2059"/>
    <w:rsid w:val="009C23B4"/>
    <w:rsid w:val="009C2547"/>
    <w:rsid w:val="009C26F6"/>
    <w:rsid w:val="009C2942"/>
    <w:rsid w:val="009C295B"/>
    <w:rsid w:val="009C2CB5"/>
    <w:rsid w:val="009C2E2D"/>
    <w:rsid w:val="009C33F1"/>
    <w:rsid w:val="009C38DD"/>
    <w:rsid w:val="009C3C4E"/>
    <w:rsid w:val="009C41A6"/>
    <w:rsid w:val="009C4222"/>
    <w:rsid w:val="009C4380"/>
    <w:rsid w:val="009C443B"/>
    <w:rsid w:val="009C44D6"/>
    <w:rsid w:val="009C4762"/>
    <w:rsid w:val="009C47F3"/>
    <w:rsid w:val="009C4A43"/>
    <w:rsid w:val="009C4BF3"/>
    <w:rsid w:val="009C4E0D"/>
    <w:rsid w:val="009C5042"/>
    <w:rsid w:val="009C514B"/>
    <w:rsid w:val="009C531C"/>
    <w:rsid w:val="009C534A"/>
    <w:rsid w:val="009C56CE"/>
    <w:rsid w:val="009C5A41"/>
    <w:rsid w:val="009C5D1A"/>
    <w:rsid w:val="009C6847"/>
    <w:rsid w:val="009C6B60"/>
    <w:rsid w:val="009C6C0F"/>
    <w:rsid w:val="009C6F42"/>
    <w:rsid w:val="009C73CF"/>
    <w:rsid w:val="009C7536"/>
    <w:rsid w:val="009C78FD"/>
    <w:rsid w:val="009C7993"/>
    <w:rsid w:val="009C7CFB"/>
    <w:rsid w:val="009C7E53"/>
    <w:rsid w:val="009D019F"/>
    <w:rsid w:val="009D080B"/>
    <w:rsid w:val="009D0857"/>
    <w:rsid w:val="009D0A35"/>
    <w:rsid w:val="009D0CFA"/>
    <w:rsid w:val="009D0F95"/>
    <w:rsid w:val="009D10F8"/>
    <w:rsid w:val="009D12B5"/>
    <w:rsid w:val="009D1A53"/>
    <w:rsid w:val="009D1C2D"/>
    <w:rsid w:val="009D2161"/>
    <w:rsid w:val="009D23C2"/>
    <w:rsid w:val="009D23E5"/>
    <w:rsid w:val="009D352C"/>
    <w:rsid w:val="009D35D0"/>
    <w:rsid w:val="009D37AC"/>
    <w:rsid w:val="009D3947"/>
    <w:rsid w:val="009D3AC1"/>
    <w:rsid w:val="009D3B47"/>
    <w:rsid w:val="009D3C1D"/>
    <w:rsid w:val="009D3CD4"/>
    <w:rsid w:val="009D433D"/>
    <w:rsid w:val="009D4383"/>
    <w:rsid w:val="009D46D7"/>
    <w:rsid w:val="009D4818"/>
    <w:rsid w:val="009D490F"/>
    <w:rsid w:val="009D4B6E"/>
    <w:rsid w:val="009D4BDD"/>
    <w:rsid w:val="009D4CD3"/>
    <w:rsid w:val="009D509D"/>
    <w:rsid w:val="009D548D"/>
    <w:rsid w:val="009D56A7"/>
    <w:rsid w:val="009D5988"/>
    <w:rsid w:val="009D5A8C"/>
    <w:rsid w:val="009D5C58"/>
    <w:rsid w:val="009D6029"/>
    <w:rsid w:val="009D6032"/>
    <w:rsid w:val="009D643A"/>
    <w:rsid w:val="009D65D6"/>
    <w:rsid w:val="009D6C8A"/>
    <w:rsid w:val="009D6D7C"/>
    <w:rsid w:val="009D6DB7"/>
    <w:rsid w:val="009D6E02"/>
    <w:rsid w:val="009D6E45"/>
    <w:rsid w:val="009D6FCD"/>
    <w:rsid w:val="009D6FEE"/>
    <w:rsid w:val="009D7140"/>
    <w:rsid w:val="009D7468"/>
    <w:rsid w:val="009D747E"/>
    <w:rsid w:val="009D76E2"/>
    <w:rsid w:val="009D79A9"/>
    <w:rsid w:val="009D79CD"/>
    <w:rsid w:val="009D79E6"/>
    <w:rsid w:val="009D7C03"/>
    <w:rsid w:val="009D7E0B"/>
    <w:rsid w:val="009E079D"/>
    <w:rsid w:val="009E07F0"/>
    <w:rsid w:val="009E08F5"/>
    <w:rsid w:val="009E0BD0"/>
    <w:rsid w:val="009E0C27"/>
    <w:rsid w:val="009E0D72"/>
    <w:rsid w:val="009E101D"/>
    <w:rsid w:val="009E10B3"/>
    <w:rsid w:val="009E1160"/>
    <w:rsid w:val="009E1180"/>
    <w:rsid w:val="009E14D2"/>
    <w:rsid w:val="009E15A9"/>
    <w:rsid w:val="009E18D0"/>
    <w:rsid w:val="009E1A50"/>
    <w:rsid w:val="009E1ACF"/>
    <w:rsid w:val="009E1BCC"/>
    <w:rsid w:val="009E1C98"/>
    <w:rsid w:val="009E1CFF"/>
    <w:rsid w:val="009E20D0"/>
    <w:rsid w:val="009E21F9"/>
    <w:rsid w:val="009E22CB"/>
    <w:rsid w:val="009E23DD"/>
    <w:rsid w:val="009E25AF"/>
    <w:rsid w:val="009E261B"/>
    <w:rsid w:val="009E2A2F"/>
    <w:rsid w:val="009E2CE4"/>
    <w:rsid w:val="009E32B5"/>
    <w:rsid w:val="009E34F3"/>
    <w:rsid w:val="009E376E"/>
    <w:rsid w:val="009E3937"/>
    <w:rsid w:val="009E39DA"/>
    <w:rsid w:val="009E3B00"/>
    <w:rsid w:val="009E4066"/>
    <w:rsid w:val="009E41F9"/>
    <w:rsid w:val="009E45B4"/>
    <w:rsid w:val="009E49AC"/>
    <w:rsid w:val="009E4ACF"/>
    <w:rsid w:val="009E4BA8"/>
    <w:rsid w:val="009E4D21"/>
    <w:rsid w:val="009E4D6F"/>
    <w:rsid w:val="009E4EA5"/>
    <w:rsid w:val="009E5033"/>
    <w:rsid w:val="009E5452"/>
    <w:rsid w:val="009E54F3"/>
    <w:rsid w:val="009E5750"/>
    <w:rsid w:val="009E599E"/>
    <w:rsid w:val="009E5E79"/>
    <w:rsid w:val="009E5EE0"/>
    <w:rsid w:val="009E5F17"/>
    <w:rsid w:val="009E61DF"/>
    <w:rsid w:val="009E6427"/>
    <w:rsid w:val="009E64CE"/>
    <w:rsid w:val="009E6C89"/>
    <w:rsid w:val="009E6D9A"/>
    <w:rsid w:val="009E6EC5"/>
    <w:rsid w:val="009E709F"/>
    <w:rsid w:val="009E72CD"/>
    <w:rsid w:val="009E750C"/>
    <w:rsid w:val="009E79FF"/>
    <w:rsid w:val="009E7B59"/>
    <w:rsid w:val="009E7FD7"/>
    <w:rsid w:val="009E7FF0"/>
    <w:rsid w:val="009F02A6"/>
    <w:rsid w:val="009F0537"/>
    <w:rsid w:val="009F07FD"/>
    <w:rsid w:val="009F0BF5"/>
    <w:rsid w:val="009F1031"/>
    <w:rsid w:val="009F116F"/>
    <w:rsid w:val="009F139C"/>
    <w:rsid w:val="009F157C"/>
    <w:rsid w:val="009F1603"/>
    <w:rsid w:val="009F16B2"/>
    <w:rsid w:val="009F1EF2"/>
    <w:rsid w:val="009F263B"/>
    <w:rsid w:val="009F2A8E"/>
    <w:rsid w:val="009F2C61"/>
    <w:rsid w:val="009F2E23"/>
    <w:rsid w:val="009F31DB"/>
    <w:rsid w:val="009F330C"/>
    <w:rsid w:val="009F3345"/>
    <w:rsid w:val="009F33B7"/>
    <w:rsid w:val="009F3604"/>
    <w:rsid w:val="009F3834"/>
    <w:rsid w:val="009F3916"/>
    <w:rsid w:val="009F39F5"/>
    <w:rsid w:val="009F3A95"/>
    <w:rsid w:val="009F3E73"/>
    <w:rsid w:val="009F3F38"/>
    <w:rsid w:val="009F4199"/>
    <w:rsid w:val="009F41D9"/>
    <w:rsid w:val="009F450F"/>
    <w:rsid w:val="009F4740"/>
    <w:rsid w:val="009F4C58"/>
    <w:rsid w:val="009F4D05"/>
    <w:rsid w:val="009F4E02"/>
    <w:rsid w:val="009F5086"/>
    <w:rsid w:val="009F520C"/>
    <w:rsid w:val="009F537A"/>
    <w:rsid w:val="009F598E"/>
    <w:rsid w:val="009F5BAD"/>
    <w:rsid w:val="009F5EEA"/>
    <w:rsid w:val="009F6086"/>
    <w:rsid w:val="009F62FD"/>
    <w:rsid w:val="009F67ED"/>
    <w:rsid w:val="009F6970"/>
    <w:rsid w:val="009F6AD1"/>
    <w:rsid w:val="009F70A9"/>
    <w:rsid w:val="009F72E6"/>
    <w:rsid w:val="009F7320"/>
    <w:rsid w:val="009F735E"/>
    <w:rsid w:val="009F73A2"/>
    <w:rsid w:val="009F75AA"/>
    <w:rsid w:val="009F7621"/>
    <w:rsid w:val="009F7B2B"/>
    <w:rsid w:val="009F7B61"/>
    <w:rsid w:val="009F7D89"/>
    <w:rsid w:val="009F7F01"/>
    <w:rsid w:val="009F7FA4"/>
    <w:rsid w:val="00A0047C"/>
    <w:rsid w:val="00A00491"/>
    <w:rsid w:val="00A00798"/>
    <w:rsid w:val="00A00861"/>
    <w:rsid w:val="00A008FC"/>
    <w:rsid w:val="00A00D0E"/>
    <w:rsid w:val="00A01880"/>
    <w:rsid w:val="00A01AD2"/>
    <w:rsid w:val="00A01DA8"/>
    <w:rsid w:val="00A01DCF"/>
    <w:rsid w:val="00A01E02"/>
    <w:rsid w:val="00A01F06"/>
    <w:rsid w:val="00A01F51"/>
    <w:rsid w:val="00A0205D"/>
    <w:rsid w:val="00A020CB"/>
    <w:rsid w:val="00A02173"/>
    <w:rsid w:val="00A02281"/>
    <w:rsid w:val="00A028D2"/>
    <w:rsid w:val="00A02E8D"/>
    <w:rsid w:val="00A031DA"/>
    <w:rsid w:val="00A032FA"/>
    <w:rsid w:val="00A0342C"/>
    <w:rsid w:val="00A034EE"/>
    <w:rsid w:val="00A03602"/>
    <w:rsid w:val="00A039E2"/>
    <w:rsid w:val="00A03BA0"/>
    <w:rsid w:val="00A03C82"/>
    <w:rsid w:val="00A04286"/>
    <w:rsid w:val="00A044BF"/>
    <w:rsid w:val="00A0496A"/>
    <w:rsid w:val="00A04B29"/>
    <w:rsid w:val="00A04F83"/>
    <w:rsid w:val="00A050DB"/>
    <w:rsid w:val="00A053B1"/>
    <w:rsid w:val="00A059F8"/>
    <w:rsid w:val="00A05B09"/>
    <w:rsid w:val="00A05CAC"/>
    <w:rsid w:val="00A061AA"/>
    <w:rsid w:val="00A061E8"/>
    <w:rsid w:val="00A066AF"/>
    <w:rsid w:val="00A06991"/>
    <w:rsid w:val="00A06AE8"/>
    <w:rsid w:val="00A06E51"/>
    <w:rsid w:val="00A06F1D"/>
    <w:rsid w:val="00A07018"/>
    <w:rsid w:val="00A07147"/>
    <w:rsid w:val="00A07182"/>
    <w:rsid w:val="00A07271"/>
    <w:rsid w:val="00A0745B"/>
    <w:rsid w:val="00A07782"/>
    <w:rsid w:val="00A077C2"/>
    <w:rsid w:val="00A0799A"/>
    <w:rsid w:val="00A07B52"/>
    <w:rsid w:val="00A07CA4"/>
    <w:rsid w:val="00A07DCF"/>
    <w:rsid w:val="00A1006E"/>
    <w:rsid w:val="00A100DD"/>
    <w:rsid w:val="00A101DA"/>
    <w:rsid w:val="00A10340"/>
    <w:rsid w:val="00A105C0"/>
    <w:rsid w:val="00A10603"/>
    <w:rsid w:val="00A10628"/>
    <w:rsid w:val="00A107C8"/>
    <w:rsid w:val="00A10818"/>
    <w:rsid w:val="00A10D34"/>
    <w:rsid w:val="00A11484"/>
    <w:rsid w:val="00A118E3"/>
    <w:rsid w:val="00A11D90"/>
    <w:rsid w:val="00A11DF7"/>
    <w:rsid w:val="00A11E17"/>
    <w:rsid w:val="00A12073"/>
    <w:rsid w:val="00A12093"/>
    <w:rsid w:val="00A1231C"/>
    <w:rsid w:val="00A12AB9"/>
    <w:rsid w:val="00A12E5F"/>
    <w:rsid w:val="00A1304E"/>
    <w:rsid w:val="00A13106"/>
    <w:rsid w:val="00A131B1"/>
    <w:rsid w:val="00A13250"/>
    <w:rsid w:val="00A136BD"/>
    <w:rsid w:val="00A1382B"/>
    <w:rsid w:val="00A13977"/>
    <w:rsid w:val="00A13CF9"/>
    <w:rsid w:val="00A13DD1"/>
    <w:rsid w:val="00A1401B"/>
    <w:rsid w:val="00A1423E"/>
    <w:rsid w:val="00A1439B"/>
    <w:rsid w:val="00A14504"/>
    <w:rsid w:val="00A14548"/>
    <w:rsid w:val="00A14803"/>
    <w:rsid w:val="00A14B6C"/>
    <w:rsid w:val="00A14E96"/>
    <w:rsid w:val="00A14EDF"/>
    <w:rsid w:val="00A14F47"/>
    <w:rsid w:val="00A1589C"/>
    <w:rsid w:val="00A1591A"/>
    <w:rsid w:val="00A159E4"/>
    <w:rsid w:val="00A15B94"/>
    <w:rsid w:val="00A15CB4"/>
    <w:rsid w:val="00A15E2C"/>
    <w:rsid w:val="00A15E5F"/>
    <w:rsid w:val="00A15F89"/>
    <w:rsid w:val="00A160F2"/>
    <w:rsid w:val="00A1645E"/>
    <w:rsid w:val="00A165D5"/>
    <w:rsid w:val="00A1660C"/>
    <w:rsid w:val="00A16C7A"/>
    <w:rsid w:val="00A16D50"/>
    <w:rsid w:val="00A16D80"/>
    <w:rsid w:val="00A173EE"/>
    <w:rsid w:val="00A174B3"/>
    <w:rsid w:val="00A177AE"/>
    <w:rsid w:val="00A1782B"/>
    <w:rsid w:val="00A17A42"/>
    <w:rsid w:val="00A17B47"/>
    <w:rsid w:val="00A200FB"/>
    <w:rsid w:val="00A2015D"/>
    <w:rsid w:val="00A202C7"/>
    <w:rsid w:val="00A2081D"/>
    <w:rsid w:val="00A209DE"/>
    <w:rsid w:val="00A20C8C"/>
    <w:rsid w:val="00A20F18"/>
    <w:rsid w:val="00A210C3"/>
    <w:rsid w:val="00A217EA"/>
    <w:rsid w:val="00A219C0"/>
    <w:rsid w:val="00A21B25"/>
    <w:rsid w:val="00A21F21"/>
    <w:rsid w:val="00A2253C"/>
    <w:rsid w:val="00A22A4D"/>
    <w:rsid w:val="00A22C22"/>
    <w:rsid w:val="00A23137"/>
    <w:rsid w:val="00A23310"/>
    <w:rsid w:val="00A233CE"/>
    <w:rsid w:val="00A238CF"/>
    <w:rsid w:val="00A23A2D"/>
    <w:rsid w:val="00A23D83"/>
    <w:rsid w:val="00A23F2D"/>
    <w:rsid w:val="00A23F85"/>
    <w:rsid w:val="00A248A5"/>
    <w:rsid w:val="00A24C7B"/>
    <w:rsid w:val="00A24EA4"/>
    <w:rsid w:val="00A25090"/>
    <w:rsid w:val="00A25217"/>
    <w:rsid w:val="00A2521D"/>
    <w:rsid w:val="00A253B5"/>
    <w:rsid w:val="00A25450"/>
    <w:rsid w:val="00A255B8"/>
    <w:rsid w:val="00A25605"/>
    <w:rsid w:val="00A2569F"/>
    <w:rsid w:val="00A25921"/>
    <w:rsid w:val="00A25BED"/>
    <w:rsid w:val="00A26052"/>
    <w:rsid w:val="00A26138"/>
    <w:rsid w:val="00A2653D"/>
    <w:rsid w:val="00A2666B"/>
    <w:rsid w:val="00A268F1"/>
    <w:rsid w:val="00A26FDA"/>
    <w:rsid w:val="00A2736E"/>
    <w:rsid w:val="00A2739C"/>
    <w:rsid w:val="00A2745F"/>
    <w:rsid w:val="00A277CB"/>
    <w:rsid w:val="00A2794E"/>
    <w:rsid w:val="00A30049"/>
    <w:rsid w:val="00A3036A"/>
    <w:rsid w:val="00A30405"/>
    <w:rsid w:val="00A3071E"/>
    <w:rsid w:val="00A30AB6"/>
    <w:rsid w:val="00A30C5F"/>
    <w:rsid w:val="00A30D5A"/>
    <w:rsid w:val="00A30DA9"/>
    <w:rsid w:val="00A31810"/>
    <w:rsid w:val="00A31879"/>
    <w:rsid w:val="00A31919"/>
    <w:rsid w:val="00A3197E"/>
    <w:rsid w:val="00A31BB0"/>
    <w:rsid w:val="00A322BD"/>
    <w:rsid w:val="00A322DA"/>
    <w:rsid w:val="00A3242C"/>
    <w:rsid w:val="00A32B29"/>
    <w:rsid w:val="00A32B79"/>
    <w:rsid w:val="00A32CB8"/>
    <w:rsid w:val="00A33650"/>
    <w:rsid w:val="00A33E4F"/>
    <w:rsid w:val="00A34358"/>
    <w:rsid w:val="00A34749"/>
    <w:rsid w:val="00A347DD"/>
    <w:rsid w:val="00A34C67"/>
    <w:rsid w:val="00A34C8E"/>
    <w:rsid w:val="00A34D30"/>
    <w:rsid w:val="00A3502B"/>
    <w:rsid w:val="00A356EC"/>
    <w:rsid w:val="00A359CA"/>
    <w:rsid w:val="00A35B7F"/>
    <w:rsid w:val="00A35C67"/>
    <w:rsid w:val="00A35D08"/>
    <w:rsid w:val="00A36006"/>
    <w:rsid w:val="00A36339"/>
    <w:rsid w:val="00A366CC"/>
    <w:rsid w:val="00A36991"/>
    <w:rsid w:val="00A36BAB"/>
    <w:rsid w:val="00A36FBC"/>
    <w:rsid w:val="00A374B1"/>
    <w:rsid w:val="00A37611"/>
    <w:rsid w:val="00A37734"/>
    <w:rsid w:val="00A37A78"/>
    <w:rsid w:val="00A37D4E"/>
    <w:rsid w:val="00A40021"/>
    <w:rsid w:val="00A40422"/>
    <w:rsid w:val="00A40B1B"/>
    <w:rsid w:val="00A41383"/>
    <w:rsid w:val="00A413AE"/>
    <w:rsid w:val="00A41583"/>
    <w:rsid w:val="00A41945"/>
    <w:rsid w:val="00A41CD7"/>
    <w:rsid w:val="00A41EA8"/>
    <w:rsid w:val="00A42708"/>
    <w:rsid w:val="00A4279E"/>
    <w:rsid w:val="00A42D5B"/>
    <w:rsid w:val="00A42DA6"/>
    <w:rsid w:val="00A42DDE"/>
    <w:rsid w:val="00A42E65"/>
    <w:rsid w:val="00A4315D"/>
    <w:rsid w:val="00A43229"/>
    <w:rsid w:val="00A43251"/>
    <w:rsid w:val="00A4351B"/>
    <w:rsid w:val="00A43C2B"/>
    <w:rsid w:val="00A43C5F"/>
    <w:rsid w:val="00A43F06"/>
    <w:rsid w:val="00A44163"/>
    <w:rsid w:val="00A4427E"/>
    <w:rsid w:val="00A444E1"/>
    <w:rsid w:val="00A44543"/>
    <w:rsid w:val="00A4494B"/>
    <w:rsid w:val="00A44955"/>
    <w:rsid w:val="00A44B39"/>
    <w:rsid w:val="00A44DA7"/>
    <w:rsid w:val="00A4547F"/>
    <w:rsid w:val="00A45485"/>
    <w:rsid w:val="00A4568F"/>
    <w:rsid w:val="00A456EB"/>
    <w:rsid w:val="00A45B5B"/>
    <w:rsid w:val="00A46047"/>
    <w:rsid w:val="00A465B5"/>
    <w:rsid w:val="00A46763"/>
    <w:rsid w:val="00A46E3D"/>
    <w:rsid w:val="00A46F35"/>
    <w:rsid w:val="00A472E7"/>
    <w:rsid w:val="00A4786F"/>
    <w:rsid w:val="00A478C8"/>
    <w:rsid w:val="00A47A84"/>
    <w:rsid w:val="00A47C14"/>
    <w:rsid w:val="00A47F29"/>
    <w:rsid w:val="00A5025F"/>
    <w:rsid w:val="00A504F6"/>
    <w:rsid w:val="00A50526"/>
    <w:rsid w:val="00A5110D"/>
    <w:rsid w:val="00A51167"/>
    <w:rsid w:val="00A511BA"/>
    <w:rsid w:val="00A51309"/>
    <w:rsid w:val="00A51351"/>
    <w:rsid w:val="00A513BE"/>
    <w:rsid w:val="00A518CF"/>
    <w:rsid w:val="00A51A9D"/>
    <w:rsid w:val="00A51B3A"/>
    <w:rsid w:val="00A51CFC"/>
    <w:rsid w:val="00A51E91"/>
    <w:rsid w:val="00A52068"/>
    <w:rsid w:val="00A520BE"/>
    <w:rsid w:val="00A52203"/>
    <w:rsid w:val="00A523BB"/>
    <w:rsid w:val="00A525F3"/>
    <w:rsid w:val="00A527F3"/>
    <w:rsid w:val="00A527F6"/>
    <w:rsid w:val="00A5284D"/>
    <w:rsid w:val="00A52BE0"/>
    <w:rsid w:val="00A52DF4"/>
    <w:rsid w:val="00A531D5"/>
    <w:rsid w:val="00A53329"/>
    <w:rsid w:val="00A53375"/>
    <w:rsid w:val="00A537EB"/>
    <w:rsid w:val="00A538AE"/>
    <w:rsid w:val="00A53AB5"/>
    <w:rsid w:val="00A54389"/>
    <w:rsid w:val="00A5448B"/>
    <w:rsid w:val="00A5477E"/>
    <w:rsid w:val="00A54809"/>
    <w:rsid w:val="00A55029"/>
    <w:rsid w:val="00A550BD"/>
    <w:rsid w:val="00A55321"/>
    <w:rsid w:val="00A55458"/>
    <w:rsid w:val="00A55579"/>
    <w:rsid w:val="00A557EB"/>
    <w:rsid w:val="00A55B9C"/>
    <w:rsid w:val="00A55D68"/>
    <w:rsid w:val="00A55E4C"/>
    <w:rsid w:val="00A55E4F"/>
    <w:rsid w:val="00A55F6B"/>
    <w:rsid w:val="00A5627C"/>
    <w:rsid w:val="00A56424"/>
    <w:rsid w:val="00A564B2"/>
    <w:rsid w:val="00A56536"/>
    <w:rsid w:val="00A5668C"/>
    <w:rsid w:val="00A56723"/>
    <w:rsid w:val="00A56D3B"/>
    <w:rsid w:val="00A57195"/>
    <w:rsid w:val="00A5739A"/>
    <w:rsid w:val="00A573BC"/>
    <w:rsid w:val="00A57489"/>
    <w:rsid w:val="00A576DF"/>
    <w:rsid w:val="00A57730"/>
    <w:rsid w:val="00A57943"/>
    <w:rsid w:val="00A57A44"/>
    <w:rsid w:val="00A57AAD"/>
    <w:rsid w:val="00A57B20"/>
    <w:rsid w:val="00A57B3F"/>
    <w:rsid w:val="00A57BA2"/>
    <w:rsid w:val="00A57EE7"/>
    <w:rsid w:val="00A57F00"/>
    <w:rsid w:val="00A57F19"/>
    <w:rsid w:val="00A57F8C"/>
    <w:rsid w:val="00A60316"/>
    <w:rsid w:val="00A6080D"/>
    <w:rsid w:val="00A60820"/>
    <w:rsid w:val="00A60A20"/>
    <w:rsid w:val="00A60F8E"/>
    <w:rsid w:val="00A61010"/>
    <w:rsid w:val="00A61189"/>
    <w:rsid w:val="00A6165A"/>
    <w:rsid w:val="00A6177D"/>
    <w:rsid w:val="00A61780"/>
    <w:rsid w:val="00A61AF1"/>
    <w:rsid w:val="00A61FD8"/>
    <w:rsid w:val="00A6213D"/>
    <w:rsid w:val="00A625E0"/>
    <w:rsid w:val="00A6266A"/>
    <w:rsid w:val="00A62782"/>
    <w:rsid w:val="00A629C8"/>
    <w:rsid w:val="00A629E4"/>
    <w:rsid w:val="00A62DB9"/>
    <w:rsid w:val="00A62E15"/>
    <w:rsid w:val="00A62F16"/>
    <w:rsid w:val="00A6345F"/>
    <w:rsid w:val="00A6352D"/>
    <w:rsid w:val="00A63625"/>
    <w:rsid w:val="00A63745"/>
    <w:rsid w:val="00A63A50"/>
    <w:rsid w:val="00A63B02"/>
    <w:rsid w:val="00A63E7C"/>
    <w:rsid w:val="00A63F2D"/>
    <w:rsid w:val="00A6437B"/>
    <w:rsid w:val="00A647F4"/>
    <w:rsid w:val="00A64BB3"/>
    <w:rsid w:val="00A64EDF"/>
    <w:rsid w:val="00A65032"/>
    <w:rsid w:val="00A652CC"/>
    <w:rsid w:val="00A65BF0"/>
    <w:rsid w:val="00A65EA5"/>
    <w:rsid w:val="00A65F31"/>
    <w:rsid w:val="00A66196"/>
    <w:rsid w:val="00A66217"/>
    <w:rsid w:val="00A665C4"/>
    <w:rsid w:val="00A66A42"/>
    <w:rsid w:val="00A66ED8"/>
    <w:rsid w:val="00A67118"/>
    <w:rsid w:val="00A672E4"/>
    <w:rsid w:val="00A673B0"/>
    <w:rsid w:val="00A6756B"/>
    <w:rsid w:val="00A67725"/>
    <w:rsid w:val="00A67743"/>
    <w:rsid w:val="00A67848"/>
    <w:rsid w:val="00A67907"/>
    <w:rsid w:val="00A67A72"/>
    <w:rsid w:val="00A70341"/>
    <w:rsid w:val="00A704EF"/>
    <w:rsid w:val="00A70591"/>
    <w:rsid w:val="00A705F0"/>
    <w:rsid w:val="00A708B8"/>
    <w:rsid w:val="00A7090D"/>
    <w:rsid w:val="00A70D2D"/>
    <w:rsid w:val="00A70FD1"/>
    <w:rsid w:val="00A7137F"/>
    <w:rsid w:val="00A71857"/>
    <w:rsid w:val="00A7193D"/>
    <w:rsid w:val="00A71D7E"/>
    <w:rsid w:val="00A71DE2"/>
    <w:rsid w:val="00A71F8C"/>
    <w:rsid w:val="00A720E5"/>
    <w:rsid w:val="00A722E5"/>
    <w:rsid w:val="00A72561"/>
    <w:rsid w:val="00A72719"/>
    <w:rsid w:val="00A7272E"/>
    <w:rsid w:val="00A72DAF"/>
    <w:rsid w:val="00A73005"/>
    <w:rsid w:val="00A7301E"/>
    <w:rsid w:val="00A73105"/>
    <w:rsid w:val="00A7317D"/>
    <w:rsid w:val="00A733A8"/>
    <w:rsid w:val="00A734F2"/>
    <w:rsid w:val="00A738C4"/>
    <w:rsid w:val="00A73A2D"/>
    <w:rsid w:val="00A73A89"/>
    <w:rsid w:val="00A73AE2"/>
    <w:rsid w:val="00A73B50"/>
    <w:rsid w:val="00A73C1A"/>
    <w:rsid w:val="00A73D76"/>
    <w:rsid w:val="00A7467C"/>
    <w:rsid w:val="00A74CDC"/>
    <w:rsid w:val="00A74E11"/>
    <w:rsid w:val="00A74EBE"/>
    <w:rsid w:val="00A74EDD"/>
    <w:rsid w:val="00A7525F"/>
    <w:rsid w:val="00A7530A"/>
    <w:rsid w:val="00A75BDE"/>
    <w:rsid w:val="00A75C23"/>
    <w:rsid w:val="00A75C62"/>
    <w:rsid w:val="00A75CAF"/>
    <w:rsid w:val="00A75DAF"/>
    <w:rsid w:val="00A76163"/>
    <w:rsid w:val="00A761B4"/>
    <w:rsid w:val="00A761D5"/>
    <w:rsid w:val="00A76380"/>
    <w:rsid w:val="00A7644B"/>
    <w:rsid w:val="00A7680A"/>
    <w:rsid w:val="00A76A9A"/>
    <w:rsid w:val="00A76B02"/>
    <w:rsid w:val="00A77156"/>
    <w:rsid w:val="00A77208"/>
    <w:rsid w:val="00A77254"/>
    <w:rsid w:val="00A800D4"/>
    <w:rsid w:val="00A801C5"/>
    <w:rsid w:val="00A806AA"/>
    <w:rsid w:val="00A8072F"/>
    <w:rsid w:val="00A80749"/>
    <w:rsid w:val="00A808F5"/>
    <w:rsid w:val="00A809B8"/>
    <w:rsid w:val="00A80B25"/>
    <w:rsid w:val="00A80B3E"/>
    <w:rsid w:val="00A80F68"/>
    <w:rsid w:val="00A810ED"/>
    <w:rsid w:val="00A81958"/>
    <w:rsid w:val="00A82261"/>
    <w:rsid w:val="00A82263"/>
    <w:rsid w:val="00A8227D"/>
    <w:rsid w:val="00A82469"/>
    <w:rsid w:val="00A8269E"/>
    <w:rsid w:val="00A829A0"/>
    <w:rsid w:val="00A82E4B"/>
    <w:rsid w:val="00A83075"/>
    <w:rsid w:val="00A830C3"/>
    <w:rsid w:val="00A83146"/>
    <w:rsid w:val="00A83579"/>
    <w:rsid w:val="00A83B7C"/>
    <w:rsid w:val="00A83BFB"/>
    <w:rsid w:val="00A841A9"/>
    <w:rsid w:val="00A84751"/>
    <w:rsid w:val="00A8483A"/>
    <w:rsid w:val="00A84846"/>
    <w:rsid w:val="00A84B14"/>
    <w:rsid w:val="00A8500D"/>
    <w:rsid w:val="00A852EA"/>
    <w:rsid w:val="00A855F2"/>
    <w:rsid w:val="00A858FD"/>
    <w:rsid w:val="00A85A5C"/>
    <w:rsid w:val="00A85AA6"/>
    <w:rsid w:val="00A85D4F"/>
    <w:rsid w:val="00A85E78"/>
    <w:rsid w:val="00A86755"/>
    <w:rsid w:val="00A86CCD"/>
    <w:rsid w:val="00A86E71"/>
    <w:rsid w:val="00A86EDB"/>
    <w:rsid w:val="00A86EDF"/>
    <w:rsid w:val="00A87462"/>
    <w:rsid w:val="00A87464"/>
    <w:rsid w:val="00A87550"/>
    <w:rsid w:val="00A876C6"/>
    <w:rsid w:val="00A87A3F"/>
    <w:rsid w:val="00A87C1C"/>
    <w:rsid w:val="00A87E5D"/>
    <w:rsid w:val="00A90009"/>
    <w:rsid w:val="00A9018B"/>
    <w:rsid w:val="00A901A3"/>
    <w:rsid w:val="00A907B7"/>
    <w:rsid w:val="00A90A97"/>
    <w:rsid w:val="00A90E8C"/>
    <w:rsid w:val="00A90F7D"/>
    <w:rsid w:val="00A91105"/>
    <w:rsid w:val="00A911D1"/>
    <w:rsid w:val="00A913E0"/>
    <w:rsid w:val="00A9180A"/>
    <w:rsid w:val="00A91A0F"/>
    <w:rsid w:val="00A91BA8"/>
    <w:rsid w:val="00A91EC0"/>
    <w:rsid w:val="00A928BD"/>
    <w:rsid w:val="00A929E6"/>
    <w:rsid w:val="00A93304"/>
    <w:rsid w:val="00A93384"/>
    <w:rsid w:val="00A934EA"/>
    <w:rsid w:val="00A93641"/>
    <w:rsid w:val="00A9371B"/>
    <w:rsid w:val="00A9387B"/>
    <w:rsid w:val="00A939AF"/>
    <w:rsid w:val="00A93E1F"/>
    <w:rsid w:val="00A93E76"/>
    <w:rsid w:val="00A940B5"/>
    <w:rsid w:val="00A94121"/>
    <w:rsid w:val="00A942D1"/>
    <w:rsid w:val="00A94792"/>
    <w:rsid w:val="00A949B4"/>
    <w:rsid w:val="00A94D80"/>
    <w:rsid w:val="00A94E46"/>
    <w:rsid w:val="00A951B4"/>
    <w:rsid w:val="00A953F6"/>
    <w:rsid w:val="00A95449"/>
    <w:rsid w:val="00A95671"/>
    <w:rsid w:val="00A9599B"/>
    <w:rsid w:val="00A95AF8"/>
    <w:rsid w:val="00A95B10"/>
    <w:rsid w:val="00A95C01"/>
    <w:rsid w:val="00A95FC2"/>
    <w:rsid w:val="00A9632E"/>
    <w:rsid w:val="00A965E1"/>
    <w:rsid w:val="00A9695B"/>
    <w:rsid w:val="00A96CE0"/>
    <w:rsid w:val="00A96D19"/>
    <w:rsid w:val="00A96F48"/>
    <w:rsid w:val="00A9706C"/>
    <w:rsid w:val="00A97381"/>
    <w:rsid w:val="00A97551"/>
    <w:rsid w:val="00A97860"/>
    <w:rsid w:val="00A97A4D"/>
    <w:rsid w:val="00A97A6E"/>
    <w:rsid w:val="00A97B0A"/>
    <w:rsid w:val="00A97BF7"/>
    <w:rsid w:val="00A97DF8"/>
    <w:rsid w:val="00A97E4A"/>
    <w:rsid w:val="00AA0054"/>
    <w:rsid w:val="00AA0090"/>
    <w:rsid w:val="00AA042D"/>
    <w:rsid w:val="00AA0787"/>
    <w:rsid w:val="00AA07A6"/>
    <w:rsid w:val="00AA0DE8"/>
    <w:rsid w:val="00AA127F"/>
    <w:rsid w:val="00AA148E"/>
    <w:rsid w:val="00AA16A9"/>
    <w:rsid w:val="00AA1805"/>
    <w:rsid w:val="00AA1D6A"/>
    <w:rsid w:val="00AA1D75"/>
    <w:rsid w:val="00AA1E83"/>
    <w:rsid w:val="00AA1E8F"/>
    <w:rsid w:val="00AA1F44"/>
    <w:rsid w:val="00AA20DF"/>
    <w:rsid w:val="00AA210E"/>
    <w:rsid w:val="00AA21B0"/>
    <w:rsid w:val="00AA2248"/>
    <w:rsid w:val="00AA2492"/>
    <w:rsid w:val="00AA27F7"/>
    <w:rsid w:val="00AA2922"/>
    <w:rsid w:val="00AA33BF"/>
    <w:rsid w:val="00AA3424"/>
    <w:rsid w:val="00AA3CB1"/>
    <w:rsid w:val="00AA3CC9"/>
    <w:rsid w:val="00AA41E3"/>
    <w:rsid w:val="00AA4382"/>
    <w:rsid w:val="00AA4438"/>
    <w:rsid w:val="00AA4460"/>
    <w:rsid w:val="00AA477C"/>
    <w:rsid w:val="00AA4985"/>
    <w:rsid w:val="00AA49C0"/>
    <w:rsid w:val="00AA4BE5"/>
    <w:rsid w:val="00AA4C8A"/>
    <w:rsid w:val="00AA4F9A"/>
    <w:rsid w:val="00AA5270"/>
    <w:rsid w:val="00AA5282"/>
    <w:rsid w:val="00AA558A"/>
    <w:rsid w:val="00AA58E1"/>
    <w:rsid w:val="00AA5B25"/>
    <w:rsid w:val="00AA5C49"/>
    <w:rsid w:val="00AA5E44"/>
    <w:rsid w:val="00AA6179"/>
    <w:rsid w:val="00AA61E9"/>
    <w:rsid w:val="00AA6431"/>
    <w:rsid w:val="00AA6AF7"/>
    <w:rsid w:val="00AA6DBE"/>
    <w:rsid w:val="00AA6EFB"/>
    <w:rsid w:val="00AA6FAE"/>
    <w:rsid w:val="00AA710B"/>
    <w:rsid w:val="00AA7237"/>
    <w:rsid w:val="00AA7259"/>
    <w:rsid w:val="00AA7520"/>
    <w:rsid w:val="00AA773C"/>
    <w:rsid w:val="00AA79AD"/>
    <w:rsid w:val="00AA79C1"/>
    <w:rsid w:val="00AA7DE9"/>
    <w:rsid w:val="00AB060D"/>
    <w:rsid w:val="00AB060F"/>
    <w:rsid w:val="00AB08CE"/>
    <w:rsid w:val="00AB08E4"/>
    <w:rsid w:val="00AB0D5B"/>
    <w:rsid w:val="00AB0DB0"/>
    <w:rsid w:val="00AB0E2F"/>
    <w:rsid w:val="00AB0EE7"/>
    <w:rsid w:val="00AB1108"/>
    <w:rsid w:val="00AB11EC"/>
    <w:rsid w:val="00AB1224"/>
    <w:rsid w:val="00AB13C8"/>
    <w:rsid w:val="00AB17B9"/>
    <w:rsid w:val="00AB1EF0"/>
    <w:rsid w:val="00AB1F4C"/>
    <w:rsid w:val="00AB1FB0"/>
    <w:rsid w:val="00AB21B7"/>
    <w:rsid w:val="00AB222A"/>
    <w:rsid w:val="00AB229C"/>
    <w:rsid w:val="00AB24FF"/>
    <w:rsid w:val="00AB2544"/>
    <w:rsid w:val="00AB25AA"/>
    <w:rsid w:val="00AB26A9"/>
    <w:rsid w:val="00AB2A31"/>
    <w:rsid w:val="00AB2A51"/>
    <w:rsid w:val="00AB2A95"/>
    <w:rsid w:val="00AB2C1E"/>
    <w:rsid w:val="00AB2C4C"/>
    <w:rsid w:val="00AB3742"/>
    <w:rsid w:val="00AB3882"/>
    <w:rsid w:val="00AB3952"/>
    <w:rsid w:val="00AB3BCE"/>
    <w:rsid w:val="00AB3D24"/>
    <w:rsid w:val="00AB40A9"/>
    <w:rsid w:val="00AB4107"/>
    <w:rsid w:val="00AB410E"/>
    <w:rsid w:val="00AB41E0"/>
    <w:rsid w:val="00AB4698"/>
    <w:rsid w:val="00AB46C4"/>
    <w:rsid w:val="00AB49BC"/>
    <w:rsid w:val="00AB4C5E"/>
    <w:rsid w:val="00AB4D4F"/>
    <w:rsid w:val="00AB50A0"/>
    <w:rsid w:val="00AB53F5"/>
    <w:rsid w:val="00AB56A9"/>
    <w:rsid w:val="00AB56CF"/>
    <w:rsid w:val="00AB56DD"/>
    <w:rsid w:val="00AB5AF9"/>
    <w:rsid w:val="00AB5C70"/>
    <w:rsid w:val="00AB5C94"/>
    <w:rsid w:val="00AB5EFA"/>
    <w:rsid w:val="00AB61AA"/>
    <w:rsid w:val="00AB634F"/>
    <w:rsid w:val="00AB6616"/>
    <w:rsid w:val="00AB664B"/>
    <w:rsid w:val="00AB67D2"/>
    <w:rsid w:val="00AB6A38"/>
    <w:rsid w:val="00AB6B72"/>
    <w:rsid w:val="00AB6B82"/>
    <w:rsid w:val="00AB6D13"/>
    <w:rsid w:val="00AB6E57"/>
    <w:rsid w:val="00AB71B1"/>
    <w:rsid w:val="00AB722A"/>
    <w:rsid w:val="00AB7459"/>
    <w:rsid w:val="00AB7532"/>
    <w:rsid w:val="00AB77AB"/>
    <w:rsid w:val="00AB79F9"/>
    <w:rsid w:val="00AB7BB3"/>
    <w:rsid w:val="00AB7DC2"/>
    <w:rsid w:val="00AB7DE9"/>
    <w:rsid w:val="00AB7E22"/>
    <w:rsid w:val="00AB7EDA"/>
    <w:rsid w:val="00AC00E9"/>
    <w:rsid w:val="00AC010B"/>
    <w:rsid w:val="00AC0414"/>
    <w:rsid w:val="00AC0AC3"/>
    <w:rsid w:val="00AC0C1E"/>
    <w:rsid w:val="00AC0C9F"/>
    <w:rsid w:val="00AC0F9C"/>
    <w:rsid w:val="00AC1253"/>
    <w:rsid w:val="00AC142A"/>
    <w:rsid w:val="00AC143B"/>
    <w:rsid w:val="00AC1561"/>
    <w:rsid w:val="00AC1816"/>
    <w:rsid w:val="00AC18D9"/>
    <w:rsid w:val="00AC1B3C"/>
    <w:rsid w:val="00AC1B48"/>
    <w:rsid w:val="00AC1CB8"/>
    <w:rsid w:val="00AC22FD"/>
    <w:rsid w:val="00AC2706"/>
    <w:rsid w:val="00AC2D29"/>
    <w:rsid w:val="00AC2E77"/>
    <w:rsid w:val="00AC310C"/>
    <w:rsid w:val="00AC3447"/>
    <w:rsid w:val="00AC3900"/>
    <w:rsid w:val="00AC3956"/>
    <w:rsid w:val="00AC39DF"/>
    <w:rsid w:val="00AC3AA0"/>
    <w:rsid w:val="00AC3CD1"/>
    <w:rsid w:val="00AC434D"/>
    <w:rsid w:val="00AC451F"/>
    <w:rsid w:val="00AC47C7"/>
    <w:rsid w:val="00AC4999"/>
    <w:rsid w:val="00AC4FB7"/>
    <w:rsid w:val="00AC506B"/>
    <w:rsid w:val="00AC519B"/>
    <w:rsid w:val="00AC538F"/>
    <w:rsid w:val="00AC53AD"/>
    <w:rsid w:val="00AC56AB"/>
    <w:rsid w:val="00AC571F"/>
    <w:rsid w:val="00AC5909"/>
    <w:rsid w:val="00AC5E54"/>
    <w:rsid w:val="00AC6202"/>
    <w:rsid w:val="00AC6318"/>
    <w:rsid w:val="00AC64D0"/>
    <w:rsid w:val="00AC65F4"/>
    <w:rsid w:val="00AC66C5"/>
    <w:rsid w:val="00AC6708"/>
    <w:rsid w:val="00AC6884"/>
    <w:rsid w:val="00AC69B8"/>
    <w:rsid w:val="00AC6A03"/>
    <w:rsid w:val="00AC6A49"/>
    <w:rsid w:val="00AC6EF2"/>
    <w:rsid w:val="00AC6F13"/>
    <w:rsid w:val="00AC71BB"/>
    <w:rsid w:val="00AC730C"/>
    <w:rsid w:val="00AC743B"/>
    <w:rsid w:val="00AC78BE"/>
    <w:rsid w:val="00AC7AEF"/>
    <w:rsid w:val="00AC7EB6"/>
    <w:rsid w:val="00AD002C"/>
    <w:rsid w:val="00AD00F3"/>
    <w:rsid w:val="00AD0334"/>
    <w:rsid w:val="00AD0447"/>
    <w:rsid w:val="00AD04FC"/>
    <w:rsid w:val="00AD06B5"/>
    <w:rsid w:val="00AD0820"/>
    <w:rsid w:val="00AD0A9E"/>
    <w:rsid w:val="00AD0E40"/>
    <w:rsid w:val="00AD10FA"/>
    <w:rsid w:val="00AD11A3"/>
    <w:rsid w:val="00AD12AF"/>
    <w:rsid w:val="00AD1559"/>
    <w:rsid w:val="00AD15F6"/>
    <w:rsid w:val="00AD1E33"/>
    <w:rsid w:val="00AD1E64"/>
    <w:rsid w:val="00AD1EDF"/>
    <w:rsid w:val="00AD2265"/>
    <w:rsid w:val="00AD23EE"/>
    <w:rsid w:val="00AD2726"/>
    <w:rsid w:val="00AD280A"/>
    <w:rsid w:val="00AD2B1F"/>
    <w:rsid w:val="00AD2E4A"/>
    <w:rsid w:val="00AD2FB1"/>
    <w:rsid w:val="00AD2FEE"/>
    <w:rsid w:val="00AD3049"/>
    <w:rsid w:val="00AD31E1"/>
    <w:rsid w:val="00AD3A77"/>
    <w:rsid w:val="00AD3CED"/>
    <w:rsid w:val="00AD3E89"/>
    <w:rsid w:val="00AD403B"/>
    <w:rsid w:val="00AD4620"/>
    <w:rsid w:val="00AD4A85"/>
    <w:rsid w:val="00AD4B65"/>
    <w:rsid w:val="00AD4CA2"/>
    <w:rsid w:val="00AD4E29"/>
    <w:rsid w:val="00AD547D"/>
    <w:rsid w:val="00AD55AE"/>
    <w:rsid w:val="00AD578E"/>
    <w:rsid w:val="00AD5812"/>
    <w:rsid w:val="00AD58AB"/>
    <w:rsid w:val="00AD5C87"/>
    <w:rsid w:val="00AD628A"/>
    <w:rsid w:val="00AD6660"/>
    <w:rsid w:val="00AD6752"/>
    <w:rsid w:val="00AD68D1"/>
    <w:rsid w:val="00AD6D8C"/>
    <w:rsid w:val="00AD6D97"/>
    <w:rsid w:val="00AD6DCF"/>
    <w:rsid w:val="00AD723F"/>
    <w:rsid w:val="00AD7459"/>
    <w:rsid w:val="00AD7665"/>
    <w:rsid w:val="00AD7A1F"/>
    <w:rsid w:val="00AD7A6A"/>
    <w:rsid w:val="00AD7D12"/>
    <w:rsid w:val="00AD7D1A"/>
    <w:rsid w:val="00AE0113"/>
    <w:rsid w:val="00AE04CC"/>
    <w:rsid w:val="00AE0A09"/>
    <w:rsid w:val="00AE0FB7"/>
    <w:rsid w:val="00AE1639"/>
    <w:rsid w:val="00AE1A58"/>
    <w:rsid w:val="00AE1A6A"/>
    <w:rsid w:val="00AE1C20"/>
    <w:rsid w:val="00AE1CF0"/>
    <w:rsid w:val="00AE1DF4"/>
    <w:rsid w:val="00AE1E4B"/>
    <w:rsid w:val="00AE1E70"/>
    <w:rsid w:val="00AE1FF5"/>
    <w:rsid w:val="00AE209E"/>
    <w:rsid w:val="00AE212C"/>
    <w:rsid w:val="00AE2236"/>
    <w:rsid w:val="00AE22E3"/>
    <w:rsid w:val="00AE2312"/>
    <w:rsid w:val="00AE2A53"/>
    <w:rsid w:val="00AE2A66"/>
    <w:rsid w:val="00AE2C28"/>
    <w:rsid w:val="00AE2D84"/>
    <w:rsid w:val="00AE3000"/>
    <w:rsid w:val="00AE30C8"/>
    <w:rsid w:val="00AE368A"/>
    <w:rsid w:val="00AE375A"/>
    <w:rsid w:val="00AE37C7"/>
    <w:rsid w:val="00AE39AE"/>
    <w:rsid w:val="00AE39FB"/>
    <w:rsid w:val="00AE3C2B"/>
    <w:rsid w:val="00AE3EA4"/>
    <w:rsid w:val="00AE406C"/>
    <w:rsid w:val="00AE453B"/>
    <w:rsid w:val="00AE46CF"/>
    <w:rsid w:val="00AE474A"/>
    <w:rsid w:val="00AE4949"/>
    <w:rsid w:val="00AE4A00"/>
    <w:rsid w:val="00AE4B27"/>
    <w:rsid w:val="00AE4CEB"/>
    <w:rsid w:val="00AE4D1E"/>
    <w:rsid w:val="00AE4D28"/>
    <w:rsid w:val="00AE4DEA"/>
    <w:rsid w:val="00AE4F95"/>
    <w:rsid w:val="00AE4FEA"/>
    <w:rsid w:val="00AE5017"/>
    <w:rsid w:val="00AE53BD"/>
    <w:rsid w:val="00AE5428"/>
    <w:rsid w:val="00AE5B66"/>
    <w:rsid w:val="00AE5BDC"/>
    <w:rsid w:val="00AE5EB2"/>
    <w:rsid w:val="00AE6156"/>
    <w:rsid w:val="00AE61E3"/>
    <w:rsid w:val="00AE62FD"/>
    <w:rsid w:val="00AE66C4"/>
    <w:rsid w:val="00AE68C8"/>
    <w:rsid w:val="00AE6E79"/>
    <w:rsid w:val="00AE6F75"/>
    <w:rsid w:val="00AE6F87"/>
    <w:rsid w:val="00AE70B0"/>
    <w:rsid w:val="00AE7331"/>
    <w:rsid w:val="00AE76CA"/>
    <w:rsid w:val="00AE76D0"/>
    <w:rsid w:val="00AE7724"/>
    <w:rsid w:val="00AE79EF"/>
    <w:rsid w:val="00AE7D85"/>
    <w:rsid w:val="00AE7D9D"/>
    <w:rsid w:val="00AE7E0D"/>
    <w:rsid w:val="00AE7EE5"/>
    <w:rsid w:val="00AF01A7"/>
    <w:rsid w:val="00AF09C2"/>
    <w:rsid w:val="00AF0CC2"/>
    <w:rsid w:val="00AF0F61"/>
    <w:rsid w:val="00AF1232"/>
    <w:rsid w:val="00AF14B6"/>
    <w:rsid w:val="00AF14F1"/>
    <w:rsid w:val="00AF16EE"/>
    <w:rsid w:val="00AF1796"/>
    <w:rsid w:val="00AF1AD3"/>
    <w:rsid w:val="00AF1AED"/>
    <w:rsid w:val="00AF1B03"/>
    <w:rsid w:val="00AF1BBD"/>
    <w:rsid w:val="00AF1BFA"/>
    <w:rsid w:val="00AF1F36"/>
    <w:rsid w:val="00AF2050"/>
    <w:rsid w:val="00AF21BD"/>
    <w:rsid w:val="00AF221F"/>
    <w:rsid w:val="00AF22C1"/>
    <w:rsid w:val="00AF2536"/>
    <w:rsid w:val="00AF2A43"/>
    <w:rsid w:val="00AF304B"/>
    <w:rsid w:val="00AF3075"/>
    <w:rsid w:val="00AF3143"/>
    <w:rsid w:val="00AF3316"/>
    <w:rsid w:val="00AF3525"/>
    <w:rsid w:val="00AF3561"/>
    <w:rsid w:val="00AF35D4"/>
    <w:rsid w:val="00AF3949"/>
    <w:rsid w:val="00AF3FB2"/>
    <w:rsid w:val="00AF413C"/>
    <w:rsid w:val="00AF4274"/>
    <w:rsid w:val="00AF43E5"/>
    <w:rsid w:val="00AF4493"/>
    <w:rsid w:val="00AF44BE"/>
    <w:rsid w:val="00AF4B98"/>
    <w:rsid w:val="00AF4BA2"/>
    <w:rsid w:val="00AF4E8F"/>
    <w:rsid w:val="00AF5594"/>
    <w:rsid w:val="00AF5747"/>
    <w:rsid w:val="00AF57A4"/>
    <w:rsid w:val="00AF60EA"/>
    <w:rsid w:val="00AF6301"/>
    <w:rsid w:val="00AF64BF"/>
    <w:rsid w:val="00AF6512"/>
    <w:rsid w:val="00AF6B98"/>
    <w:rsid w:val="00AF6BCB"/>
    <w:rsid w:val="00AF6F40"/>
    <w:rsid w:val="00AF70DD"/>
    <w:rsid w:val="00AF791F"/>
    <w:rsid w:val="00AF7B0C"/>
    <w:rsid w:val="00AF7CEB"/>
    <w:rsid w:val="00AF7F01"/>
    <w:rsid w:val="00AF7F09"/>
    <w:rsid w:val="00AF7F26"/>
    <w:rsid w:val="00B00063"/>
    <w:rsid w:val="00B0012D"/>
    <w:rsid w:val="00B00332"/>
    <w:rsid w:val="00B003D7"/>
    <w:rsid w:val="00B00785"/>
    <w:rsid w:val="00B007E4"/>
    <w:rsid w:val="00B00828"/>
    <w:rsid w:val="00B00917"/>
    <w:rsid w:val="00B009B6"/>
    <w:rsid w:val="00B00AD4"/>
    <w:rsid w:val="00B00AF6"/>
    <w:rsid w:val="00B00C39"/>
    <w:rsid w:val="00B00D1E"/>
    <w:rsid w:val="00B00DAA"/>
    <w:rsid w:val="00B00E76"/>
    <w:rsid w:val="00B01195"/>
    <w:rsid w:val="00B013E3"/>
    <w:rsid w:val="00B01950"/>
    <w:rsid w:val="00B01A8F"/>
    <w:rsid w:val="00B01D3B"/>
    <w:rsid w:val="00B027F3"/>
    <w:rsid w:val="00B0284E"/>
    <w:rsid w:val="00B02ACE"/>
    <w:rsid w:val="00B02ADD"/>
    <w:rsid w:val="00B02CF6"/>
    <w:rsid w:val="00B02EC3"/>
    <w:rsid w:val="00B03383"/>
    <w:rsid w:val="00B0345F"/>
    <w:rsid w:val="00B037B5"/>
    <w:rsid w:val="00B037C8"/>
    <w:rsid w:val="00B03AF3"/>
    <w:rsid w:val="00B03C93"/>
    <w:rsid w:val="00B03FF9"/>
    <w:rsid w:val="00B040CB"/>
    <w:rsid w:val="00B04515"/>
    <w:rsid w:val="00B04685"/>
    <w:rsid w:val="00B04A25"/>
    <w:rsid w:val="00B04A76"/>
    <w:rsid w:val="00B04A7E"/>
    <w:rsid w:val="00B04B5D"/>
    <w:rsid w:val="00B04CB3"/>
    <w:rsid w:val="00B04DDA"/>
    <w:rsid w:val="00B04F20"/>
    <w:rsid w:val="00B05049"/>
    <w:rsid w:val="00B0529C"/>
    <w:rsid w:val="00B053AC"/>
    <w:rsid w:val="00B053C9"/>
    <w:rsid w:val="00B054F5"/>
    <w:rsid w:val="00B05544"/>
    <w:rsid w:val="00B05792"/>
    <w:rsid w:val="00B05B22"/>
    <w:rsid w:val="00B05D79"/>
    <w:rsid w:val="00B05E6F"/>
    <w:rsid w:val="00B0624F"/>
    <w:rsid w:val="00B06AD3"/>
    <w:rsid w:val="00B0763B"/>
    <w:rsid w:val="00B07A50"/>
    <w:rsid w:val="00B07FA1"/>
    <w:rsid w:val="00B1019A"/>
    <w:rsid w:val="00B105AC"/>
    <w:rsid w:val="00B106B7"/>
    <w:rsid w:val="00B107B4"/>
    <w:rsid w:val="00B10A98"/>
    <w:rsid w:val="00B10BD4"/>
    <w:rsid w:val="00B10C5F"/>
    <w:rsid w:val="00B111B4"/>
    <w:rsid w:val="00B1141B"/>
    <w:rsid w:val="00B1155D"/>
    <w:rsid w:val="00B1162A"/>
    <w:rsid w:val="00B11AB3"/>
    <w:rsid w:val="00B124EC"/>
    <w:rsid w:val="00B1250C"/>
    <w:rsid w:val="00B126C5"/>
    <w:rsid w:val="00B126DA"/>
    <w:rsid w:val="00B1298C"/>
    <w:rsid w:val="00B12EBA"/>
    <w:rsid w:val="00B12EFA"/>
    <w:rsid w:val="00B1307E"/>
    <w:rsid w:val="00B132A0"/>
    <w:rsid w:val="00B13B78"/>
    <w:rsid w:val="00B13DC8"/>
    <w:rsid w:val="00B141B3"/>
    <w:rsid w:val="00B14367"/>
    <w:rsid w:val="00B150CB"/>
    <w:rsid w:val="00B153D9"/>
    <w:rsid w:val="00B155BD"/>
    <w:rsid w:val="00B15AE6"/>
    <w:rsid w:val="00B15CAE"/>
    <w:rsid w:val="00B15D0F"/>
    <w:rsid w:val="00B15E0D"/>
    <w:rsid w:val="00B15FC4"/>
    <w:rsid w:val="00B1689F"/>
    <w:rsid w:val="00B16BC4"/>
    <w:rsid w:val="00B171EE"/>
    <w:rsid w:val="00B1732B"/>
    <w:rsid w:val="00B1750F"/>
    <w:rsid w:val="00B17969"/>
    <w:rsid w:val="00B179A6"/>
    <w:rsid w:val="00B17D19"/>
    <w:rsid w:val="00B20117"/>
    <w:rsid w:val="00B20237"/>
    <w:rsid w:val="00B20296"/>
    <w:rsid w:val="00B202A8"/>
    <w:rsid w:val="00B20353"/>
    <w:rsid w:val="00B20469"/>
    <w:rsid w:val="00B206F7"/>
    <w:rsid w:val="00B206FE"/>
    <w:rsid w:val="00B2072E"/>
    <w:rsid w:val="00B207EF"/>
    <w:rsid w:val="00B20889"/>
    <w:rsid w:val="00B2095B"/>
    <w:rsid w:val="00B20AA4"/>
    <w:rsid w:val="00B20C45"/>
    <w:rsid w:val="00B20D56"/>
    <w:rsid w:val="00B20DBC"/>
    <w:rsid w:val="00B21261"/>
    <w:rsid w:val="00B21889"/>
    <w:rsid w:val="00B218C1"/>
    <w:rsid w:val="00B21AC0"/>
    <w:rsid w:val="00B21D3C"/>
    <w:rsid w:val="00B21E7F"/>
    <w:rsid w:val="00B21F85"/>
    <w:rsid w:val="00B21F94"/>
    <w:rsid w:val="00B21FB9"/>
    <w:rsid w:val="00B21FC2"/>
    <w:rsid w:val="00B22A13"/>
    <w:rsid w:val="00B22B6E"/>
    <w:rsid w:val="00B22D00"/>
    <w:rsid w:val="00B22F7B"/>
    <w:rsid w:val="00B23211"/>
    <w:rsid w:val="00B233D1"/>
    <w:rsid w:val="00B236F7"/>
    <w:rsid w:val="00B237B5"/>
    <w:rsid w:val="00B237BC"/>
    <w:rsid w:val="00B2399E"/>
    <w:rsid w:val="00B23AED"/>
    <w:rsid w:val="00B23FB4"/>
    <w:rsid w:val="00B2427B"/>
    <w:rsid w:val="00B2447D"/>
    <w:rsid w:val="00B244B4"/>
    <w:rsid w:val="00B245E5"/>
    <w:rsid w:val="00B24814"/>
    <w:rsid w:val="00B24B22"/>
    <w:rsid w:val="00B24BCA"/>
    <w:rsid w:val="00B24BF8"/>
    <w:rsid w:val="00B24DEA"/>
    <w:rsid w:val="00B24E68"/>
    <w:rsid w:val="00B24F06"/>
    <w:rsid w:val="00B2503C"/>
    <w:rsid w:val="00B25063"/>
    <w:rsid w:val="00B254FB"/>
    <w:rsid w:val="00B2565A"/>
    <w:rsid w:val="00B256B1"/>
    <w:rsid w:val="00B2593B"/>
    <w:rsid w:val="00B2610B"/>
    <w:rsid w:val="00B265EB"/>
    <w:rsid w:val="00B26778"/>
    <w:rsid w:val="00B26858"/>
    <w:rsid w:val="00B2689A"/>
    <w:rsid w:val="00B26933"/>
    <w:rsid w:val="00B26A2A"/>
    <w:rsid w:val="00B26D7F"/>
    <w:rsid w:val="00B26F17"/>
    <w:rsid w:val="00B26F8B"/>
    <w:rsid w:val="00B26FF1"/>
    <w:rsid w:val="00B2701D"/>
    <w:rsid w:val="00B2709E"/>
    <w:rsid w:val="00B2722A"/>
    <w:rsid w:val="00B273E1"/>
    <w:rsid w:val="00B273FB"/>
    <w:rsid w:val="00B27541"/>
    <w:rsid w:val="00B277A4"/>
    <w:rsid w:val="00B27A42"/>
    <w:rsid w:val="00B27ABB"/>
    <w:rsid w:val="00B27C1B"/>
    <w:rsid w:val="00B3068B"/>
    <w:rsid w:val="00B307BA"/>
    <w:rsid w:val="00B30CFA"/>
    <w:rsid w:val="00B3101E"/>
    <w:rsid w:val="00B318B2"/>
    <w:rsid w:val="00B31920"/>
    <w:rsid w:val="00B31945"/>
    <w:rsid w:val="00B319B1"/>
    <w:rsid w:val="00B31EB8"/>
    <w:rsid w:val="00B31EEC"/>
    <w:rsid w:val="00B32141"/>
    <w:rsid w:val="00B32579"/>
    <w:rsid w:val="00B32746"/>
    <w:rsid w:val="00B32751"/>
    <w:rsid w:val="00B3293C"/>
    <w:rsid w:val="00B32984"/>
    <w:rsid w:val="00B32A8D"/>
    <w:rsid w:val="00B32B4B"/>
    <w:rsid w:val="00B32BB6"/>
    <w:rsid w:val="00B32E5A"/>
    <w:rsid w:val="00B32F0C"/>
    <w:rsid w:val="00B3345E"/>
    <w:rsid w:val="00B334CF"/>
    <w:rsid w:val="00B337C6"/>
    <w:rsid w:val="00B33A66"/>
    <w:rsid w:val="00B33BE2"/>
    <w:rsid w:val="00B33C0D"/>
    <w:rsid w:val="00B342A4"/>
    <w:rsid w:val="00B346F2"/>
    <w:rsid w:val="00B346F3"/>
    <w:rsid w:val="00B34B7D"/>
    <w:rsid w:val="00B34F8A"/>
    <w:rsid w:val="00B35164"/>
    <w:rsid w:val="00B35228"/>
    <w:rsid w:val="00B35499"/>
    <w:rsid w:val="00B354BC"/>
    <w:rsid w:val="00B35681"/>
    <w:rsid w:val="00B3578D"/>
    <w:rsid w:val="00B35A13"/>
    <w:rsid w:val="00B35DA3"/>
    <w:rsid w:val="00B35EFA"/>
    <w:rsid w:val="00B36386"/>
    <w:rsid w:val="00B36649"/>
    <w:rsid w:val="00B366C9"/>
    <w:rsid w:val="00B36732"/>
    <w:rsid w:val="00B3677B"/>
    <w:rsid w:val="00B367AF"/>
    <w:rsid w:val="00B367D7"/>
    <w:rsid w:val="00B36877"/>
    <w:rsid w:val="00B369EB"/>
    <w:rsid w:val="00B36A9F"/>
    <w:rsid w:val="00B36F43"/>
    <w:rsid w:val="00B370C2"/>
    <w:rsid w:val="00B371EF"/>
    <w:rsid w:val="00B3746F"/>
    <w:rsid w:val="00B37658"/>
    <w:rsid w:val="00B37E98"/>
    <w:rsid w:val="00B37F29"/>
    <w:rsid w:val="00B37F6B"/>
    <w:rsid w:val="00B40253"/>
    <w:rsid w:val="00B402F8"/>
    <w:rsid w:val="00B406D1"/>
    <w:rsid w:val="00B407F6"/>
    <w:rsid w:val="00B40A2D"/>
    <w:rsid w:val="00B40DB1"/>
    <w:rsid w:val="00B40EBD"/>
    <w:rsid w:val="00B40F1A"/>
    <w:rsid w:val="00B410B9"/>
    <w:rsid w:val="00B4161C"/>
    <w:rsid w:val="00B4163F"/>
    <w:rsid w:val="00B417BB"/>
    <w:rsid w:val="00B41BF2"/>
    <w:rsid w:val="00B41C2B"/>
    <w:rsid w:val="00B41CB1"/>
    <w:rsid w:val="00B41F14"/>
    <w:rsid w:val="00B4218A"/>
    <w:rsid w:val="00B42232"/>
    <w:rsid w:val="00B4275F"/>
    <w:rsid w:val="00B429DC"/>
    <w:rsid w:val="00B42E30"/>
    <w:rsid w:val="00B42FEB"/>
    <w:rsid w:val="00B432E4"/>
    <w:rsid w:val="00B43661"/>
    <w:rsid w:val="00B43693"/>
    <w:rsid w:val="00B43729"/>
    <w:rsid w:val="00B43862"/>
    <w:rsid w:val="00B439D7"/>
    <w:rsid w:val="00B43AAD"/>
    <w:rsid w:val="00B4408E"/>
    <w:rsid w:val="00B440DD"/>
    <w:rsid w:val="00B444CA"/>
    <w:rsid w:val="00B446DA"/>
    <w:rsid w:val="00B44B24"/>
    <w:rsid w:val="00B44B46"/>
    <w:rsid w:val="00B44E42"/>
    <w:rsid w:val="00B44E9D"/>
    <w:rsid w:val="00B44FE6"/>
    <w:rsid w:val="00B4548C"/>
    <w:rsid w:val="00B45693"/>
    <w:rsid w:val="00B4571B"/>
    <w:rsid w:val="00B45B4B"/>
    <w:rsid w:val="00B45F52"/>
    <w:rsid w:val="00B46303"/>
    <w:rsid w:val="00B46AFC"/>
    <w:rsid w:val="00B46DDD"/>
    <w:rsid w:val="00B472AF"/>
    <w:rsid w:val="00B47327"/>
    <w:rsid w:val="00B4743B"/>
    <w:rsid w:val="00B47590"/>
    <w:rsid w:val="00B47747"/>
    <w:rsid w:val="00B479C0"/>
    <w:rsid w:val="00B50223"/>
    <w:rsid w:val="00B5046A"/>
    <w:rsid w:val="00B505A9"/>
    <w:rsid w:val="00B50747"/>
    <w:rsid w:val="00B50752"/>
    <w:rsid w:val="00B50848"/>
    <w:rsid w:val="00B50D14"/>
    <w:rsid w:val="00B50D44"/>
    <w:rsid w:val="00B5130B"/>
    <w:rsid w:val="00B513BD"/>
    <w:rsid w:val="00B514CA"/>
    <w:rsid w:val="00B51522"/>
    <w:rsid w:val="00B51573"/>
    <w:rsid w:val="00B51D24"/>
    <w:rsid w:val="00B51E37"/>
    <w:rsid w:val="00B523E7"/>
    <w:rsid w:val="00B5244C"/>
    <w:rsid w:val="00B52603"/>
    <w:rsid w:val="00B5294D"/>
    <w:rsid w:val="00B52ED6"/>
    <w:rsid w:val="00B53166"/>
    <w:rsid w:val="00B534E7"/>
    <w:rsid w:val="00B53814"/>
    <w:rsid w:val="00B5392D"/>
    <w:rsid w:val="00B53D1C"/>
    <w:rsid w:val="00B5403F"/>
    <w:rsid w:val="00B541C9"/>
    <w:rsid w:val="00B544F3"/>
    <w:rsid w:val="00B54797"/>
    <w:rsid w:val="00B547F8"/>
    <w:rsid w:val="00B54945"/>
    <w:rsid w:val="00B54CFB"/>
    <w:rsid w:val="00B54D62"/>
    <w:rsid w:val="00B550E9"/>
    <w:rsid w:val="00B55202"/>
    <w:rsid w:val="00B55290"/>
    <w:rsid w:val="00B558F0"/>
    <w:rsid w:val="00B55933"/>
    <w:rsid w:val="00B55B39"/>
    <w:rsid w:val="00B55BFB"/>
    <w:rsid w:val="00B55D1D"/>
    <w:rsid w:val="00B55E2F"/>
    <w:rsid w:val="00B55E94"/>
    <w:rsid w:val="00B55ED1"/>
    <w:rsid w:val="00B5621D"/>
    <w:rsid w:val="00B56880"/>
    <w:rsid w:val="00B569B9"/>
    <w:rsid w:val="00B56C3D"/>
    <w:rsid w:val="00B56F0A"/>
    <w:rsid w:val="00B5705F"/>
    <w:rsid w:val="00B57317"/>
    <w:rsid w:val="00B573B1"/>
    <w:rsid w:val="00B57A32"/>
    <w:rsid w:val="00B57B87"/>
    <w:rsid w:val="00B6024F"/>
    <w:rsid w:val="00B6052F"/>
    <w:rsid w:val="00B609AB"/>
    <w:rsid w:val="00B60C1A"/>
    <w:rsid w:val="00B60D8A"/>
    <w:rsid w:val="00B6130D"/>
    <w:rsid w:val="00B614C1"/>
    <w:rsid w:val="00B618B3"/>
    <w:rsid w:val="00B619A5"/>
    <w:rsid w:val="00B61BAD"/>
    <w:rsid w:val="00B61C06"/>
    <w:rsid w:val="00B61D19"/>
    <w:rsid w:val="00B61E72"/>
    <w:rsid w:val="00B61F46"/>
    <w:rsid w:val="00B624F8"/>
    <w:rsid w:val="00B62730"/>
    <w:rsid w:val="00B62784"/>
    <w:rsid w:val="00B627C5"/>
    <w:rsid w:val="00B62B53"/>
    <w:rsid w:val="00B62BAA"/>
    <w:rsid w:val="00B62C10"/>
    <w:rsid w:val="00B62CD5"/>
    <w:rsid w:val="00B62D0B"/>
    <w:rsid w:val="00B62D71"/>
    <w:rsid w:val="00B62DFC"/>
    <w:rsid w:val="00B6310F"/>
    <w:rsid w:val="00B634D7"/>
    <w:rsid w:val="00B636EA"/>
    <w:rsid w:val="00B63708"/>
    <w:rsid w:val="00B637A1"/>
    <w:rsid w:val="00B63ED8"/>
    <w:rsid w:val="00B641F1"/>
    <w:rsid w:val="00B64755"/>
    <w:rsid w:val="00B647ED"/>
    <w:rsid w:val="00B6488E"/>
    <w:rsid w:val="00B648DA"/>
    <w:rsid w:val="00B64A4C"/>
    <w:rsid w:val="00B64CD7"/>
    <w:rsid w:val="00B64DF4"/>
    <w:rsid w:val="00B64E4A"/>
    <w:rsid w:val="00B65023"/>
    <w:rsid w:val="00B650D0"/>
    <w:rsid w:val="00B652B8"/>
    <w:rsid w:val="00B65679"/>
    <w:rsid w:val="00B65691"/>
    <w:rsid w:val="00B656AE"/>
    <w:rsid w:val="00B656DE"/>
    <w:rsid w:val="00B65817"/>
    <w:rsid w:val="00B658C1"/>
    <w:rsid w:val="00B65B6F"/>
    <w:rsid w:val="00B66006"/>
    <w:rsid w:val="00B6614E"/>
    <w:rsid w:val="00B6628A"/>
    <w:rsid w:val="00B664DF"/>
    <w:rsid w:val="00B668EC"/>
    <w:rsid w:val="00B6699E"/>
    <w:rsid w:val="00B6700D"/>
    <w:rsid w:val="00B674E2"/>
    <w:rsid w:val="00B677D9"/>
    <w:rsid w:val="00B67887"/>
    <w:rsid w:val="00B67950"/>
    <w:rsid w:val="00B679E3"/>
    <w:rsid w:val="00B67B1A"/>
    <w:rsid w:val="00B67B6C"/>
    <w:rsid w:val="00B70392"/>
    <w:rsid w:val="00B7083F"/>
    <w:rsid w:val="00B708B7"/>
    <w:rsid w:val="00B708F8"/>
    <w:rsid w:val="00B70973"/>
    <w:rsid w:val="00B709E9"/>
    <w:rsid w:val="00B70A3B"/>
    <w:rsid w:val="00B70FB1"/>
    <w:rsid w:val="00B7130E"/>
    <w:rsid w:val="00B7202A"/>
    <w:rsid w:val="00B724CD"/>
    <w:rsid w:val="00B7266F"/>
    <w:rsid w:val="00B726C0"/>
    <w:rsid w:val="00B72C69"/>
    <w:rsid w:val="00B72D8A"/>
    <w:rsid w:val="00B72DEA"/>
    <w:rsid w:val="00B73032"/>
    <w:rsid w:val="00B7329F"/>
    <w:rsid w:val="00B73505"/>
    <w:rsid w:val="00B73668"/>
    <w:rsid w:val="00B737A9"/>
    <w:rsid w:val="00B73E8E"/>
    <w:rsid w:val="00B73EF6"/>
    <w:rsid w:val="00B74278"/>
    <w:rsid w:val="00B7458F"/>
    <w:rsid w:val="00B74652"/>
    <w:rsid w:val="00B749F8"/>
    <w:rsid w:val="00B74AF9"/>
    <w:rsid w:val="00B752E6"/>
    <w:rsid w:val="00B75384"/>
    <w:rsid w:val="00B753EE"/>
    <w:rsid w:val="00B75556"/>
    <w:rsid w:val="00B757A8"/>
    <w:rsid w:val="00B75990"/>
    <w:rsid w:val="00B75BBF"/>
    <w:rsid w:val="00B75C76"/>
    <w:rsid w:val="00B766C8"/>
    <w:rsid w:val="00B7685A"/>
    <w:rsid w:val="00B768AC"/>
    <w:rsid w:val="00B76AE8"/>
    <w:rsid w:val="00B76B09"/>
    <w:rsid w:val="00B76D9B"/>
    <w:rsid w:val="00B76F3B"/>
    <w:rsid w:val="00B773C9"/>
    <w:rsid w:val="00B77B85"/>
    <w:rsid w:val="00B77CD4"/>
    <w:rsid w:val="00B77DD6"/>
    <w:rsid w:val="00B77F7A"/>
    <w:rsid w:val="00B8003F"/>
    <w:rsid w:val="00B8070B"/>
    <w:rsid w:val="00B808A8"/>
    <w:rsid w:val="00B809AA"/>
    <w:rsid w:val="00B80C36"/>
    <w:rsid w:val="00B80DA6"/>
    <w:rsid w:val="00B80F50"/>
    <w:rsid w:val="00B80FD5"/>
    <w:rsid w:val="00B81083"/>
    <w:rsid w:val="00B81133"/>
    <w:rsid w:val="00B81770"/>
    <w:rsid w:val="00B817D4"/>
    <w:rsid w:val="00B81A9B"/>
    <w:rsid w:val="00B81AC8"/>
    <w:rsid w:val="00B81CC0"/>
    <w:rsid w:val="00B82261"/>
    <w:rsid w:val="00B82CAC"/>
    <w:rsid w:val="00B82F17"/>
    <w:rsid w:val="00B83225"/>
    <w:rsid w:val="00B83286"/>
    <w:rsid w:val="00B8329E"/>
    <w:rsid w:val="00B832F7"/>
    <w:rsid w:val="00B83828"/>
    <w:rsid w:val="00B83B55"/>
    <w:rsid w:val="00B83BF7"/>
    <w:rsid w:val="00B83CB2"/>
    <w:rsid w:val="00B83DD3"/>
    <w:rsid w:val="00B83F1E"/>
    <w:rsid w:val="00B83F7F"/>
    <w:rsid w:val="00B843A4"/>
    <w:rsid w:val="00B84579"/>
    <w:rsid w:val="00B8471C"/>
    <w:rsid w:val="00B84FA5"/>
    <w:rsid w:val="00B855BC"/>
    <w:rsid w:val="00B8625A"/>
    <w:rsid w:val="00B865C0"/>
    <w:rsid w:val="00B8698F"/>
    <w:rsid w:val="00B86AA0"/>
    <w:rsid w:val="00B86E61"/>
    <w:rsid w:val="00B86FD2"/>
    <w:rsid w:val="00B87093"/>
    <w:rsid w:val="00B87749"/>
    <w:rsid w:val="00B8786C"/>
    <w:rsid w:val="00B878AA"/>
    <w:rsid w:val="00B87FA8"/>
    <w:rsid w:val="00B9000F"/>
    <w:rsid w:val="00B9002E"/>
    <w:rsid w:val="00B901A3"/>
    <w:rsid w:val="00B90362"/>
    <w:rsid w:val="00B90496"/>
    <w:rsid w:val="00B90624"/>
    <w:rsid w:val="00B9068B"/>
    <w:rsid w:val="00B9068D"/>
    <w:rsid w:val="00B906C8"/>
    <w:rsid w:val="00B9099C"/>
    <w:rsid w:val="00B90A21"/>
    <w:rsid w:val="00B90C50"/>
    <w:rsid w:val="00B90D0D"/>
    <w:rsid w:val="00B90D7B"/>
    <w:rsid w:val="00B90E36"/>
    <w:rsid w:val="00B90E3B"/>
    <w:rsid w:val="00B9107F"/>
    <w:rsid w:val="00B91118"/>
    <w:rsid w:val="00B911AD"/>
    <w:rsid w:val="00B9143E"/>
    <w:rsid w:val="00B915B5"/>
    <w:rsid w:val="00B9172D"/>
    <w:rsid w:val="00B91BC3"/>
    <w:rsid w:val="00B91DBD"/>
    <w:rsid w:val="00B92357"/>
    <w:rsid w:val="00B92560"/>
    <w:rsid w:val="00B92A1A"/>
    <w:rsid w:val="00B92A1F"/>
    <w:rsid w:val="00B92C6E"/>
    <w:rsid w:val="00B92C72"/>
    <w:rsid w:val="00B9311C"/>
    <w:rsid w:val="00B93352"/>
    <w:rsid w:val="00B937D6"/>
    <w:rsid w:val="00B938B4"/>
    <w:rsid w:val="00B93BB1"/>
    <w:rsid w:val="00B93CC2"/>
    <w:rsid w:val="00B943CC"/>
    <w:rsid w:val="00B9477F"/>
    <w:rsid w:val="00B9490A"/>
    <w:rsid w:val="00B94BF6"/>
    <w:rsid w:val="00B94F18"/>
    <w:rsid w:val="00B955B5"/>
    <w:rsid w:val="00B95B9A"/>
    <w:rsid w:val="00B96817"/>
    <w:rsid w:val="00B96A5D"/>
    <w:rsid w:val="00B9701B"/>
    <w:rsid w:val="00B9719A"/>
    <w:rsid w:val="00B97202"/>
    <w:rsid w:val="00B9742F"/>
    <w:rsid w:val="00B97814"/>
    <w:rsid w:val="00B97B66"/>
    <w:rsid w:val="00B97D92"/>
    <w:rsid w:val="00BA0014"/>
    <w:rsid w:val="00BA0019"/>
    <w:rsid w:val="00BA0285"/>
    <w:rsid w:val="00BA05F2"/>
    <w:rsid w:val="00BA06C1"/>
    <w:rsid w:val="00BA06CB"/>
    <w:rsid w:val="00BA08B4"/>
    <w:rsid w:val="00BA0AAD"/>
    <w:rsid w:val="00BA0D6B"/>
    <w:rsid w:val="00BA0E05"/>
    <w:rsid w:val="00BA0F42"/>
    <w:rsid w:val="00BA1158"/>
    <w:rsid w:val="00BA1201"/>
    <w:rsid w:val="00BA1304"/>
    <w:rsid w:val="00BA1394"/>
    <w:rsid w:val="00BA15FC"/>
    <w:rsid w:val="00BA18A4"/>
    <w:rsid w:val="00BA1BAF"/>
    <w:rsid w:val="00BA1BE9"/>
    <w:rsid w:val="00BA1CE0"/>
    <w:rsid w:val="00BA1D6D"/>
    <w:rsid w:val="00BA21E3"/>
    <w:rsid w:val="00BA229B"/>
    <w:rsid w:val="00BA2656"/>
    <w:rsid w:val="00BA277A"/>
    <w:rsid w:val="00BA2793"/>
    <w:rsid w:val="00BA2884"/>
    <w:rsid w:val="00BA28CE"/>
    <w:rsid w:val="00BA2ACB"/>
    <w:rsid w:val="00BA2D90"/>
    <w:rsid w:val="00BA2D98"/>
    <w:rsid w:val="00BA2E42"/>
    <w:rsid w:val="00BA2EEF"/>
    <w:rsid w:val="00BA3069"/>
    <w:rsid w:val="00BA312E"/>
    <w:rsid w:val="00BA3B1A"/>
    <w:rsid w:val="00BA3DB6"/>
    <w:rsid w:val="00BA4130"/>
    <w:rsid w:val="00BA4696"/>
    <w:rsid w:val="00BA4A40"/>
    <w:rsid w:val="00BA4AF9"/>
    <w:rsid w:val="00BA4DF7"/>
    <w:rsid w:val="00BA53AB"/>
    <w:rsid w:val="00BA53BE"/>
    <w:rsid w:val="00BA5467"/>
    <w:rsid w:val="00BA573F"/>
    <w:rsid w:val="00BA5A61"/>
    <w:rsid w:val="00BA5B1D"/>
    <w:rsid w:val="00BA60AD"/>
    <w:rsid w:val="00BA6231"/>
    <w:rsid w:val="00BA65D1"/>
    <w:rsid w:val="00BA6719"/>
    <w:rsid w:val="00BA68D6"/>
    <w:rsid w:val="00BA6E2D"/>
    <w:rsid w:val="00BA6F37"/>
    <w:rsid w:val="00BA6F78"/>
    <w:rsid w:val="00BA6FCD"/>
    <w:rsid w:val="00BA6FDC"/>
    <w:rsid w:val="00BA72BA"/>
    <w:rsid w:val="00BA7555"/>
    <w:rsid w:val="00BA76ED"/>
    <w:rsid w:val="00BA77C1"/>
    <w:rsid w:val="00BA7932"/>
    <w:rsid w:val="00BA7B6F"/>
    <w:rsid w:val="00BA7BD8"/>
    <w:rsid w:val="00BB00ED"/>
    <w:rsid w:val="00BB013C"/>
    <w:rsid w:val="00BB02F7"/>
    <w:rsid w:val="00BB0306"/>
    <w:rsid w:val="00BB03F9"/>
    <w:rsid w:val="00BB0485"/>
    <w:rsid w:val="00BB0515"/>
    <w:rsid w:val="00BB063F"/>
    <w:rsid w:val="00BB07A3"/>
    <w:rsid w:val="00BB07D8"/>
    <w:rsid w:val="00BB09AF"/>
    <w:rsid w:val="00BB0AED"/>
    <w:rsid w:val="00BB0E30"/>
    <w:rsid w:val="00BB11DD"/>
    <w:rsid w:val="00BB1299"/>
    <w:rsid w:val="00BB130C"/>
    <w:rsid w:val="00BB14E3"/>
    <w:rsid w:val="00BB1915"/>
    <w:rsid w:val="00BB1927"/>
    <w:rsid w:val="00BB198B"/>
    <w:rsid w:val="00BB1B20"/>
    <w:rsid w:val="00BB1CC4"/>
    <w:rsid w:val="00BB205B"/>
    <w:rsid w:val="00BB22C5"/>
    <w:rsid w:val="00BB2556"/>
    <w:rsid w:val="00BB25ED"/>
    <w:rsid w:val="00BB262B"/>
    <w:rsid w:val="00BB27EB"/>
    <w:rsid w:val="00BB27F2"/>
    <w:rsid w:val="00BB2D07"/>
    <w:rsid w:val="00BB2E01"/>
    <w:rsid w:val="00BB2E46"/>
    <w:rsid w:val="00BB2F35"/>
    <w:rsid w:val="00BB2F72"/>
    <w:rsid w:val="00BB3152"/>
    <w:rsid w:val="00BB367E"/>
    <w:rsid w:val="00BB3714"/>
    <w:rsid w:val="00BB396E"/>
    <w:rsid w:val="00BB3974"/>
    <w:rsid w:val="00BB3A60"/>
    <w:rsid w:val="00BB3BB7"/>
    <w:rsid w:val="00BB3DF8"/>
    <w:rsid w:val="00BB3F82"/>
    <w:rsid w:val="00BB422E"/>
    <w:rsid w:val="00BB423A"/>
    <w:rsid w:val="00BB45C8"/>
    <w:rsid w:val="00BB49F5"/>
    <w:rsid w:val="00BB49FC"/>
    <w:rsid w:val="00BB4B5B"/>
    <w:rsid w:val="00BB4D5C"/>
    <w:rsid w:val="00BB4FB8"/>
    <w:rsid w:val="00BB548D"/>
    <w:rsid w:val="00BB5510"/>
    <w:rsid w:val="00BB5A15"/>
    <w:rsid w:val="00BB5A16"/>
    <w:rsid w:val="00BB5D2D"/>
    <w:rsid w:val="00BB5FCB"/>
    <w:rsid w:val="00BB64F3"/>
    <w:rsid w:val="00BB67F8"/>
    <w:rsid w:val="00BB6805"/>
    <w:rsid w:val="00BB6C48"/>
    <w:rsid w:val="00BB75BE"/>
    <w:rsid w:val="00BB7914"/>
    <w:rsid w:val="00BB7A94"/>
    <w:rsid w:val="00BB7B01"/>
    <w:rsid w:val="00BB7C12"/>
    <w:rsid w:val="00BB7E67"/>
    <w:rsid w:val="00BC0097"/>
    <w:rsid w:val="00BC0363"/>
    <w:rsid w:val="00BC0C46"/>
    <w:rsid w:val="00BC0D7A"/>
    <w:rsid w:val="00BC0F96"/>
    <w:rsid w:val="00BC14FA"/>
    <w:rsid w:val="00BC157F"/>
    <w:rsid w:val="00BC15B4"/>
    <w:rsid w:val="00BC17FE"/>
    <w:rsid w:val="00BC1866"/>
    <w:rsid w:val="00BC1A67"/>
    <w:rsid w:val="00BC1B1A"/>
    <w:rsid w:val="00BC1BD6"/>
    <w:rsid w:val="00BC1DB0"/>
    <w:rsid w:val="00BC275B"/>
    <w:rsid w:val="00BC27AA"/>
    <w:rsid w:val="00BC27E8"/>
    <w:rsid w:val="00BC2862"/>
    <w:rsid w:val="00BC292E"/>
    <w:rsid w:val="00BC2A52"/>
    <w:rsid w:val="00BC2C45"/>
    <w:rsid w:val="00BC2D68"/>
    <w:rsid w:val="00BC3390"/>
    <w:rsid w:val="00BC363E"/>
    <w:rsid w:val="00BC3815"/>
    <w:rsid w:val="00BC3BDB"/>
    <w:rsid w:val="00BC3C2D"/>
    <w:rsid w:val="00BC4121"/>
    <w:rsid w:val="00BC4662"/>
    <w:rsid w:val="00BC4746"/>
    <w:rsid w:val="00BC49E5"/>
    <w:rsid w:val="00BC4A41"/>
    <w:rsid w:val="00BC4AB7"/>
    <w:rsid w:val="00BC4AE0"/>
    <w:rsid w:val="00BC4D29"/>
    <w:rsid w:val="00BC54EB"/>
    <w:rsid w:val="00BC552B"/>
    <w:rsid w:val="00BC57DF"/>
    <w:rsid w:val="00BC59DA"/>
    <w:rsid w:val="00BC5D78"/>
    <w:rsid w:val="00BC5FA1"/>
    <w:rsid w:val="00BC5FAD"/>
    <w:rsid w:val="00BC631B"/>
    <w:rsid w:val="00BC65FD"/>
    <w:rsid w:val="00BC667A"/>
    <w:rsid w:val="00BC677D"/>
    <w:rsid w:val="00BC69A8"/>
    <w:rsid w:val="00BC6C66"/>
    <w:rsid w:val="00BC6E2E"/>
    <w:rsid w:val="00BC75C6"/>
    <w:rsid w:val="00BC7691"/>
    <w:rsid w:val="00BC7A1B"/>
    <w:rsid w:val="00BC7C90"/>
    <w:rsid w:val="00BD001E"/>
    <w:rsid w:val="00BD013C"/>
    <w:rsid w:val="00BD0245"/>
    <w:rsid w:val="00BD0982"/>
    <w:rsid w:val="00BD13BA"/>
    <w:rsid w:val="00BD13FB"/>
    <w:rsid w:val="00BD157A"/>
    <w:rsid w:val="00BD18C1"/>
    <w:rsid w:val="00BD1E7D"/>
    <w:rsid w:val="00BD2027"/>
    <w:rsid w:val="00BD2117"/>
    <w:rsid w:val="00BD2122"/>
    <w:rsid w:val="00BD25D1"/>
    <w:rsid w:val="00BD279D"/>
    <w:rsid w:val="00BD2932"/>
    <w:rsid w:val="00BD2BB7"/>
    <w:rsid w:val="00BD2FBF"/>
    <w:rsid w:val="00BD30B6"/>
    <w:rsid w:val="00BD3517"/>
    <w:rsid w:val="00BD37F1"/>
    <w:rsid w:val="00BD3912"/>
    <w:rsid w:val="00BD3A24"/>
    <w:rsid w:val="00BD3FC1"/>
    <w:rsid w:val="00BD41AA"/>
    <w:rsid w:val="00BD44E1"/>
    <w:rsid w:val="00BD486B"/>
    <w:rsid w:val="00BD4972"/>
    <w:rsid w:val="00BD4CF5"/>
    <w:rsid w:val="00BD4F14"/>
    <w:rsid w:val="00BD503D"/>
    <w:rsid w:val="00BD54DE"/>
    <w:rsid w:val="00BD56E7"/>
    <w:rsid w:val="00BD5759"/>
    <w:rsid w:val="00BD57CC"/>
    <w:rsid w:val="00BD5842"/>
    <w:rsid w:val="00BD5CD6"/>
    <w:rsid w:val="00BD5DC0"/>
    <w:rsid w:val="00BD6300"/>
    <w:rsid w:val="00BD64E2"/>
    <w:rsid w:val="00BD65E8"/>
    <w:rsid w:val="00BD6723"/>
    <w:rsid w:val="00BD6758"/>
    <w:rsid w:val="00BD6B6F"/>
    <w:rsid w:val="00BD6BC0"/>
    <w:rsid w:val="00BD6FF7"/>
    <w:rsid w:val="00BD706D"/>
    <w:rsid w:val="00BD70E8"/>
    <w:rsid w:val="00BD7212"/>
    <w:rsid w:val="00BD72CC"/>
    <w:rsid w:val="00BD751C"/>
    <w:rsid w:val="00BD7B2F"/>
    <w:rsid w:val="00BD7F13"/>
    <w:rsid w:val="00BE0486"/>
    <w:rsid w:val="00BE0599"/>
    <w:rsid w:val="00BE05E2"/>
    <w:rsid w:val="00BE075D"/>
    <w:rsid w:val="00BE0ABF"/>
    <w:rsid w:val="00BE0AD6"/>
    <w:rsid w:val="00BE0D8D"/>
    <w:rsid w:val="00BE114C"/>
    <w:rsid w:val="00BE188D"/>
    <w:rsid w:val="00BE20A6"/>
    <w:rsid w:val="00BE211D"/>
    <w:rsid w:val="00BE245F"/>
    <w:rsid w:val="00BE24E1"/>
    <w:rsid w:val="00BE2691"/>
    <w:rsid w:val="00BE26D0"/>
    <w:rsid w:val="00BE2D1D"/>
    <w:rsid w:val="00BE2F26"/>
    <w:rsid w:val="00BE2F43"/>
    <w:rsid w:val="00BE2F57"/>
    <w:rsid w:val="00BE2FD9"/>
    <w:rsid w:val="00BE3310"/>
    <w:rsid w:val="00BE3351"/>
    <w:rsid w:val="00BE369E"/>
    <w:rsid w:val="00BE3786"/>
    <w:rsid w:val="00BE3994"/>
    <w:rsid w:val="00BE3B6C"/>
    <w:rsid w:val="00BE3D7C"/>
    <w:rsid w:val="00BE43A5"/>
    <w:rsid w:val="00BE4560"/>
    <w:rsid w:val="00BE46AF"/>
    <w:rsid w:val="00BE4771"/>
    <w:rsid w:val="00BE47DD"/>
    <w:rsid w:val="00BE490D"/>
    <w:rsid w:val="00BE4FD1"/>
    <w:rsid w:val="00BE526B"/>
    <w:rsid w:val="00BE5326"/>
    <w:rsid w:val="00BE5462"/>
    <w:rsid w:val="00BE614F"/>
    <w:rsid w:val="00BE6215"/>
    <w:rsid w:val="00BE65F1"/>
    <w:rsid w:val="00BE678F"/>
    <w:rsid w:val="00BE67D3"/>
    <w:rsid w:val="00BE6AAD"/>
    <w:rsid w:val="00BE6FE0"/>
    <w:rsid w:val="00BE705D"/>
    <w:rsid w:val="00BE7098"/>
    <w:rsid w:val="00BE7328"/>
    <w:rsid w:val="00BE7B0C"/>
    <w:rsid w:val="00BE7D78"/>
    <w:rsid w:val="00BF00B2"/>
    <w:rsid w:val="00BF00E0"/>
    <w:rsid w:val="00BF0148"/>
    <w:rsid w:val="00BF01A7"/>
    <w:rsid w:val="00BF0793"/>
    <w:rsid w:val="00BF0976"/>
    <w:rsid w:val="00BF0A05"/>
    <w:rsid w:val="00BF0D43"/>
    <w:rsid w:val="00BF132A"/>
    <w:rsid w:val="00BF16CA"/>
    <w:rsid w:val="00BF1753"/>
    <w:rsid w:val="00BF1795"/>
    <w:rsid w:val="00BF1946"/>
    <w:rsid w:val="00BF1A61"/>
    <w:rsid w:val="00BF1A90"/>
    <w:rsid w:val="00BF1B8C"/>
    <w:rsid w:val="00BF1D4D"/>
    <w:rsid w:val="00BF229A"/>
    <w:rsid w:val="00BF2306"/>
    <w:rsid w:val="00BF2397"/>
    <w:rsid w:val="00BF242E"/>
    <w:rsid w:val="00BF27C1"/>
    <w:rsid w:val="00BF2D57"/>
    <w:rsid w:val="00BF2D8B"/>
    <w:rsid w:val="00BF2EE9"/>
    <w:rsid w:val="00BF3050"/>
    <w:rsid w:val="00BF3417"/>
    <w:rsid w:val="00BF34C1"/>
    <w:rsid w:val="00BF376D"/>
    <w:rsid w:val="00BF3790"/>
    <w:rsid w:val="00BF38E4"/>
    <w:rsid w:val="00BF3B4C"/>
    <w:rsid w:val="00BF3B5F"/>
    <w:rsid w:val="00BF3E27"/>
    <w:rsid w:val="00BF40EC"/>
    <w:rsid w:val="00BF44BF"/>
    <w:rsid w:val="00BF49F6"/>
    <w:rsid w:val="00BF50E5"/>
    <w:rsid w:val="00BF53D0"/>
    <w:rsid w:val="00BF547B"/>
    <w:rsid w:val="00BF5A00"/>
    <w:rsid w:val="00BF5AD8"/>
    <w:rsid w:val="00BF5DA7"/>
    <w:rsid w:val="00BF624D"/>
    <w:rsid w:val="00BF64A1"/>
    <w:rsid w:val="00BF6792"/>
    <w:rsid w:val="00BF6971"/>
    <w:rsid w:val="00BF6D12"/>
    <w:rsid w:val="00BF7013"/>
    <w:rsid w:val="00BF7069"/>
    <w:rsid w:val="00BF7339"/>
    <w:rsid w:val="00BF7623"/>
    <w:rsid w:val="00BF7883"/>
    <w:rsid w:val="00BF79D7"/>
    <w:rsid w:val="00BF7FA2"/>
    <w:rsid w:val="00C00AD8"/>
    <w:rsid w:val="00C01012"/>
    <w:rsid w:val="00C01590"/>
    <w:rsid w:val="00C01592"/>
    <w:rsid w:val="00C015CE"/>
    <w:rsid w:val="00C01661"/>
    <w:rsid w:val="00C0186D"/>
    <w:rsid w:val="00C01ECF"/>
    <w:rsid w:val="00C01F6D"/>
    <w:rsid w:val="00C02116"/>
    <w:rsid w:val="00C0221D"/>
    <w:rsid w:val="00C02237"/>
    <w:rsid w:val="00C02375"/>
    <w:rsid w:val="00C027A6"/>
    <w:rsid w:val="00C02A8F"/>
    <w:rsid w:val="00C02C0C"/>
    <w:rsid w:val="00C02D7C"/>
    <w:rsid w:val="00C02DB8"/>
    <w:rsid w:val="00C03466"/>
    <w:rsid w:val="00C037B5"/>
    <w:rsid w:val="00C0398C"/>
    <w:rsid w:val="00C03DA4"/>
    <w:rsid w:val="00C0428A"/>
    <w:rsid w:val="00C04451"/>
    <w:rsid w:val="00C04484"/>
    <w:rsid w:val="00C04E85"/>
    <w:rsid w:val="00C05058"/>
    <w:rsid w:val="00C056E2"/>
    <w:rsid w:val="00C0586F"/>
    <w:rsid w:val="00C059EB"/>
    <w:rsid w:val="00C05E11"/>
    <w:rsid w:val="00C05E55"/>
    <w:rsid w:val="00C05EB9"/>
    <w:rsid w:val="00C06233"/>
    <w:rsid w:val="00C06606"/>
    <w:rsid w:val="00C06ADC"/>
    <w:rsid w:val="00C06F4C"/>
    <w:rsid w:val="00C0736E"/>
    <w:rsid w:val="00C0760E"/>
    <w:rsid w:val="00C07791"/>
    <w:rsid w:val="00C07976"/>
    <w:rsid w:val="00C07F04"/>
    <w:rsid w:val="00C10162"/>
    <w:rsid w:val="00C10621"/>
    <w:rsid w:val="00C10A0C"/>
    <w:rsid w:val="00C10A64"/>
    <w:rsid w:val="00C10D49"/>
    <w:rsid w:val="00C11187"/>
    <w:rsid w:val="00C111E0"/>
    <w:rsid w:val="00C1130F"/>
    <w:rsid w:val="00C1196B"/>
    <w:rsid w:val="00C11B40"/>
    <w:rsid w:val="00C1247B"/>
    <w:rsid w:val="00C124F4"/>
    <w:rsid w:val="00C1282D"/>
    <w:rsid w:val="00C1294E"/>
    <w:rsid w:val="00C12C39"/>
    <w:rsid w:val="00C12E5E"/>
    <w:rsid w:val="00C12FAF"/>
    <w:rsid w:val="00C133BA"/>
    <w:rsid w:val="00C134CB"/>
    <w:rsid w:val="00C136B6"/>
    <w:rsid w:val="00C136F4"/>
    <w:rsid w:val="00C13A8C"/>
    <w:rsid w:val="00C13C50"/>
    <w:rsid w:val="00C14249"/>
    <w:rsid w:val="00C146E7"/>
    <w:rsid w:val="00C14933"/>
    <w:rsid w:val="00C14974"/>
    <w:rsid w:val="00C14AA0"/>
    <w:rsid w:val="00C14B36"/>
    <w:rsid w:val="00C14BD7"/>
    <w:rsid w:val="00C14E9C"/>
    <w:rsid w:val="00C1556E"/>
    <w:rsid w:val="00C1565A"/>
    <w:rsid w:val="00C156C4"/>
    <w:rsid w:val="00C156C9"/>
    <w:rsid w:val="00C157A0"/>
    <w:rsid w:val="00C15B54"/>
    <w:rsid w:val="00C15B6F"/>
    <w:rsid w:val="00C15D99"/>
    <w:rsid w:val="00C1614C"/>
    <w:rsid w:val="00C16157"/>
    <w:rsid w:val="00C161B0"/>
    <w:rsid w:val="00C161F5"/>
    <w:rsid w:val="00C1631C"/>
    <w:rsid w:val="00C167A7"/>
    <w:rsid w:val="00C1697D"/>
    <w:rsid w:val="00C16B62"/>
    <w:rsid w:val="00C16F23"/>
    <w:rsid w:val="00C170C1"/>
    <w:rsid w:val="00C1718B"/>
    <w:rsid w:val="00C17473"/>
    <w:rsid w:val="00C2028A"/>
    <w:rsid w:val="00C203DC"/>
    <w:rsid w:val="00C20498"/>
    <w:rsid w:val="00C204DD"/>
    <w:rsid w:val="00C2062C"/>
    <w:rsid w:val="00C206BC"/>
    <w:rsid w:val="00C2071E"/>
    <w:rsid w:val="00C20AE3"/>
    <w:rsid w:val="00C21017"/>
    <w:rsid w:val="00C213BF"/>
    <w:rsid w:val="00C2148E"/>
    <w:rsid w:val="00C214EE"/>
    <w:rsid w:val="00C21AB4"/>
    <w:rsid w:val="00C21B8D"/>
    <w:rsid w:val="00C21BD4"/>
    <w:rsid w:val="00C21D25"/>
    <w:rsid w:val="00C22273"/>
    <w:rsid w:val="00C228B4"/>
    <w:rsid w:val="00C228E0"/>
    <w:rsid w:val="00C22D7C"/>
    <w:rsid w:val="00C22EBE"/>
    <w:rsid w:val="00C22F5C"/>
    <w:rsid w:val="00C22FCB"/>
    <w:rsid w:val="00C2355E"/>
    <w:rsid w:val="00C23957"/>
    <w:rsid w:val="00C239A9"/>
    <w:rsid w:val="00C23AC9"/>
    <w:rsid w:val="00C23BD7"/>
    <w:rsid w:val="00C23CA1"/>
    <w:rsid w:val="00C23CC4"/>
    <w:rsid w:val="00C23F60"/>
    <w:rsid w:val="00C2423B"/>
    <w:rsid w:val="00C24507"/>
    <w:rsid w:val="00C24722"/>
    <w:rsid w:val="00C24870"/>
    <w:rsid w:val="00C24A7E"/>
    <w:rsid w:val="00C24CD7"/>
    <w:rsid w:val="00C24F39"/>
    <w:rsid w:val="00C24F46"/>
    <w:rsid w:val="00C24F51"/>
    <w:rsid w:val="00C25236"/>
    <w:rsid w:val="00C253ED"/>
    <w:rsid w:val="00C25608"/>
    <w:rsid w:val="00C2584C"/>
    <w:rsid w:val="00C25BB8"/>
    <w:rsid w:val="00C25BB9"/>
    <w:rsid w:val="00C25E2C"/>
    <w:rsid w:val="00C25F01"/>
    <w:rsid w:val="00C2636E"/>
    <w:rsid w:val="00C2639D"/>
    <w:rsid w:val="00C266FD"/>
    <w:rsid w:val="00C26C7E"/>
    <w:rsid w:val="00C26F6E"/>
    <w:rsid w:val="00C26FB0"/>
    <w:rsid w:val="00C272E8"/>
    <w:rsid w:val="00C275BB"/>
    <w:rsid w:val="00C27606"/>
    <w:rsid w:val="00C27A20"/>
    <w:rsid w:val="00C27F81"/>
    <w:rsid w:val="00C304E7"/>
    <w:rsid w:val="00C306D4"/>
    <w:rsid w:val="00C306F0"/>
    <w:rsid w:val="00C30836"/>
    <w:rsid w:val="00C30AFD"/>
    <w:rsid w:val="00C30CD1"/>
    <w:rsid w:val="00C30F84"/>
    <w:rsid w:val="00C3103D"/>
    <w:rsid w:val="00C31057"/>
    <w:rsid w:val="00C318B4"/>
    <w:rsid w:val="00C31C0C"/>
    <w:rsid w:val="00C31C59"/>
    <w:rsid w:val="00C31DB3"/>
    <w:rsid w:val="00C31F7A"/>
    <w:rsid w:val="00C31F8B"/>
    <w:rsid w:val="00C3236D"/>
    <w:rsid w:val="00C325EC"/>
    <w:rsid w:val="00C327C7"/>
    <w:rsid w:val="00C329A8"/>
    <w:rsid w:val="00C32A45"/>
    <w:rsid w:val="00C32EF3"/>
    <w:rsid w:val="00C3367F"/>
    <w:rsid w:val="00C33C7D"/>
    <w:rsid w:val="00C33E63"/>
    <w:rsid w:val="00C3427E"/>
    <w:rsid w:val="00C34292"/>
    <w:rsid w:val="00C34347"/>
    <w:rsid w:val="00C34637"/>
    <w:rsid w:val="00C346A2"/>
    <w:rsid w:val="00C34D94"/>
    <w:rsid w:val="00C34EE3"/>
    <w:rsid w:val="00C35212"/>
    <w:rsid w:val="00C35783"/>
    <w:rsid w:val="00C35919"/>
    <w:rsid w:val="00C3599F"/>
    <w:rsid w:val="00C35A88"/>
    <w:rsid w:val="00C35C88"/>
    <w:rsid w:val="00C35E82"/>
    <w:rsid w:val="00C36004"/>
    <w:rsid w:val="00C36070"/>
    <w:rsid w:val="00C360D2"/>
    <w:rsid w:val="00C36157"/>
    <w:rsid w:val="00C36741"/>
    <w:rsid w:val="00C36D72"/>
    <w:rsid w:val="00C3787B"/>
    <w:rsid w:val="00C37A9F"/>
    <w:rsid w:val="00C37CF0"/>
    <w:rsid w:val="00C37E78"/>
    <w:rsid w:val="00C40294"/>
    <w:rsid w:val="00C40509"/>
    <w:rsid w:val="00C407A1"/>
    <w:rsid w:val="00C40A8F"/>
    <w:rsid w:val="00C40B30"/>
    <w:rsid w:val="00C40D76"/>
    <w:rsid w:val="00C40D7A"/>
    <w:rsid w:val="00C41035"/>
    <w:rsid w:val="00C4105F"/>
    <w:rsid w:val="00C41249"/>
    <w:rsid w:val="00C41274"/>
    <w:rsid w:val="00C413D4"/>
    <w:rsid w:val="00C415D9"/>
    <w:rsid w:val="00C41745"/>
    <w:rsid w:val="00C4184C"/>
    <w:rsid w:val="00C42144"/>
    <w:rsid w:val="00C42192"/>
    <w:rsid w:val="00C421D6"/>
    <w:rsid w:val="00C4262F"/>
    <w:rsid w:val="00C429DB"/>
    <w:rsid w:val="00C432A9"/>
    <w:rsid w:val="00C433B3"/>
    <w:rsid w:val="00C4360F"/>
    <w:rsid w:val="00C43A02"/>
    <w:rsid w:val="00C43A77"/>
    <w:rsid w:val="00C43CE7"/>
    <w:rsid w:val="00C43D14"/>
    <w:rsid w:val="00C441AB"/>
    <w:rsid w:val="00C442F1"/>
    <w:rsid w:val="00C443EC"/>
    <w:rsid w:val="00C447C8"/>
    <w:rsid w:val="00C44831"/>
    <w:rsid w:val="00C449E1"/>
    <w:rsid w:val="00C44A37"/>
    <w:rsid w:val="00C44CE0"/>
    <w:rsid w:val="00C44D58"/>
    <w:rsid w:val="00C450DA"/>
    <w:rsid w:val="00C452C5"/>
    <w:rsid w:val="00C4565B"/>
    <w:rsid w:val="00C45837"/>
    <w:rsid w:val="00C45891"/>
    <w:rsid w:val="00C459AC"/>
    <w:rsid w:val="00C459E1"/>
    <w:rsid w:val="00C45AC9"/>
    <w:rsid w:val="00C45B72"/>
    <w:rsid w:val="00C45E85"/>
    <w:rsid w:val="00C462E8"/>
    <w:rsid w:val="00C4632D"/>
    <w:rsid w:val="00C46494"/>
    <w:rsid w:val="00C466C6"/>
    <w:rsid w:val="00C46713"/>
    <w:rsid w:val="00C46B59"/>
    <w:rsid w:val="00C46EF5"/>
    <w:rsid w:val="00C47055"/>
    <w:rsid w:val="00C50154"/>
    <w:rsid w:val="00C50227"/>
    <w:rsid w:val="00C50353"/>
    <w:rsid w:val="00C5080F"/>
    <w:rsid w:val="00C50996"/>
    <w:rsid w:val="00C50CF7"/>
    <w:rsid w:val="00C50E05"/>
    <w:rsid w:val="00C51076"/>
    <w:rsid w:val="00C51083"/>
    <w:rsid w:val="00C5114B"/>
    <w:rsid w:val="00C514EE"/>
    <w:rsid w:val="00C51570"/>
    <w:rsid w:val="00C51C7A"/>
    <w:rsid w:val="00C51CE5"/>
    <w:rsid w:val="00C51D10"/>
    <w:rsid w:val="00C51E7D"/>
    <w:rsid w:val="00C52458"/>
    <w:rsid w:val="00C5246A"/>
    <w:rsid w:val="00C52487"/>
    <w:rsid w:val="00C5266E"/>
    <w:rsid w:val="00C528D3"/>
    <w:rsid w:val="00C52A18"/>
    <w:rsid w:val="00C52C50"/>
    <w:rsid w:val="00C52CF9"/>
    <w:rsid w:val="00C52F8E"/>
    <w:rsid w:val="00C531BC"/>
    <w:rsid w:val="00C5339F"/>
    <w:rsid w:val="00C53491"/>
    <w:rsid w:val="00C53C96"/>
    <w:rsid w:val="00C53E8A"/>
    <w:rsid w:val="00C5402A"/>
    <w:rsid w:val="00C547D2"/>
    <w:rsid w:val="00C547F4"/>
    <w:rsid w:val="00C548DE"/>
    <w:rsid w:val="00C54904"/>
    <w:rsid w:val="00C549D3"/>
    <w:rsid w:val="00C54D7E"/>
    <w:rsid w:val="00C54FAF"/>
    <w:rsid w:val="00C5533F"/>
    <w:rsid w:val="00C5540C"/>
    <w:rsid w:val="00C55674"/>
    <w:rsid w:val="00C55A80"/>
    <w:rsid w:val="00C55BB6"/>
    <w:rsid w:val="00C55D03"/>
    <w:rsid w:val="00C55F9C"/>
    <w:rsid w:val="00C563BF"/>
    <w:rsid w:val="00C5665D"/>
    <w:rsid w:val="00C56770"/>
    <w:rsid w:val="00C56833"/>
    <w:rsid w:val="00C56C15"/>
    <w:rsid w:val="00C56D81"/>
    <w:rsid w:val="00C56E15"/>
    <w:rsid w:val="00C56EE8"/>
    <w:rsid w:val="00C573A5"/>
    <w:rsid w:val="00C57937"/>
    <w:rsid w:val="00C57ACD"/>
    <w:rsid w:val="00C57EA6"/>
    <w:rsid w:val="00C605F7"/>
    <w:rsid w:val="00C6095F"/>
    <w:rsid w:val="00C60ACC"/>
    <w:rsid w:val="00C60CC3"/>
    <w:rsid w:val="00C60D60"/>
    <w:rsid w:val="00C60F8E"/>
    <w:rsid w:val="00C61274"/>
    <w:rsid w:val="00C61C9C"/>
    <w:rsid w:val="00C621B3"/>
    <w:rsid w:val="00C6223B"/>
    <w:rsid w:val="00C622EF"/>
    <w:rsid w:val="00C62353"/>
    <w:rsid w:val="00C6248F"/>
    <w:rsid w:val="00C6274A"/>
    <w:rsid w:val="00C6280B"/>
    <w:rsid w:val="00C629CE"/>
    <w:rsid w:val="00C62C03"/>
    <w:rsid w:val="00C62E0A"/>
    <w:rsid w:val="00C62E89"/>
    <w:rsid w:val="00C62F06"/>
    <w:rsid w:val="00C63390"/>
    <w:rsid w:val="00C633AB"/>
    <w:rsid w:val="00C633DF"/>
    <w:rsid w:val="00C6341A"/>
    <w:rsid w:val="00C638A2"/>
    <w:rsid w:val="00C639E9"/>
    <w:rsid w:val="00C63A9D"/>
    <w:rsid w:val="00C63ACC"/>
    <w:rsid w:val="00C63B0F"/>
    <w:rsid w:val="00C63EC3"/>
    <w:rsid w:val="00C63EFA"/>
    <w:rsid w:val="00C64054"/>
    <w:rsid w:val="00C645AE"/>
    <w:rsid w:val="00C6463D"/>
    <w:rsid w:val="00C647B0"/>
    <w:rsid w:val="00C64837"/>
    <w:rsid w:val="00C6493C"/>
    <w:rsid w:val="00C649F1"/>
    <w:rsid w:val="00C64B73"/>
    <w:rsid w:val="00C64BE7"/>
    <w:rsid w:val="00C6523D"/>
    <w:rsid w:val="00C652BC"/>
    <w:rsid w:val="00C6573F"/>
    <w:rsid w:val="00C659BA"/>
    <w:rsid w:val="00C65A21"/>
    <w:rsid w:val="00C65AF9"/>
    <w:rsid w:val="00C65B25"/>
    <w:rsid w:val="00C65B7B"/>
    <w:rsid w:val="00C66199"/>
    <w:rsid w:val="00C6638D"/>
    <w:rsid w:val="00C665EA"/>
    <w:rsid w:val="00C66791"/>
    <w:rsid w:val="00C66A34"/>
    <w:rsid w:val="00C66A8F"/>
    <w:rsid w:val="00C66AF3"/>
    <w:rsid w:val="00C66F86"/>
    <w:rsid w:val="00C66FBB"/>
    <w:rsid w:val="00C67155"/>
    <w:rsid w:val="00C6720A"/>
    <w:rsid w:val="00C6776F"/>
    <w:rsid w:val="00C67841"/>
    <w:rsid w:val="00C67884"/>
    <w:rsid w:val="00C678CF"/>
    <w:rsid w:val="00C6792C"/>
    <w:rsid w:val="00C67A90"/>
    <w:rsid w:val="00C67B1F"/>
    <w:rsid w:val="00C67DFD"/>
    <w:rsid w:val="00C67F7B"/>
    <w:rsid w:val="00C70285"/>
    <w:rsid w:val="00C70352"/>
    <w:rsid w:val="00C703D2"/>
    <w:rsid w:val="00C70573"/>
    <w:rsid w:val="00C7059F"/>
    <w:rsid w:val="00C70663"/>
    <w:rsid w:val="00C70ACE"/>
    <w:rsid w:val="00C70C25"/>
    <w:rsid w:val="00C70D04"/>
    <w:rsid w:val="00C70DD2"/>
    <w:rsid w:val="00C7102D"/>
    <w:rsid w:val="00C71244"/>
    <w:rsid w:val="00C712EB"/>
    <w:rsid w:val="00C713AD"/>
    <w:rsid w:val="00C71473"/>
    <w:rsid w:val="00C715C0"/>
    <w:rsid w:val="00C71ED7"/>
    <w:rsid w:val="00C72549"/>
    <w:rsid w:val="00C72D1E"/>
    <w:rsid w:val="00C72E35"/>
    <w:rsid w:val="00C73161"/>
    <w:rsid w:val="00C733DE"/>
    <w:rsid w:val="00C7397E"/>
    <w:rsid w:val="00C73F09"/>
    <w:rsid w:val="00C73F11"/>
    <w:rsid w:val="00C73F47"/>
    <w:rsid w:val="00C741A9"/>
    <w:rsid w:val="00C7425B"/>
    <w:rsid w:val="00C7444D"/>
    <w:rsid w:val="00C744BD"/>
    <w:rsid w:val="00C7451E"/>
    <w:rsid w:val="00C74C08"/>
    <w:rsid w:val="00C74D6A"/>
    <w:rsid w:val="00C74F9A"/>
    <w:rsid w:val="00C74FD2"/>
    <w:rsid w:val="00C7506D"/>
    <w:rsid w:val="00C750E4"/>
    <w:rsid w:val="00C75146"/>
    <w:rsid w:val="00C75259"/>
    <w:rsid w:val="00C7560F"/>
    <w:rsid w:val="00C7581E"/>
    <w:rsid w:val="00C75AC6"/>
    <w:rsid w:val="00C75E12"/>
    <w:rsid w:val="00C76547"/>
    <w:rsid w:val="00C767E6"/>
    <w:rsid w:val="00C76ABF"/>
    <w:rsid w:val="00C76EE3"/>
    <w:rsid w:val="00C76F9D"/>
    <w:rsid w:val="00C770A8"/>
    <w:rsid w:val="00C77138"/>
    <w:rsid w:val="00C7748D"/>
    <w:rsid w:val="00C777C4"/>
    <w:rsid w:val="00C7784F"/>
    <w:rsid w:val="00C778A0"/>
    <w:rsid w:val="00C7797C"/>
    <w:rsid w:val="00C77AF3"/>
    <w:rsid w:val="00C77BEC"/>
    <w:rsid w:val="00C77E86"/>
    <w:rsid w:val="00C77F62"/>
    <w:rsid w:val="00C80225"/>
    <w:rsid w:val="00C804CE"/>
    <w:rsid w:val="00C80615"/>
    <w:rsid w:val="00C80631"/>
    <w:rsid w:val="00C80761"/>
    <w:rsid w:val="00C809B0"/>
    <w:rsid w:val="00C80C5C"/>
    <w:rsid w:val="00C80C84"/>
    <w:rsid w:val="00C80FC9"/>
    <w:rsid w:val="00C8101D"/>
    <w:rsid w:val="00C81486"/>
    <w:rsid w:val="00C81577"/>
    <w:rsid w:val="00C81750"/>
    <w:rsid w:val="00C819FB"/>
    <w:rsid w:val="00C81C2E"/>
    <w:rsid w:val="00C82026"/>
    <w:rsid w:val="00C82653"/>
    <w:rsid w:val="00C8291D"/>
    <w:rsid w:val="00C829CC"/>
    <w:rsid w:val="00C82C44"/>
    <w:rsid w:val="00C82E53"/>
    <w:rsid w:val="00C83007"/>
    <w:rsid w:val="00C83292"/>
    <w:rsid w:val="00C8331B"/>
    <w:rsid w:val="00C8333A"/>
    <w:rsid w:val="00C83553"/>
    <w:rsid w:val="00C835B9"/>
    <w:rsid w:val="00C83601"/>
    <w:rsid w:val="00C836FD"/>
    <w:rsid w:val="00C837EE"/>
    <w:rsid w:val="00C8385A"/>
    <w:rsid w:val="00C83A10"/>
    <w:rsid w:val="00C83E26"/>
    <w:rsid w:val="00C83F12"/>
    <w:rsid w:val="00C8439F"/>
    <w:rsid w:val="00C84498"/>
    <w:rsid w:val="00C84674"/>
    <w:rsid w:val="00C84824"/>
    <w:rsid w:val="00C84A15"/>
    <w:rsid w:val="00C84E6C"/>
    <w:rsid w:val="00C84FD8"/>
    <w:rsid w:val="00C85124"/>
    <w:rsid w:val="00C85186"/>
    <w:rsid w:val="00C8536A"/>
    <w:rsid w:val="00C8549D"/>
    <w:rsid w:val="00C8553C"/>
    <w:rsid w:val="00C855BF"/>
    <w:rsid w:val="00C856EE"/>
    <w:rsid w:val="00C858D7"/>
    <w:rsid w:val="00C85A31"/>
    <w:rsid w:val="00C85EC1"/>
    <w:rsid w:val="00C86135"/>
    <w:rsid w:val="00C861C3"/>
    <w:rsid w:val="00C86341"/>
    <w:rsid w:val="00C863A1"/>
    <w:rsid w:val="00C86759"/>
    <w:rsid w:val="00C86959"/>
    <w:rsid w:val="00C86A02"/>
    <w:rsid w:val="00C86BFE"/>
    <w:rsid w:val="00C86F05"/>
    <w:rsid w:val="00C8701D"/>
    <w:rsid w:val="00C87379"/>
    <w:rsid w:val="00C87524"/>
    <w:rsid w:val="00C875EE"/>
    <w:rsid w:val="00C8769F"/>
    <w:rsid w:val="00C879F3"/>
    <w:rsid w:val="00C87E9B"/>
    <w:rsid w:val="00C902C6"/>
    <w:rsid w:val="00C903DF"/>
    <w:rsid w:val="00C905C4"/>
    <w:rsid w:val="00C905CE"/>
    <w:rsid w:val="00C90682"/>
    <w:rsid w:val="00C90A2B"/>
    <w:rsid w:val="00C90ACF"/>
    <w:rsid w:val="00C90C89"/>
    <w:rsid w:val="00C90E27"/>
    <w:rsid w:val="00C911E8"/>
    <w:rsid w:val="00C9146E"/>
    <w:rsid w:val="00C91D54"/>
    <w:rsid w:val="00C91D69"/>
    <w:rsid w:val="00C91E50"/>
    <w:rsid w:val="00C91F9D"/>
    <w:rsid w:val="00C92370"/>
    <w:rsid w:val="00C92441"/>
    <w:rsid w:val="00C925F0"/>
    <w:rsid w:val="00C92746"/>
    <w:rsid w:val="00C92C42"/>
    <w:rsid w:val="00C92E26"/>
    <w:rsid w:val="00C92EB7"/>
    <w:rsid w:val="00C93469"/>
    <w:rsid w:val="00C934C4"/>
    <w:rsid w:val="00C935EB"/>
    <w:rsid w:val="00C936D7"/>
    <w:rsid w:val="00C93D7C"/>
    <w:rsid w:val="00C93E60"/>
    <w:rsid w:val="00C93EC5"/>
    <w:rsid w:val="00C943E8"/>
    <w:rsid w:val="00C945BF"/>
    <w:rsid w:val="00C94830"/>
    <w:rsid w:val="00C9483F"/>
    <w:rsid w:val="00C94A56"/>
    <w:rsid w:val="00C94A69"/>
    <w:rsid w:val="00C94FA6"/>
    <w:rsid w:val="00C95269"/>
    <w:rsid w:val="00C95292"/>
    <w:rsid w:val="00C95518"/>
    <w:rsid w:val="00C956AD"/>
    <w:rsid w:val="00C9581C"/>
    <w:rsid w:val="00C95A14"/>
    <w:rsid w:val="00C95FAD"/>
    <w:rsid w:val="00C96267"/>
    <w:rsid w:val="00C96787"/>
    <w:rsid w:val="00C967C7"/>
    <w:rsid w:val="00C9691A"/>
    <w:rsid w:val="00C96B50"/>
    <w:rsid w:val="00C96E4B"/>
    <w:rsid w:val="00C96F14"/>
    <w:rsid w:val="00C97065"/>
    <w:rsid w:val="00C971DD"/>
    <w:rsid w:val="00C9722B"/>
    <w:rsid w:val="00C97283"/>
    <w:rsid w:val="00C972A8"/>
    <w:rsid w:val="00C97332"/>
    <w:rsid w:val="00C97378"/>
    <w:rsid w:val="00C97385"/>
    <w:rsid w:val="00C97940"/>
    <w:rsid w:val="00C97BF3"/>
    <w:rsid w:val="00CA03AA"/>
    <w:rsid w:val="00CA0430"/>
    <w:rsid w:val="00CA050B"/>
    <w:rsid w:val="00CA061D"/>
    <w:rsid w:val="00CA09FE"/>
    <w:rsid w:val="00CA0D63"/>
    <w:rsid w:val="00CA0EDA"/>
    <w:rsid w:val="00CA0FE1"/>
    <w:rsid w:val="00CA13AB"/>
    <w:rsid w:val="00CA1ACB"/>
    <w:rsid w:val="00CA1C6E"/>
    <w:rsid w:val="00CA1E8C"/>
    <w:rsid w:val="00CA2162"/>
    <w:rsid w:val="00CA21C9"/>
    <w:rsid w:val="00CA23C8"/>
    <w:rsid w:val="00CA2439"/>
    <w:rsid w:val="00CA24BB"/>
    <w:rsid w:val="00CA2575"/>
    <w:rsid w:val="00CA26B2"/>
    <w:rsid w:val="00CA297B"/>
    <w:rsid w:val="00CA29A3"/>
    <w:rsid w:val="00CA2CA6"/>
    <w:rsid w:val="00CA2DBF"/>
    <w:rsid w:val="00CA2E39"/>
    <w:rsid w:val="00CA311B"/>
    <w:rsid w:val="00CA3173"/>
    <w:rsid w:val="00CA335A"/>
    <w:rsid w:val="00CA34A9"/>
    <w:rsid w:val="00CA38BD"/>
    <w:rsid w:val="00CA3BC3"/>
    <w:rsid w:val="00CA3C66"/>
    <w:rsid w:val="00CA3F9B"/>
    <w:rsid w:val="00CA4371"/>
    <w:rsid w:val="00CA470F"/>
    <w:rsid w:val="00CA481C"/>
    <w:rsid w:val="00CA4873"/>
    <w:rsid w:val="00CA48F9"/>
    <w:rsid w:val="00CA4E41"/>
    <w:rsid w:val="00CA4EF5"/>
    <w:rsid w:val="00CA4F6C"/>
    <w:rsid w:val="00CA50C5"/>
    <w:rsid w:val="00CA5175"/>
    <w:rsid w:val="00CA539B"/>
    <w:rsid w:val="00CA55E4"/>
    <w:rsid w:val="00CA5B60"/>
    <w:rsid w:val="00CA5C2C"/>
    <w:rsid w:val="00CA5D20"/>
    <w:rsid w:val="00CA64E8"/>
    <w:rsid w:val="00CA66D0"/>
    <w:rsid w:val="00CA681B"/>
    <w:rsid w:val="00CA6896"/>
    <w:rsid w:val="00CA6908"/>
    <w:rsid w:val="00CA6A97"/>
    <w:rsid w:val="00CA6B33"/>
    <w:rsid w:val="00CA6ED0"/>
    <w:rsid w:val="00CA791F"/>
    <w:rsid w:val="00CA79FD"/>
    <w:rsid w:val="00CA7A24"/>
    <w:rsid w:val="00CA7B14"/>
    <w:rsid w:val="00CA7BEA"/>
    <w:rsid w:val="00CA7C03"/>
    <w:rsid w:val="00CA7C92"/>
    <w:rsid w:val="00CA7F6D"/>
    <w:rsid w:val="00CB05A7"/>
    <w:rsid w:val="00CB06E4"/>
    <w:rsid w:val="00CB0738"/>
    <w:rsid w:val="00CB082A"/>
    <w:rsid w:val="00CB0888"/>
    <w:rsid w:val="00CB093C"/>
    <w:rsid w:val="00CB0A7B"/>
    <w:rsid w:val="00CB0AE1"/>
    <w:rsid w:val="00CB0D10"/>
    <w:rsid w:val="00CB110F"/>
    <w:rsid w:val="00CB16A9"/>
    <w:rsid w:val="00CB17DE"/>
    <w:rsid w:val="00CB1831"/>
    <w:rsid w:val="00CB1ACA"/>
    <w:rsid w:val="00CB289B"/>
    <w:rsid w:val="00CB2C4C"/>
    <w:rsid w:val="00CB2C5C"/>
    <w:rsid w:val="00CB2E81"/>
    <w:rsid w:val="00CB2F6E"/>
    <w:rsid w:val="00CB2F8D"/>
    <w:rsid w:val="00CB30A0"/>
    <w:rsid w:val="00CB30E5"/>
    <w:rsid w:val="00CB321F"/>
    <w:rsid w:val="00CB325F"/>
    <w:rsid w:val="00CB33B9"/>
    <w:rsid w:val="00CB355E"/>
    <w:rsid w:val="00CB358C"/>
    <w:rsid w:val="00CB3665"/>
    <w:rsid w:val="00CB3691"/>
    <w:rsid w:val="00CB36EC"/>
    <w:rsid w:val="00CB3DEE"/>
    <w:rsid w:val="00CB40D4"/>
    <w:rsid w:val="00CB43D9"/>
    <w:rsid w:val="00CB4CF7"/>
    <w:rsid w:val="00CB4ECE"/>
    <w:rsid w:val="00CB529C"/>
    <w:rsid w:val="00CB5325"/>
    <w:rsid w:val="00CB53CE"/>
    <w:rsid w:val="00CB5700"/>
    <w:rsid w:val="00CB58A8"/>
    <w:rsid w:val="00CB5A99"/>
    <w:rsid w:val="00CB5BDF"/>
    <w:rsid w:val="00CB62BD"/>
    <w:rsid w:val="00CB64AA"/>
    <w:rsid w:val="00CB6781"/>
    <w:rsid w:val="00CB688E"/>
    <w:rsid w:val="00CB6B8D"/>
    <w:rsid w:val="00CB6CF4"/>
    <w:rsid w:val="00CB6F0C"/>
    <w:rsid w:val="00CB6FC1"/>
    <w:rsid w:val="00CB71F2"/>
    <w:rsid w:val="00CB7375"/>
    <w:rsid w:val="00CB73B1"/>
    <w:rsid w:val="00CB73B6"/>
    <w:rsid w:val="00CB792E"/>
    <w:rsid w:val="00CC0026"/>
    <w:rsid w:val="00CC00B0"/>
    <w:rsid w:val="00CC0153"/>
    <w:rsid w:val="00CC02EB"/>
    <w:rsid w:val="00CC031D"/>
    <w:rsid w:val="00CC0336"/>
    <w:rsid w:val="00CC03E8"/>
    <w:rsid w:val="00CC083A"/>
    <w:rsid w:val="00CC08C9"/>
    <w:rsid w:val="00CC0BFA"/>
    <w:rsid w:val="00CC0E57"/>
    <w:rsid w:val="00CC149C"/>
    <w:rsid w:val="00CC14A8"/>
    <w:rsid w:val="00CC18A4"/>
    <w:rsid w:val="00CC1A11"/>
    <w:rsid w:val="00CC1A90"/>
    <w:rsid w:val="00CC1B42"/>
    <w:rsid w:val="00CC1C90"/>
    <w:rsid w:val="00CC2252"/>
    <w:rsid w:val="00CC2928"/>
    <w:rsid w:val="00CC29BE"/>
    <w:rsid w:val="00CC29BF"/>
    <w:rsid w:val="00CC29F9"/>
    <w:rsid w:val="00CC2A91"/>
    <w:rsid w:val="00CC2ABA"/>
    <w:rsid w:val="00CC2CA5"/>
    <w:rsid w:val="00CC3625"/>
    <w:rsid w:val="00CC3740"/>
    <w:rsid w:val="00CC37E8"/>
    <w:rsid w:val="00CC3881"/>
    <w:rsid w:val="00CC3AFD"/>
    <w:rsid w:val="00CC4299"/>
    <w:rsid w:val="00CC4B39"/>
    <w:rsid w:val="00CC4B84"/>
    <w:rsid w:val="00CC4E3E"/>
    <w:rsid w:val="00CC52C8"/>
    <w:rsid w:val="00CC52EA"/>
    <w:rsid w:val="00CC52F1"/>
    <w:rsid w:val="00CC532F"/>
    <w:rsid w:val="00CC5440"/>
    <w:rsid w:val="00CC589B"/>
    <w:rsid w:val="00CC5AC7"/>
    <w:rsid w:val="00CC5B73"/>
    <w:rsid w:val="00CC5BCE"/>
    <w:rsid w:val="00CC5D1E"/>
    <w:rsid w:val="00CC5D39"/>
    <w:rsid w:val="00CC5EF6"/>
    <w:rsid w:val="00CC6180"/>
    <w:rsid w:val="00CC63C7"/>
    <w:rsid w:val="00CC6413"/>
    <w:rsid w:val="00CC6492"/>
    <w:rsid w:val="00CC6589"/>
    <w:rsid w:val="00CC671D"/>
    <w:rsid w:val="00CC68B2"/>
    <w:rsid w:val="00CC68E6"/>
    <w:rsid w:val="00CC6C44"/>
    <w:rsid w:val="00CC6DD6"/>
    <w:rsid w:val="00CC72FF"/>
    <w:rsid w:val="00CC74A0"/>
    <w:rsid w:val="00CC7710"/>
    <w:rsid w:val="00CC79C4"/>
    <w:rsid w:val="00CC7A6D"/>
    <w:rsid w:val="00CC7E27"/>
    <w:rsid w:val="00CD0034"/>
    <w:rsid w:val="00CD02D0"/>
    <w:rsid w:val="00CD0352"/>
    <w:rsid w:val="00CD08D8"/>
    <w:rsid w:val="00CD0965"/>
    <w:rsid w:val="00CD0B93"/>
    <w:rsid w:val="00CD0C7B"/>
    <w:rsid w:val="00CD0F5E"/>
    <w:rsid w:val="00CD0FCC"/>
    <w:rsid w:val="00CD103B"/>
    <w:rsid w:val="00CD11EE"/>
    <w:rsid w:val="00CD1395"/>
    <w:rsid w:val="00CD1704"/>
    <w:rsid w:val="00CD18AA"/>
    <w:rsid w:val="00CD1B9A"/>
    <w:rsid w:val="00CD1D6C"/>
    <w:rsid w:val="00CD1E05"/>
    <w:rsid w:val="00CD207E"/>
    <w:rsid w:val="00CD20C0"/>
    <w:rsid w:val="00CD22CE"/>
    <w:rsid w:val="00CD22D1"/>
    <w:rsid w:val="00CD2450"/>
    <w:rsid w:val="00CD24D4"/>
    <w:rsid w:val="00CD26FE"/>
    <w:rsid w:val="00CD2CAD"/>
    <w:rsid w:val="00CD2EF7"/>
    <w:rsid w:val="00CD33C1"/>
    <w:rsid w:val="00CD3498"/>
    <w:rsid w:val="00CD3584"/>
    <w:rsid w:val="00CD3599"/>
    <w:rsid w:val="00CD3651"/>
    <w:rsid w:val="00CD3969"/>
    <w:rsid w:val="00CD39A3"/>
    <w:rsid w:val="00CD3B33"/>
    <w:rsid w:val="00CD413B"/>
    <w:rsid w:val="00CD43F0"/>
    <w:rsid w:val="00CD44D8"/>
    <w:rsid w:val="00CD49F0"/>
    <w:rsid w:val="00CD4B9C"/>
    <w:rsid w:val="00CD4C61"/>
    <w:rsid w:val="00CD4C97"/>
    <w:rsid w:val="00CD4D56"/>
    <w:rsid w:val="00CD4EB5"/>
    <w:rsid w:val="00CD50B8"/>
    <w:rsid w:val="00CD50D4"/>
    <w:rsid w:val="00CD51B0"/>
    <w:rsid w:val="00CD51C6"/>
    <w:rsid w:val="00CD51C7"/>
    <w:rsid w:val="00CD52C8"/>
    <w:rsid w:val="00CD53F3"/>
    <w:rsid w:val="00CD57CC"/>
    <w:rsid w:val="00CD5A16"/>
    <w:rsid w:val="00CD5A3B"/>
    <w:rsid w:val="00CD5C66"/>
    <w:rsid w:val="00CD6313"/>
    <w:rsid w:val="00CD66DE"/>
    <w:rsid w:val="00CD672A"/>
    <w:rsid w:val="00CD67B5"/>
    <w:rsid w:val="00CD684D"/>
    <w:rsid w:val="00CD6AE6"/>
    <w:rsid w:val="00CD6B3A"/>
    <w:rsid w:val="00CD6F4B"/>
    <w:rsid w:val="00CD6FBF"/>
    <w:rsid w:val="00CD71AE"/>
    <w:rsid w:val="00CD71D8"/>
    <w:rsid w:val="00CD721B"/>
    <w:rsid w:val="00CD726F"/>
    <w:rsid w:val="00CD74C4"/>
    <w:rsid w:val="00CD78BF"/>
    <w:rsid w:val="00CD7A9D"/>
    <w:rsid w:val="00CD7AC9"/>
    <w:rsid w:val="00CD7AF6"/>
    <w:rsid w:val="00CD7EBA"/>
    <w:rsid w:val="00CD7F35"/>
    <w:rsid w:val="00CE0537"/>
    <w:rsid w:val="00CE0981"/>
    <w:rsid w:val="00CE0FBD"/>
    <w:rsid w:val="00CE10BA"/>
    <w:rsid w:val="00CE12D8"/>
    <w:rsid w:val="00CE12E6"/>
    <w:rsid w:val="00CE169C"/>
    <w:rsid w:val="00CE1AC0"/>
    <w:rsid w:val="00CE1CA3"/>
    <w:rsid w:val="00CE1D39"/>
    <w:rsid w:val="00CE1ED6"/>
    <w:rsid w:val="00CE2038"/>
    <w:rsid w:val="00CE2267"/>
    <w:rsid w:val="00CE2358"/>
    <w:rsid w:val="00CE2965"/>
    <w:rsid w:val="00CE2A7C"/>
    <w:rsid w:val="00CE320B"/>
    <w:rsid w:val="00CE3260"/>
    <w:rsid w:val="00CE342C"/>
    <w:rsid w:val="00CE381D"/>
    <w:rsid w:val="00CE3947"/>
    <w:rsid w:val="00CE3A0C"/>
    <w:rsid w:val="00CE409B"/>
    <w:rsid w:val="00CE42BC"/>
    <w:rsid w:val="00CE432C"/>
    <w:rsid w:val="00CE4341"/>
    <w:rsid w:val="00CE4378"/>
    <w:rsid w:val="00CE43C5"/>
    <w:rsid w:val="00CE4C4D"/>
    <w:rsid w:val="00CE4CE8"/>
    <w:rsid w:val="00CE4D11"/>
    <w:rsid w:val="00CE4DF5"/>
    <w:rsid w:val="00CE4E4D"/>
    <w:rsid w:val="00CE53EC"/>
    <w:rsid w:val="00CE5524"/>
    <w:rsid w:val="00CE5AAA"/>
    <w:rsid w:val="00CE5C24"/>
    <w:rsid w:val="00CE5CBA"/>
    <w:rsid w:val="00CE611A"/>
    <w:rsid w:val="00CE6233"/>
    <w:rsid w:val="00CE660C"/>
    <w:rsid w:val="00CE6736"/>
    <w:rsid w:val="00CE6F98"/>
    <w:rsid w:val="00CE715C"/>
    <w:rsid w:val="00CE7249"/>
    <w:rsid w:val="00CE75E6"/>
    <w:rsid w:val="00CE79B1"/>
    <w:rsid w:val="00CE79CE"/>
    <w:rsid w:val="00CE79D7"/>
    <w:rsid w:val="00CE7CAE"/>
    <w:rsid w:val="00CE7F39"/>
    <w:rsid w:val="00CF0069"/>
    <w:rsid w:val="00CF00BE"/>
    <w:rsid w:val="00CF0226"/>
    <w:rsid w:val="00CF0666"/>
    <w:rsid w:val="00CF0768"/>
    <w:rsid w:val="00CF0875"/>
    <w:rsid w:val="00CF0BF4"/>
    <w:rsid w:val="00CF0C78"/>
    <w:rsid w:val="00CF0CAF"/>
    <w:rsid w:val="00CF0CDC"/>
    <w:rsid w:val="00CF1393"/>
    <w:rsid w:val="00CF14B9"/>
    <w:rsid w:val="00CF18A8"/>
    <w:rsid w:val="00CF19E2"/>
    <w:rsid w:val="00CF1A5B"/>
    <w:rsid w:val="00CF1CA3"/>
    <w:rsid w:val="00CF1DF3"/>
    <w:rsid w:val="00CF232D"/>
    <w:rsid w:val="00CF2966"/>
    <w:rsid w:val="00CF2987"/>
    <w:rsid w:val="00CF2A9E"/>
    <w:rsid w:val="00CF2CDA"/>
    <w:rsid w:val="00CF2DC7"/>
    <w:rsid w:val="00CF2E7F"/>
    <w:rsid w:val="00CF3092"/>
    <w:rsid w:val="00CF329C"/>
    <w:rsid w:val="00CF32F6"/>
    <w:rsid w:val="00CF3365"/>
    <w:rsid w:val="00CF3A00"/>
    <w:rsid w:val="00CF3A99"/>
    <w:rsid w:val="00CF42FD"/>
    <w:rsid w:val="00CF4480"/>
    <w:rsid w:val="00CF44BB"/>
    <w:rsid w:val="00CF46C8"/>
    <w:rsid w:val="00CF47B1"/>
    <w:rsid w:val="00CF4AB9"/>
    <w:rsid w:val="00CF509B"/>
    <w:rsid w:val="00CF5195"/>
    <w:rsid w:val="00CF5256"/>
    <w:rsid w:val="00CF5B9D"/>
    <w:rsid w:val="00CF619C"/>
    <w:rsid w:val="00CF635C"/>
    <w:rsid w:val="00CF63A2"/>
    <w:rsid w:val="00CF63DF"/>
    <w:rsid w:val="00CF6656"/>
    <w:rsid w:val="00CF67C7"/>
    <w:rsid w:val="00CF67D0"/>
    <w:rsid w:val="00CF68DA"/>
    <w:rsid w:val="00CF6B4B"/>
    <w:rsid w:val="00CF6E6C"/>
    <w:rsid w:val="00CF6E79"/>
    <w:rsid w:val="00CF72FE"/>
    <w:rsid w:val="00CF753F"/>
    <w:rsid w:val="00CF756B"/>
    <w:rsid w:val="00CF7822"/>
    <w:rsid w:val="00CF7BA0"/>
    <w:rsid w:val="00CF7D56"/>
    <w:rsid w:val="00D00370"/>
    <w:rsid w:val="00D008A2"/>
    <w:rsid w:val="00D00A17"/>
    <w:rsid w:val="00D00A3F"/>
    <w:rsid w:val="00D0129E"/>
    <w:rsid w:val="00D020F5"/>
    <w:rsid w:val="00D021C7"/>
    <w:rsid w:val="00D022D2"/>
    <w:rsid w:val="00D02B02"/>
    <w:rsid w:val="00D02B2D"/>
    <w:rsid w:val="00D02C37"/>
    <w:rsid w:val="00D02F1B"/>
    <w:rsid w:val="00D03035"/>
    <w:rsid w:val="00D03174"/>
    <w:rsid w:val="00D0352E"/>
    <w:rsid w:val="00D035FA"/>
    <w:rsid w:val="00D03BBF"/>
    <w:rsid w:val="00D03E96"/>
    <w:rsid w:val="00D04001"/>
    <w:rsid w:val="00D040FD"/>
    <w:rsid w:val="00D0415F"/>
    <w:rsid w:val="00D04671"/>
    <w:rsid w:val="00D04695"/>
    <w:rsid w:val="00D04756"/>
    <w:rsid w:val="00D04A32"/>
    <w:rsid w:val="00D04B59"/>
    <w:rsid w:val="00D04C39"/>
    <w:rsid w:val="00D04C66"/>
    <w:rsid w:val="00D04E0B"/>
    <w:rsid w:val="00D04E2C"/>
    <w:rsid w:val="00D04E7A"/>
    <w:rsid w:val="00D0516A"/>
    <w:rsid w:val="00D0555C"/>
    <w:rsid w:val="00D05730"/>
    <w:rsid w:val="00D058AD"/>
    <w:rsid w:val="00D0599C"/>
    <w:rsid w:val="00D05A7B"/>
    <w:rsid w:val="00D05AB7"/>
    <w:rsid w:val="00D05B9D"/>
    <w:rsid w:val="00D05DA4"/>
    <w:rsid w:val="00D064F7"/>
    <w:rsid w:val="00D06594"/>
    <w:rsid w:val="00D0683E"/>
    <w:rsid w:val="00D06848"/>
    <w:rsid w:val="00D06C09"/>
    <w:rsid w:val="00D06D89"/>
    <w:rsid w:val="00D06F02"/>
    <w:rsid w:val="00D06F47"/>
    <w:rsid w:val="00D0720B"/>
    <w:rsid w:val="00D07770"/>
    <w:rsid w:val="00D07AB2"/>
    <w:rsid w:val="00D07CD7"/>
    <w:rsid w:val="00D1005F"/>
    <w:rsid w:val="00D1006D"/>
    <w:rsid w:val="00D102D6"/>
    <w:rsid w:val="00D10349"/>
    <w:rsid w:val="00D1077F"/>
    <w:rsid w:val="00D10909"/>
    <w:rsid w:val="00D1090D"/>
    <w:rsid w:val="00D10BFB"/>
    <w:rsid w:val="00D10C81"/>
    <w:rsid w:val="00D11149"/>
    <w:rsid w:val="00D11493"/>
    <w:rsid w:val="00D1172E"/>
    <w:rsid w:val="00D117CB"/>
    <w:rsid w:val="00D11D46"/>
    <w:rsid w:val="00D11E4C"/>
    <w:rsid w:val="00D12254"/>
    <w:rsid w:val="00D1233B"/>
    <w:rsid w:val="00D1235E"/>
    <w:rsid w:val="00D1252B"/>
    <w:rsid w:val="00D129FB"/>
    <w:rsid w:val="00D12AF7"/>
    <w:rsid w:val="00D12B39"/>
    <w:rsid w:val="00D12DE7"/>
    <w:rsid w:val="00D137AE"/>
    <w:rsid w:val="00D137C5"/>
    <w:rsid w:val="00D1380C"/>
    <w:rsid w:val="00D13810"/>
    <w:rsid w:val="00D14106"/>
    <w:rsid w:val="00D141B2"/>
    <w:rsid w:val="00D142F1"/>
    <w:rsid w:val="00D144D5"/>
    <w:rsid w:val="00D14C70"/>
    <w:rsid w:val="00D14F33"/>
    <w:rsid w:val="00D150D2"/>
    <w:rsid w:val="00D155AE"/>
    <w:rsid w:val="00D15751"/>
    <w:rsid w:val="00D15836"/>
    <w:rsid w:val="00D159F6"/>
    <w:rsid w:val="00D15A76"/>
    <w:rsid w:val="00D15CF8"/>
    <w:rsid w:val="00D15D20"/>
    <w:rsid w:val="00D15F50"/>
    <w:rsid w:val="00D15FBE"/>
    <w:rsid w:val="00D1607C"/>
    <w:rsid w:val="00D166D5"/>
    <w:rsid w:val="00D16818"/>
    <w:rsid w:val="00D1681B"/>
    <w:rsid w:val="00D16AC5"/>
    <w:rsid w:val="00D16B51"/>
    <w:rsid w:val="00D16FC1"/>
    <w:rsid w:val="00D1725A"/>
    <w:rsid w:val="00D1733D"/>
    <w:rsid w:val="00D174FF"/>
    <w:rsid w:val="00D17A34"/>
    <w:rsid w:val="00D17A89"/>
    <w:rsid w:val="00D17DCD"/>
    <w:rsid w:val="00D20170"/>
    <w:rsid w:val="00D202D6"/>
    <w:rsid w:val="00D202F8"/>
    <w:rsid w:val="00D20316"/>
    <w:rsid w:val="00D20375"/>
    <w:rsid w:val="00D2040C"/>
    <w:rsid w:val="00D205E0"/>
    <w:rsid w:val="00D20695"/>
    <w:rsid w:val="00D2082C"/>
    <w:rsid w:val="00D20945"/>
    <w:rsid w:val="00D209BD"/>
    <w:rsid w:val="00D20A79"/>
    <w:rsid w:val="00D20ACE"/>
    <w:rsid w:val="00D21249"/>
    <w:rsid w:val="00D2127E"/>
    <w:rsid w:val="00D212D6"/>
    <w:rsid w:val="00D21548"/>
    <w:rsid w:val="00D21673"/>
    <w:rsid w:val="00D21A5B"/>
    <w:rsid w:val="00D21C22"/>
    <w:rsid w:val="00D21D9A"/>
    <w:rsid w:val="00D21E03"/>
    <w:rsid w:val="00D21F04"/>
    <w:rsid w:val="00D21F61"/>
    <w:rsid w:val="00D221B1"/>
    <w:rsid w:val="00D223F5"/>
    <w:rsid w:val="00D22B1C"/>
    <w:rsid w:val="00D22C69"/>
    <w:rsid w:val="00D22D14"/>
    <w:rsid w:val="00D22E5F"/>
    <w:rsid w:val="00D22EC9"/>
    <w:rsid w:val="00D22FFD"/>
    <w:rsid w:val="00D233AA"/>
    <w:rsid w:val="00D235EC"/>
    <w:rsid w:val="00D24050"/>
    <w:rsid w:val="00D241BE"/>
    <w:rsid w:val="00D249F5"/>
    <w:rsid w:val="00D24C41"/>
    <w:rsid w:val="00D24CBF"/>
    <w:rsid w:val="00D25086"/>
    <w:rsid w:val="00D25297"/>
    <w:rsid w:val="00D25410"/>
    <w:rsid w:val="00D2572E"/>
    <w:rsid w:val="00D25DFD"/>
    <w:rsid w:val="00D25EA0"/>
    <w:rsid w:val="00D25EC7"/>
    <w:rsid w:val="00D260C8"/>
    <w:rsid w:val="00D2612C"/>
    <w:rsid w:val="00D261B0"/>
    <w:rsid w:val="00D2669A"/>
    <w:rsid w:val="00D268DC"/>
    <w:rsid w:val="00D26B70"/>
    <w:rsid w:val="00D26C3B"/>
    <w:rsid w:val="00D26D26"/>
    <w:rsid w:val="00D26F71"/>
    <w:rsid w:val="00D27108"/>
    <w:rsid w:val="00D27124"/>
    <w:rsid w:val="00D27773"/>
    <w:rsid w:val="00D278C3"/>
    <w:rsid w:val="00D279BE"/>
    <w:rsid w:val="00D27A3C"/>
    <w:rsid w:val="00D27B22"/>
    <w:rsid w:val="00D30347"/>
    <w:rsid w:val="00D3034C"/>
    <w:rsid w:val="00D30699"/>
    <w:rsid w:val="00D3098B"/>
    <w:rsid w:val="00D30AA7"/>
    <w:rsid w:val="00D30C0B"/>
    <w:rsid w:val="00D30C13"/>
    <w:rsid w:val="00D30C18"/>
    <w:rsid w:val="00D30EAB"/>
    <w:rsid w:val="00D30EF8"/>
    <w:rsid w:val="00D30F28"/>
    <w:rsid w:val="00D30FD9"/>
    <w:rsid w:val="00D31009"/>
    <w:rsid w:val="00D310C3"/>
    <w:rsid w:val="00D316B6"/>
    <w:rsid w:val="00D31752"/>
    <w:rsid w:val="00D318E3"/>
    <w:rsid w:val="00D319E4"/>
    <w:rsid w:val="00D31A77"/>
    <w:rsid w:val="00D31E2D"/>
    <w:rsid w:val="00D320A0"/>
    <w:rsid w:val="00D324F5"/>
    <w:rsid w:val="00D325A0"/>
    <w:rsid w:val="00D32A43"/>
    <w:rsid w:val="00D32D20"/>
    <w:rsid w:val="00D32E4B"/>
    <w:rsid w:val="00D333E6"/>
    <w:rsid w:val="00D33558"/>
    <w:rsid w:val="00D3362C"/>
    <w:rsid w:val="00D338C1"/>
    <w:rsid w:val="00D33E5C"/>
    <w:rsid w:val="00D33F5E"/>
    <w:rsid w:val="00D341D9"/>
    <w:rsid w:val="00D3427C"/>
    <w:rsid w:val="00D34697"/>
    <w:rsid w:val="00D34933"/>
    <w:rsid w:val="00D34BA4"/>
    <w:rsid w:val="00D352F8"/>
    <w:rsid w:val="00D35AD4"/>
    <w:rsid w:val="00D35C43"/>
    <w:rsid w:val="00D35C60"/>
    <w:rsid w:val="00D35E54"/>
    <w:rsid w:val="00D3631C"/>
    <w:rsid w:val="00D366F0"/>
    <w:rsid w:val="00D36D69"/>
    <w:rsid w:val="00D36EC9"/>
    <w:rsid w:val="00D36EFE"/>
    <w:rsid w:val="00D374BA"/>
    <w:rsid w:val="00D37630"/>
    <w:rsid w:val="00D37AF7"/>
    <w:rsid w:val="00D37BA7"/>
    <w:rsid w:val="00D37C19"/>
    <w:rsid w:val="00D37F79"/>
    <w:rsid w:val="00D40205"/>
    <w:rsid w:val="00D4043C"/>
    <w:rsid w:val="00D40465"/>
    <w:rsid w:val="00D40560"/>
    <w:rsid w:val="00D407A2"/>
    <w:rsid w:val="00D408D0"/>
    <w:rsid w:val="00D40C49"/>
    <w:rsid w:val="00D41444"/>
    <w:rsid w:val="00D41463"/>
    <w:rsid w:val="00D41482"/>
    <w:rsid w:val="00D41696"/>
    <w:rsid w:val="00D417C9"/>
    <w:rsid w:val="00D41C21"/>
    <w:rsid w:val="00D41DC8"/>
    <w:rsid w:val="00D41F80"/>
    <w:rsid w:val="00D420A8"/>
    <w:rsid w:val="00D42121"/>
    <w:rsid w:val="00D425A4"/>
    <w:rsid w:val="00D42673"/>
    <w:rsid w:val="00D42C51"/>
    <w:rsid w:val="00D42D81"/>
    <w:rsid w:val="00D42FFE"/>
    <w:rsid w:val="00D4331F"/>
    <w:rsid w:val="00D43323"/>
    <w:rsid w:val="00D434C0"/>
    <w:rsid w:val="00D43AC8"/>
    <w:rsid w:val="00D43DAB"/>
    <w:rsid w:val="00D43DBC"/>
    <w:rsid w:val="00D43FC1"/>
    <w:rsid w:val="00D43FFD"/>
    <w:rsid w:val="00D441D9"/>
    <w:rsid w:val="00D446EF"/>
    <w:rsid w:val="00D44BAB"/>
    <w:rsid w:val="00D450A7"/>
    <w:rsid w:val="00D45240"/>
    <w:rsid w:val="00D456D3"/>
    <w:rsid w:val="00D45840"/>
    <w:rsid w:val="00D4586B"/>
    <w:rsid w:val="00D45E77"/>
    <w:rsid w:val="00D45F7D"/>
    <w:rsid w:val="00D45FE9"/>
    <w:rsid w:val="00D460C5"/>
    <w:rsid w:val="00D4615B"/>
    <w:rsid w:val="00D461B1"/>
    <w:rsid w:val="00D46D1C"/>
    <w:rsid w:val="00D46DA9"/>
    <w:rsid w:val="00D46E12"/>
    <w:rsid w:val="00D47408"/>
    <w:rsid w:val="00D47471"/>
    <w:rsid w:val="00D47AAE"/>
    <w:rsid w:val="00D47BB9"/>
    <w:rsid w:val="00D47BF4"/>
    <w:rsid w:val="00D47E8A"/>
    <w:rsid w:val="00D47EEA"/>
    <w:rsid w:val="00D5020D"/>
    <w:rsid w:val="00D5026F"/>
    <w:rsid w:val="00D50383"/>
    <w:rsid w:val="00D503E0"/>
    <w:rsid w:val="00D506A6"/>
    <w:rsid w:val="00D508D2"/>
    <w:rsid w:val="00D50DE7"/>
    <w:rsid w:val="00D50F55"/>
    <w:rsid w:val="00D50FE5"/>
    <w:rsid w:val="00D5126E"/>
    <w:rsid w:val="00D5140F"/>
    <w:rsid w:val="00D51544"/>
    <w:rsid w:val="00D51755"/>
    <w:rsid w:val="00D51941"/>
    <w:rsid w:val="00D51AA3"/>
    <w:rsid w:val="00D51D79"/>
    <w:rsid w:val="00D526FE"/>
    <w:rsid w:val="00D52B78"/>
    <w:rsid w:val="00D52ECB"/>
    <w:rsid w:val="00D532A4"/>
    <w:rsid w:val="00D532DC"/>
    <w:rsid w:val="00D53790"/>
    <w:rsid w:val="00D538FD"/>
    <w:rsid w:val="00D53974"/>
    <w:rsid w:val="00D53A24"/>
    <w:rsid w:val="00D53BCB"/>
    <w:rsid w:val="00D53DF1"/>
    <w:rsid w:val="00D541FA"/>
    <w:rsid w:val="00D54281"/>
    <w:rsid w:val="00D546EF"/>
    <w:rsid w:val="00D547CC"/>
    <w:rsid w:val="00D548D3"/>
    <w:rsid w:val="00D54953"/>
    <w:rsid w:val="00D54C2E"/>
    <w:rsid w:val="00D54CB9"/>
    <w:rsid w:val="00D54E66"/>
    <w:rsid w:val="00D54F83"/>
    <w:rsid w:val="00D5502E"/>
    <w:rsid w:val="00D551BB"/>
    <w:rsid w:val="00D55259"/>
    <w:rsid w:val="00D55301"/>
    <w:rsid w:val="00D5530F"/>
    <w:rsid w:val="00D55702"/>
    <w:rsid w:val="00D5578E"/>
    <w:rsid w:val="00D5588B"/>
    <w:rsid w:val="00D55980"/>
    <w:rsid w:val="00D559D2"/>
    <w:rsid w:val="00D560B2"/>
    <w:rsid w:val="00D563B6"/>
    <w:rsid w:val="00D56451"/>
    <w:rsid w:val="00D5676F"/>
    <w:rsid w:val="00D56787"/>
    <w:rsid w:val="00D569EC"/>
    <w:rsid w:val="00D56ADC"/>
    <w:rsid w:val="00D56C36"/>
    <w:rsid w:val="00D56C7D"/>
    <w:rsid w:val="00D56F69"/>
    <w:rsid w:val="00D5700F"/>
    <w:rsid w:val="00D57369"/>
    <w:rsid w:val="00D5776F"/>
    <w:rsid w:val="00D57796"/>
    <w:rsid w:val="00D57927"/>
    <w:rsid w:val="00D579D4"/>
    <w:rsid w:val="00D57A13"/>
    <w:rsid w:val="00D57A29"/>
    <w:rsid w:val="00D57A58"/>
    <w:rsid w:val="00D57BCD"/>
    <w:rsid w:val="00D57C3C"/>
    <w:rsid w:val="00D57CD8"/>
    <w:rsid w:val="00D57E85"/>
    <w:rsid w:val="00D57FA9"/>
    <w:rsid w:val="00D60422"/>
    <w:rsid w:val="00D60469"/>
    <w:rsid w:val="00D61085"/>
    <w:rsid w:val="00D611A6"/>
    <w:rsid w:val="00D611DA"/>
    <w:rsid w:val="00D61413"/>
    <w:rsid w:val="00D61500"/>
    <w:rsid w:val="00D6187C"/>
    <w:rsid w:val="00D61CA5"/>
    <w:rsid w:val="00D61CC0"/>
    <w:rsid w:val="00D61CCD"/>
    <w:rsid w:val="00D61D13"/>
    <w:rsid w:val="00D6203C"/>
    <w:rsid w:val="00D62248"/>
    <w:rsid w:val="00D624EF"/>
    <w:rsid w:val="00D6278D"/>
    <w:rsid w:val="00D629FF"/>
    <w:rsid w:val="00D62B69"/>
    <w:rsid w:val="00D62F9D"/>
    <w:rsid w:val="00D63118"/>
    <w:rsid w:val="00D6330D"/>
    <w:rsid w:val="00D636B1"/>
    <w:rsid w:val="00D636EA"/>
    <w:rsid w:val="00D639DE"/>
    <w:rsid w:val="00D63C55"/>
    <w:rsid w:val="00D63D68"/>
    <w:rsid w:val="00D63DDE"/>
    <w:rsid w:val="00D63E4A"/>
    <w:rsid w:val="00D640AB"/>
    <w:rsid w:val="00D640B2"/>
    <w:rsid w:val="00D64224"/>
    <w:rsid w:val="00D64519"/>
    <w:rsid w:val="00D64545"/>
    <w:rsid w:val="00D64602"/>
    <w:rsid w:val="00D64E94"/>
    <w:rsid w:val="00D64F64"/>
    <w:rsid w:val="00D65131"/>
    <w:rsid w:val="00D658B4"/>
    <w:rsid w:val="00D65B97"/>
    <w:rsid w:val="00D660CA"/>
    <w:rsid w:val="00D66151"/>
    <w:rsid w:val="00D6617A"/>
    <w:rsid w:val="00D66513"/>
    <w:rsid w:val="00D66BAE"/>
    <w:rsid w:val="00D66C38"/>
    <w:rsid w:val="00D66E33"/>
    <w:rsid w:val="00D66F7D"/>
    <w:rsid w:val="00D670E7"/>
    <w:rsid w:val="00D6729B"/>
    <w:rsid w:val="00D677E1"/>
    <w:rsid w:val="00D67A9D"/>
    <w:rsid w:val="00D67BE9"/>
    <w:rsid w:val="00D67F0C"/>
    <w:rsid w:val="00D701DB"/>
    <w:rsid w:val="00D70233"/>
    <w:rsid w:val="00D7044E"/>
    <w:rsid w:val="00D70815"/>
    <w:rsid w:val="00D70827"/>
    <w:rsid w:val="00D70CB4"/>
    <w:rsid w:val="00D710D3"/>
    <w:rsid w:val="00D7125F"/>
    <w:rsid w:val="00D712CC"/>
    <w:rsid w:val="00D71751"/>
    <w:rsid w:val="00D7175D"/>
    <w:rsid w:val="00D71BA5"/>
    <w:rsid w:val="00D71E2D"/>
    <w:rsid w:val="00D72C2B"/>
    <w:rsid w:val="00D72D9E"/>
    <w:rsid w:val="00D72DDF"/>
    <w:rsid w:val="00D72FEB"/>
    <w:rsid w:val="00D73212"/>
    <w:rsid w:val="00D73421"/>
    <w:rsid w:val="00D73475"/>
    <w:rsid w:val="00D734E6"/>
    <w:rsid w:val="00D73883"/>
    <w:rsid w:val="00D73D55"/>
    <w:rsid w:val="00D740E5"/>
    <w:rsid w:val="00D7430D"/>
    <w:rsid w:val="00D74367"/>
    <w:rsid w:val="00D743AA"/>
    <w:rsid w:val="00D74455"/>
    <w:rsid w:val="00D74757"/>
    <w:rsid w:val="00D74A3E"/>
    <w:rsid w:val="00D74C13"/>
    <w:rsid w:val="00D74C49"/>
    <w:rsid w:val="00D74DDC"/>
    <w:rsid w:val="00D74E87"/>
    <w:rsid w:val="00D754A9"/>
    <w:rsid w:val="00D75886"/>
    <w:rsid w:val="00D75991"/>
    <w:rsid w:val="00D759D7"/>
    <w:rsid w:val="00D7601C"/>
    <w:rsid w:val="00D7601D"/>
    <w:rsid w:val="00D76167"/>
    <w:rsid w:val="00D7638D"/>
    <w:rsid w:val="00D7645F"/>
    <w:rsid w:val="00D76680"/>
    <w:rsid w:val="00D76A1A"/>
    <w:rsid w:val="00D76A2D"/>
    <w:rsid w:val="00D76AA6"/>
    <w:rsid w:val="00D76AF7"/>
    <w:rsid w:val="00D76B05"/>
    <w:rsid w:val="00D76B6E"/>
    <w:rsid w:val="00D76CD3"/>
    <w:rsid w:val="00D76D37"/>
    <w:rsid w:val="00D76DF4"/>
    <w:rsid w:val="00D76E95"/>
    <w:rsid w:val="00D77027"/>
    <w:rsid w:val="00D7737C"/>
    <w:rsid w:val="00D77ED3"/>
    <w:rsid w:val="00D8013F"/>
    <w:rsid w:val="00D801F4"/>
    <w:rsid w:val="00D80209"/>
    <w:rsid w:val="00D8046B"/>
    <w:rsid w:val="00D80596"/>
    <w:rsid w:val="00D806CE"/>
    <w:rsid w:val="00D80849"/>
    <w:rsid w:val="00D80953"/>
    <w:rsid w:val="00D80E74"/>
    <w:rsid w:val="00D80F1D"/>
    <w:rsid w:val="00D80F33"/>
    <w:rsid w:val="00D81025"/>
    <w:rsid w:val="00D8105C"/>
    <w:rsid w:val="00D8109E"/>
    <w:rsid w:val="00D81233"/>
    <w:rsid w:val="00D81251"/>
    <w:rsid w:val="00D81361"/>
    <w:rsid w:val="00D8140A"/>
    <w:rsid w:val="00D81417"/>
    <w:rsid w:val="00D81695"/>
    <w:rsid w:val="00D816BF"/>
    <w:rsid w:val="00D81863"/>
    <w:rsid w:val="00D81B15"/>
    <w:rsid w:val="00D81BEE"/>
    <w:rsid w:val="00D8220C"/>
    <w:rsid w:val="00D82507"/>
    <w:rsid w:val="00D82528"/>
    <w:rsid w:val="00D825B7"/>
    <w:rsid w:val="00D826ED"/>
    <w:rsid w:val="00D82AC6"/>
    <w:rsid w:val="00D8326F"/>
    <w:rsid w:val="00D832AF"/>
    <w:rsid w:val="00D8359F"/>
    <w:rsid w:val="00D8365C"/>
    <w:rsid w:val="00D837A0"/>
    <w:rsid w:val="00D837DC"/>
    <w:rsid w:val="00D8387B"/>
    <w:rsid w:val="00D83A82"/>
    <w:rsid w:val="00D84095"/>
    <w:rsid w:val="00D840C3"/>
    <w:rsid w:val="00D840EF"/>
    <w:rsid w:val="00D84360"/>
    <w:rsid w:val="00D84773"/>
    <w:rsid w:val="00D84A17"/>
    <w:rsid w:val="00D84DDC"/>
    <w:rsid w:val="00D855F2"/>
    <w:rsid w:val="00D855F6"/>
    <w:rsid w:val="00D85665"/>
    <w:rsid w:val="00D85E28"/>
    <w:rsid w:val="00D85F94"/>
    <w:rsid w:val="00D8634B"/>
    <w:rsid w:val="00D86551"/>
    <w:rsid w:val="00D865BF"/>
    <w:rsid w:val="00D86935"/>
    <w:rsid w:val="00D86D6D"/>
    <w:rsid w:val="00D86ECE"/>
    <w:rsid w:val="00D86EF3"/>
    <w:rsid w:val="00D86F19"/>
    <w:rsid w:val="00D86FD0"/>
    <w:rsid w:val="00D8722C"/>
    <w:rsid w:val="00D87414"/>
    <w:rsid w:val="00D87439"/>
    <w:rsid w:val="00D8767D"/>
    <w:rsid w:val="00D876AA"/>
    <w:rsid w:val="00D87734"/>
    <w:rsid w:val="00D877CC"/>
    <w:rsid w:val="00D87843"/>
    <w:rsid w:val="00D878CE"/>
    <w:rsid w:val="00D8790D"/>
    <w:rsid w:val="00D87A31"/>
    <w:rsid w:val="00D87D41"/>
    <w:rsid w:val="00D87F0F"/>
    <w:rsid w:val="00D9003C"/>
    <w:rsid w:val="00D908AD"/>
    <w:rsid w:val="00D9096A"/>
    <w:rsid w:val="00D9098A"/>
    <w:rsid w:val="00D909C2"/>
    <w:rsid w:val="00D909CA"/>
    <w:rsid w:val="00D90A9F"/>
    <w:rsid w:val="00D90BBD"/>
    <w:rsid w:val="00D90E72"/>
    <w:rsid w:val="00D90E90"/>
    <w:rsid w:val="00D91326"/>
    <w:rsid w:val="00D91D7C"/>
    <w:rsid w:val="00D91FC7"/>
    <w:rsid w:val="00D9212A"/>
    <w:rsid w:val="00D92162"/>
    <w:rsid w:val="00D921B7"/>
    <w:rsid w:val="00D925BF"/>
    <w:rsid w:val="00D926B8"/>
    <w:rsid w:val="00D92872"/>
    <w:rsid w:val="00D929CF"/>
    <w:rsid w:val="00D9308F"/>
    <w:rsid w:val="00D9334F"/>
    <w:rsid w:val="00D93A4F"/>
    <w:rsid w:val="00D93E4A"/>
    <w:rsid w:val="00D93F82"/>
    <w:rsid w:val="00D943DB"/>
    <w:rsid w:val="00D9453B"/>
    <w:rsid w:val="00D9478A"/>
    <w:rsid w:val="00D948BE"/>
    <w:rsid w:val="00D94977"/>
    <w:rsid w:val="00D94A12"/>
    <w:rsid w:val="00D94DA4"/>
    <w:rsid w:val="00D94F33"/>
    <w:rsid w:val="00D95932"/>
    <w:rsid w:val="00D95949"/>
    <w:rsid w:val="00D95987"/>
    <w:rsid w:val="00D95AD1"/>
    <w:rsid w:val="00D95B31"/>
    <w:rsid w:val="00D95C52"/>
    <w:rsid w:val="00D95DCF"/>
    <w:rsid w:val="00D95EF6"/>
    <w:rsid w:val="00D9609C"/>
    <w:rsid w:val="00D96212"/>
    <w:rsid w:val="00D96215"/>
    <w:rsid w:val="00D96284"/>
    <w:rsid w:val="00D96298"/>
    <w:rsid w:val="00D962F0"/>
    <w:rsid w:val="00D96340"/>
    <w:rsid w:val="00D96515"/>
    <w:rsid w:val="00D96634"/>
    <w:rsid w:val="00D96697"/>
    <w:rsid w:val="00D968D9"/>
    <w:rsid w:val="00D96AD4"/>
    <w:rsid w:val="00D96BDD"/>
    <w:rsid w:val="00D96E8B"/>
    <w:rsid w:val="00D970E1"/>
    <w:rsid w:val="00D97170"/>
    <w:rsid w:val="00D971D0"/>
    <w:rsid w:val="00D97375"/>
    <w:rsid w:val="00D974BB"/>
    <w:rsid w:val="00D9752E"/>
    <w:rsid w:val="00D976DB"/>
    <w:rsid w:val="00D97796"/>
    <w:rsid w:val="00D97873"/>
    <w:rsid w:val="00D97B80"/>
    <w:rsid w:val="00DA0133"/>
    <w:rsid w:val="00DA01BF"/>
    <w:rsid w:val="00DA0438"/>
    <w:rsid w:val="00DA0488"/>
    <w:rsid w:val="00DA0908"/>
    <w:rsid w:val="00DA0CA7"/>
    <w:rsid w:val="00DA0DF1"/>
    <w:rsid w:val="00DA0E3F"/>
    <w:rsid w:val="00DA0FCD"/>
    <w:rsid w:val="00DA103A"/>
    <w:rsid w:val="00DA156B"/>
    <w:rsid w:val="00DA1A8A"/>
    <w:rsid w:val="00DA1D96"/>
    <w:rsid w:val="00DA1E80"/>
    <w:rsid w:val="00DA1EB0"/>
    <w:rsid w:val="00DA1F64"/>
    <w:rsid w:val="00DA23EB"/>
    <w:rsid w:val="00DA280C"/>
    <w:rsid w:val="00DA2C54"/>
    <w:rsid w:val="00DA2D3C"/>
    <w:rsid w:val="00DA32C6"/>
    <w:rsid w:val="00DA33D8"/>
    <w:rsid w:val="00DA35DF"/>
    <w:rsid w:val="00DA3708"/>
    <w:rsid w:val="00DA3E18"/>
    <w:rsid w:val="00DA3FA4"/>
    <w:rsid w:val="00DA4453"/>
    <w:rsid w:val="00DA4632"/>
    <w:rsid w:val="00DA46B3"/>
    <w:rsid w:val="00DA4893"/>
    <w:rsid w:val="00DA4A93"/>
    <w:rsid w:val="00DA4B36"/>
    <w:rsid w:val="00DA5066"/>
    <w:rsid w:val="00DA5206"/>
    <w:rsid w:val="00DA52E8"/>
    <w:rsid w:val="00DA587E"/>
    <w:rsid w:val="00DA5C06"/>
    <w:rsid w:val="00DA5E5C"/>
    <w:rsid w:val="00DA6C42"/>
    <w:rsid w:val="00DA6D93"/>
    <w:rsid w:val="00DA6FE9"/>
    <w:rsid w:val="00DA705F"/>
    <w:rsid w:val="00DA7234"/>
    <w:rsid w:val="00DA7393"/>
    <w:rsid w:val="00DA7863"/>
    <w:rsid w:val="00DA78A1"/>
    <w:rsid w:val="00DA78E5"/>
    <w:rsid w:val="00DA7A17"/>
    <w:rsid w:val="00DA7BEA"/>
    <w:rsid w:val="00DA7C4E"/>
    <w:rsid w:val="00DB017C"/>
    <w:rsid w:val="00DB01FD"/>
    <w:rsid w:val="00DB035F"/>
    <w:rsid w:val="00DB03C7"/>
    <w:rsid w:val="00DB0982"/>
    <w:rsid w:val="00DB0A46"/>
    <w:rsid w:val="00DB0B4D"/>
    <w:rsid w:val="00DB0DF5"/>
    <w:rsid w:val="00DB0FDC"/>
    <w:rsid w:val="00DB1021"/>
    <w:rsid w:val="00DB12D4"/>
    <w:rsid w:val="00DB13DC"/>
    <w:rsid w:val="00DB1658"/>
    <w:rsid w:val="00DB1A6D"/>
    <w:rsid w:val="00DB1FFA"/>
    <w:rsid w:val="00DB2061"/>
    <w:rsid w:val="00DB20F4"/>
    <w:rsid w:val="00DB23F7"/>
    <w:rsid w:val="00DB27CC"/>
    <w:rsid w:val="00DB27FB"/>
    <w:rsid w:val="00DB2AD2"/>
    <w:rsid w:val="00DB2D93"/>
    <w:rsid w:val="00DB2F4D"/>
    <w:rsid w:val="00DB326C"/>
    <w:rsid w:val="00DB3451"/>
    <w:rsid w:val="00DB37DD"/>
    <w:rsid w:val="00DB39F9"/>
    <w:rsid w:val="00DB3C4B"/>
    <w:rsid w:val="00DB3F8E"/>
    <w:rsid w:val="00DB3FEA"/>
    <w:rsid w:val="00DB42E4"/>
    <w:rsid w:val="00DB4CF7"/>
    <w:rsid w:val="00DB4D25"/>
    <w:rsid w:val="00DB4F9A"/>
    <w:rsid w:val="00DB5086"/>
    <w:rsid w:val="00DB5336"/>
    <w:rsid w:val="00DB53B5"/>
    <w:rsid w:val="00DB5412"/>
    <w:rsid w:val="00DB5624"/>
    <w:rsid w:val="00DB5A42"/>
    <w:rsid w:val="00DB5A95"/>
    <w:rsid w:val="00DB5ADD"/>
    <w:rsid w:val="00DB6678"/>
    <w:rsid w:val="00DB6800"/>
    <w:rsid w:val="00DB6965"/>
    <w:rsid w:val="00DB6AA0"/>
    <w:rsid w:val="00DB6C82"/>
    <w:rsid w:val="00DB6E2E"/>
    <w:rsid w:val="00DB6EEF"/>
    <w:rsid w:val="00DB72F3"/>
    <w:rsid w:val="00DB75C8"/>
    <w:rsid w:val="00DB791F"/>
    <w:rsid w:val="00DB7AD7"/>
    <w:rsid w:val="00DB7B73"/>
    <w:rsid w:val="00DB7E10"/>
    <w:rsid w:val="00DB7E4C"/>
    <w:rsid w:val="00DB7E7B"/>
    <w:rsid w:val="00DB7F5D"/>
    <w:rsid w:val="00DC014D"/>
    <w:rsid w:val="00DC0190"/>
    <w:rsid w:val="00DC01D6"/>
    <w:rsid w:val="00DC0462"/>
    <w:rsid w:val="00DC0543"/>
    <w:rsid w:val="00DC075D"/>
    <w:rsid w:val="00DC0780"/>
    <w:rsid w:val="00DC08CA"/>
    <w:rsid w:val="00DC0A76"/>
    <w:rsid w:val="00DC0BEE"/>
    <w:rsid w:val="00DC0F47"/>
    <w:rsid w:val="00DC10C2"/>
    <w:rsid w:val="00DC1357"/>
    <w:rsid w:val="00DC192E"/>
    <w:rsid w:val="00DC1B15"/>
    <w:rsid w:val="00DC1CD7"/>
    <w:rsid w:val="00DC1DA6"/>
    <w:rsid w:val="00DC1FCA"/>
    <w:rsid w:val="00DC21D0"/>
    <w:rsid w:val="00DC255D"/>
    <w:rsid w:val="00DC25D7"/>
    <w:rsid w:val="00DC2A3B"/>
    <w:rsid w:val="00DC2C43"/>
    <w:rsid w:val="00DC2D13"/>
    <w:rsid w:val="00DC2D25"/>
    <w:rsid w:val="00DC2E09"/>
    <w:rsid w:val="00DC3587"/>
    <w:rsid w:val="00DC38AA"/>
    <w:rsid w:val="00DC3D7F"/>
    <w:rsid w:val="00DC3FDE"/>
    <w:rsid w:val="00DC40C6"/>
    <w:rsid w:val="00DC4153"/>
    <w:rsid w:val="00DC45ED"/>
    <w:rsid w:val="00DC4E58"/>
    <w:rsid w:val="00DC5096"/>
    <w:rsid w:val="00DC531F"/>
    <w:rsid w:val="00DC5478"/>
    <w:rsid w:val="00DC5534"/>
    <w:rsid w:val="00DC574A"/>
    <w:rsid w:val="00DC59D3"/>
    <w:rsid w:val="00DC5CDF"/>
    <w:rsid w:val="00DC5E3A"/>
    <w:rsid w:val="00DC5EB3"/>
    <w:rsid w:val="00DC6004"/>
    <w:rsid w:val="00DC613B"/>
    <w:rsid w:val="00DC6365"/>
    <w:rsid w:val="00DC65CC"/>
    <w:rsid w:val="00DC6614"/>
    <w:rsid w:val="00DC6751"/>
    <w:rsid w:val="00DC68DF"/>
    <w:rsid w:val="00DC6942"/>
    <w:rsid w:val="00DC6BA5"/>
    <w:rsid w:val="00DC6C09"/>
    <w:rsid w:val="00DC6E19"/>
    <w:rsid w:val="00DC7078"/>
    <w:rsid w:val="00DC70AA"/>
    <w:rsid w:val="00DC75F4"/>
    <w:rsid w:val="00DC762D"/>
    <w:rsid w:val="00DC764B"/>
    <w:rsid w:val="00DC781D"/>
    <w:rsid w:val="00DC7A2D"/>
    <w:rsid w:val="00DC7A6C"/>
    <w:rsid w:val="00DC7B32"/>
    <w:rsid w:val="00DC7CD5"/>
    <w:rsid w:val="00DC7D8A"/>
    <w:rsid w:val="00DC7ECD"/>
    <w:rsid w:val="00DC7EE6"/>
    <w:rsid w:val="00DD0223"/>
    <w:rsid w:val="00DD0450"/>
    <w:rsid w:val="00DD070D"/>
    <w:rsid w:val="00DD0877"/>
    <w:rsid w:val="00DD08D0"/>
    <w:rsid w:val="00DD093C"/>
    <w:rsid w:val="00DD0A3E"/>
    <w:rsid w:val="00DD0AE5"/>
    <w:rsid w:val="00DD1070"/>
    <w:rsid w:val="00DD13E2"/>
    <w:rsid w:val="00DD1494"/>
    <w:rsid w:val="00DD14B8"/>
    <w:rsid w:val="00DD1509"/>
    <w:rsid w:val="00DD1529"/>
    <w:rsid w:val="00DD170B"/>
    <w:rsid w:val="00DD1948"/>
    <w:rsid w:val="00DD1A62"/>
    <w:rsid w:val="00DD1B02"/>
    <w:rsid w:val="00DD1C28"/>
    <w:rsid w:val="00DD1ED9"/>
    <w:rsid w:val="00DD24E1"/>
    <w:rsid w:val="00DD2588"/>
    <w:rsid w:val="00DD28A8"/>
    <w:rsid w:val="00DD294C"/>
    <w:rsid w:val="00DD29F6"/>
    <w:rsid w:val="00DD2ABB"/>
    <w:rsid w:val="00DD2C49"/>
    <w:rsid w:val="00DD2D6B"/>
    <w:rsid w:val="00DD2F8D"/>
    <w:rsid w:val="00DD307A"/>
    <w:rsid w:val="00DD3499"/>
    <w:rsid w:val="00DD3843"/>
    <w:rsid w:val="00DD3A3D"/>
    <w:rsid w:val="00DD3A9F"/>
    <w:rsid w:val="00DD3B75"/>
    <w:rsid w:val="00DD3EBA"/>
    <w:rsid w:val="00DD4255"/>
    <w:rsid w:val="00DD437D"/>
    <w:rsid w:val="00DD4460"/>
    <w:rsid w:val="00DD4586"/>
    <w:rsid w:val="00DD46C6"/>
    <w:rsid w:val="00DD4B33"/>
    <w:rsid w:val="00DD4BCC"/>
    <w:rsid w:val="00DD4E88"/>
    <w:rsid w:val="00DD5388"/>
    <w:rsid w:val="00DD5485"/>
    <w:rsid w:val="00DD5B11"/>
    <w:rsid w:val="00DD5B64"/>
    <w:rsid w:val="00DD5EC3"/>
    <w:rsid w:val="00DD6189"/>
    <w:rsid w:val="00DD63C1"/>
    <w:rsid w:val="00DD6489"/>
    <w:rsid w:val="00DD6A94"/>
    <w:rsid w:val="00DD6B1D"/>
    <w:rsid w:val="00DD6BFA"/>
    <w:rsid w:val="00DD6FD3"/>
    <w:rsid w:val="00DD7264"/>
    <w:rsid w:val="00DD7563"/>
    <w:rsid w:val="00DD7581"/>
    <w:rsid w:val="00DD78E5"/>
    <w:rsid w:val="00DD7A42"/>
    <w:rsid w:val="00DD7DE0"/>
    <w:rsid w:val="00DD7ECC"/>
    <w:rsid w:val="00DE01B2"/>
    <w:rsid w:val="00DE0363"/>
    <w:rsid w:val="00DE03A4"/>
    <w:rsid w:val="00DE07A3"/>
    <w:rsid w:val="00DE0824"/>
    <w:rsid w:val="00DE084B"/>
    <w:rsid w:val="00DE08E5"/>
    <w:rsid w:val="00DE09DB"/>
    <w:rsid w:val="00DE0B04"/>
    <w:rsid w:val="00DE105C"/>
    <w:rsid w:val="00DE106F"/>
    <w:rsid w:val="00DE1AAF"/>
    <w:rsid w:val="00DE1AF9"/>
    <w:rsid w:val="00DE1BBC"/>
    <w:rsid w:val="00DE1F5D"/>
    <w:rsid w:val="00DE21B2"/>
    <w:rsid w:val="00DE2610"/>
    <w:rsid w:val="00DE26CD"/>
    <w:rsid w:val="00DE28AD"/>
    <w:rsid w:val="00DE2ADE"/>
    <w:rsid w:val="00DE2B49"/>
    <w:rsid w:val="00DE2E67"/>
    <w:rsid w:val="00DE2E76"/>
    <w:rsid w:val="00DE32E2"/>
    <w:rsid w:val="00DE3347"/>
    <w:rsid w:val="00DE33CA"/>
    <w:rsid w:val="00DE33E8"/>
    <w:rsid w:val="00DE3497"/>
    <w:rsid w:val="00DE3AF5"/>
    <w:rsid w:val="00DE3F1B"/>
    <w:rsid w:val="00DE4371"/>
    <w:rsid w:val="00DE4507"/>
    <w:rsid w:val="00DE46C2"/>
    <w:rsid w:val="00DE4774"/>
    <w:rsid w:val="00DE493F"/>
    <w:rsid w:val="00DE49AC"/>
    <w:rsid w:val="00DE4E22"/>
    <w:rsid w:val="00DE4F79"/>
    <w:rsid w:val="00DE56B2"/>
    <w:rsid w:val="00DE5F30"/>
    <w:rsid w:val="00DE6117"/>
    <w:rsid w:val="00DE61FA"/>
    <w:rsid w:val="00DE6575"/>
    <w:rsid w:val="00DE657A"/>
    <w:rsid w:val="00DE6768"/>
    <w:rsid w:val="00DE6A0E"/>
    <w:rsid w:val="00DE6DF7"/>
    <w:rsid w:val="00DE6F6F"/>
    <w:rsid w:val="00DE7061"/>
    <w:rsid w:val="00DE7065"/>
    <w:rsid w:val="00DE71DD"/>
    <w:rsid w:val="00DE7521"/>
    <w:rsid w:val="00DE75E6"/>
    <w:rsid w:val="00DE76A9"/>
    <w:rsid w:val="00DE785A"/>
    <w:rsid w:val="00DE7C23"/>
    <w:rsid w:val="00DF016C"/>
    <w:rsid w:val="00DF01E0"/>
    <w:rsid w:val="00DF0291"/>
    <w:rsid w:val="00DF045C"/>
    <w:rsid w:val="00DF0820"/>
    <w:rsid w:val="00DF0A50"/>
    <w:rsid w:val="00DF0CEA"/>
    <w:rsid w:val="00DF0F32"/>
    <w:rsid w:val="00DF11A2"/>
    <w:rsid w:val="00DF124C"/>
    <w:rsid w:val="00DF1261"/>
    <w:rsid w:val="00DF137F"/>
    <w:rsid w:val="00DF1A49"/>
    <w:rsid w:val="00DF22CD"/>
    <w:rsid w:val="00DF2D05"/>
    <w:rsid w:val="00DF2F8E"/>
    <w:rsid w:val="00DF36E1"/>
    <w:rsid w:val="00DF36E6"/>
    <w:rsid w:val="00DF3781"/>
    <w:rsid w:val="00DF3854"/>
    <w:rsid w:val="00DF38D9"/>
    <w:rsid w:val="00DF3997"/>
    <w:rsid w:val="00DF3AA3"/>
    <w:rsid w:val="00DF3B05"/>
    <w:rsid w:val="00DF3BB7"/>
    <w:rsid w:val="00DF466C"/>
    <w:rsid w:val="00DF4ADD"/>
    <w:rsid w:val="00DF5013"/>
    <w:rsid w:val="00DF515E"/>
    <w:rsid w:val="00DF53DA"/>
    <w:rsid w:val="00DF561E"/>
    <w:rsid w:val="00DF5A21"/>
    <w:rsid w:val="00DF5ACF"/>
    <w:rsid w:val="00DF5B03"/>
    <w:rsid w:val="00DF5B74"/>
    <w:rsid w:val="00DF5CF5"/>
    <w:rsid w:val="00DF5DAF"/>
    <w:rsid w:val="00DF5FD4"/>
    <w:rsid w:val="00DF611C"/>
    <w:rsid w:val="00DF654A"/>
    <w:rsid w:val="00DF65BF"/>
    <w:rsid w:val="00DF6649"/>
    <w:rsid w:val="00DF66E3"/>
    <w:rsid w:val="00DF6965"/>
    <w:rsid w:val="00DF69AD"/>
    <w:rsid w:val="00DF6AF7"/>
    <w:rsid w:val="00DF6C57"/>
    <w:rsid w:val="00DF7347"/>
    <w:rsid w:val="00DF735E"/>
    <w:rsid w:val="00DF7396"/>
    <w:rsid w:val="00DF7E5F"/>
    <w:rsid w:val="00DF7F52"/>
    <w:rsid w:val="00DF7FDC"/>
    <w:rsid w:val="00E005D4"/>
    <w:rsid w:val="00E0074D"/>
    <w:rsid w:val="00E00773"/>
    <w:rsid w:val="00E00902"/>
    <w:rsid w:val="00E01009"/>
    <w:rsid w:val="00E014A0"/>
    <w:rsid w:val="00E016E8"/>
    <w:rsid w:val="00E01AD5"/>
    <w:rsid w:val="00E01DA6"/>
    <w:rsid w:val="00E020E1"/>
    <w:rsid w:val="00E02686"/>
    <w:rsid w:val="00E02833"/>
    <w:rsid w:val="00E02895"/>
    <w:rsid w:val="00E0297F"/>
    <w:rsid w:val="00E02B3B"/>
    <w:rsid w:val="00E02C6E"/>
    <w:rsid w:val="00E02EC0"/>
    <w:rsid w:val="00E03003"/>
    <w:rsid w:val="00E033EB"/>
    <w:rsid w:val="00E036E1"/>
    <w:rsid w:val="00E03846"/>
    <w:rsid w:val="00E047EE"/>
    <w:rsid w:val="00E049FB"/>
    <w:rsid w:val="00E04BCC"/>
    <w:rsid w:val="00E04D3C"/>
    <w:rsid w:val="00E04D4D"/>
    <w:rsid w:val="00E04D7C"/>
    <w:rsid w:val="00E04DA1"/>
    <w:rsid w:val="00E04EE4"/>
    <w:rsid w:val="00E053C3"/>
    <w:rsid w:val="00E054EA"/>
    <w:rsid w:val="00E05606"/>
    <w:rsid w:val="00E057E3"/>
    <w:rsid w:val="00E06641"/>
    <w:rsid w:val="00E068D5"/>
    <w:rsid w:val="00E06CD5"/>
    <w:rsid w:val="00E07163"/>
    <w:rsid w:val="00E071A4"/>
    <w:rsid w:val="00E073B4"/>
    <w:rsid w:val="00E07856"/>
    <w:rsid w:val="00E079E6"/>
    <w:rsid w:val="00E07AD4"/>
    <w:rsid w:val="00E07B34"/>
    <w:rsid w:val="00E07B43"/>
    <w:rsid w:val="00E07F3A"/>
    <w:rsid w:val="00E102C7"/>
    <w:rsid w:val="00E10353"/>
    <w:rsid w:val="00E106C9"/>
    <w:rsid w:val="00E10978"/>
    <w:rsid w:val="00E10BE3"/>
    <w:rsid w:val="00E10BEB"/>
    <w:rsid w:val="00E111EF"/>
    <w:rsid w:val="00E11343"/>
    <w:rsid w:val="00E11351"/>
    <w:rsid w:val="00E1151E"/>
    <w:rsid w:val="00E119D8"/>
    <w:rsid w:val="00E11B51"/>
    <w:rsid w:val="00E11BF4"/>
    <w:rsid w:val="00E121E4"/>
    <w:rsid w:val="00E12552"/>
    <w:rsid w:val="00E12691"/>
    <w:rsid w:val="00E129DA"/>
    <w:rsid w:val="00E12CBF"/>
    <w:rsid w:val="00E12EB5"/>
    <w:rsid w:val="00E1302A"/>
    <w:rsid w:val="00E13106"/>
    <w:rsid w:val="00E131CC"/>
    <w:rsid w:val="00E132BE"/>
    <w:rsid w:val="00E132D5"/>
    <w:rsid w:val="00E133B2"/>
    <w:rsid w:val="00E133BC"/>
    <w:rsid w:val="00E1348D"/>
    <w:rsid w:val="00E134F2"/>
    <w:rsid w:val="00E13655"/>
    <w:rsid w:val="00E13727"/>
    <w:rsid w:val="00E1385C"/>
    <w:rsid w:val="00E13995"/>
    <w:rsid w:val="00E13A1C"/>
    <w:rsid w:val="00E13ADD"/>
    <w:rsid w:val="00E13B37"/>
    <w:rsid w:val="00E14063"/>
    <w:rsid w:val="00E140F0"/>
    <w:rsid w:val="00E143D8"/>
    <w:rsid w:val="00E14503"/>
    <w:rsid w:val="00E145ED"/>
    <w:rsid w:val="00E14626"/>
    <w:rsid w:val="00E146F1"/>
    <w:rsid w:val="00E1485D"/>
    <w:rsid w:val="00E14863"/>
    <w:rsid w:val="00E149B5"/>
    <w:rsid w:val="00E14F04"/>
    <w:rsid w:val="00E15079"/>
    <w:rsid w:val="00E15109"/>
    <w:rsid w:val="00E155ED"/>
    <w:rsid w:val="00E15731"/>
    <w:rsid w:val="00E158D4"/>
    <w:rsid w:val="00E15AB8"/>
    <w:rsid w:val="00E15D5D"/>
    <w:rsid w:val="00E1619A"/>
    <w:rsid w:val="00E1620A"/>
    <w:rsid w:val="00E16464"/>
    <w:rsid w:val="00E16768"/>
    <w:rsid w:val="00E167CD"/>
    <w:rsid w:val="00E1684D"/>
    <w:rsid w:val="00E1686E"/>
    <w:rsid w:val="00E168EB"/>
    <w:rsid w:val="00E169AF"/>
    <w:rsid w:val="00E16C0B"/>
    <w:rsid w:val="00E17258"/>
    <w:rsid w:val="00E173C1"/>
    <w:rsid w:val="00E1792C"/>
    <w:rsid w:val="00E17CBF"/>
    <w:rsid w:val="00E20094"/>
    <w:rsid w:val="00E2047B"/>
    <w:rsid w:val="00E204E9"/>
    <w:rsid w:val="00E2062C"/>
    <w:rsid w:val="00E20B25"/>
    <w:rsid w:val="00E20B2B"/>
    <w:rsid w:val="00E20F53"/>
    <w:rsid w:val="00E21002"/>
    <w:rsid w:val="00E21082"/>
    <w:rsid w:val="00E211C1"/>
    <w:rsid w:val="00E211CB"/>
    <w:rsid w:val="00E211D2"/>
    <w:rsid w:val="00E21330"/>
    <w:rsid w:val="00E216F6"/>
    <w:rsid w:val="00E2191D"/>
    <w:rsid w:val="00E219A1"/>
    <w:rsid w:val="00E21D4D"/>
    <w:rsid w:val="00E21FA2"/>
    <w:rsid w:val="00E22177"/>
    <w:rsid w:val="00E22573"/>
    <w:rsid w:val="00E226EF"/>
    <w:rsid w:val="00E22839"/>
    <w:rsid w:val="00E22997"/>
    <w:rsid w:val="00E22B58"/>
    <w:rsid w:val="00E22BCB"/>
    <w:rsid w:val="00E22F12"/>
    <w:rsid w:val="00E23396"/>
    <w:rsid w:val="00E234F6"/>
    <w:rsid w:val="00E2386F"/>
    <w:rsid w:val="00E23C82"/>
    <w:rsid w:val="00E23D36"/>
    <w:rsid w:val="00E23EA1"/>
    <w:rsid w:val="00E23FF2"/>
    <w:rsid w:val="00E24057"/>
    <w:rsid w:val="00E2433B"/>
    <w:rsid w:val="00E24382"/>
    <w:rsid w:val="00E245E9"/>
    <w:rsid w:val="00E24E44"/>
    <w:rsid w:val="00E24ED2"/>
    <w:rsid w:val="00E24F8A"/>
    <w:rsid w:val="00E24FD8"/>
    <w:rsid w:val="00E24FE7"/>
    <w:rsid w:val="00E2533F"/>
    <w:rsid w:val="00E25561"/>
    <w:rsid w:val="00E25E7B"/>
    <w:rsid w:val="00E260F6"/>
    <w:rsid w:val="00E264E5"/>
    <w:rsid w:val="00E26D30"/>
    <w:rsid w:val="00E26DA9"/>
    <w:rsid w:val="00E26E0B"/>
    <w:rsid w:val="00E27098"/>
    <w:rsid w:val="00E270BF"/>
    <w:rsid w:val="00E27158"/>
    <w:rsid w:val="00E27329"/>
    <w:rsid w:val="00E2765C"/>
    <w:rsid w:val="00E276FD"/>
    <w:rsid w:val="00E27780"/>
    <w:rsid w:val="00E27D17"/>
    <w:rsid w:val="00E30229"/>
    <w:rsid w:val="00E30336"/>
    <w:rsid w:val="00E308FD"/>
    <w:rsid w:val="00E309E8"/>
    <w:rsid w:val="00E30E46"/>
    <w:rsid w:val="00E30FDF"/>
    <w:rsid w:val="00E311BD"/>
    <w:rsid w:val="00E31472"/>
    <w:rsid w:val="00E3166C"/>
    <w:rsid w:val="00E3171F"/>
    <w:rsid w:val="00E3174B"/>
    <w:rsid w:val="00E31879"/>
    <w:rsid w:val="00E31A1A"/>
    <w:rsid w:val="00E31C56"/>
    <w:rsid w:val="00E31CFF"/>
    <w:rsid w:val="00E31D5E"/>
    <w:rsid w:val="00E31E79"/>
    <w:rsid w:val="00E31F1F"/>
    <w:rsid w:val="00E31FB1"/>
    <w:rsid w:val="00E32343"/>
    <w:rsid w:val="00E32382"/>
    <w:rsid w:val="00E324F5"/>
    <w:rsid w:val="00E3299A"/>
    <w:rsid w:val="00E32B01"/>
    <w:rsid w:val="00E32B9C"/>
    <w:rsid w:val="00E32D18"/>
    <w:rsid w:val="00E330CF"/>
    <w:rsid w:val="00E33413"/>
    <w:rsid w:val="00E33505"/>
    <w:rsid w:val="00E33720"/>
    <w:rsid w:val="00E3393A"/>
    <w:rsid w:val="00E33BAD"/>
    <w:rsid w:val="00E33C37"/>
    <w:rsid w:val="00E33E2F"/>
    <w:rsid w:val="00E33EAB"/>
    <w:rsid w:val="00E34113"/>
    <w:rsid w:val="00E344C0"/>
    <w:rsid w:val="00E34548"/>
    <w:rsid w:val="00E3466E"/>
    <w:rsid w:val="00E34E65"/>
    <w:rsid w:val="00E351CB"/>
    <w:rsid w:val="00E35475"/>
    <w:rsid w:val="00E35672"/>
    <w:rsid w:val="00E3603E"/>
    <w:rsid w:val="00E36135"/>
    <w:rsid w:val="00E36860"/>
    <w:rsid w:val="00E36940"/>
    <w:rsid w:val="00E36D01"/>
    <w:rsid w:val="00E371C4"/>
    <w:rsid w:val="00E37329"/>
    <w:rsid w:val="00E37585"/>
    <w:rsid w:val="00E37AAC"/>
    <w:rsid w:val="00E37D9C"/>
    <w:rsid w:val="00E37DB7"/>
    <w:rsid w:val="00E37E62"/>
    <w:rsid w:val="00E37ECD"/>
    <w:rsid w:val="00E40316"/>
    <w:rsid w:val="00E4085A"/>
    <w:rsid w:val="00E4091B"/>
    <w:rsid w:val="00E409A5"/>
    <w:rsid w:val="00E40A9A"/>
    <w:rsid w:val="00E40F1E"/>
    <w:rsid w:val="00E4121D"/>
    <w:rsid w:val="00E41292"/>
    <w:rsid w:val="00E41728"/>
    <w:rsid w:val="00E41830"/>
    <w:rsid w:val="00E4199A"/>
    <w:rsid w:val="00E419D7"/>
    <w:rsid w:val="00E41A80"/>
    <w:rsid w:val="00E41A88"/>
    <w:rsid w:val="00E41B00"/>
    <w:rsid w:val="00E41B67"/>
    <w:rsid w:val="00E41F72"/>
    <w:rsid w:val="00E42321"/>
    <w:rsid w:val="00E42375"/>
    <w:rsid w:val="00E42394"/>
    <w:rsid w:val="00E423CE"/>
    <w:rsid w:val="00E423D5"/>
    <w:rsid w:val="00E42724"/>
    <w:rsid w:val="00E428AD"/>
    <w:rsid w:val="00E42942"/>
    <w:rsid w:val="00E42DD2"/>
    <w:rsid w:val="00E42F7D"/>
    <w:rsid w:val="00E4301E"/>
    <w:rsid w:val="00E431AA"/>
    <w:rsid w:val="00E433BA"/>
    <w:rsid w:val="00E43404"/>
    <w:rsid w:val="00E434C2"/>
    <w:rsid w:val="00E435DD"/>
    <w:rsid w:val="00E438A3"/>
    <w:rsid w:val="00E438FF"/>
    <w:rsid w:val="00E43CA7"/>
    <w:rsid w:val="00E43DE9"/>
    <w:rsid w:val="00E44680"/>
    <w:rsid w:val="00E448EF"/>
    <w:rsid w:val="00E449A3"/>
    <w:rsid w:val="00E44B9F"/>
    <w:rsid w:val="00E44D5B"/>
    <w:rsid w:val="00E4508B"/>
    <w:rsid w:val="00E453A8"/>
    <w:rsid w:val="00E45430"/>
    <w:rsid w:val="00E454C9"/>
    <w:rsid w:val="00E454E5"/>
    <w:rsid w:val="00E45556"/>
    <w:rsid w:val="00E459DE"/>
    <w:rsid w:val="00E45A21"/>
    <w:rsid w:val="00E45EF4"/>
    <w:rsid w:val="00E46592"/>
    <w:rsid w:val="00E465AE"/>
    <w:rsid w:val="00E4680D"/>
    <w:rsid w:val="00E469C3"/>
    <w:rsid w:val="00E46AA4"/>
    <w:rsid w:val="00E46DE4"/>
    <w:rsid w:val="00E47126"/>
    <w:rsid w:val="00E4733E"/>
    <w:rsid w:val="00E4763C"/>
    <w:rsid w:val="00E47BC4"/>
    <w:rsid w:val="00E47C2D"/>
    <w:rsid w:val="00E47CAC"/>
    <w:rsid w:val="00E50315"/>
    <w:rsid w:val="00E503D4"/>
    <w:rsid w:val="00E50570"/>
    <w:rsid w:val="00E50745"/>
    <w:rsid w:val="00E50CB8"/>
    <w:rsid w:val="00E50DE1"/>
    <w:rsid w:val="00E51272"/>
    <w:rsid w:val="00E51407"/>
    <w:rsid w:val="00E5150C"/>
    <w:rsid w:val="00E51A48"/>
    <w:rsid w:val="00E51CAD"/>
    <w:rsid w:val="00E51D84"/>
    <w:rsid w:val="00E51E1B"/>
    <w:rsid w:val="00E51F54"/>
    <w:rsid w:val="00E52081"/>
    <w:rsid w:val="00E520E5"/>
    <w:rsid w:val="00E523E4"/>
    <w:rsid w:val="00E524D1"/>
    <w:rsid w:val="00E524F7"/>
    <w:rsid w:val="00E5261F"/>
    <w:rsid w:val="00E52C17"/>
    <w:rsid w:val="00E52C1B"/>
    <w:rsid w:val="00E52C5E"/>
    <w:rsid w:val="00E52DEF"/>
    <w:rsid w:val="00E53009"/>
    <w:rsid w:val="00E530A6"/>
    <w:rsid w:val="00E5311C"/>
    <w:rsid w:val="00E53291"/>
    <w:rsid w:val="00E53350"/>
    <w:rsid w:val="00E5336C"/>
    <w:rsid w:val="00E53374"/>
    <w:rsid w:val="00E53796"/>
    <w:rsid w:val="00E538C5"/>
    <w:rsid w:val="00E5394C"/>
    <w:rsid w:val="00E53A88"/>
    <w:rsid w:val="00E53B34"/>
    <w:rsid w:val="00E53B7C"/>
    <w:rsid w:val="00E53EFA"/>
    <w:rsid w:val="00E5419B"/>
    <w:rsid w:val="00E54234"/>
    <w:rsid w:val="00E542D9"/>
    <w:rsid w:val="00E54330"/>
    <w:rsid w:val="00E5434D"/>
    <w:rsid w:val="00E547E8"/>
    <w:rsid w:val="00E54898"/>
    <w:rsid w:val="00E54979"/>
    <w:rsid w:val="00E549BC"/>
    <w:rsid w:val="00E54D06"/>
    <w:rsid w:val="00E54E31"/>
    <w:rsid w:val="00E54EF1"/>
    <w:rsid w:val="00E55063"/>
    <w:rsid w:val="00E553BF"/>
    <w:rsid w:val="00E55CBF"/>
    <w:rsid w:val="00E55DED"/>
    <w:rsid w:val="00E55EA1"/>
    <w:rsid w:val="00E56278"/>
    <w:rsid w:val="00E56649"/>
    <w:rsid w:val="00E569BF"/>
    <w:rsid w:val="00E56BD7"/>
    <w:rsid w:val="00E56EA6"/>
    <w:rsid w:val="00E57001"/>
    <w:rsid w:val="00E5703D"/>
    <w:rsid w:val="00E57613"/>
    <w:rsid w:val="00E5781E"/>
    <w:rsid w:val="00E57BC7"/>
    <w:rsid w:val="00E57C41"/>
    <w:rsid w:val="00E602D1"/>
    <w:rsid w:val="00E60539"/>
    <w:rsid w:val="00E605B1"/>
    <w:rsid w:val="00E60630"/>
    <w:rsid w:val="00E60CCA"/>
    <w:rsid w:val="00E61101"/>
    <w:rsid w:val="00E61293"/>
    <w:rsid w:val="00E6134A"/>
    <w:rsid w:val="00E6151F"/>
    <w:rsid w:val="00E61759"/>
    <w:rsid w:val="00E61AA8"/>
    <w:rsid w:val="00E61D86"/>
    <w:rsid w:val="00E61E35"/>
    <w:rsid w:val="00E62347"/>
    <w:rsid w:val="00E6234D"/>
    <w:rsid w:val="00E6259A"/>
    <w:rsid w:val="00E625FD"/>
    <w:rsid w:val="00E629D0"/>
    <w:rsid w:val="00E62E26"/>
    <w:rsid w:val="00E63218"/>
    <w:rsid w:val="00E632F1"/>
    <w:rsid w:val="00E6346F"/>
    <w:rsid w:val="00E63549"/>
    <w:rsid w:val="00E635ED"/>
    <w:rsid w:val="00E6367C"/>
    <w:rsid w:val="00E63861"/>
    <w:rsid w:val="00E638F4"/>
    <w:rsid w:val="00E63FFA"/>
    <w:rsid w:val="00E640B2"/>
    <w:rsid w:val="00E6435A"/>
    <w:rsid w:val="00E64696"/>
    <w:rsid w:val="00E647A0"/>
    <w:rsid w:val="00E64D4C"/>
    <w:rsid w:val="00E652AB"/>
    <w:rsid w:val="00E653B1"/>
    <w:rsid w:val="00E65C5E"/>
    <w:rsid w:val="00E663DB"/>
    <w:rsid w:val="00E6643A"/>
    <w:rsid w:val="00E664BD"/>
    <w:rsid w:val="00E6658D"/>
    <w:rsid w:val="00E66725"/>
    <w:rsid w:val="00E66A2A"/>
    <w:rsid w:val="00E66AFD"/>
    <w:rsid w:val="00E66DEC"/>
    <w:rsid w:val="00E66E06"/>
    <w:rsid w:val="00E66E38"/>
    <w:rsid w:val="00E66FDD"/>
    <w:rsid w:val="00E673F4"/>
    <w:rsid w:val="00E67941"/>
    <w:rsid w:val="00E6799E"/>
    <w:rsid w:val="00E7017F"/>
    <w:rsid w:val="00E70471"/>
    <w:rsid w:val="00E70799"/>
    <w:rsid w:val="00E70854"/>
    <w:rsid w:val="00E70B4B"/>
    <w:rsid w:val="00E70B93"/>
    <w:rsid w:val="00E70D29"/>
    <w:rsid w:val="00E70DED"/>
    <w:rsid w:val="00E713F6"/>
    <w:rsid w:val="00E714CA"/>
    <w:rsid w:val="00E71A59"/>
    <w:rsid w:val="00E71C34"/>
    <w:rsid w:val="00E71C59"/>
    <w:rsid w:val="00E71E6A"/>
    <w:rsid w:val="00E72034"/>
    <w:rsid w:val="00E7240B"/>
    <w:rsid w:val="00E730A1"/>
    <w:rsid w:val="00E730F1"/>
    <w:rsid w:val="00E73158"/>
    <w:rsid w:val="00E733E0"/>
    <w:rsid w:val="00E73449"/>
    <w:rsid w:val="00E735A1"/>
    <w:rsid w:val="00E7362C"/>
    <w:rsid w:val="00E73EB7"/>
    <w:rsid w:val="00E7402A"/>
    <w:rsid w:val="00E74115"/>
    <w:rsid w:val="00E74191"/>
    <w:rsid w:val="00E7442E"/>
    <w:rsid w:val="00E74744"/>
    <w:rsid w:val="00E74862"/>
    <w:rsid w:val="00E749B0"/>
    <w:rsid w:val="00E74C60"/>
    <w:rsid w:val="00E74F02"/>
    <w:rsid w:val="00E750A1"/>
    <w:rsid w:val="00E75113"/>
    <w:rsid w:val="00E75177"/>
    <w:rsid w:val="00E75479"/>
    <w:rsid w:val="00E7555C"/>
    <w:rsid w:val="00E756B7"/>
    <w:rsid w:val="00E75DDC"/>
    <w:rsid w:val="00E75E2E"/>
    <w:rsid w:val="00E76399"/>
    <w:rsid w:val="00E764B1"/>
    <w:rsid w:val="00E76761"/>
    <w:rsid w:val="00E7683B"/>
    <w:rsid w:val="00E7687C"/>
    <w:rsid w:val="00E769A5"/>
    <w:rsid w:val="00E76AAA"/>
    <w:rsid w:val="00E771EB"/>
    <w:rsid w:val="00E772B2"/>
    <w:rsid w:val="00E77748"/>
    <w:rsid w:val="00E7796E"/>
    <w:rsid w:val="00E77A2C"/>
    <w:rsid w:val="00E77C76"/>
    <w:rsid w:val="00E77FCC"/>
    <w:rsid w:val="00E805D8"/>
    <w:rsid w:val="00E8061E"/>
    <w:rsid w:val="00E80711"/>
    <w:rsid w:val="00E80775"/>
    <w:rsid w:val="00E807CB"/>
    <w:rsid w:val="00E80B9A"/>
    <w:rsid w:val="00E80E6F"/>
    <w:rsid w:val="00E80F36"/>
    <w:rsid w:val="00E80FF6"/>
    <w:rsid w:val="00E812CA"/>
    <w:rsid w:val="00E81330"/>
    <w:rsid w:val="00E81850"/>
    <w:rsid w:val="00E81AF7"/>
    <w:rsid w:val="00E82061"/>
    <w:rsid w:val="00E8206F"/>
    <w:rsid w:val="00E820D3"/>
    <w:rsid w:val="00E8280B"/>
    <w:rsid w:val="00E829D7"/>
    <w:rsid w:val="00E82AAA"/>
    <w:rsid w:val="00E82ACC"/>
    <w:rsid w:val="00E82B3B"/>
    <w:rsid w:val="00E82C8B"/>
    <w:rsid w:val="00E82E1C"/>
    <w:rsid w:val="00E82EE4"/>
    <w:rsid w:val="00E82F70"/>
    <w:rsid w:val="00E8350D"/>
    <w:rsid w:val="00E83547"/>
    <w:rsid w:val="00E83551"/>
    <w:rsid w:val="00E8361B"/>
    <w:rsid w:val="00E83A96"/>
    <w:rsid w:val="00E83B86"/>
    <w:rsid w:val="00E83C11"/>
    <w:rsid w:val="00E83D2C"/>
    <w:rsid w:val="00E83E35"/>
    <w:rsid w:val="00E8424C"/>
    <w:rsid w:val="00E8427E"/>
    <w:rsid w:val="00E84443"/>
    <w:rsid w:val="00E844E2"/>
    <w:rsid w:val="00E8472C"/>
    <w:rsid w:val="00E84CC4"/>
    <w:rsid w:val="00E850EC"/>
    <w:rsid w:val="00E855C2"/>
    <w:rsid w:val="00E855C8"/>
    <w:rsid w:val="00E855D1"/>
    <w:rsid w:val="00E85A13"/>
    <w:rsid w:val="00E85AB1"/>
    <w:rsid w:val="00E85ADC"/>
    <w:rsid w:val="00E85B6C"/>
    <w:rsid w:val="00E85CEF"/>
    <w:rsid w:val="00E85D53"/>
    <w:rsid w:val="00E85DAF"/>
    <w:rsid w:val="00E85E84"/>
    <w:rsid w:val="00E85EFC"/>
    <w:rsid w:val="00E85F49"/>
    <w:rsid w:val="00E86119"/>
    <w:rsid w:val="00E862CA"/>
    <w:rsid w:val="00E862DF"/>
    <w:rsid w:val="00E86354"/>
    <w:rsid w:val="00E863C1"/>
    <w:rsid w:val="00E86421"/>
    <w:rsid w:val="00E865F2"/>
    <w:rsid w:val="00E866C7"/>
    <w:rsid w:val="00E8697F"/>
    <w:rsid w:val="00E86A3D"/>
    <w:rsid w:val="00E86BE1"/>
    <w:rsid w:val="00E87215"/>
    <w:rsid w:val="00E8768E"/>
    <w:rsid w:val="00E9000B"/>
    <w:rsid w:val="00E90147"/>
    <w:rsid w:val="00E90171"/>
    <w:rsid w:val="00E9017E"/>
    <w:rsid w:val="00E9044B"/>
    <w:rsid w:val="00E9058E"/>
    <w:rsid w:val="00E9062A"/>
    <w:rsid w:val="00E90ACF"/>
    <w:rsid w:val="00E90EF3"/>
    <w:rsid w:val="00E9137F"/>
    <w:rsid w:val="00E915E1"/>
    <w:rsid w:val="00E916FE"/>
    <w:rsid w:val="00E9198B"/>
    <w:rsid w:val="00E91C60"/>
    <w:rsid w:val="00E91D91"/>
    <w:rsid w:val="00E91F40"/>
    <w:rsid w:val="00E9204B"/>
    <w:rsid w:val="00E9239C"/>
    <w:rsid w:val="00E9259C"/>
    <w:rsid w:val="00E92783"/>
    <w:rsid w:val="00E928F1"/>
    <w:rsid w:val="00E929BD"/>
    <w:rsid w:val="00E92A67"/>
    <w:rsid w:val="00E92B55"/>
    <w:rsid w:val="00E92C6F"/>
    <w:rsid w:val="00E9316C"/>
    <w:rsid w:val="00E93586"/>
    <w:rsid w:val="00E93854"/>
    <w:rsid w:val="00E9392F"/>
    <w:rsid w:val="00E9393A"/>
    <w:rsid w:val="00E93B1C"/>
    <w:rsid w:val="00E93BEC"/>
    <w:rsid w:val="00E941A3"/>
    <w:rsid w:val="00E94265"/>
    <w:rsid w:val="00E94290"/>
    <w:rsid w:val="00E942B6"/>
    <w:rsid w:val="00E94638"/>
    <w:rsid w:val="00E947CD"/>
    <w:rsid w:val="00E947E5"/>
    <w:rsid w:val="00E94E45"/>
    <w:rsid w:val="00E94FBF"/>
    <w:rsid w:val="00E95040"/>
    <w:rsid w:val="00E95B5D"/>
    <w:rsid w:val="00E95E11"/>
    <w:rsid w:val="00E96068"/>
    <w:rsid w:val="00E961ED"/>
    <w:rsid w:val="00E96764"/>
    <w:rsid w:val="00E96C45"/>
    <w:rsid w:val="00E96F31"/>
    <w:rsid w:val="00E96F83"/>
    <w:rsid w:val="00E96FD0"/>
    <w:rsid w:val="00E972A6"/>
    <w:rsid w:val="00E974A6"/>
    <w:rsid w:val="00E976C9"/>
    <w:rsid w:val="00EA021B"/>
    <w:rsid w:val="00EA0277"/>
    <w:rsid w:val="00EA02C6"/>
    <w:rsid w:val="00EA067A"/>
    <w:rsid w:val="00EA0A9D"/>
    <w:rsid w:val="00EA0B4E"/>
    <w:rsid w:val="00EA0B65"/>
    <w:rsid w:val="00EA0B93"/>
    <w:rsid w:val="00EA0C77"/>
    <w:rsid w:val="00EA0DA9"/>
    <w:rsid w:val="00EA0EFB"/>
    <w:rsid w:val="00EA1258"/>
    <w:rsid w:val="00EA1402"/>
    <w:rsid w:val="00EA1447"/>
    <w:rsid w:val="00EA15DD"/>
    <w:rsid w:val="00EA17E4"/>
    <w:rsid w:val="00EA192D"/>
    <w:rsid w:val="00EA1A6F"/>
    <w:rsid w:val="00EA1AA3"/>
    <w:rsid w:val="00EA1BC8"/>
    <w:rsid w:val="00EA1D1C"/>
    <w:rsid w:val="00EA2237"/>
    <w:rsid w:val="00EA231D"/>
    <w:rsid w:val="00EA253E"/>
    <w:rsid w:val="00EA2557"/>
    <w:rsid w:val="00EA2C3B"/>
    <w:rsid w:val="00EA3080"/>
    <w:rsid w:val="00EA3124"/>
    <w:rsid w:val="00EA32C2"/>
    <w:rsid w:val="00EA331A"/>
    <w:rsid w:val="00EA364D"/>
    <w:rsid w:val="00EA3A44"/>
    <w:rsid w:val="00EA3A7A"/>
    <w:rsid w:val="00EA3C75"/>
    <w:rsid w:val="00EA3CFC"/>
    <w:rsid w:val="00EA3D31"/>
    <w:rsid w:val="00EA3F06"/>
    <w:rsid w:val="00EA4048"/>
    <w:rsid w:val="00EA40CF"/>
    <w:rsid w:val="00EA453A"/>
    <w:rsid w:val="00EA4749"/>
    <w:rsid w:val="00EA4931"/>
    <w:rsid w:val="00EA4B32"/>
    <w:rsid w:val="00EA4BAD"/>
    <w:rsid w:val="00EA4E82"/>
    <w:rsid w:val="00EA5AD7"/>
    <w:rsid w:val="00EA5C6D"/>
    <w:rsid w:val="00EA5E7C"/>
    <w:rsid w:val="00EA5F40"/>
    <w:rsid w:val="00EA6028"/>
    <w:rsid w:val="00EA658C"/>
    <w:rsid w:val="00EA66F2"/>
    <w:rsid w:val="00EA678A"/>
    <w:rsid w:val="00EA6D2C"/>
    <w:rsid w:val="00EA70B1"/>
    <w:rsid w:val="00EA735F"/>
    <w:rsid w:val="00EA75CE"/>
    <w:rsid w:val="00EA76AA"/>
    <w:rsid w:val="00EA76BF"/>
    <w:rsid w:val="00EA76E3"/>
    <w:rsid w:val="00EA77AE"/>
    <w:rsid w:val="00EA78DB"/>
    <w:rsid w:val="00EB00AA"/>
    <w:rsid w:val="00EB04F4"/>
    <w:rsid w:val="00EB094A"/>
    <w:rsid w:val="00EB09AE"/>
    <w:rsid w:val="00EB0BC8"/>
    <w:rsid w:val="00EB0FF5"/>
    <w:rsid w:val="00EB106F"/>
    <w:rsid w:val="00EB15FC"/>
    <w:rsid w:val="00EB16CE"/>
    <w:rsid w:val="00EB16D6"/>
    <w:rsid w:val="00EB26F4"/>
    <w:rsid w:val="00EB297F"/>
    <w:rsid w:val="00EB2B61"/>
    <w:rsid w:val="00EB31E8"/>
    <w:rsid w:val="00EB3708"/>
    <w:rsid w:val="00EB37A8"/>
    <w:rsid w:val="00EB39FC"/>
    <w:rsid w:val="00EB413B"/>
    <w:rsid w:val="00EB43D4"/>
    <w:rsid w:val="00EB4528"/>
    <w:rsid w:val="00EB4547"/>
    <w:rsid w:val="00EB476F"/>
    <w:rsid w:val="00EB4885"/>
    <w:rsid w:val="00EB4991"/>
    <w:rsid w:val="00EB5A5F"/>
    <w:rsid w:val="00EB61CC"/>
    <w:rsid w:val="00EB63F1"/>
    <w:rsid w:val="00EB640D"/>
    <w:rsid w:val="00EB67C4"/>
    <w:rsid w:val="00EB68B8"/>
    <w:rsid w:val="00EB6E36"/>
    <w:rsid w:val="00EB6E77"/>
    <w:rsid w:val="00EB7371"/>
    <w:rsid w:val="00EB748E"/>
    <w:rsid w:val="00EB7672"/>
    <w:rsid w:val="00EB76DE"/>
    <w:rsid w:val="00EB7910"/>
    <w:rsid w:val="00EC036A"/>
    <w:rsid w:val="00EC0708"/>
    <w:rsid w:val="00EC0727"/>
    <w:rsid w:val="00EC0999"/>
    <w:rsid w:val="00EC0C75"/>
    <w:rsid w:val="00EC0FB7"/>
    <w:rsid w:val="00EC10FD"/>
    <w:rsid w:val="00EC1100"/>
    <w:rsid w:val="00EC12CB"/>
    <w:rsid w:val="00EC197F"/>
    <w:rsid w:val="00EC2062"/>
    <w:rsid w:val="00EC264E"/>
    <w:rsid w:val="00EC2692"/>
    <w:rsid w:val="00EC2745"/>
    <w:rsid w:val="00EC278C"/>
    <w:rsid w:val="00EC2968"/>
    <w:rsid w:val="00EC2AFE"/>
    <w:rsid w:val="00EC322A"/>
    <w:rsid w:val="00EC331D"/>
    <w:rsid w:val="00EC33BA"/>
    <w:rsid w:val="00EC3408"/>
    <w:rsid w:val="00EC3706"/>
    <w:rsid w:val="00EC3767"/>
    <w:rsid w:val="00EC3881"/>
    <w:rsid w:val="00EC3BDE"/>
    <w:rsid w:val="00EC40A1"/>
    <w:rsid w:val="00EC4203"/>
    <w:rsid w:val="00EC4275"/>
    <w:rsid w:val="00EC4490"/>
    <w:rsid w:val="00EC469D"/>
    <w:rsid w:val="00EC4953"/>
    <w:rsid w:val="00EC4B9B"/>
    <w:rsid w:val="00EC4BB2"/>
    <w:rsid w:val="00EC4DF9"/>
    <w:rsid w:val="00EC4E06"/>
    <w:rsid w:val="00EC5073"/>
    <w:rsid w:val="00EC52E1"/>
    <w:rsid w:val="00EC56B6"/>
    <w:rsid w:val="00EC5741"/>
    <w:rsid w:val="00EC57B0"/>
    <w:rsid w:val="00EC5893"/>
    <w:rsid w:val="00EC58B4"/>
    <w:rsid w:val="00EC5C1B"/>
    <w:rsid w:val="00EC5F15"/>
    <w:rsid w:val="00EC60C0"/>
    <w:rsid w:val="00EC61FE"/>
    <w:rsid w:val="00EC6390"/>
    <w:rsid w:val="00EC657B"/>
    <w:rsid w:val="00EC685D"/>
    <w:rsid w:val="00EC69A0"/>
    <w:rsid w:val="00EC69FE"/>
    <w:rsid w:val="00EC6CDB"/>
    <w:rsid w:val="00EC7546"/>
    <w:rsid w:val="00EC7584"/>
    <w:rsid w:val="00EC7672"/>
    <w:rsid w:val="00EC792A"/>
    <w:rsid w:val="00EC7A84"/>
    <w:rsid w:val="00EC7AEF"/>
    <w:rsid w:val="00EC7BA9"/>
    <w:rsid w:val="00EC7BC4"/>
    <w:rsid w:val="00EC7DC4"/>
    <w:rsid w:val="00ED0103"/>
    <w:rsid w:val="00ED01D0"/>
    <w:rsid w:val="00ED026A"/>
    <w:rsid w:val="00ED032E"/>
    <w:rsid w:val="00ED03E6"/>
    <w:rsid w:val="00ED0926"/>
    <w:rsid w:val="00ED0C0C"/>
    <w:rsid w:val="00ED0C19"/>
    <w:rsid w:val="00ED0CAC"/>
    <w:rsid w:val="00ED1083"/>
    <w:rsid w:val="00ED13D0"/>
    <w:rsid w:val="00ED1600"/>
    <w:rsid w:val="00ED16F9"/>
    <w:rsid w:val="00ED17E6"/>
    <w:rsid w:val="00ED1855"/>
    <w:rsid w:val="00ED1880"/>
    <w:rsid w:val="00ED210A"/>
    <w:rsid w:val="00ED210F"/>
    <w:rsid w:val="00ED2200"/>
    <w:rsid w:val="00ED2414"/>
    <w:rsid w:val="00ED253C"/>
    <w:rsid w:val="00ED2682"/>
    <w:rsid w:val="00ED2830"/>
    <w:rsid w:val="00ED2B74"/>
    <w:rsid w:val="00ED2CF0"/>
    <w:rsid w:val="00ED2D07"/>
    <w:rsid w:val="00ED305C"/>
    <w:rsid w:val="00ED309C"/>
    <w:rsid w:val="00ED3563"/>
    <w:rsid w:val="00ED3ADF"/>
    <w:rsid w:val="00ED44E2"/>
    <w:rsid w:val="00ED45F3"/>
    <w:rsid w:val="00ED485D"/>
    <w:rsid w:val="00ED4B01"/>
    <w:rsid w:val="00ED4CAB"/>
    <w:rsid w:val="00ED4DFB"/>
    <w:rsid w:val="00ED4E81"/>
    <w:rsid w:val="00ED4E9B"/>
    <w:rsid w:val="00ED4EC7"/>
    <w:rsid w:val="00ED53C9"/>
    <w:rsid w:val="00ED54AB"/>
    <w:rsid w:val="00ED559B"/>
    <w:rsid w:val="00ED574F"/>
    <w:rsid w:val="00ED57AD"/>
    <w:rsid w:val="00ED586C"/>
    <w:rsid w:val="00ED5D67"/>
    <w:rsid w:val="00ED5D8E"/>
    <w:rsid w:val="00ED60B7"/>
    <w:rsid w:val="00ED625F"/>
    <w:rsid w:val="00ED66DE"/>
    <w:rsid w:val="00ED6A33"/>
    <w:rsid w:val="00ED700D"/>
    <w:rsid w:val="00ED737C"/>
    <w:rsid w:val="00ED78B8"/>
    <w:rsid w:val="00ED79CE"/>
    <w:rsid w:val="00ED7A52"/>
    <w:rsid w:val="00ED7C3D"/>
    <w:rsid w:val="00ED7D69"/>
    <w:rsid w:val="00EE0466"/>
    <w:rsid w:val="00EE0707"/>
    <w:rsid w:val="00EE0C99"/>
    <w:rsid w:val="00EE0D8D"/>
    <w:rsid w:val="00EE1481"/>
    <w:rsid w:val="00EE1A70"/>
    <w:rsid w:val="00EE1B88"/>
    <w:rsid w:val="00EE1EE2"/>
    <w:rsid w:val="00EE2405"/>
    <w:rsid w:val="00EE24D8"/>
    <w:rsid w:val="00EE2630"/>
    <w:rsid w:val="00EE26CC"/>
    <w:rsid w:val="00EE27C1"/>
    <w:rsid w:val="00EE2A91"/>
    <w:rsid w:val="00EE2D18"/>
    <w:rsid w:val="00EE2D3C"/>
    <w:rsid w:val="00EE2E1D"/>
    <w:rsid w:val="00EE2EB8"/>
    <w:rsid w:val="00EE3319"/>
    <w:rsid w:val="00EE34C5"/>
    <w:rsid w:val="00EE3554"/>
    <w:rsid w:val="00EE3ECA"/>
    <w:rsid w:val="00EE40F9"/>
    <w:rsid w:val="00EE4432"/>
    <w:rsid w:val="00EE4495"/>
    <w:rsid w:val="00EE500A"/>
    <w:rsid w:val="00EE50C8"/>
    <w:rsid w:val="00EE52C0"/>
    <w:rsid w:val="00EE5356"/>
    <w:rsid w:val="00EE5378"/>
    <w:rsid w:val="00EE5E1C"/>
    <w:rsid w:val="00EE6145"/>
    <w:rsid w:val="00EE61E5"/>
    <w:rsid w:val="00EE6837"/>
    <w:rsid w:val="00EE6BF8"/>
    <w:rsid w:val="00EE72A9"/>
    <w:rsid w:val="00EE749C"/>
    <w:rsid w:val="00EE75B0"/>
    <w:rsid w:val="00EE76EE"/>
    <w:rsid w:val="00EE7707"/>
    <w:rsid w:val="00EE7DAB"/>
    <w:rsid w:val="00EE7EF0"/>
    <w:rsid w:val="00EF00E4"/>
    <w:rsid w:val="00EF03A9"/>
    <w:rsid w:val="00EF0541"/>
    <w:rsid w:val="00EF0943"/>
    <w:rsid w:val="00EF09EE"/>
    <w:rsid w:val="00EF0D45"/>
    <w:rsid w:val="00EF0DE8"/>
    <w:rsid w:val="00EF0EF0"/>
    <w:rsid w:val="00EF11D4"/>
    <w:rsid w:val="00EF13D1"/>
    <w:rsid w:val="00EF18B7"/>
    <w:rsid w:val="00EF1AA2"/>
    <w:rsid w:val="00EF1EEB"/>
    <w:rsid w:val="00EF1FF6"/>
    <w:rsid w:val="00EF26B6"/>
    <w:rsid w:val="00EF2715"/>
    <w:rsid w:val="00EF29AA"/>
    <w:rsid w:val="00EF2E49"/>
    <w:rsid w:val="00EF303E"/>
    <w:rsid w:val="00EF30F2"/>
    <w:rsid w:val="00EF3174"/>
    <w:rsid w:val="00EF3197"/>
    <w:rsid w:val="00EF3712"/>
    <w:rsid w:val="00EF3A93"/>
    <w:rsid w:val="00EF3B9F"/>
    <w:rsid w:val="00EF3BB0"/>
    <w:rsid w:val="00EF3D23"/>
    <w:rsid w:val="00EF3ED0"/>
    <w:rsid w:val="00EF3F03"/>
    <w:rsid w:val="00EF4057"/>
    <w:rsid w:val="00EF41F6"/>
    <w:rsid w:val="00EF4F6A"/>
    <w:rsid w:val="00EF501C"/>
    <w:rsid w:val="00EF5063"/>
    <w:rsid w:val="00EF5095"/>
    <w:rsid w:val="00EF5186"/>
    <w:rsid w:val="00EF564C"/>
    <w:rsid w:val="00EF56FC"/>
    <w:rsid w:val="00EF573E"/>
    <w:rsid w:val="00EF578C"/>
    <w:rsid w:val="00EF5A07"/>
    <w:rsid w:val="00EF5C50"/>
    <w:rsid w:val="00EF6287"/>
    <w:rsid w:val="00EF64B1"/>
    <w:rsid w:val="00EF6EFD"/>
    <w:rsid w:val="00EF7386"/>
    <w:rsid w:val="00EF780C"/>
    <w:rsid w:val="00EF7A63"/>
    <w:rsid w:val="00EF7B29"/>
    <w:rsid w:val="00EF7CFE"/>
    <w:rsid w:val="00F00582"/>
    <w:rsid w:val="00F0066C"/>
    <w:rsid w:val="00F00A9E"/>
    <w:rsid w:val="00F00CC5"/>
    <w:rsid w:val="00F00D40"/>
    <w:rsid w:val="00F00D65"/>
    <w:rsid w:val="00F00E8C"/>
    <w:rsid w:val="00F01741"/>
    <w:rsid w:val="00F017CC"/>
    <w:rsid w:val="00F018CC"/>
    <w:rsid w:val="00F01BE9"/>
    <w:rsid w:val="00F01C2B"/>
    <w:rsid w:val="00F01C80"/>
    <w:rsid w:val="00F0229F"/>
    <w:rsid w:val="00F02792"/>
    <w:rsid w:val="00F029B9"/>
    <w:rsid w:val="00F02A44"/>
    <w:rsid w:val="00F02E15"/>
    <w:rsid w:val="00F02E40"/>
    <w:rsid w:val="00F02EE3"/>
    <w:rsid w:val="00F02F86"/>
    <w:rsid w:val="00F0325F"/>
    <w:rsid w:val="00F03298"/>
    <w:rsid w:val="00F0329C"/>
    <w:rsid w:val="00F0334C"/>
    <w:rsid w:val="00F0343A"/>
    <w:rsid w:val="00F03597"/>
    <w:rsid w:val="00F038F0"/>
    <w:rsid w:val="00F03BA6"/>
    <w:rsid w:val="00F03C27"/>
    <w:rsid w:val="00F03D0A"/>
    <w:rsid w:val="00F03F2A"/>
    <w:rsid w:val="00F04073"/>
    <w:rsid w:val="00F04414"/>
    <w:rsid w:val="00F044D4"/>
    <w:rsid w:val="00F046F6"/>
    <w:rsid w:val="00F048EC"/>
    <w:rsid w:val="00F04901"/>
    <w:rsid w:val="00F04C31"/>
    <w:rsid w:val="00F04D07"/>
    <w:rsid w:val="00F04DFB"/>
    <w:rsid w:val="00F05548"/>
    <w:rsid w:val="00F05645"/>
    <w:rsid w:val="00F059FD"/>
    <w:rsid w:val="00F05CB8"/>
    <w:rsid w:val="00F06110"/>
    <w:rsid w:val="00F0650C"/>
    <w:rsid w:val="00F06632"/>
    <w:rsid w:val="00F06AFB"/>
    <w:rsid w:val="00F06CEA"/>
    <w:rsid w:val="00F06E9B"/>
    <w:rsid w:val="00F06F03"/>
    <w:rsid w:val="00F07147"/>
    <w:rsid w:val="00F07162"/>
    <w:rsid w:val="00F072FF"/>
    <w:rsid w:val="00F0743A"/>
    <w:rsid w:val="00F07A4D"/>
    <w:rsid w:val="00F1072D"/>
    <w:rsid w:val="00F1086C"/>
    <w:rsid w:val="00F10A81"/>
    <w:rsid w:val="00F10DB1"/>
    <w:rsid w:val="00F110D3"/>
    <w:rsid w:val="00F111C3"/>
    <w:rsid w:val="00F11446"/>
    <w:rsid w:val="00F11548"/>
    <w:rsid w:val="00F11600"/>
    <w:rsid w:val="00F1165B"/>
    <w:rsid w:val="00F1196F"/>
    <w:rsid w:val="00F11DBA"/>
    <w:rsid w:val="00F11F4A"/>
    <w:rsid w:val="00F1252E"/>
    <w:rsid w:val="00F1290B"/>
    <w:rsid w:val="00F12D45"/>
    <w:rsid w:val="00F12E04"/>
    <w:rsid w:val="00F1305F"/>
    <w:rsid w:val="00F130F9"/>
    <w:rsid w:val="00F133CF"/>
    <w:rsid w:val="00F134C6"/>
    <w:rsid w:val="00F13716"/>
    <w:rsid w:val="00F13867"/>
    <w:rsid w:val="00F138D1"/>
    <w:rsid w:val="00F13CFB"/>
    <w:rsid w:val="00F142F2"/>
    <w:rsid w:val="00F14892"/>
    <w:rsid w:val="00F1493E"/>
    <w:rsid w:val="00F1494D"/>
    <w:rsid w:val="00F14A1B"/>
    <w:rsid w:val="00F14B3B"/>
    <w:rsid w:val="00F14E61"/>
    <w:rsid w:val="00F14F85"/>
    <w:rsid w:val="00F15010"/>
    <w:rsid w:val="00F151CF"/>
    <w:rsid w:val="00F15881"/>
    <w:rsid w:val="00F15AB0"/>
    <w:rsid w:val="00F16147"/>
    <w:rsid w:val="00F1615D"/>
    <w:rsid w:val="00F1641A"/>
    <w:rsid w:val="00F16902"/>
    <w:rsid w:val="00F16ACC"/>
    <w:rsid w:val="00F16C55"/>
    <w:rsid w:val="00F16DE1"/>
    <w:rsid w:val="00F16DFC"/>
    <w:rsid w:val="00F16E1B"/>
    <w:rsid w:val="00F16F9E"/>
    <w:rsid w:val="00F17040"/>
    <w:rsid w:val="00F1763D"/>
    <w:rsid w:val="00F17702"/>
    <w:rsid w:val="00F17AC1"/>
    <w:rsid w:val="00F17E3F"/>
    <w:rsid w:val="00F17EB5"/>
    <w:rsid w:val="00F2021E"/>
    <w:rsid w:val="00F204FC"/>
    <w:rsid w:val="00F20704"/>
    <w:rsid w:val="00F20A01"/>
    <w:rsid w:val="00F20EA9"/>
    <w:rsid w:val="00F20ED3"/>
    <w:rsid w:val="00F20FE5"/>
    <w:rsid w:val="00F21238"/>
    <w:rsid w:val="00F2129F"/>
    <w:rsid w:val="00F21684"/>
    <w:rsid w:val="00F216A0"/>
    <w:rsid w:val="00F2191B"/>
    <w:rsid w:val="00F21A2C"/>
    <w:rsid w:val="00F21CA2"/>
    <w:rsid w:val="00F21D30"/>
    <w:rsid w:val="00F21F97"/>
    <w:rsid w:val="00F225CC"/>
    <w:rsid w:val="00F225E0"/>
    <w:rsid w:val="00F226F3"/>
    <w:rsid w:val="00F228D9"/>
    <w:rsid w:val="00F22904"/>
    <w:rsid w:val="00F23050"/>
    <w:rsid w:val="00F231F7"/>
    <w:rsid w:val="00F23468"/>
    <w:rsid w:val="00F234DF"/>
    <w:rsid w:val="00F237D9"/>
    <w:rsid w:val="00F23A22"/>
    <w:rsid w:val="00F23B32"/>
    <w:rsid w:val="00F23C27"/>
    <w:rsid w:val="00F23D56"/>
    <w:rsid w:val="00F24021"/>
    <w:rsid w:val="00F241B1"/>
    <w:rsid w:val="00F24375"/>
    <w:rsid w:val="00F24637"/>
    <w:rsid w:val="00F24768"/>
    <w:rsid w:val="00F2490A"/>
    <w:rsid w:val="00F24965"/>
    <w:rsid w:val="00F24AA5"/>
    <w:rsid w:val="00F24CFF"/>
    <w:rsid w:val="00F24D42"/>
    <w:rsid w:val="00F24E70"/>
    <w:rsid w:val="00F25241"/>
    <w:rsid w:val="00F2546A"/>
    <w:rsid w:val="00F256ED"/>
    <w:rsid w:val="00F258D9"/>
    <w:rsid w:val="00F25981"/>
    <w:rsid w:val="00F25AB4"/>
    <w:rsid w:val="00F25B76"/>
    <w:rsid w:val="00F25C8D"/>
    <w:rsid w:val="00F25DD6"/>
    <w:rsid w:val="00F25E58"/>
    <w:rsid w:val="00F25F7A"/>
    <w:rsid w:val="00F26197"/>
    <w:rsid w:val="00F267A0"/>
    <w:rsid w:val="00F26F89"/>
    <w:rsid w:val="00F275DF"/>
    <w:rsid w:val="00F27731"/>
    <w:rsid w:val="00F277A7"/>
    <w:rsid w:val="00F27884"/>
    <w:rsid w:val="00F27C69"/>
    <w:rsid w:val="00F27FED"/>
    <w:rsid w:val="00F3016D"/>
    <w:rsid w:val="00F30284"/>
    <w:rsid w:val="00F30407"/>
    <w:rsid w:val="00F30507"/>
    <w:rsid w:val="00F30523"/>
    <w:rsid w:val="00F30576"/>
    <w:rsid w:val="00F3074F"/>
    <w:rsid w:val="00F30793"/>
    <w:rsid w:val="00F309F4"/>
    <w:rsid w:val="00F30B23"/>
    <w:rsid w:val="00F30BD0"/>
    <w:rsid w:val="00F30EE0"/>
    <w:rsid w:val="00F310C9"/>
    <w:rsid w:val="00F312F0"/>
    <w:rsid w:val="00F3158A"/>
    <w:rsid w:val="00F315BD"/>
    <w:rsid w:val="00F31865"/>
    <w:rsid w:val="00F31901"/>
    <w:rsid w:val="00F319D6"/>
    <w:rsid w:val="00F31AE1"/>
    <w:rsid w:val="00F31ED2"/>
    <w:rsid w:val="00F31F58"/>
    <w:rsid w:val="00F31FCD"/>
    <w:rsid w:val="00F3203D"/>
    <w:rsid w:val="00F320F2"/>
    <w:rsid w:val="00F32466"/>
    <w:rsid w:val="00F324F0"/>
    <w:rsid w:val="00F3276A"/>
    <w:rsid w:val="00F3306E"/>
    <w:rsid w:val="00F33116"/>
    <w:rsid w:val="00F3391A"/>
    <w:rsid w:val="00F33F1A"/>
    <w:rsid w:val="00F3414F"/>
    <w:rsid w:val="00F3421E"/>
    <w:rsid w:val="00F342B9"/>
    <w:rsid w:val="00F34507"/>
    <w:rsid w:val="00F34539"/>
    <w:rsid w:val="00F347D8"/>
    <w:rsid w:val="00F34D4C"/>
    <w:rsid w:val="00F34EEC"/>
    <w:rsid w:val="00F35578"/>
    <w:rsid w:val="00F35661"/>
    <w:rsid w:val="00F356C7"/>
    <w:rsid w:val="00F3571E"/>
    <w:rsid w:val="00F35736"/>
    <w:rsid w:val="00F3575C"/>
    <w:rsid w:val="00F359EA"/>
    <w:rsid w:val="00F35AED"/>
    <w:rsid w:val="00F35D41"/>
    <w:rsid w:val="00F35E46"/>
    <w:rsid w:val="00F35F12"/>
    <w:rsid w:val="00F36194"/>
    <w:rsid w:val="00F3620D"/>
    <w:rsid w:val="00F36213"/>
    <w:rsid w:val="00F3628E"/>
    <w:rsid w:val="00F36577"/>
    <w:rsid w:val="00F365ED"/>
    <w:rsid w:val="00F368DE"/>
    <w:rsid w:val="00F36AF5"/>
    <w:rsid w:val="00F36B8C"/>
    <w:rsid w:val="00F36BE8"/>
    <w:rsid w:val="00F36C79"/>
    <w:rsid w:val="00F36F50"/>
    <w:rsid w:val="00F37054"/>
    <w:rsid w:val="00F37070"/>
    <w:rsid w:val="00F371B2"/>
    <w:rsid w:val="00F3723F"/>
    <w:rsid w:val="00F37680"/>
    <w:rsid w:val="00F37818"/>
    <w:rsid w:val="00F40161"/>
    <w:rsid w:val="00F40186"/>
    <w:rsid w:val="00F407D6"/>
    <w:rsid w:val="00F409F1"/>
    <w:rsid w:val="00F4107C"/>
    <w:rsid w:val="00F4139B"/>
    <w:rsid w:val="00F41600"/>
    <w:rsid w:val="00F41B6D"/>
    <w:rsid w:val="00F41F4D"/>
    <w:rsid w:val="00F42377"/>
    <w:rsid w:val="00F4249C"/>
    <w:rsid w:val="00F4258D"/>
    <w:rsid w:val="00F4262C"/>
    <w:rsid w:val="00F426EC"/>
    <w:rsid w:val="00F4292D"/>
    <w:rsid w:val="00F4328D"/>
    <w:rsid w:val="00F4333D"/>
    <w:rsid w:val="00F433BC"/>
    <w:rsid w:val="00F435A0"/>
    <w:rsid w:val="00F436AB"/>
    <w:rsid w:val="00F43780"/>
    <w:rsid w:val="00F43B8E"/>
    <w:rsid w:val="00F43CB1"/>
    <w:rsid w:val="00F441CD"/>
    <w:rsid w:val="00F44496"/>
    <w:rsid w:val="00F444CE"/>
    <w:rsid w:val="00F44945"/>
    <w:rsid w:val="00F44976"/>
    <w:rsid w:val="00F449B2"/>
    <w:rsid w:val="00F44A80"/>
    <w:rsid w:val="00F44B9F"/>
    <w:rsid w:val="00F44CFB"/>
    <w:rsid w:val="00F44D29"/>
    <w:rsid w:val="00F453F6"/>
    <w:rsid w:val="00F45421"/>
    <w:rsid w:val="00F4556B"/>
    <w:rsid w:val="00F455F7"/>
    <w:rsid w:val="00F4579F"/>
    <w:rsid w:val="00F458AD"/>
    <w:rsid w:val="00F45AA7"/>
    <w:rsid w:val="00F45BAF"/>
    <w:rsid w:val="00F45C87"/>
    <w:rsid w:val="00F45E16"/>
    <w:rsid w:val="00F460C7"/>
    <w:rsid w:val="00F4695C"/>
    <w:rsid w:val="00F46D5D"/>
    <w:rsid w:val="00F46F3B"/>
    <w:rsid w:val="00F46F4A"/>
    <w:rsid w:val="00F4706B"/>
    <w:rsid w:val="00F47070"/>
    <w:rsid w:val="00F47151"/>
    <w:rsid w:val="00F473FA"/>
    <w:rsid w:val="00F47504"/>
    <w:rsid w:val="00F47892"/>
    <w:rsid w:val="00F479CF"/>
    <w:rsid w:val="00F47AC0"/>
    <w:rsid w:val="00F47C0F"/>
    <w:rsid w:val="00F5022E"/>
    <w:rsid w:val="00F5084A"/>
    <w:rsid w:val="00F50AB3"/>
    <w:rsid w:val="00F50AEF"/>
    <w:rsid w:val="00F50B3C"/>
    <w:rsid w:val="00F51080"/>
    <w:rsid w:val="00F51231"/>
    <w:rsid w:val="00F5127D"/>
    <w:rsid w:val="00F518E1"/>
    <w:rsid w:val="00F51CB9"/>
    <w:rsid w:val="00F525A3"/>
    <w:rsid w:val="00F5262D"/>
    <w:rsid w:val="00F52651"/>
    <w:rsid w:val="00F52859"/>
    <w:rsid w:val="00F529A0"/>
    <w:rsid w:val="00F52BA0"/>
    <w:rsid w:val="00F52D7F"/>
    <w:rsid w:val="00F52F8A"/>
    <w:rsid w:val="00F53090"/>
    <w:rsid w:val="00F53620"/>
    <w:rsid w:val="00F537B9"/>
    <w:rsid w:val="00F54165"/>
    <w:rsid w:val="00F54538"/>
    <w:rsid w:val="00F5460D"/>
    <w:rsid w:val="00F549D0"/>
    <w:rsid w:val="00F54B6C"/>
    <w:rsid w:val="00F5523C"/>
    <w:rsid w:val="00F552B0"/>
    <w:rsid w:val="00F553E0"/>
    <w:rsid w:val="00F554FD"/>
    <w:rsid w:val="00F5591D"/>
    <w:rsid w:val="00F559DD"/>
    <w:rsid w:val="00F55D01"/>
    <w:rsid w:val="00F55E41"/>
    <w:rsid w:val="00F55FB6"/>
    <w:rsid w:val="00F5607A"/>
    <w:rsid w:val="00F56209"/>
    <w:rsid w:val="00F5650B"/>
    <w:rsid w:val="00F5690F"/>
    <w:rsid w:val="00F56912"/>
    <w:rsid w:val="00F56B9E"/>
    <w:rsid w:val="00F56BCE"/>
    <w:rsid w:val="00F57110"/>
    <w:rsid w:val="00F5741A"/>
    <w:rsid w:val="00F576EF"/>
    <w:rsid w:val="00F57711"/>
    <w:rsid w:val="00F577FC"/>
    <w:rsid w:val="00F57BCD"/>
    <w:rsid w:val="00F57D8E"/>
    <w:rsid w:val="00F57E6E"/>
    <w:rsid w:val="00F60165"/>
    <w:rsid w:val="00F60316"/>
    <w:rsid w:val="00F6037E"/>
    <w:rsid w:val="00F607B2"/>
    <w:rsid w:val="00F60B73"/>
    <w:rsid w:val="00F61035"/>
    <w:rsid w:val="00F610B1"/>
    <w:rsid w:val="00F611FA"/>
    <w:rsid w:val="00F6125C"/>
    <w:rsid w:val="00F617B1"/>
    <w:rsid w:val="00F61C2D"/>
    <w:rsid w:val="00F61C7C"/>
    <w:rsid w:val="00F61DBE"/>
    <w:rsid w:val="00F61E3C"/>
    <w:rsid w:val="00F61E60"/>
    <w:rsid w:val="00F61FA4"/>
    <w:rsid w:val="00F620C8"/>
    <w:rsid w:val="00F6223B"/>
    <w:rsid w:val="00F62474"/>
    <w:rsid w:val="00F6256C"/>
    <w:rsid w:val="00F62CA1"/>
    <w:rsid w:val="00F62D93"/>
    <w:rsid w:val="00F635E2"/>
    <w:rsid w:val="00F63946"/>
    <w:rsid w:val="00F6394D"/>
    <w:rsid w:val="00F63A34"/>
    <w:rsid w:val="00F63BFF"/>
    <w:rsid w:val="00F63C8D"/>
    <w:rsid w:val="00F63F72"/>
    <w:rsid w:val="00F6440A"/>
    <w:rsid w:val="00F64584"/>
    <w:rsid w:val="00F64688"/>
    <w:rsid w:val="00F64789"/>
    <w:rsid w:val="00F648CF"/>
    <w:rsid w:val="00F64DD9"/>
    <w:rsid w:val="00F64E3E"/>
    <w:rsid w:val="00F64E4C"/>
    <w:rsid w:val="00F64EA4"/>
    <w:rsid w:val="00F64F34"/>
    <w:rsid w:val="00F650E8"/>
    <w:rsid w:val="00F6544C"/>
    <w:rsid w:val="00F65604"/>
    <w:rsid w:val="00F65A85"/>
    <w:rsid w:val="00F65D6B"/>
    <w:rsid w:val="00F65D85"/>
    <w:rsid w:val="00F65FE9"/>
    <w:rsid w:val="00F66166"/>
    <w:rsid w:val="00F6623D"/>
    <w:rsid w:val="00F6629A"/>
    <w:rsid w:val="00F662A8"/>
    <w:rsid w:val="00F66E48"/>
    <w:rsid w:val="00F6734A"/>
    <w:rsid w:val="00F67378"/>
    <w:rsid w:val="00F6744F"/>
    <w:rsid w:val="00F674BA"/>
    <w:rsid w:val="00F67567"/>
    <w:rsid w:val="00F67A4B"/>
    <w:rsid w:val="00F67C50"/>
    <w:rsid w:val="00F67ED5"/>
    <w:rsid w:val="00F700D9"/>
    <w:rsid w:val="00F70361"/>
    <w:rsid w:val="00F70709"/>
    <w:rsid w:val="00F7085E"/>
    <w:rsid w:val="00F7099E"/>
    <w:rsid w:val="00F70A68"/>
    <w:rsid w:val="00F70B77"/>
    <w:rsid w:val="00F70CDC"/>
    <w:rsid w:val="00F70E91"/>
    <w:rsid w:val="00F70FF5"/>
    <w:rsid w:val="00F710CE"/>
    <w:rsid w:val="00F716EB"/>
    <w:rsid w:val="00F71876"/>
    <w:rsid w:val="00F71AA2"/>
    <w:rsid w:val="00F71B3E"/>
    <w:rsid w:val="00F71FD8"/>
    <w:rsid w:val="00F720C3"/>
    <w:rsid w:val="00F7212F"/>
    <w:rsid w:val="00F724E5"/>
    <w:rsid w:val="00F727E4"/>
    <w:rsid w:val="00F72913"/>
    <w:rsid w:val="00F729BC"/>
    <w:rsid w:val="00F72C87"/>
    <w:rsid w:val="00F72CC6"/>
    <w:rsid w:val="00F72DDB"/>
    <w:rsid w:val="00F72F8C"/>
    <w:rsid w:val="00F731E4"/>
    <w:rsid w:val="00F731EC"/>
    <w:rsid w:val="00F73252"/>
    <w:rsid w:val="00F7327A"/>
    <w:rsid w:val="00F736DA"/>
    <w:rsid w:val="00F73789"/>
    <w:rsid w:val="00F73A0D"/>
    <w:rsid w:val="00F73B95"/>
    <w:rsid w:val="00F73C62"/>
    <w:rsid w:val="00F73EA4"/>
    <w:rsid w:val="00F743AD"/>
    <w:rsid w:val="00F747BA"/>
    <w:rsid w:val="00F74804"/>
    <w:rsid w:val="00F748DC"/>
    <w:rsid w:val="00F74949"/>
    <w:rsid w:val="00F7499F"/>
    <w:rsid w:val="00F74BF7"/>
    <w:rsid w:val="00F74D6E"/>
    <w:rsid w:val="00F74E41"/>
    <w:rsid w:val="00F752BF"/>
    <w:rsid w:val="00F75316"/>
    <w:rsid w:val="00F754EF"/>
    <w:rsid w:val="00F7598E"/>
    <w:rsid w:val="00F75AC4"/>
    <w:rsid w:val="00F760AD"/>
    <w:rsid w:val="00F76151"/>
    <w:rsid w:val="00F764F4"/>
    <w:rsid w:val="00F76A2A"/>
    <w:rsid w:val="00F76A6A"/>
    <w:rsid w:val="00F76F97"/>
    <w:rsid w:val="00F77219"/>
    <w:rsid w:val="00F77283"/>
    <w:rsid w:val="00F77B0C"/>
    <w:rsid w:val="00F77C3A"/>
    <w:rsid w:val="00F77EBB"/>
    <w:rsid w:val="00F800BB"/>
    <w:rsid w:val="00F8012B"/>
    <w:rsid w:val="00F80513"/>
    <w:rsid w:val="00F8198C"/>
    <w:rsid w:val="00F81A2D"/>
    <w:rsid w:val="00F81C0E"/>
    <w:rsid w:val="00F81CD8"/>
    <w:rsid w:val="00F820A5"/>
    <w:rsid w:val="00F8248B"/>
    <w:rsid w:val="00F82728"/>
    <w:rsid w:val="00F82765"/>
    <w:rsid w:val="00F829A5"/>
    <w:rsid w:val="00F82ADD"/>
    <w:rsid w:val="00F82E7A"/>
    <w:rsid w:val="00F830C0"/>
    <w:rsid w:val="00F83180"/>
    <w:rsid w:val="00F8331E"/>
    <w:rsid w:val="00F834C1"/>
    <w:rsid w:val="00F83789"/>
    <w:rsid w:val="00F83A60"/>
    <w:rsid w:val="00F83AA4"/>
    <w:rsid w:val="00F83BE4"/>
    <w:rsid w:val="00F83F66"/>
    <w:rsid w:val="00F8401D"/>
    <w:rsid w:val="00F84143"/>
    <w:rsid w:val="00F8436E"/>
    <w:rsid w:val="00F84404"/>
    <w:rsid w:val="00F84A37"/>
    <w:rsid w:val="00F84AA3"/>
    <w:rsid w:val="00F84CBF"/>
    <w:rsid w:val="00F84DC4"/>
    <w:rsid w:val="00F84E26"/>
    <w:rsid w:val="00F84F2D"/>
    <w:rsid w:val="00F85371"/>
    <w:rsid w:val="00F853D8"/>
    <w:rsid w:val="00F85E8F"/>
    <w:rsid w:val="00F860CA"/>
    <w:rsid w:val="00F863CD"/>
    <w:rsid w:val="00F8695E"/>
    <w:rsid w:val="00F86B49"/>
    <w:rsid w:val="00F86C33"/>
    <w:rsid w:val="00F86D02"/>
    <w:rsid w:val="00F8702A"/>
    <w:rsid w:val="00F87343"/>
    <w:rsid w:val="00F87348"/>
    <w:rsid w:val="00F87421"/>
    <w:rsid w:val="00F87477"/>
    <w:rsid w:val="00F87610"/>
    <w:rsid w:val="00F87C13"/>
    <w:rsid w:val="00F87F15"/>
    <w:rsid w:val="00F90292"/>
    <w:rsid w:val="00F902DE"/>
    <w:rsid w:val="00F907E4"/>
    <w:rsid w:val="00F90C50"/>
    <w:rsid w:val="00F90F18"/>
    <w:rsid w:val="00F91857"/>
    <w:rsid w:val="00F91950"/>
    <w:rsid w:val="00F919FE"/>
    <w:rsid w:val="00F91CBC"/>
    <w:rsid w:val="00F91CCD"/>
    <w:rsid w:val="00F91D32"/>
    <w:rsid w:val="00F91DCA"/>
    <w:rsid w:val="00F91FCE"/>
    <w:rsid w:val="00F92125"/>
    <w:rsid w:val="00F92312"/>
    <w:rsid w:val="00F92471"/>
    <w:rsid w:val="00F926B9"/>
    <w:rsid w:val="00F9284D"/>
    <w:rsid w:val="00F928EB"/>
    <w:rsid w:val="00F92F30"/>
    <w:rsid w:val="00F92FD0"/>
    <w:rsid w:val="00F93301"/>
    <w:rsid w:val="00F93317"/>
    <w:rsid w:val="00F93344"/>
    <w:rsid w:val="00F9352C"/>
    <w:rsid w:val="00F93B23"/>
    <w:rsid w:val="00F93CE6"/>
    <w:rsid w:val="00F93D2E"/>
    <w:rsid w:val="00F93FDA"/>
    <w:rsid w:val="00F940C7"/>
    <w:rsid w:val="00F943BA"/>
    <w:rsid w:val="00F94836"/>
    <w:rsid w:val="00F94AFE"/>
    <w:rsid w:val="00F94BBC"/>
    <w:rsid w:val="00F94BEA"/>
    <w:rsid w:val="00F951A1"/>
    <w:rsid w:val="00F953C4"/>
    <w:rsid w:val="00F9551B"/>
    <w:rsid w:val="00F9555B"/>
    <w:rsid w:val="00F956EE"/>
    <w:rsid w:val="00F959D8"/>
    <w:rsid w:val="00F95A7D"/>
    <w:rsid w:val="00F95AAA"/>
    <w:rsid w:val="00F95BB4"/>
    <w:rsid w:val="00F95D74"/>
    <w:rsid w:val="00F95E55"/>
    <w:rsid w:val="00F960A6"/>
    <w:rsid w:val="00F96549"/>
    <w:rsid w:val="00F9666C"/>
    <w:rsid w:val="00F968F2"/>
    <w:rsid w:val="00F96A90"/>
    <w:rsid w:val="00F96B55"/>
    <w:rsid w:val="00F96C46"/>
    <w:rsid w:val="00F96E85"/>
    <w:rsid w:val="00F96FC4"/>
    <w:rsid w:val="00F9700C"/>
    <w:rsid w:val="00F97076"/>
    <w:rsid w:val="00F972E7"/>
    <w:rsid w:val="00F97367"/>
    <w:rsid w:val="00F97AD9"/>
    <w:rsid w:val="00F97B22"/>
    <w:rsid w:val="00F97D8D"/>
    <w:rsid w:val="00FA059E"/>
    <w:rsid w:val="00FA05A0"/>
    <w:rsid w:val="00FA0770"/>
    <w:rsid w:val="00FA0938"/>
    <w:rsid w:val="00FA0AFC"/>
    <w:rsid w:val="00FA0CDB"/>
    <w:rsid w:val="00FA0CE5"/>
    <w:rsid w:val="00FA0D89"/>
    <w:rsid w:val="00FA100A"/>
    <w:rsid w:val="00FA103E"/>
    <w:rsid w:val="00FA12AC"/>
    <w:rsid w:val="00FA1730"/>
    <w:rsid w:val="00FA19D6"/>
    <w:rsid w:val="00FA1B8F"/>
    <w:rsid w:val="00FA1C55"/>
    <w:rsid w:val="00FA201F"/>
    <w:rsid w:val="00FA206F"/>
    <w:rsid w:val="00FA20E6"/>
    <w:rsid w:val="00FA2262"/>
    <w:rsid w:val="00FA2507"/>
    <w:rsid w:val="00FA270C"/>
    <w:rsid w:val="00FA2775"/>
    <w:rsid w:val="00FA2A21"/>
    <w:rsid w:val="00FA2B03"/>
    <w:rsid w:val="00FA2C95"/>
    <w:rsid w:val="00FA33A3"/>
    <w:rsid w:val="00FA34AB"/>
    <w:rsid w:val="00FA34DA"/>
    <w:rsid w:val="00FA3665"/>
    <w:rsid w:val="00FA3868"/>
    <w:rsid w:val="00FA3929"/>
    <w:rsid w:val="00FA3AB1"/>
    <w:rsid w:val="00FA3BB6"/>
    <w:rsid w:val="00FA3C55"/>
    <w:rsid w:val="00FA3FE0"/>
    <w:rsid w:val="00FA4034"/>
    <w:rsid w:val="00FA4342"/>
    <w:rsid w:val="00FA43E5"/>
    <w:rsid w:val="00FA4428"/>
    <w:rsid w:val="00FA457B"/>
    <w:rsid w:val="00FA45CA"/>
    <w:rsid w:val="00FA4BE7"/>
    <w:rsid w:val="00FA4BFB"/>
    <w:rsid w:val="00FA4C1F"/>
    <w:rsid w:val="00FA52A2"/>
    <w:rsid w:val="00FA56DC"/>
    <w:rsid w:val="00FA56E7"/>
    <w:rsid w:val="00FA57C0"/>
    <w:rsid w:val="00FA5CD3"/>
    <w:rsid w:val="00FA63D7"/>
    <w:rsid w:val="00FA648E"/>
    <w:rsid w:val="00FA6741"/>
    <w:rsid w:val="00FA6CA8"/>
    <w:rsid w:val="00FA6ECF"/>
    <w:rsid w:val="00FA72C0"/>
    <w:rsid w:val="00FA7626"/>
    <w:rsid w:val="00FA7826"/>
    <w:rsid w:val="00FA7F30"/>
    <w:rsid w:val="00FB0025"/>
    <w:rsid w:val="00FB06EF"/>
    <w:rsid w:val="00FB0DD6"/>
    <w:rsid w:val="00FB12D2"/>
    <w:rsid w:val="00FB130B"/>
    <w:rsid w:val="00FB142E"/>
    <w:rsid w:val="00FB1838"/>
    <w:rsid w:val="00FB1853"/>
    <w:rsid w:val="00FB1D39"/>
    <w:rsid w:val="00FB1D5F"/>
    <w:rsid w:val="00FB227F"/>
    <w:rsid w:val="00FB2384"/>
    <w:rsid w:val="00FB2760"/>
    <w:rsid w:val="00FB2C4D"/>
    <w:rsid w:val="00FB2D36"/>
    <w:rsid w:val="00FB2E2D"/>
    <w:rsid w:val="00FB3022"/>
    <w:rsid w:val="00FB332D"/>
    <w:rsid w:val="00FB3460"/>
    <w:rsid w:val="00FB34EC"/>
    <w:rsid w:val="00FB35C7"/>
    <w:rsid w:val="00FB3958"/>
    <w:rsid w:val="00FB3AEA"/>
    <w:rsid w:val="00FB3B3B"/>
    <w:rsid w:val="00FB3C0D"/>
    <w:rsid w:val="00FB3DE7"/>
    <w:rsid w:val="00FB402E"/>
    <w:rsid w:val="00FB420E"/>
    <w:rsid w:val="00FB4352"/>
    <w:rsid w:val="00FB4401"/>
    <w:rsid w:val="00FB47C1"/>
    <w:rsid w:val="00FB4843"/>
    <w:rsid w:val="00FB49F0"/>
    <w:rsid w:val="00FB4B6C"/>
    <w:rsid w:val="00FB4D25"/>
    <w:rsid w:val="00FB4FE2"/>
    <w:rsid w:val="00FB51B8"/>
    <w:rsid w:val="00FB559B"/>
    <w:rsid w:val="00FB5600"/>
    <w:rsid w:val="00FB57E3"/>
    <w:rsid w:val="00FB5A3D"/>
    <w:rsid w:val="00FB5D5C"/>
    <w:rsid w:val="00FB5E3C"/>
    <w:rsid w:val="00FB600D"/>
    <w:rsid w:val="00FB604A"/>
    <w:rsid w:val="00FB636A"/>
    <w:rsid w:val="00FB6431"/>
    <w:rsid w:val="00FB64FA"/>
    <w:rsid w:val="00FB66BC"/>
    <w:rsid w:val="00FB6ADB"/>
    <w:rsid w:val="00FB6B56"/>
    <w:rsid w:val="00FB6B66"/>
    <w:rsid w:val="00FB6CB4"/>
    <w:rsid w:val="00FB6DE8"/>
    <w:rsid w:val="00FB7616"/>
    <w:rsid w:val="00FB765B"/>
    <w:rsid w:val="00FB783D"/>
    <w:rsid w:val="00FB79D0"/>
    <w:rsid w:val="00FB7CD1"/>
    <w:rsid w:val="00FC00DE"/>
    <w:rsid w:val="00FC016A"/>
    <w:rsid w:val="00FC0226"/>
    <w:rsid w:val="00FC0246"/>
    <w:rsid w:val="00FC043D"/>
    <w:rsid w:val="00FC09B1"/>
    <w:rsid w:val="00FC0A4F"/>
    <w:rsid w:val="00FC0B80"/>
    <w:rsid w:val="00FC0BF7"/>
    <w:rsid w:val="00FC0D48"/>
    <w:rsid w:val="00FC0DC5"/>
    <w:rsid w:val="00FC0E74"/>
    <w:rsid w:val="00FC0F44"/>
    <w:rsid w:val="00FC0F77"/>
    <w:rsid w:val="00FC10F6"/>
    <w:rsid w:val="00FC1179"/>
    <w:rsid w:val="00FC1215"/>
    <w:rsid w:val="00FC140F"/>
    <w:rsid w:val="00FC147F"/>
    <w:rsid w:val="00FC183F"/>
    <w:rsid w:val="00FC191A"/>
    <w:rsid w:val="00FC1C37"/>
    <w:rsid w:val="00FC1CFE"/>
    <w:rsid w:val="00FC1F14"/>
    <w:rsid w:val="00FC2209"/>
    <w:rsid w:val="00FC2280"/>
    <w:rsid w:val="00FC2417"/>
    <w:rsid w:val="00FC2805"/>
    <w:rsid w:val="00FC2D12"/>
    <w:rsid w:val="00FC2D91"/>
    <w:rsid w:val="00FC2E6F"/>
    <w:rsid w:val="00FC305C"/>
    <w:rsid w:val="00FC3378"/>
    <w:rsid w:val="00FC3719"/>
    <w:rsid w:val="00FC38B1"/>
    <w:rsid w:val="00FC399F"/>
    <w:rsid w:val="00FC3A0B"/>
    <w:rsid w:val="00FC3C6A"/>
    <w:rsid w:val="00FC3CBF"/>
    <w:rsid w:val="00FC3DEA"/>
    <w:rsid w:val="00FC3F60"/>
    <w:rsid w:val="00FC3F6E"/>
    <w:rsid w:val="00FC3FC1"/>
    <w:rsid w:val="00FC40EA"/>
    <w:rsid w:val="00FC412A"/>
    <w:rsid w:val="00FC4243"/>
    <w:rsid w:val="00FC42BF"/>
    <w:rsid w:val="00FC463B"/>
    <w:rsid w:val="00FC4789"/>
    <w:rsid w:val="00FC47B1"/>
    <w:rsid w:val="00FC4CBD"/>
    <w:rsid w:val="00FC5285"/>
    <w:rsid w:val="00FC5755"/>
    <w:rsid w:val="00FC57E8"/>
    <w:rsid w:val="00FC5838"/>
    <w:rsid w:val="00FC5C09"/>
    <w:rsid w:val="00FC5C37"/>
    <w:rsid w:val="00FC5C9A"/>
    <w:rsid w:val="00FC5E81"/>
    <w:rsid w:val="00FC5F0E"/>
    <w:rsid w:val="00FC5F46"/>
    <w:rsid w:val="00FC605D"/>
    <w:rsid w:val="00FC623F"/>
    <w:rsid w:val="00FC6412"/>
    <w:rsid w:val="00FC643F"/>
    <w:rsid w:val="00FC649D"/>
    <w:rsid w:val="00FC6662"/>
    <w:rsid w:val="00FC67BD"/>
    <w:rsid w:val="00FC6873"/>
    <w:rsid w:val="00FC68DF"/>
    <w:rsid w:val="00FC692C"/>
    <w:rsid w:val="00FC6C3C"/>
    <w:rsid w:val="00FC6EB5"/>
    <w:rsid w:val="00FC701C"/>
    <w:rsid w:val="00FC785C"/>
    <w:rsid w:val="00FC793E"/>
    <w:rsid w:val="00FC7E8E"/>
    <w:rsid w:val="00FC7FD1"/>
    <w:rsid w:val="00FD0324"/>
    <w:rsid w:val="00FD05CF"/>
    <w:rsid w:val="00FD06F9"/>
    <w:rsid w:val="00FD071A"/>
    <w:rsid w:val="00FD0E15"/>
    <w:rsid w:val="00FD1158"/>
    <w:rsid w:val="00FD1287"/>
    <w:rsid w:val="00FD1461"/>
    <w:rsid w:val="00FD158C"/>
    <w:rsid w:val="00FD1812"/>
    <w:rsid w:val="00FD185E"/>
    <w:rsid w:val="00FD1F28"/>
    <w:rsid w:val="00FD2001"/>
    <w:rsid w:val="00FD20EB"/>
    <w:rsid w:val="00FD21AF"/>
    <w:rsid w:val="00FD23C9"/>
    <w:rsid w:val="00FD24AC"/>
    <w:rsid w:val="00FD28DD"/>
    <w:rsid w:val="00FD2B7A"/>
    <w:rsid w:val="00FD2CB0"/>
    <w:rsid w:val="00FD2E5D"/>
    <w:rsid w:val="00FD2E95"/>
    <w:rsid w:val="00FD2F10"/>
    <w:rsid w:val="00FD314E"/>
    <w:rsid w:val="00FD315A"/>
    <w:rsid w:val="00FD3812"/>
    <w:rsid w:val="00FD3871"/>
    <w:rsid w:val="00FD3AF5"/>
    <w:rsid w:val="00FD3C61"/>
    <w:rsid w:val="00FD3D3B"/>
    <w:rsid w:val="00FD3F51"/>
    <w:rsid w:val="00FD404B"/>
    <w:rsid w:val="00FD40BF"/>
    <w:rsid w:val="00FD40CF"/>
    <w:rsid w:val="00FD41DC"/>
    <w:rsid w:val="00FD4A4D"/>
    <w:rsid w:val="00FD4AB1"/>
    <w:rsid w:val="00FD4B50"/>
    <w:rsid w:val="00FD4B57"/>
    <w:rsid w:val="00FD50ED"/>
    <w:rsid w:val="00FD5191"/>
    <w:rsid w:val="00FD5342"/>
    <w:rsid w:val="00FD5564"/>
    <w:rsid w:val="00FD57FC"/>
    <w:rsid w:val="00FD5A69"/>
    <w:rsid w:val="00FD5DFA"/>
    <w:rsid w:val="00FD60DA"/>
    <w:rsid w:val="00FD62C4"/>
    <w:rsid w:val="00FD631E"/>
    <w:rsid w:val="00FD6568"/>
    <w:rsid w:val="00FD673B"/>
    <w:rsid w:val="00FD6A72"/>
    <w:rsid w:val="00FD6D5F"/>
    <w:rsid w:val="00FD6E01"/>
    <w:rsid w:val="00FD7042"/>
    <w:rsid w:val="00FD715F"/>
    <w:rsid w:val="00FD7688"/>
    <w:rsid w:val="00FD7B3E"/>
    <w:rsid w:val="00FD7D07"/>
    <w:rsid w:val="00FD7D86"/>
    <w:rsid w:val="00FE0154"/>
    <w:rsid w:val="00FE01C3"/>
    <w:rsid w:val="00FE0336"/>
    <w:rsid w:val="00FE03C6"/>
    <w:rsid w:val="00FE03EF"/>
    <w:rsid w:val="00FE05DF"/>
    <w:rsid w:val="00FE06A7"/>
    <w:rsid w:val="00FE09DD"/>
    <w:rsid w:val="00FE0AD4"/>
    <w:rsid w:val="00FE0D3E"/>
    <w:rsid w:val="00FE0DCF"/>
    <w:rsid w:val="00FE0EB4"/>
    <w:rsid w:val="00FE13D7"/>
    <w:rsid w:val="00FE1829"/>
    <w:rsid w:val="00FE1896"/>
    <w:rsid w:val="00FE1B46"/>
    <w:rsid w:val="00FE1BB6"/>
    <w:rsid w:val="00FE2021"/>
    <w:rsid w:val="00FE2041"/>
    <w:rsid w:val="00FE2101"/>
    <w:rsid w:val="00FE270B"/>
    <w:rsid w:val="00FE290D"/>
    <w:rsid w:val="00FE2928"/>
    <w:rsid w:val="00FE2BC3"/>
    <w:rsid w:val="00FE2E31"/>
    <w:rsid w:val="00FE2EC9"/>
    <w:rsid w:val="00FE30C7"/>
    <w:rsid w:val="00FE339E"/>
    <w:rsid w:val="00FE3569"/>
    <w:rsid w:val="00FE3C99"/>
    <w:rsid w:val="00FE3EDA"/>
    <w:rsid w:val="00FE3F42"/>
    <w:rsid w:val="00FE3F5C"/>
    <w:rsid w:val="00FE41EF"/>
    <w:rsid w:val="00FE428A"/>
    <w:rsid w:val="00FE43B7"/>
    <w:rsid w:val="00FE4484"/>
    <w:rsid w:val="00FE460D"/>
    <w:rsid w:val="00FE46C3"/>
    <w:rsid w:val="00FE4774"/>
    <w:rsid w:val="00FE4777"/>
    <w:rsid w:val="00FE4980"/>
    <w:rsid w:val="00FE4C97"/>
    <w:rsid w:val="00FE5025"/>
    <w:rsid w:val="00FE5668"/>
    <w:rsid w:val="00FE59C4"/>
    <w:rsid w:val="00FE5DC8"/>
    <w:rsid w:val="00FE6055"/>
    <w:rsid w:val="00FE6116"/>
    <w:rsid w:val="00FE6429"/>
    <w:rsid w:val="00FE67AD"/>
    <w:rsid w:val="00FE67BC"/>
    <w:rsid w:val="00FE6AE8"/>
    <w:rsid w:val="00FE6DC0"/>
    <w:rsid w:val="00FE6EB6"/>
    <w:rsid w:val="00FE721E"/>
    <w:rsid w:val="00FE7247"/>
    <w:rsid w:val="00FE75C9"/>
    <w:rsid w:val="00FE7629"/>
    <w:rsid w:val="00FE7777"/>
    <w:rsid w:val="00FE7994"/>
    <w:rsid w:val="00FE7C1F"/>
    <w:rsid w:val="00FE7DDC"/>
    <w:rsid w:val="00FF00CD"/>
    <w:rsid w:val="00FF00EF"/>
    <w:rsid w:val="00FF00F1"/>
    <w:rsid w:val="00FF0172"/>
    <w:rsid w:val="00FF0269"/>
    <w:rsid w:val="00FF03AF"/>
    <w:rsid w:val="00FF0882"/>
    <w:rsid w:val="00FF0910"/>
    <w:rsid w:val="00FF0C54"/>
    <w:rsid w:val="00FF0C87"/>
    <w:rsid w:val="00FF10F4"/>
    <w:rsid w:val="00FF1118"/>
    <w:rsid w:val="00FF1131"/>
    <w:rsid w:val="00FF134F"/>
    <w:rsid w:val="00FF175A"/>
    <w:rsid w:val="00FF18E7"/>
    <w:rsid w:val="00FF1D57"/>
    <w:rsid w:val="00FF1E86"/>
    <w:rsid w:val="00FF1FEC"/>
    <w:rsid w:val="00FF2283"/>
    <w:rsid w:val="00FF2709"/>
    <w:rsid w:val="00FF2AD7"/>
    <w:rsid w:val="00FF2D31"/>
    <w:rsid w:val="00FF2D5B"/>
    <w:rsid w:val="00FF2FCB"/>
    <w:rsid w:val="00FF303B"/>
    <w:rsid w:val="00FF305D"/>
    <w:rsid w:val="00FF3337"/>
    <w:rsid w:val="00FF3389"/>
    <w:rsid w:val="00FF3877"/>
    <w:rsid w:val="00FF3C1D"/>
    <w:rsid w:val="00FF3FFE"/>
    <w:rsid w:val="00FF4255"/>
    <w:rsid w:val="00FF42C1"/>
    <w:rsid w:val="00FF43F8"/>
    <w:rsid w:val="00FF446C"/>
    <w:rsid w:val="00FF4886"/>
    <w:rsid w:val="00FF4A53"/>
    <w:rsid w:val="00FF4BA2"/>
    <w:rsid w:val="00FF4C39"/>
    <w:rsid w:val="00FF4C64"/>
    <w:rsid w:val="00FF501A"/>
    <w:rsid w:val="00FF5204"/>
    <w:rsid w:val="00FF56D9"/>
    <w:rsid w:val="00FF5994"/>
    <w:rsid w:val="00FF5BDE"/>
    <w:rsid w:val="00FF5E45"/>
    <w:rsid w:val="00FF5F64"/>
    <w:rsid w:val="00FF6258"/>
    <w:rsid w:val="00FF6277"/>
    <w:rsid w:val="00FF6498"/>
    <w:rsid w:val="00FF677D"/>
    <w:rsid w:val="00FF699C"/>
    <w:rsid w:val="00FF6DE5"/>
    <w:rsid w:val="00FF6F27"/>
    <w:rsid w:val="00FF6FF4"/>
    <w:rsid w:val="00FF700B"/>
    <w:rsid w:val="00FF72C8"/>
    <w:rsid w:val="00FF7314"/>
    <w:rsid w:val="00FF73BA"/>
    <w:rsid w:val="00FF75C3"/>
    <w:rsid w:val="00FF7B2D"/>
    <w:rsid w:val="00FF7B64"/>
    <w:rsid w:val="00FF7C6F"/>
    <w:rsid w:val="00FF7CC2"/>
    <w:rsid w:val="00FF7D70"/>
    <w:rsid w:val="02547104"/>
    <w:rsid w:val="036F31AF"/>
    <w:rsid w:val="0744D27B"/>
    <w:rsid w:val="07823D13"/>
    <w:rsid w:val="07A6A492"/>
    <w:rsid w:val="08366584"/>
    <w:rsid w:val="088A0026"/>
    <w:rsid w:val="08EDB20E"/>
    <w:rsid w:val="099DCA17"/>
    <w:rsid w:val="09FAF6D7"/>
    <w:rsid w:val="0AAC4803"/>
    <w:rsid w:val="0B906E0E"/>
    <w:rsid w:val="0BE71686"/>
    <w:rsid w:val="0D86FC32"/>
    <w:rsid w:val="0E81DE99"/>
    <w:rsid w:val="0FDAB144"/>
    <w:rsid w:val="1026B777"/>
    <w:rsid w:val="129470CA"/>
    <w:rsid w:val="13039077"/>
    <w:rsid w:val="16006D7C"/>
    <w:rsid w:val="16ABA5AA"/>
    <w:rsid w:val="183CF782"/>
    <w:rsid w:val="1979D512"/>
    <w:rsid w:val="199D269E"/>
    <w:rsid w:val="1A3AABA9"/>
    <w:rsid w:val="1B329AD1"/>
    <w:rsid w:val="1B70EF8D"/>
    <w:rsid w:val="1C3A5A27"/>
    <w:rsid w:val="1C6E435B"/>
    <w:rsid w:val="1C828E8F"/>
    <w:rsid w:val="1FAE39A4"/>
    <w:rsid w:val="2083C7F9"/>
    <w:rsid w:val="20FE52BA"/>
    <w:rsid w:val="21BBFFD6"/>
    <w:rsid w:val="25FE13CC"/>
    <w:rsid w:val="293D227F"/>
    <w:rsid w:val="29AE0D10"/>
    <w:rsid w:val="2B361A59"/>
    <w:rsid w:val="2C0DD490"/>
    <w:rsid w:val="2D8EE8A6"/>
    <w:rsid w:val="2DB1AD61"/>
    <w:rsid w:val="30E419CA"/>
    <w:rsid w:val="311873CF"/>
    <w:rsid w:val="31383FD6"/>
    <w:rsid w:val="32416924"/>
    <w:rsid w:val="35E70A45"/>
    <w:rsid w:val="3859B39A"/>
    <w:rsid w:val="3B3B875A"/>
    <w:rsid w:val="41866A73"/>
    <w:rsid w:val="43021773"/>
    <w:rsid w:val="43FE2B98"/>
    <w:rsid w:val="447D47C1"/>
    <w:rsid w:val="448BA831"/>
    <w:rsid w:val="47D7E8D9"/>
    <w:rsid w:val="48FE07D0"/>
    <w:rsid w:val="4AC45D55"/>
    <w:rsid w:val="5217D83F"/>
    <w:rsid w:val="56FAD2EF"/>
    <w:rsid w:val="595AA9BD"/>
    <w:rsid w:val="5B26592B"/>
    <w:rsid w:val="5C8F11DB"/>
    <w:rsid w:val="5D2F88F5"/>
    <w:rsid w:val="5DB5047C"/>
    <w:rsid w:val="5E42C1A6"/>
    <w:rsid w:val="616AA9F8"/>
    <w:rsid w:val="62707E24"/>
    <w:rsid w:val="63FD9CA5"/>
    <w:rsid w:val="67BAF4AB"/>
    <w:rsid w:val="6DDA6979"/>
    <w:rsid w:val="6E62F22F"/>
    <w:rsid w:val="74400F3C"/>
    <w:rsid w:val="77052F34"/>
    <w:rsid w:val="7C80FD0F"/>
    <w:rsid w:val="7CA85B8B"/>
    <w:rsid w:val="7D3D9A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C8454"/>
  <w15:docId w15:val="{4D8BC6DD-4620-4A9B-8AC3-BA16F7AA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D30"/>
    <w:pPr>
      <w:spacing w:before="120" w:after="120" w:line="276" w:lineRule="auto"/>
    </w:pPr>
    <w:rPr>
      <w:rFonts w:ascii="Segoe UI" w:hAnsi="Segoe UI"/>
      <w:sz w:val="20"/>
      <w:lang w:val="en-AU"/>
    </w:rPr>
  </w:style>
  <w:style w:type="paragraph" w:styleId="Heading1">
    <w:name w:val="heading 1"/>
    <w:basedOn w:val="Normal"/>
    <w:next w:val="Normal"/>
    <w:link w:val="Heading1Char"/>
    <w:uiPriority w:val="19"/>
    <w:qFormat/>
    <w:rsid w:val="00A41383"/>
    <w:pPr>
      <w:keepNext/>
      <w:pageBreakBefore/>
      <w:numPr>
        <w:numId w:val="12"/>
      </w:numPr>
      <w:tabs>
        <w:tab w:val="left" w:pos="7938"/>
      </w:tabs>
      <w:spacing w:after="360"/>
      <w:ind w:left="567" w:hanging="567"/>
      <w:outlineLvl w:val="0"/>
    </w:pPr>
    <w:rPr>
      <w:rFonts w:ascii="Arial" w:eastAsia="Times New Roman" w:hAnsi="Arial" w:cs="Times New Roman"/>
      <w:b/>
      <w:color w:val="1E1545" w:themeColor="text1"/>
      <w:sz w:val="36"/>
      <w:szCs w:val="19"/>
      <w:lang w:eastAsia="en-AU"/>
    </w:rPr>
  </w:style>
  <w:style w:type="paragraph" w:styleId="Heading2">
    <w:name w:val="heading 2"/>
    <w:basedOn w:val="Normal"/>
    <w:next w:val="Normal"/>
    <w:link w:val="Heading2Char"/>
    <w:uiPriority w:val="19"/>
    <w:qFormat/>
    <w:rsid w:val="00133B7C"/>
    <w:pPr>
      <w:keepNext/>
      <w:numPr>
        <w:ilvl w:val="1"/>
        <w:numId w:val="12"/>
      </w:numPr>
      <w:ind w:left="578" w:hanging="578"/>
      <w:outlineLvl w:val="1"/>
    </w:pPr>
    <w:rPr>
      <w:rFonts w:ascii="Arial" w:eastAsia="Times New Roman" w:hAnsi="Arial" w:cs="Times New Roman"/>
      <w:b/>
      <w:color w:val="1E1545" w:themeColor="text1"/>
      <w:sz w:val="30"/>
      <w:szCs w:val="19"/>
      <w:lang w:eastAsia="en-AU"/>
    </w:rPr>
  </w:style>
  <w:style w:type="paragraph" w:styleId="Heading3">
    <w:name w:val="heading 3"/>
    <w:basedOn w:val="Heading2"/>
    <w:next w:val="Normal"/>
    <w:link w:val="Heading3Char"/>
    <w:uiPriority w:val="19"/>
    <w:qFormat/>
    <w:rsid w:val="00852F0E"/>
    <w:pPr>
      <w:numPr>
        <w:ilvl w:val="2"/>
      </w:numPr>
      <w:spacing w:before="480" w:after="60"/>
      <w:outlineLvl w:val="2"/>
    </w:pPr>
    <w:rPr>
      <w:color w:val="15585D" w:themeColor="accent1" w:themeShade="80"/>
      <w:sz w:val="26"/>
    </w:rPr>
  </w:style>
  <w:style w:type="paragraph" w:styleId="Heading4">
    <w:name w:val="heading 4"/>
    <w:basedOn w:val="Heading3"/>
    <w:next w:val="Normal"/>
    <w:link w:val="Heading4Char"/>
    <w:uiPriority w:val="19"/>
    <w:qFormat/>
    <w:rsid w:val="00BD0982"/>
    <w:pPr>
      <w:numPr>
        <w:ilvl w:val="0"/>
        <w:numId w:val="0"/>
      </w:numPr>
      <w:spacing w:before="120" w:after="120"/>
      <w:outlineLvl w:val="3"/>
    </w:pPr>
    <w:rPr>
      <w:sz w:val="22"/>
    </w:rPr>
  </w:style>
  <w:style w:type="paragraph" w:styleId="Heading5">
    <w:name w:val="heading 5"/>
    <w:basedOn w:val="Normal"/>
    <w:next w:val="Normal"/>
    <w:link w:val="Heading5Char"/>
    <w:uiPriority w:val="19"/>
    <w:qFormat/>
    <w:rsid w:val="00365053"/>
    <w:pPr>
      <w:keepNext/>
      <w:numPr>
        <w:ilvl w:val="4"/>
        <w:numId w:val="12"/>
      </w:numPr>
      <w:spacing w:before="240"/>
      <w:outlineLvl w:val="4"/>
    </w:pPr>
    <w:rPr>
      <w:rFonts w:ascii="Arial" w:eastAsia="Times New Roman" w:hAnsi="Arial" w:cs="Times New Roman"/>
      <w:b/>
      <w:color w:val="358189"/>
      <w:szCs w:val="24"/>
      <w:lang w:eastAsia="en-AU"/>
    </w:rPr>
  </w:style>
  <w:style w:type="paragraph" w:styleId="Heading6">
    <w:name w:val="heading 6"/>
    <w:basedOn w:val="Normal"/>
    <w:next w:val="Normal"/>
    <w:link w:val="Heading6Char"/>
    <w:uiPriority w:val="19"/>
    <w:qFormat/>
    <w:rsid w:val="00C26FB0"/>
    <w:pPr>
      <w:keepNext/>
      <w:keepLines/>
      <w:numPr>
        <w:ilvl w:val="5"/>
        <w:numId w:val="12"/>
      </w:numPr>
      <w:spacing w:before="200" w:after="60"/>
      <w:outlineLvl w:val="5"/>
    </w:pPr>
    <w:rPr>
      <w:rFonts w:ascii="Arial" w:eastAsiaTheme="majorEastAsia" w:hAnsi="Arial" w:cstheme="majorBidi"/>
      <w:b/>
      <w:i/>
      <w:iCs/>
      <w:color w:val="1E1545" w:themeColor="text1"/>
      <w:szCs w:val="19"/>
      <w:lang w:eastAsia="en-AU"/>
    </w:rPr>
  </w:style>
  <w:style w:type="paragraph" w:styleId="Heading7">
    <w:name w:val="heading 7"/>
    <w:basedOn w:val="Normal"/>
    <w:next w:val="Normal"/>
    <w:link w:val="Heading7Char"/>
    <w:uiPriority w:val="19"/>
    <w:semiHidden/>
    <w:rsid w:val="00BF2397"/>
    <w:pPr>
      <w:keepNext/>
      <w:keepLines/>
      <w:spacing w:before="200" w:after="0"/>
      <w:outlineLvl w:val="6"/>
    </w:pPr>
    <w:rPr>
      <w:rFonts w:eastAsiaTheme="majorEastAsia" w:cstheme="majorBidi"/>
      <w:i/>
      <w:iCs/>
      <w:color w:val="402D95" w:themeColor="text1" w:themeTint="BF"/>
    </w:rPr>
  </w:style>
  <w:style w:type="paragraph" w:styleId="Heading8">
    <w:name w:val="heading 8"/>
    <w:basedOn w:val="Normal"/>
    <w:next w:val="Normal"/>
    <w:link w:val="Heading8Char"/>
    <w:uiPriority w:val="19"/>
    <w:semiHidden/>
    <w:rsid w:val="00BF2397"/>
    <w:pPr>
      <w:keepNext/>
      <w:keepLines/>
      <w:spacing w:before="200" w:after="0"/>
      <w:outlineLvl w:val="7"/>
    </w:pPr>
    <w:rPr>
      <w:rFonts w:eastAsiaTheme="majorEastAsia" w:cstheme="majorBidi"/>
      <w:color w:val="402D95"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75D8E0" w:themeColor="accent1" w:themeTint="99"/>
        <w:insideV w:val="single" w:sz="4" w:space="0" w:color="75D8E0"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2AB1BB" w:themeFill="accent1"/>
      </w:tcPr>
    </w:tblStylePr>
    <w:tblStylePr w:type="lastRow">
      <w:tblPr/>
      <w:tcPr>
        <w:tcBorders>
          <w:top w:val="double" w:sz="4" w:space="0" w:color="2AB1BB" w:themeColor="accent1"/>
        </w:tcBorders>
      </w:tcPr>
    </w:tblStylePr>
    <w:tblStylePr w:type="firstCol">
      <w:rPr>
        <w:b w:val="0"/>
        <w:color w:val="FFFFFF" w:themeColor="background1"/>
      </w:rPr>
      <w:tblPr/>
      <w:tcPr>
        <w:shd w:val="clear" w:color="auto" w:fill="2AB1BB" w:themeFill="accent1"/>
      </w:tcPr>
    </w:tblStylePr>
    <w:tblStylePr w:type="lastCol">
      <w:tblPr/>
      <w:tcPr>
        <w:tcBorders>
          <w:left w:val="double" w:sz="4" w:space="0" w:color="2AB1BB" w:themeColor="accent1"/>
        </w:tcBorders>
      </w:tcPr>
    </w:tblStylePr>
  </w:style>
  <w:style w:type="character" w:customStyle="1" w:styleId="Heading1Char">
    <w:name w:val="Heading 1 Char"/>
    <w:basedOn w:val="DefaultParagraphFont"/>
    <w:link w:val="Heading1"/>
    <w:uiPriority w:val="19"/>
    <w:rsid w:val="00A41383"/>
    <w:rPr>
      <w:rFonts w:ascii="Arial" w:eastAsia="Times New Roman" w:hAnsi="Arial" w:cs="Times New Roman"/>
      <w:b/>
      <w:color w:val="1E1545" w:themeColor="text1"/>
      <w:sz w:val="36"/>
      <w:szCs w:val="19"/>
      <w:lang w:val="en-AU" w:eastAsia="en-AU"/>
    </w:rPr>
  </w:style>
  <w:style w:type="character" w:customStyle="1" w:styleId="Heading2Char">
    <w:name w:val="Heading 2 Char"/>
    <w:basedOn w:val="DefaultParagraphFont"/>
    <w:link w:val="Heading2"/>
    <w:uiPriority w:val="19"/>
    <w:rsid w:val="00133B7C"/>
    <w:rPr>
      <w:rFonts w:ascii="Arial" w:eastAsia="Times New Roman" w:hAnsi="Arial" w:cs="Times New Roman"/>
      <w:b/>
      <w:color w:val="1E1545" w:themeColor="text1"/>
      <w:sz w:val="30"/>
      <w:szCs w:val="19"/>
      <w:lang w:val="en-AU" w:eastAsia="en-AU"/>
    </w:rPr>
  </w:style>
  <w:style w:type="character" w:customStyle="1" w:styleId="Heading3Char">
    <w:name w:val="Heading 3 Char"/>
    <w:basedOn w:val="DefaultParagraphFont"/>
    <w:link w:val="Heading3"/>
    <w:uiPriority w:val="19"/>
    <w:rsid w:val="00852F0E"/>
    <w:rPr>
      <w:rFonts w:ascii="Arial" w:eastAsia="Times New Roman" w:hAnsi="Arial" w:cs="Times New Roman"/>
      <w:b/>
      <w:color w:val="15585D" w:themeColor="accent1" w:themeShade="80"/>
      <w:sz w:val="26"/>
      <w:szCs w:val="19"/>
      <w:lang w:val="en-AU" w:eastAsia="en-AU"/>
    </w:rPr>
  </w:style>
  <w:style w:type="character" w:customStyle="1" w:styleId="Heading4Char">
    <w:name w:val="Heading 4 Char"/>
    <w:basedOn w:val="DefaultParagraphFont"/>
    <w:link w:val="Heading4"/>
    <w:uiPriority w:val="19"/>
    <w:rsid w:val="00BD0982"/>
    <w:rPr>
      <w:rFonts w:ascii="Arial" w:eastAsia="Times New Roman" w:hAnsi="Arial" w:cs="Times New Roman"/>
      <w:b/>
      <w:color w:val="15585D" w:themeColor="accent1" w:themeShade="80"/>
      <w:szCs w:val="19"/>
      <w:lang w:val="en-AU" w:eastAsia="en-AU"/>
    </w:rPr>
  </w:style>
  <w:style w:type="character" w:customStyle="1" w:styleId="Heading5Char">
    <w:name w:val="Heading 5 Char"/>
    <w:basedOn w:val="DefaultParagraphFont"/>
    <w:link w:val="Heading5"/>
    <w:uiPriority w:val="19"/>
    <w:rsid w:val="00BF2397"/>
    <w:rPr>
      <w:rFonts w:ascii="Arial" w:eastAsia="Times New Roman" w:hAnsi="Arial" w:cs="Times New Roman"/>
      <w:b/>
      <w:color w:val="358189"/>
      <w:sz w:val="20"/>
      <w:szCs w:val="24"/>
      <w:lang w:val="en-AU" w:eastAsia="en-AU"/>
    </w:rPr>
  </w:style>
  <w:style w:type="character" w:customStyle="1" w:styleId="Heading6Char">
    <w:name w:val="Heading 6 Char"/>
    <w:basedOn w:val="DefaultParagraphFont"/>
    <w:link w:val="Heading6"/>
    <w:uiPriority w:val="19"/>
    <w:rsid w:val="00BF2397"/>
    <w:rPr>
      <w:rFonts w:ascii="Arial" w:eastAsiaTheme="majorEastAsia" w:hAnsi="Arial" w:cstheme="majorBidi"/>
      <w:b/>
      <w:i/>
      <w:iCs/>
      <w:color w:val="1E1545" w:themeColor="text1"/>
      <w:sz w:val="19"/>
      <w:szCs w:val="19"/>
      <w:lang w:val="en-AU" w:eastAsia="en-AU"/>
    </w:rPr>
  </w:style>
  <w:style w:type="paragraph" w:customStyle="1" w:styleId="PolicyStatement">
    <w:name w:val="PolicyStatement"/>
    <w:basedOn w:val="Normal"/>
    <w:link w:val="PolicyStatementChar"/>
    <w:qFormat/>
    <w:rsid w:val="00133B7C"/>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line="259" w:lineRule="auto"/>
      <w:ind w:left="227" w:right="227"/>
    </w:pPr>
    <w:rPr>
      <w:rFonts w:ascii="Arial" w:eastAsia="Times New Roman" w:hAnsi="Arial" w:cs="Times New Roman"/>
      <w:color w:val="1E1545" w:themeColor="text1"/>
      <w:sz w:val="22"/>
      <w:szCs w:val="24"/>
    </w:rPr>
  </w:style>
  <w:style w:type="paragraph" w:customStyle="1" w:styleId="TableNheader">
    <w:name w:val="Table N header"/>
    <w:uiPriority w:val="2"/>
    <w:qFormat/>
    <w:rsid w:val="004823C3"/>
    <w:pPr>
      <w:spacing w:before="40" w:after="40" w:line="240" w:lineRule="auto"/>
    </w:pPr>
    <w:rPr>
      <w:rFonts w:ascii="Segoe UI" w:hAnsi="Segoe UI"/>
      <w:b/>
      <w:color w:val="FFFFFF" w:themeColor="background1"/>
      <w:sz w:val="20"/>
      <w:lang w:val="en-AU"/>
    </w:rPr>
  </w:style>
  <w:style w:type="paragraph" w:customStyle="1" w:styleId="TableNText">
    <w:name w:val="Table N Text"/>
    <w:basedOn w:val="Normal"/>
    <w:link w:val="TableNTextChar"/>
    <w:uiPriority w:val="2"/>
    <w:qFormat/>
    <w:rsid w:val="008E2B45"/>
    <w:pPr>
      <w:spacing w:before="60" w:after="60"/>
    </w:p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___WRD_EMBED_SUB_184" w:hAnsi="___WRD_EMBED_SUB_184"/>
        <w:b/>
        <w:color w:val="EEEEEE" w:themeColor="background2"/>
        <w:sz w:val="18"/>
      </w:rPr>
      <w:tblPr/>
      <w:tcPr>
        <w:tcBorders>
          <w:top w:val="single" w:sz="24" w:space="0" w:color="8C5AA5" w:themeColor="accent3"/>
          <w:insideV w:val="single" w:sz="8" w:space="0" w:color="FFFFFF" w:themeColor="background1"/>
        </w:tcBorders>
        <w:shd w:val="clear" w:color="auto" w:fill="F26A2B" w:themeFill="accent5"/>
      </w:tcPr>
    </w:tblStylePr>
    <w:tblStylePr w:type="firstCol">
      <w:pPr>
        <w:jc w:val="center"/>
      </w:pPr>
      <w:rPr>
        <w:rFonts w:ascii="___WRD_EMBED_SUB_184" w:hAnsi="___WRD_EMBED_SUB_184"/>
        <w:b/>
        <w:color w:val="EEEEEE" w:themeColor="background2"/>
        <w:sz w:val="18"/>
      </w:rPr>
      <w:tblPr/>
      <w:tcPr>
        <w:tcBorders>
          <w:left w:val="nil"/>
        </w:tcBorders>
        <w:shd w:val="clear" w:color="auto" w:fill="F26A2B" w:themeFill="accent5"/>
      </w:tcPr>
    </w:tblStylePr>
  </w:style>
  <w:style w:type="paragraph" w:styleId="Footer">
    <w:name w:val="footer"/>
    <w:aliases w:val="Foot note"/>
    <w:basedOn w:val="Normal"/>
    <w:link w:val="FooterChar"/>
    <w:uiPriority w:val="89"/>
    <w:unhideWhenUsed/>
    <w:rsid w:val="00BF239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BF2397"/>
    <w:rPr>
      <w:rFonts w:ascii="Segoe UI" w:hAnsi="Segoe UI"/>
      <w:sz w:val="15"/>
      <w:lang w:val="en-AU"/>
    </w:rPr>
  </w:style>
  <w:style w:type="paragraph" w:styleId="Caption">
    <w:name w:val="caption"/>
    <w:next w:val="Normal"/>
    <w:link w:val="CaptionChar"/>
    <w:uiPriority w:val="35"/>
    <w:qFormat/>
    <w:rsid w:val="00BD0982"/>
    <w:pPr>
      <w:keepNext/>
      <w:spacing w:before="120" w:after="120" w:line="240" w:lineRule="auto"/>
    </w:pPr>
    <w:rPr>
      <w:rFonts w:ascii="Arial" w:hAnsi="Arial"/>
      <w:b/>
      <w:bCs/>
      <w:color w:val="3F4A75"/>
      <w:sz w:val="20"/>
      <w:szCs w:val="18"/>
      <w:lang w:val="en-AU"/>
    </w:rPr>
  </w:style>
  <w:style w:type="paragraph" w:customStyle="1" w:styleId="TableNBullet">
    <w:name w:val="Table N Bullet"/>
    <w:basedOn w:val="TableNText"/>
    <w:link w:val="TableNBulletChar"/>
    <w:uiPriority w:val="2"/>
    <w:qFormat/>
    <w:rsid w:val="008E2B45"/>
    <w:pPr>
      <w:numPr>
        <w:numId w:val="8"/>
      </w:numPr>
      <w:suppressAutoHyphens/>
      <w:spacing w:before="0" w:after="0" w:line="240" w:lineRule="auto"/>
      <w:contextualSpacing/>
    </w:pPr>
    <w:rPr>
      <w:rFonts w:eastAsia="Times New Roman" w:cs="Times New Roman"/>
      <w:szCs w:val="19"/>
      <w:lang w:eastAsia="en-AU"/>
    </w:rPr>
  </w:style>
  <w:style w:type="paragraph" w:customStyle="1" w:styleId="TableNListnumbered">
    <w:name w:val="Table N List (numbered)"/>
    <w:basedOn w:val="TableNBullet"/>
    <w:uiPriority w:val="2"/>
    <w:qFormat/>
    <w:rsid w:val="00A8483A"/>
    <w:pPr>
      <w:numPr>
        <w:numId w:val="9"/>
      </w:numPr>
    </w:pPr>
    <w:rPr>
      <w:b/>
    </w:rPr>
  </w:style>
  <w:style w:type="paragraph" w:customStyle="1" w:styleId="xAppendixLevel1">
    <w:name w:val="xAppendix Level 1"/>
    <w:basedOn w:val="Heading1"/>
    <w:next w:val="Normal"/>
    <w:uiPriority w:val="98"/>
    <w:qFormat/>
    <w:rsid w:val="00060280"/>
    <w:pPr>
      <w:numPr>
        <w:numId w:val="10"/>
      </w:numPr>
      <w:spacing w:after="120"/>
      <w:ind w:left="0" w:firstLine="0"/>
    </w:pPr>
    <w:rPr>
      <w:bCs/>
      <w:sz w:val="44"/>
    </w:rPr>
  </w:style>
  <w:style w:type="paragraph" w:customStyle="1" w:styleId="xAppendixLevel2">
    <w:name w:val="xAppendix Level 2"/>
    <w:basedOn w:val="Heading2"/>
    <w:next w:val="Normal"/>
    <w:uiPriority w:val="98"/>
    <w:qFormat/>
    <w:rsid w:val="00BF2397"/>
    <w:pPr>
      <w:numPr>
        <w:numId w:val="10"/>
      </w:numPr>
    </w:pPr>
    <w:rPr>
      <w:bCs/>
      <w:sz w:val="34"/>
    </w:rPr>
  </w:style>
  <w:style w:type="paragraph" w:customStyle="1" w:styleId="xAppendixLevel3">
    <w:name w:val="xAppendix Level 3"/>
    <w:basedOn w:val="Heading3"/>
    <w:next w:val="Normal"/>
    <w:uiPriority w:val="98"/>
    <w:qFormat/>
    <w:rsid w:val="00BF2397"/>
    <w:pPr>
      <w:numPr>
        <w:numId w:val="10"/>
      </w:numPr>
    </w:pPr>
    <w:rPr>
      <w:bCs/>
    </w:rPr>
  </w:style>
  <w:style w:type="paragraph" w:customStyle="1" w:styleId="Listnumbered">
    <w:name w:val="List (numbered)"/>
    <w:basedOn w:val="Normal"/>
    <w:uiPriority w:val="1"/>
    <w:qFormat/>
    <w:rsid w:val="00C26FB0"/>
    <w:pPr>
      <w:numPr>
        <w:numId w:val="16"/>
      </w:numPr>
    </w:pPr>
    <w:rPr>
      <w:rFonts w:ascii="Arial" w:hAnsi="Arial"/>
    </w:rPr>
  </w:style>
  <w:style w:type="paragraph" w:customStyle="1" w:styleId="Source">
    <w:name w:val="Source"/>
    <w:basedOn w:val="Normal"/>
    <w:next w:val="Normal"/>
    <w:link w:val="SourceChar"/>
    <w:uiPriority w:val="39"/>
    <w:rsid w:val="00BF2397"/>
    <w:pPr>
      <w:spacing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BF2397"/>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pPr>
      <w:numPr>
        <w:numId w:val="0"/>
      </w:numPr>
    </w:pPr>
  </w:style>
  <w:style w:type="paragraph" w:customStyle="1" w:styleId="Tableexpheader">
    <w:name w:val="Table exp header"/>
    <w:basedOn w:val="Normal"/>
    <w:uiPriority w:val="3"/>
    <w:qFormat/>
    <w:rsid w:val="00C26FB0"/>
    <w:pPr>
      <w:spacing w:before="40" w:after="40" w:line="240" w:lineRule="auto"/>
    </w:pPr>
    <w:rPr>
      <w:rFonts w:ascii="Arial" w:hAnsi="Arial"/>
      <w:sz w:val="17"/>
    </w:rPr>
  </w:style>
  <w:style w:type="paragraph" w:customStyle="1" w:styleId="TableexpListnumbered">
    <w:name w:val="Table exp List (numbered)"/>
    <w:basedOn w:val="Normal"/>
    <w:uiPriority w:val="3"/>
    <w:qFormat/>
    <w:rsid w:val="00C26FB0"/>
    <w:pPr>
      <w:spacing w:before="60" w:after="60"/>
      <w:ind w:left="340" w:hanging="340"/>
    </w:pPr>
    <w:rPr>
      <w:rFonts w:ascii="Arial" w:hAnsi="Arial"/>
      <w:sz w:val="16"/>
    </w:rPr>
  </w:style>
  <w:style w:type="paragraph" w:customStyle="1" w:styleId="TableExpText">
    <w:name w:val="Table Exp Text"/>
    <w:basedOn w:val="Normal"/>
    <w:uiPriority w:val="3"/>
    <w:qFormat/>
    <w:rsid w:val="00C26FB0"/>
    <w:rPr>
      <w:rFonts w:ascii="Arial" w:hAnsi="Arial"/>
      <w:sz w:val="16"/>
    </w:rPr>
  </w:style>
  <w:style w:type="character" w:customStyle="1" w:styleId="Heading7Char">
    <w:name w:val="Heading 7 Char"/>
    <w:basedOn w:val="DefaultParagraphFont"/>
    <w:link w:val="Heading7"/>
    <w:uiPriority w:val="19"/>
    <w:semiHidden/>
    <w:rsid w:val="00BF2397"/>
    <w:rPr>
      <w:rFonts w:ascii="Segoe UI" w:eastAsiaTheme="majorEastAsia" w:hAnsi="Segoe UI" w:cstheme="majorBidi"/>
      <w:i/>
      <w:iCs/>
      <w:color w:val="402D95" w:themeColor="text1" w:themeTint="BF"/>
      <w:sz w:val="19"/>
      <w:lang w:val="en-AU"/>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F26A2B" w:themeFill="accent5"/>
    </w:tcPr>
  </w:style>
  <w:style w:type="paragraph" w:styleId="BalloonText">
    <w:name w:val="Balloon Text"/>
    <w:basedOn w:val="Normal"/>
    <w:link w:val="BalloonTextChar"/>
    <w:uiPriority w:val="99"/>
    <w:semiHidden/>
    <w:unhideWhenUsed/>
    <w:rsid w:val="00BF23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397"/>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BF2397"/>
    <w:pPr>
      <w:spacing w:after="0"/>
    </w:pPr>
    <w:rPr>
      <w:rFonts w:eastAsia="Times New Roman" w:cs="Times New Roman"/>
      <w:color w:val="1E1545"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BF2397"/>
    <w:rPr>
      <w:rFonts w:ascii="Segoe UI" w:eastAsia="Times New Roman" w:hAnsi="Segoe UI" w:cs="Times New Roman"/>
      <w:color w:val="1E1545" w:themeColor="text2"/>
      <w:spacing w:val="20"/>
      <w:sz w:val="14"/>
      <w:szCs w:val="19"/>
      <w:lang w:val="en-AU" w:eastAsia="en-AU"/>
    </w:rPr>
  </w:style>
  <w:style w:type="paragraph" w:customStyle="1" w:styleId="URL-nous">
    <w:name w:val="URL - nous"/>
    <w:basedOn w:val="Normal"/>
    <w:link w:val="URL-nousChar"/>
    <w:uiPriority w:val="89"/>
    <w:semiHidden/>
    <w:qFormat/>
    <w:rsid w:val="00BF2397"/>
    <w:pPr>
      <w:spacing w:after="0"/>
    </w:pPr>
    <w:rPr>
      <w:rFonts w:eastAsia="Times New Roman" w:cs="Times New Roman"/>
      <w:color w:val="2AB1BB" w:themeColor="accent1"/>
      <w:spacing w:val="20"/>
      <w:sz w:val="14"/>
      <w:szCs w:val="19"/>
      <w:lang w:eastAsia="en-AU"/>
    </w:rPr>
  </w:style>
  <w:style w:type="character" w:customStyle="1" w:styleId="URL-nousChar">
    <w:name w:val="URL - nous Char"/>
    <w:basedOn w:val="DefaultParagraphFont"/>
    <w:link w:val="URL-nous"/>
    <w:uiPriority w:val="89"/>
    <w:semiHidden/>
    <w:rsid w:val="00BF2397"/>
    <w:rPr>
      <w:rFonts w:ascii="Segoe UI" w:eastAsia="Times New Roman" w:hAnsi="Segoe UI" w:cs="Times New Roman"/>
      <w:color w:val="2AB1BB" w:themeColor="accent1"/>
      <w:spacing w:val="20"/>
      <w:sz w:val="14"/>
      <w:szCs w:val="19"/>
      <w:lang w:val="en-AU" w:eastAsia="en-AU"/>
    </w:rPr>
  </w:style>
  <w:style w:type="paragraph" w:customStyle="1" w:styleId="ContentsHeading">
    <w:name w:val="Contents Heading"/>
    <w:basedOn w:val="Normal"/>
    <w:uiPriority w:val="19"/>
    <w:rsid w:val="00D45FE9"/>
    <w:pPr>
      <w:spacing w:line="240" w:lineRule="auto"/>
    </w:pPr>
    <w:rPr>
      <w:rFonts w:eastAsia="Times New Roman" w:cs="Segoe UI"/>
      <w:b/>
      <w:color w:val="00264D"/>
      <w:sz w:val="36"/>
      <w:szCs w:val="36"/>
      <w:lang w:eastAsia="en-AU"/>
    </w:rPr>
  </w:style>
  <w:style w:type="paragraph" w:customStyle="1" w:styleId="VisionBox">
    <w:name w:val="VisionBox"/>
    <w:basedOn w:val="Normal"/>
    <w:qFormat/>
    <w:rsid w:val="00904AC0"/>
    <w:pPr>
      <w:numPr>
        <w:numId w:val="32"/>
      </w:numPr>
      <w:pBdr>
        <w:bottom w:val="single" w:sz="4" w:space="10" w:color="358189"/>
      </w:pBdr>
      <w:spacing w:line="240" w:lineRule="auto"/>
      <w:ind w:left="284" w:hanging="284"/>
    </w:pPr>
    <w:rPr>
      <w:rFonts w:ascii="Arial" w:hAnsi="Arial" w:cs="Times New Roman"/>
      <w:color w:val="358189"/>
      <w:sz w:val="22"/>
      <w:szCs w:val="24"/>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BF2397"/>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BF2397"/>
    <w:pPr>
      <w:tabs>
        <w:tab w:val="left" w:pos="426"/>
        <w:tab w:val="left" w:pos="1134"/>
        <w:tab w:val="right" w:leader="dot" w:pos="8920"/>
      </w:tabs>
      <w:spacing w:after="100" w:line="240" w:lineRule="auto"/>
    </w:pPr>
    <w:rPr>
      <w:noProof/>
      <w:lang w:val="en-US"/>
    </w:rPr>
  </w:style>
  <w:style w:type="character" w:styleId="Hyperlink">
    <w:name w:val="Hyperlink"/>
    <w:basedOn w:val="DefaultParagraphFont"/>
    <w:uiPriority w:val="99"/>
    <w:unhideWhenUsed/>
    <w:rsid w:val="00060280"/>
    <w:rPr>
      <w:color w:val="0070C0"/>
      <w:u w:val="single"/>
    </w:rPr>
  </w:style>
  <w:style w:type="table" w:styleId="TableGrid">
    <w:name w:val="Table Grid"/>
    <w:aliases w:val="Table"/>
    <w:basedOn w:val="TableNormal"/>
    <w:uiPriority w:val="39"/>
    <w:rsid w:val="00852F0E"/>
    <w:pPr>
      <w:spacing w:after="0" w:line="240" w:lineRule="auto"/>
    </w:pPr>
    <w:rPr>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1E1545" w:themeFill="text1"/>
        <w:vAlign w:val="center"/>
      </w:tcPr>
    </w:tblStyle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F26A2B" w:themeColor="accent5"/>
        <w:left w:val="single" w:sz="8" w:space="0" w:color="F26A2B" w:themeColor="accent5"/>
        <w:bottom w:val="single" w:sz="8" w:space="0" w:color="F26A2B" w:themeColor="accent5"/>
        <w:right w:val="single" w:sz="8" w:space="0" w:color="F26A2B" w:themeColor="accent5"/>
        <w:insideH w:val="single" w:sz="8" w:space="0" w:color="F26A2B" w:themeColor="accent5"/>
        <w:insideV w:val="single" w:sz="8" w:space="0" w:color="F26A2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A2B" w:themeColor="accent5"/>
          <w:left w:val="single" w:sz="8" w:space="0" w:color="F26A2B" w:themeColor="accent5"/>
          <w:bottom w:val="single" w:sz="18" w:space="0" w:color="F26A2B" w:themeColor="accent5"/>
          <w:right w:val="single" w:sz="8" w:space="0" w:color="F26A2B" w:themeColor="accent5"/>
          <w:insideH w:val="nil"/>
          <w:insideV w:val="single" w:sz="8" w:space="0" w:color="F26A2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A2B" w:themeColor="accent5"/>
          <w:left w:val="single" w:sz="8" w:space="0" w:color="F26A2B" w:themeColor="accent5"/>
          <w:bottom w:val="single" w:sz="8" w:space="0" w:color="F26A2B" w:themeColor="accent5"/>
          <w:right w:val="single" w:sz="8" w:space="0" w:color="F26A2B" w:themeColor="accent5"/>
          <w:insideH w:val="nil"/>
          <w:insideV w:val="single" w:sz="8" w:space="0" w:color="F26A2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A2B" w:themeColor="accent5"/>
          <w:left w:val="single" w:sz="8" w:space="0" w:color="F26A2B" w:themeColor="accent5"/>
          <w:bottom w:val="single" w:sz="8" w:space="0" w:color="F26A2B" w:themeColor="accent5"/>
          <w:right w:val="single" w:sz="8" w:space="0" w:color="F26A2B" w:themeColor="accent5"/>
        </w:tcBorders>
      </w:tcPr>
    </w:tblStylePr>
    <w:tblStylePr w:type="band1Vert">
      <w:tblPr/>
      <w:tcPr>
        <w:tcBorders>
          <w:top w:val="single" w:sz="8" w:space="0" w:color="F26A2B" w:themeColor="accent5"/>
          <w:left w:val="single" w:sz="8" w:space="0" w:color="F26A2B" w:themeColor="accent5"/>
          <w:bottom w:val="single" w:sz="8" w:space="0" w:color="F26A2B" w:themeColor="accent5"/>
          <w:right w:val="single" w:sz="8" w:space="0" w:color="F26A2B" w:themeColor="accent5"/>
        </w:tcBorders>
        <w:shd w:val="clear" w:color="auto" w:fill="FBD9CA" w:themeFill="accent5" w:themeFillTint="3F"/>
      </w:tcPr>
    </w:tblStylePr>
    <w:tblStylePr w:type="band1Horz">
      <w:tblPr/>
      <w:tcPr>
        <w:tcBorders>
          <w:top w:val="single" w:sz="8" w:space="0" w:color="F26A2B" w:themeColor="accent5"/>
          <w:left w:val="single" w:sz="8" w:space="0" w:color="F26A2B" w:themeColor="accent5"/>
          <w:bottom w:val="single" w:sz="8" w:space="0" w:color="F26A2B" w:themeColor="accent5"/>
          <w:right w:val="single" w:sz="8" w:space="0" w:color="F26A2B" w:themeColor="accent5"/>
          <w:insideV w:val="single" w:sz="8" w:space="0" w:color="F26A2B" w:themeColor="accent5"/>
        </w:tcBorders>
        <w:shd w:val="clear" w:color="auto" w:fill="FBD9CA" w:themeFill="accent5" w:themeFillTint="3F"/>
      </w:tcPr>
    </w:tblStylePr>
    <w:tblStylePr w:type="band2Horz">
      <w:tblPr/>
      <w:tcPr>
        <w:tcBorders>
          <w:top w:val="single" w:sz="8" w:space="0" w:color="F26A2B" w:themeColor="accent5"/>
          <w:left w:val="single" w:sz="8" w:space="0" w:color="F26A2B" w:themeColor="accent5"/>
          <w:bottom w:val="single" w:sz="8" w:space="0" w:color="F26A2B" w:themeColor="accent5"/>
          <w:right w:val="single" w:sz="8" w:space="0" w:color="F26A2B" w:themeColor="accent5"/>
          <w:insideV w:val="single" w:sz="8" w:space="0" w:color="F26A2B" w:themeColor="accent5"/>
        </w:tcBorders>
      </w:tcPr>
    </w:tblStylePr>
  </w:style>
  <w:style w:type="table" w:styleId="LightList-Accent5">
    <w:name w:val="Light List Accent 5"/>
    <w:basedOn w:val="TableNormal"/>
    <w:uiPriority w:val="61"/>
    <w:rsid w:val="00BF2397"/>
    <w:pPr>
      <w:spacing w:after="0" w:line="240" w:lineRule="auto"/>
    </w:pPr>
    <w:tblPr>
      <w:tblStyleRowBandSize w:val="1"/>
      <w:tblStyleColBandSize w:val="1"/>
      <w:tblBorders>
        <w:top w:val="single" w:sz="8" w:space="0" w:color="F26A2B" w:themeColor="accent5"/>
        <w:left w:val="single" w:sz="8" w:space="0" w:color="F26A2B" w:themeColor="accent5"/>
        <w:bottom w:val="single" w:sz="8" w:space="0" w:color="F26A2B" w:themeColor="accent5"/>
        <w:right w:val="single" w:sz="8" w:space="0" w:color="F26A2B" w:themeColor="accent5"/>
      </w:tblBorders>
    </w:tblPr>
    <w:tblStylePr w:type="firstRow">
      <w:pPr>
        <w:spacing w:before="0" w:after="0" w:line="240" w:lineRule="auto"/>
      </w:pPr>
      <w:rPr>
        <w:b/>
        <w:bCs/>
        <w:color w:val="FFFFFF" w:themeColor="background1"/>
      </w:rPr>
      <w:tblPr/>
      <w:tcPr>
        <w:shd w:val="clear" w:color="auto" w:fill="F26A2B" w:themeFill="accent5"/>
      </w:tcPr>
    </w:tblStylePr>
    <w:tblStylePr w:type="lastRow">
      <w:pPr>
        <w:spacing w:before="0" w:after="0" w:line="240" w:lineRule="auto"/>
      </w:pPr>
      <w:rPr>
        <w:b/>
        <w:bCs/>
      </w:rPr>
      <w:tblPr/>
      <w:tcPr>
        <w:tcBorders>
          <w:top w:val="double" w:sz="6" w:space="0" w:color="F26A2B" w:themeColor="accent5"/>
          <w:left w:val="single" w:sz="8" w:space="0" w:color="F26A2B" w:themeColor="accent5"/>
          <w:bottom w:val="single" w:sz="8" w:space="0" w:color="F26A2B" w:themeColor="accent5"/>
          <w:right w:val="single" w:sz="8" w:space="0" w:color="F26A2B" w:themeColor="accent5"/>
        </w:tcBorders>
      </w:tcPr>
    </w:tblStylePr>
    <w:tblStylePr w:type="firstCol">
      <w:rPr>
        <w:b/>
        <w:bCs/>
      </w:rPr>
    </w:tblStylePr>
    <w:tblStylePr w:type="lastCol">
      <w:rPr>
        <w:b/>
        <w:bCs/>
      </w:rPr>
    </w:tblStylePr>
    <w:tblStylePr w:type="band1Vert">
      <w:tblPr/>
      <w:tcPr>
        <w:tcBorders>
          <w:top w:val="single" w:sz="8" w:space="0" w:color="F26A2B" w:themeColor="accent5"/>
          <w:left w:val="single" w:sz="8" w:space="0" w:color="F26A2B" w:themeColor="accent5"/>
          <w:bottom w:val="single" w:sz="8" w:space="0" w:color="F26A2B" w:themeColor="accent5"/>
          <w:right w:val="single" w:sz="8" w:space="0" w:color="F26A2B" w:themeColor="accent5"/>
        </w:tcBorders>
      </w:tcPr>
    </w:tblStylePr>
    <w:tblStylePr w:type="band1Horz">
      <w:tblPr/>
      <w:tcPr>
        <w:tcBorders>
          <w:top w:val="single" w:sz="8" w:space="0" w:color="F26A2B" w:themeColor="accent5"/>
          <w:left w:val="single" w:sz="8" w:space="0" w:color="F26A2B" w:themeColor="accent5"/>
          <w:bottom w:val="single" w:sz="8" w:space="0" w:color="F26A2B" w:themeColor="accent5"/>
          <w:right w:val="single" w:sz="8" w:space="0" w:color="F26A2B" w:themeColor="accent5"/>
        </w:tcBorders>
      </w:tcPr>
    </w:tblStylePr>
  </w:style>
  <w:style w:type="table" w:styleId="MediumShading1-Accent5">
    <w:name w:val="Medium Shading 1 Accent 5"/>
    <w:basedOn w:val="TableNormal"/>
    <w:uiPriority w:val="63"/>
    <w:rsid w:val="00BF2397"/>
    <w:pPr>
      <w:spacing w:after="0" w:line="240" w:lineRule="auto"/>
    </w:pPr>
    <w:tblPr>
      <w:tblStyleRowBandSize w:val="1"/>
      <w:tblStyleColBandSize w:val="1"/>
      <w:tblBorders>
        <w:top w:val="single" w:sz="8" w:space="0" w:color="F58E60" w:themeColor="accent5" w:themeTint="BF"/>
        <w:left w:val="single" w:sz="8" w:space="0" w:color="F58E60" w:themeColor="accent5" w:themeTint="BF"/>
        <w:bottom w:val="single" w:sz="8" w:space="0" w:color="F58E60" w:themeColor="accent5" w:themeTint="BF"/>
        <w:right w:val="single" w:sz="8" w:space="0" w:color="F58E60" w:themeColor="accent5" w:themeTint="BF"/>
        <w:insideH w:val="single" w:sz="8" w:space="0" w:color="F58E60" w:themeColor="accent5" w:themeTint="BF"/>
      </w:tblBorders>
    </w:tblPr>
    <w:tblStylePr w:type="firstRow">
      <w:pPr>
        <w:spacing w:before="0" w:after="0" w:line="240" w:lineRule="auto"/>
      </w:pPr>
      <w:rPr>
        <w:b/>
        <w:bCs/>
        <w:color w:val="FFFFFF" w:themeColor="background1"/>
      </w:rPr>
      <w:tblPr/>
      <w:tcPr>
        <w:tcBorders>
          <w:top w:val="single" w:sz="8" w:space="0" w:color="F58E60" w:themeColor="accent5" w:themeTint="BF"/>
          <w:left w:val="single" w:sz="8" w:space="0" w:color="F58E60" w:themeColor="accent5" w:themeTint="BF"/>
          <w:bottom w:val="single" w:sz="8" w:space="0" w:color="F58E60" w:themeColor="accent5" w:themeTint="BF"/>
          <w:right w:val="single" w:sz="8" w:space="0" w:color="F58E60" w:themeColor="accent5" w:themeTint="BF"/>
          <w:insideH w:val="nil"/>
          <w:insideV w:val="nil"/>
        </w:tcBorders>
        <w:shd w:val="clear" w:color="auto" w:fill="F26A2B" w:themeFill="accent5"/>
      </w:tcPr>
    </w:tblStylePr>
    <w:tblStylePr w:type="lastRow">
      <w:pPr>
        <w:spacing w:before="0" w:after="0" w:line="240" w:lineRule="auto"/>
      </w:pPr>
      <w:rPr>
        <w:b/>
        <w:bCs/>
      </w:rPr>
      <w:tblPr/>
      <w:tcPr>
        <w:tcBorders>
          <w:top w:val="double" w:sz="6" w:space="0" w:color="F58E60" w:themeColor="accent5" w:themeTint="BF"/>
          <w:left w:val="single" w:sz="8" w:space="0" w:color="F58E60" w:themeColor="accent5" w:themeTint="BF"/>
          <w:bottom w:val="single" w:sz="8" w:space="0" w:color="F58E60" w:themeColor="accent5" w:themeTint="BF"/>
          <w:right w:val="single" w:sz="8" w:space="0" w:color="F58E6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D9CA" w:themeFill="accent5" w:themeFillTint="3F"/>
      </w:tcPr>
    </w:tblStylePr>
    <w:tblStylePr w:type="band1Horz">
      <w:tblPr/>
      <w:tcPr>
        <w:tcBorders>
          <w:insideH w:val="nil"/>
          <w:insideV w:val="nil"/>
        </w:tcBorders>
        <w:shd w:val="clear" w:color="auto" w:fill="FBD9CA"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8E2B45"/>
    <w:rPr>
      <w:rFonts w:ascii="Segoe UI" w:eastAsia="Times New Roman" w:hAnsi="Segoe UI" w:cs="Times New Roman"/>
      <w:sz w:val="20"/>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F26A2B" w:themeColor="accent5"/>
      </w:tblBorders>
      <w:tblCellMar>
        <w:top w:w="57" w:type="dxa"/>
        <w:left w:w="85" w:type="dxa"/>
        <w:bottom w:w="57" w:type="dxa"/>
        <w:right w:w="85" w:type="dxa"/>
      </w:tblCellMar>
    </w:tblPr>
    <w:tblStylePr w:type="firstCol">
      <w:pPr>
        <w:wordWrap/>
        <w:jc w:val="center"/>
      </w:pPr>
      <w:rPr>
        <w:rFonts w:ascii="___WRD_EMBED_SUB_184" w:hAnsi="___WRD_EMBED_SUB_184"/>
        <w:b/>
        <w:color w:val="EEEEEE" w:themeColor="background2"/>
        <w:sz w:val="18"/>
      </w:rPr>
      <w:tblPr/>
      <w:tcPr>
        <w:tcBorders>
          <w:top w:val="nil"/>
          <w:left w:val="single" w:sz="24" w:space="0" w:color="8C5AA5" w:themeColor="accent3"/>
          <w:bottom w:val="nil"/>
          <w:right w:val="nil"/>
          <w:insideH w:val="nil"/>
          <w:insideV w:val="nil"/>
          <w:tl2br w:val="nil"/>
          <w:tr2bl w:val="nil"/>
        </w:tcBorders>
        <w:shd w:val="clear" w:color="auto" w:fill="F26A2B"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F26A2B" w:themeColor="accent5"/>
        <w:insideH w:val="single" w:sz="8" w:space="0" w:color="F26A2B" w:themeColor="accent5"/>
      </w:tblBorders>
      <w:tblCellMar>
        <w:top w:w="57" w:type="dxa"/>
        <w:left w:w="85" w:type="dxa"/>
        <w:bottom w:w="57" w:type="dxa"/>
        <w:right w:w="85" w:type="dxa"/>
      </w:tblCellMar>
    </w:tblPr>
    <w:tblStylePr w:type="firstRow">
      <w:rPr>
        <w:rFonts w:ascii="___WRD_EMBED_SUB_184" w:hAnsi="___WRD_EMBED_SUB_184"/>
        <w:b/>
        <w:color w:val="EEEEEE" w:themeColor="background2"/>
        <w:sz w:val="18"/>
      </w:rPr>
      <w:tblPr/>
      <w:trPr>
        <w:tblHeader/>
      </w:trPr>
      <w:tcPr>
        <w:tcBorders>
          <w:top w:val="single" w:sz="24" w:space="0" w:color="8C5AA5" w:themeColor="accent3"/>
          <w:left w:val="nil"/>
          <w:bottom w:val="nil"/>
          <w:right w:val="nil"/>
          <w:insideH w:val="nil"/>
          <w:insideV w:val="single" w:sz="8" w:space="0" w:color="FFFFFF" w:themeColor="background1"/>
          <w:tl2br w:val="nil"/>
          <w:tr2bl w:val="nil"/>
        </w:tcBorders>
        <w:shd w:val="clear" w:color="auto" w:fill="F26A2B" w:themeFill="accent5"/>
      </w:tcPr>
    </w:tblStylePr>
  </w:style>
  <w:style w:type="character" w:customStyle="1" w:styleId="Heading8Char">
    <w:name w:val="Heading 8 Char"/>
    <w:basedOn w:val="DefaultParagraphFont"/>
    <w:link w:val="Heading8"/>
    <w:uiPriority w:val="19"/>
    <w:semiHidden/>
    <w:rsid w:val="00BF2397"/>
    <w:rPr>
      <w:rFonts w:ascii="Segoe UI" w:eastAsiaTheme="majorEastAsia" w:hAnsi="Segoe UI" w:cstheme="majorBidi"/>
      <w:color w:val="402D95" w:themeColor="text1" w:themeTint="BF"/>
      <w:sz w:val="20"/>
      <w:szCs w:val="20"/>
      <w:lang w:val="en-AU"/>
    </w:rPr>
  </w:style>
  <w:style w:type="paragraph" w:customStyle="1" w:styleId="Covertitle">
    <w:name w:val="Cover title"/>
    <w:basedOn w:val="Normal"/>
    <w:link w:val="CovertitleChar"/>
    <w:uiPriority w:val="99"/>
    <w:semiHidden/>
    <w:rsid w:val="00852F0E"/>
    <w:pPr>
      <w:tabs>
        <w:tab w:val="left" w:pos="7938"/>
      </w:tabs>
      <w:suppressAutoHyphens/>
      <w:spacing w:after="0" w:line="240" w:lineRule="auto"/>
    </w:pPr>
    <w:rPr>
      <w:rFonts w:ascii="Arial" w:eastAsia="Times New Roman" w:hAnsi="Arial" w:cs="Arial"/>
      <w:b/>
      <w:color w:val="FFFFFF" w:themeColor="background1"/>
      <w:sz w:val="48"/>
      <w:szCs w:val="48"/>
      <w:lang w:eastAsia="en-AU"/>
    </w:rPr>
  </w:style>
  <w:style w:type="character" w:customStyle="1" w:styleId="CovertitleChar">
    <w:name w:val="Cover title Char"/>
    <w:basedOn w:val="DefaultParagraphFont"/>
    <w:link w:val="Covertitle"/>
    <w:uiPriority w:val="99"/>
    <w:semiHidden/>
    <w:rsid w:val="00852F0E"/>
    <w:rPr>
      <w:rFonts w:ascii="Arial" w:eastAsia="Times New Roman" w:hAnsi="Arial" w:cs="Arial"/>
      <w:b/>
      <w:color w:val="FFFFFF" w:themeColor="background1"/>
      <w:sz w:val="48"/>
      <w:szCs w:val="48"/>
      <w:lang w:val="en-AU" w:eastAsia="en-AU"/>
    </w:rPr>
  </w:style>
  <w:style w:type="paragraph" w:customStyle="1" w:styleId="CoverPage-Client">
    <w:name w:val="Cover Page - Client"/>
    <w:basedOn w:val="Normal"/>
    <w:link w:val="CoverPage-ClientChar"/>
    <w:uiPriority w:val="99"/>
    <w:semiHidden/>
    <w:rsid w:val="00BF2397"/>
    <w:pPr>
      <w:suppressAutoHyphens/>
      <w:spacing w:before="480" w:after="0" w:line="380" w:lineRule="exact"/>
    </w:pPr>
    <w:rPr>
      <w:rFonts w:eastAsia="Times New Roman" w:cs="Times New Roman"/>
      <w:color w:val="1E1545" w:themeColor="text2"/>
      <w:sz w:val="36"/>
      <w:szCs w:val="19"/>
      <w:lang w:eastAsia="en-AU"/>
    </w:rPr>
  </w:style>
  <w:style w:type="character" w:customStyle="1" w:styleId="CoverPage-ClientChar">
    <w:name w:val="Cover Page - Client Char"/>
    <w:basedOn w:val="DefaultParagraphFont"/>
    <w:link w:val="CoverPage-Client"/>
    <w:uiPriority w:val="99"/>
    <w:semiHidden/>
    <w:rsid w:val="00BF2397"/>
    <w:rPr>
      <w:rFonts w:ascii="Segoe UI" w:eastAsia="Times New Roman" w:hAnsi="Segoe UI" w:cs="Times New Roman"/>
      <w:color w:val="1E1545" w:themeColor="text2"/>
      <w:sz w:val="36"/>
      <w:szCs w:val="19"/>
      <w:lang w:val="en-AU" w:eastAsia="en-AU"/>
    </w:rPr>
  </w:style>
  <w:style w:type="paragraph" w:customStyle="1" w:styleId="CoverPage-Date">
    <w:name w:val="Cover Page - Date"/>
    <w:basedOn w:val="Normal"/>
    <w:link w:val="CoverPage-DateChar"/>
    <w:uiPriority w:val="99"/>
    <w:semiHidden/>
    <w:rsid w:val="00BF2397"/>
    <w:pPr>
      <w:suppressAutoHyphens/>
      <w:spacing w:before="320" w:after="0" w:line="280" w:lineRule="exact"/>
    </w:pPr>
    <w:rPr>
      <w:rFonts w:eastAsia="Times New Roman" w:cs="Times New Roman"/>
      <w:color w:val="EEEEEE" w:themeColor="background2"/>
      <w:sz w:val="24"/>
      <w:szCs w:val="19"/>
      <w:lang w:eastAsia="en-AU"/>
    </w:rPr>
  </w:style>
  <w:style w:type="character" w:customStyle="1" w:styleId="CoverPage-DateChar">
    <w:name w:val="Cover Page - Date Char"/>
    <w:basedOn w:val="DefaultParagraphFont"/>
    <w:link w:val="CoverPage-Date"/>
    <w:uiPriority w:val="99"/>
    <w:semiHidden/>
    <w:rsid w:val="00BF2397"/>
    <w:rPr>
      <w:rFonts w:ascii="Segoe UI" w:eastAsia="Times New Roman" w:hAnsi="Segoe UI" w:cs="Times New Roman"/>
      <w:color w:val="EEEEEE" w:themeColor="background2"/>
      <w:sz w:val="24"/>
      <w:szCs w:val="19"/>
      <w:lang w:val="en-AU" w:eastAsia="en-AU"/>
    </w:rPr>
  </w:style>
  <w:style w:type="character" w:styleId="PlaceholderText">
    <w:name w:val="Placeholder Text"/>
    <w:basedOn w:val="DefaultParagraphFont"/>
    <w:uiPriority w:val="99"/>
    <w:semiHidden/>
    <w:rsid w:val="00BF2397"/>
    <w:rPr>
      <w:color w:val="808080"/>
    </w:rPr>
  </w:style>
  <w:style w:type="paragraph" w:customStyle="1" w:styleId="BioHeading">
    <w:name w:val="Bio Heading"/>
    <w:basedOn w:val="TableNText"/>
    <w:uiPriority w:val="97"/>
    <w:qFormat/>
    <w:rsid w:val="00BF2397"/>
    <w:pPr>
      <w:spacing w:before="240" w:after="120" w:line="240" w:lineRule="auto"/>
    </w:pPr>
    <w:rPr>
      <w:color w:val="EEEEEE" w:themeColor="background2"/>
      <w:sz w:val="19"/>
      <w:szCs w:val="19"/>
    </w:rPr>
  </w:style>
  <w:style w:type="paragraph" w:styleId="Header">
    <w:name w:val="header"/>
    <w:basedOn w:val="Normal"/>
    <w:link w:val="HeaderChar"/>
    <w:uiPriority w:val="99"/>
    <w:unhideWhenUsed/>
    <w:rsid w:val="00BF2397"/>
    <w:pPr>
      <w:tabs>
        <w:tab w:val="center" w:pos="4513"/>
        <w:tab w:val="right" w:pos="9026"/>
      </w:tabs>
      <w:spacing w:after="0"/>
    </w:pPr>
  </w:style>
  <w:style w:type="character" w:customStyle="1" w:styleId="HeaderChar">
    <w:name w:val="Header Char"/>
    <w:basedOn w:val="DefaultParagraphFont"/>
    <w:link w:val="Header"/>
    <w:uiPriority w:val="99"/>
    <w:rsid w:val="00BF2397"/>
    <w:rPr>
      <w:rFonts w:ascii="Segoe UI" w:hAnsi="Segoe UI"/>
      <w:sz w:val="19"/>
      <w:lang w:val="en-AU"/>
    </w:rPr>
  </w:style>
  <w:style w:type="character" w:styleId="CommentReference">
    <w:name w:val="annotation reference"/>
    <w:basedOn w:val="DefaultParagraphFont"/>
    <w:uiPriority w:val="99"/>
    <w:semiHidden/>
    <w:unhideWhenUsed/>
    <w:rsid w:val="00BF2397"/>
    <w:rPr>
      <w:sz w:val="16"/>
      <w:szCs w:val="16"/>
    </w:rPr>
  </w:style>
  <w:style w:type="paragraph" w:styleId="CommentText">
    <w:name w:val="annotation text"/>
    <w:basedOn w:val="Normal"/>
    <w:link w:val="CommentTextChar"/>
    <w:uiPriority w:val="99"/>
    <w:unhideWhenUsed/>
    <w:rsid w:val="00BF2397"/>
    <w:pPr>
      <w:spacing w:line="240" w:lineRule="auto"/>
    </w:pPr>
    <w:rPr>
      <w:szCs w:val="20"/>
    </w:rPr>
  </w:style>
  <w:style w:type="character" w:customStyle="1" w:styleId="CommentTextChar">
    <w:name w:val="Comment Text Char"/>
    <w:basedOn w:val="DefaultParagraphFont"/>
    <w:link w:val="CommentText"/>
    <w:uiPriority w:val="99"/>
    <w:rsid w:val="00BF2397"/>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1058B7"/>
    <w:rPr>
      <w:b/>
      <w:bCs/>
    </w:rPr>
  </w:style>
  <w:style w:type="character" w:customStyle="1" w:styleId="CommentSubjectChar">
    <w:name w:val="Comment Subject Char"/>
    <w:basedOn w:val="CommentTextChar"/>
    <w:link w:val="CommentSubject"/>
    <w:uiPriority w:val="99"/>
    <w:semiHidden/>
    <w:rsid w:val="001058B7"/>
    <w:rPr>
      <w:rFonts w:ascii="Segoe UI" w:hAnsi="Segoe UI"/>
      <w:b/>
      <w:bCs/>
      <w:sz w:val="20"/>
      <w:szCs w:val="20"/>
      <w:lang w:val="en-AU"/>
    </w:rPr>
  </w:style>
  <w:style w:type="paragraph" w:customStyle="1" w:styleId="NousFooter">
    <w:name w:val="Nous Footer"/>
    <w:basedOn w:val="Normal"/>
    <w:uiPriority w:val="96"/>
    <w:qFormat/>
    <w:rsid w:val="00C26FB0"/>
    <w:pPr>
      <w:spacing w:after="0"/>
    </w:pPr>
    <w:rPr>
      <w:rFonts w:ascii="Arial" w:hAnsi="Arial"/>
      <w:color w:val="808080" w:themeColor="background1" w:themeShade="80"/>
      <w:sz w:val="15"/>
      <w:szCs w:val="15"/>
      <w:lang w:eastAsia="en-AU"/>
    </w:rPr>
  </w:style>
  <w:style w:type="character" w:customStyle="1" w:styleId="CaptionChar">
    <w:name w:val="Caption Char"/>
    <w:link w:val="Caption"/>
    <w:uiPriority w:val="35"/>
    <w:rsid w:val="00BD0982"/>
    <w:rPr>
      <w:rFonts w:ascii="Arial" w:hAnsi="Arial"/>
      <w:b/>
      <w:bCs/>
      <w:color w:val="3F4A75"/>
      <w:sz w:val="20"/>
      <w:szCs w:val="18"/>
      <w:lang w:val="en-AU"/>
    </w:rPr>
  </w:style>
  <w:style w:type="table" w:customStyle="1" w:styleId="NousTableTopandside">
    <w:name w:val="Nous Table_Top and side"/>
    <w:basedOn w:val="TableNormal"/>
    <w:uiPriority w:val="99"/>
    <w:rsid w:val="00BF2397"/>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___WRD_EMBED_SUB_184" w:hAnsi="___WRD_EMBED_SUB_184"/>
        <w:b w:val="0"/>
        <w:color w:val="EEEEEE" w:themeColor="background2"/>
        <w:sz w:val="18"/>
      </w:rPr>
      <w:tblPr/>
      <w:tcPr>
        <w:tcBorders>
          <w:top w:val="single" w:sz="24" w:space="0" w:color="8C5AA5" w:themeColor="accent3"/>
          <w:insideV w:val="single" w:sz="8" w:space="0" w:color="FFFFFF" w:themeColor="background1"/>
        </w:tcBorders>
        <w:shd w:val="clear" w:color="auto" w:fill="F26A2B" w:themeFill="accent5"/>
        <w:vAlign w:val="center"/>
      </w:tcPr>
    </w:tblStylePr>
    <w:tblStylePr w:type="firstCol">
      <w:pPr>
        <w:jc w:val="left"/>
      </w:pPr>
      <w:rPr>
        <w:rFonts w:ascii="___WRD_EMBED_SUB_184" w:hAnsi="___WRD_EMBED_SUB_184"/>
        <w:b w:val="0"/>
        <w:color w:val="EEEEEE" w:themeColor="background2"/>
        <w:sz w:val="18"/>
      </w:rPr>
      <w:tblPr/>
      <w:tcPr>
        <w:tcBorders>
          <w:left w:val="nil"/>
        </w:tcBorders>
        <w:shd w:val="clear" w:color="auto" w:fill="F26A2B" w:themeFill="accent5"/>
      </w:tcPr>
    </w:tblStylePr>
  </w:style>
  <w:style w:type="character" w:customStyle="1" w:styleId="TableNTextChar">
    <w:name w:val="Table N Text Char"/>
    <w:basedOn w:val="DefaultParagraphFont"/>
    <w:link w:val="TableNText"/>
    <w:uiPriority w:val="2"/>
    <w:rsid w:val="008E2B45"/>
    <w:rPr>
      <w:rFonts w:ascii="Segoe UI" w:hAnsi="Segoe UI"/>
      <w:sz w:val="20"/>
      <w:lang w:val="en-AU"/>
    </w:rPr>
  </w:style>
  <w:style w:type="table" w:customStyle="1" w:styleId="NOUSSideHeader1">
    <w:name w:val="NOUS Side Header1"/>
    <w:basedOn w:val="TableNormal"/>
    <w:next w:val="TableGrid"/>
    <w:uiPriority w:val="39"/>
    <w:rsid w:val="00A01F51"/>
    <w:pPr>
      <w:spacing w:after="0" w:line="240" w:lineRule="auto"/>
    </w:pPr>
    <w:rPr>
      <w:rFonts w:ascii="Segoe UI" w:hAnsi="Segoe UI"/>
      <w:sz w:val="17"/>
    </w:rPr>
    <w:tblPr>
      <w:tblStyleRowBandSize w:val="1"/>
      <w:tblBorders>
        <w:top w:val="single" w:sz="8" w:space="0" w:color="F26A2B" w:themeColor="accent5"/>
        <w:bottom w:val="single" w:sz="8" w:space="0" w:color="F26A2B" w:themeColor="accent5"/>
        <w:insideH w:val="single" w:sz="8" w:space="0" w:color="F26A2B" w:themeColor="accent5"/>
      </w:tblBorders>
      <w:tblCellMar>
        <w:top w:w="57" w:type="dxa"/>
        <w:left w:w="85" w:type="dxa"/>
        <w:bottom w:w="57" w:type="dxa"/>
        <w:right w:w="85" w:type="dxa"/>
      </w:tblCellMar>
    </w:tblPr>
    <w:tcPr>
      <w:vAlign w:val="center"/>
    </w:tcPr>
    <w:tblStylePr w:type="firstRow">
      <w:pPr>
        <w:jc w:val="left"/>
      </w:pPr>
      <w:rPr>
        <w:rFonts w:ascii="___WRD_EMBED_SUB_184" w:hAnsi="___WRD_EMBED_SUB_184"/>
        <w:b w:val="0"/>
        <w:color w:val="EEEEEE" w:themeColor="background2"/>
        <w:sz w:val="18"/>
      </w:rPr>
      <w:tblPr/>
      <w:trPr>
        <w:cantSplit/>
        <w:tblHeader/>
      </w:trPr>
      <w:tcPr>
        <w:tcBorders>
          <w:top w:val="single" w:sz="24" w:space="0" w:color="8C5AA5" w:themeColor="accent3"/>
          <w:left w:val="nil"/>
          <w:bottom w:val="nil"/>
          <w:right w:val="nil"/>
          <w:insideH w:val="nil"/>
          <w:insideV w:val="single" w:sz="8" w:space="0" w:color="FFFFFF" w:themeColor="background1"/>
          <w:tl2br w:val="nil"/>
          <w:tr2bl w:val="nil"/>
        </w:tcBorders>
        <w:shd w:val="clear" w:color="auto" w:fill="F26A2B" w:themeFill="accent5"/>
      </w:tcPr>
    </w:tblStylePr>
    <w:tblStylePr w:type="band1Horz">
      <w:rPr>
        <w:rFonts w:ascii="___WRD_EMBED_SUB_184" w:hAnsi="___WRD_EMBED_SUB_184"/>
        <w:sz w:val="17"/>
      </w:rPr>
    </w:tblStylePr>
    <w:tblStylePr w:type="band2Horz">
      <w:rPr>
        <w:rFonts w:ascii="___WRD_EMBED_SUB_184" w:hAnsi="___WRD_EMBED_SUB_184"/>
        <w:sz w:val="17"/>
      </w:rPr>
    </w:tblStylePr>
  </w:style>
  <w:style w:type="table" w:customStyle="1" w:styleId="NOUSSideHeader2">
    <w:name w:val="NOUS Side Header2"/>
    <w:basedOn w:val="TableNormal"/>
    <w:next w:val="TableGrid"/>
    <w:uiPriority w:val="39"/>
    <w:rsid w:val="00DD3B75"/>
    <w:pPr>
      <w:spacing w:after="0" w:line="240" w:lineRule="auto"/>
    </w:pPr>
    <w:rPr>
      <w:rFonts w:ascii="Segoe UI" w:hAnsi="Segoe UI"/>
      <w:sz w:val="17"/>
    </w:rPr>
    <w:tblPr>
      <w:tblStyleRowBandSize w:val="1"/>
      <w:tblBorders>
        <w:top w:val="single" w:sz="8" w:space="0" w:color="F26A2B" w:themeColor="accent5"/>
        <w:bottom w:val="single" w:sz="8" w:space="0" w:color="F26A2B" w:themeColor="accent5"/>
        <w:insideH w:val="single" w:sz="8" w:space="0" w:color="F26A2B" w:themeColor="accent5"/>
      </w:tblBorders>
      <w:tblCellMar>
        <w:top w:w="57" w:type="dxa"/>
        <w:left w:w="85" w:type="dxa"/>
        <w:bottom w:w="57" w:type="dxa"/>
        <w:right w:w="85" w:type="dxa"/>
      </w:tblCellMar>
    </w:tblPr>
    <w:tcPr>
      <w:vAlign w:val="center"/>
    </w:tcPr>
    <w:tblStylePr w:type="firstRow">
      <w:pPr>
        <w:jc w:val="left"/>
      </w:pPr>
      <w:rPr>
        <w:rFonts w:ascii="___WRD_EMBED_SUB_184" w:hAnsi="___WRD_EMBED_SUB_184"/>
        <w:b w:val="0"/>
        <w:color w:val="EEEEEE" w:themeColor="background2"/>
        <w:sz w:val="18"/>
      </w:rPr>
      <w:tblPr/>
      <w:trPr>
        <w:cantSplit/>
        <w:tblHeader/>
      </w:trPr>
      <w:tcPr>
        <w:tcBorders>
          <w:top w:val="single" w:sz="24" w:space="0" w:color="8C5AA5" w:themeColor="accent3"/>
          <w:left w:val="nil"/>
          <w:bottom w:val="nil"/>
          <w:right w:val="nil"/>
          <w:insideH w:val="nil"/>
          <w:insideV w:val="single" w:sz="8" w:space="0" w:color="FFFFFF" w:themeColor="background1"/>
          <w:tl2br w:val="nil"/>
          <w:tr2bl w:val="nil"/>
        </w:tcBorders>
        <w:shd w:val="clear" w:color="auto" w:fill="F26A2B" w:themeFill="accent5"/>
      </w:tcPr>
    </w:tblStylePr>
    <w:tblStylePr w:type="band1Horz">
      <w:rPr>
        <w:rFonts w:ascii="___WRD_EMBED_SUB_184" w:hAnsi="___WRD_EMBED_SUB_184"/>
        <w:sz w:val="17"/>
      </w:rPr>
    </w:tblStylePr>
    <w:tblStylePr w:type="band2Horz">
      <w:rPr>
        <w:rFonts w:ascii="___WRD_EMBED_SUB_184" w:hAnsi="___WRD_EMBED_SUB_184"/>
        <w:sz w:val="17"/>
      </w:rPr>
    </w:tblStylePr>
  </w:style>
  <w:style w:type="table" w:customStyle="1" w:styleId="NousLongformcallout">
    <w:name w:val="Nous_Long form call out"/>
    <w:basedOn w:val="TableNormal"/>
    <w:uiPriority w:val="99"/>
    <w:rsid w:val="00BF2397"/>
    <w:pPr>
      <w:spacing w:after="0" w:line="240" w:lineRule="auto"/>
    </w:pPr>
    <w:rPr>
      <w:color w:val="EEEEEE" w:themeColor="background2"/>
    </w:rPr>
    <w:tblPr>
      <w:tblBorders>
        <w:left w:val="single" w:sz="18" w:space="0" w:color="8C5AA5" w:themeColor="accent3"/>
      </w:tblBorders>
      <w:tblCellMar>
        <w:top w:w="113" w:type="dxa"/>
        <w:bottom w:w="113" w:type="dxa"/>
      </w:tblCellMar>
    </w:tblPr>
    <w:tcPr>
      <w:shd w:val="clear" w:color="auto" w:fill="F26A2B" w:themeFill="accent5"/>
    </w:tc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uiPriority w:val="34"/>
    <w:qFormat/>
    <w:rsid w:val="00C26FB0"/>
    <w:pPr>
      <w:ind w:left="720"/>
      <w:contextualSpacing/>
    </w:pPr>
    <w:rPr>
      <w:rFonts w:ascii="Arial" w:hAnsi="Arial"/>
    </w:rPr>
  </w:style>
  <w:style w:type="paragraph" w:styleId="TOC3">
    <w:name w:val="toc 3"/>
    <w:basedOn w:val="Normal"/>
    <w:next w:val="Normal"/>
    <w:autoRedefine/>
    <w:uiPriority w:val="39"/>
    <w:unhideWhenUsed/>
    <w:rsid w:val="006D1EDA"/>
    <w:pPr>
      <w:spacing w:after="100"/>
      <w:ind w:left="380"/>
    </w:pPr>
  </w:style>
  <w:style w:type="table" w:styleId="PlainTable2">
    <w:name w:val="Plain Table 2"/>
    <w:basedOn w:val="TableNormal"/>
    <w:uiPriority w:val="42"/>
    <w:rsid w:val="000A0F5C"/>
    <w:pPr>
      <w:spacing w:after="0" w:line="240" w:lineRule="auto"/>
    </w:pPr>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table" w:customStyle="1" w:styleId="NousTableTopandside1">
    <w:name w:val="Nous Table_Top and side1"/>
    <w:basedOn w:val="TableNormal"/>
    <w:uiPriority w:val="99"/>
    <w:rsid w:val="00ED17E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___WRD_EMBED_SUB_184" w:hAnsi="___WRD_EMBED_SUB_184"/>
        <w:b w:val="0"/>
        <w:color w:val="EEEEEE" w:themeColor="background2"/>
        <w:sz w:val="18"/>
      </w:rPr>
      <w:tblPr/>
      <w:tcPr>
        <w:tcBorders>
          <w:top w:val="single" w:sz="24" w:space="0" w:color="8C5AA5" w:themeColor="accent3"/>
          <w:insideV w:val="single" w:sz="8" w:space="0" w:color="FFFFFF" w:themeColor="background1"/>
        </w:tcBorders>
        <w:shd w:val="clear" w:color="auto" w:fill="F26A2B" w:themeFill="accent5"/>
        <w:vAlign w:val="center"/>
      </w:tcPr>
    </w:tblStylePr>
    <w:tblStylePr w:type="firstCol">
      <w:pPr>
        <w:jc w:val="left"/>
      </w:pPr>
      <w:rPr>
        <w:rFonts w:ascii="___WRD_EMBED_SUB_184" w:hAnsi="___WRD_EMBED_SUB_184"/>
        <w:b w:val="0"/>
        <w:color w:val="EEEEEE" w:themeColor="background2"/>
        <w:sz w:val="18"/>
      </w:rPr>
      <w:tblPr/>
      <w:tcPr>
        <w:tcBorders>
          <w:left w:val="nil"/>
        </w:tcBorders>
        <w:shd w:val="clear" w:color="auto" w:fill="F26A2B" w:themeFill="accent5"/>
      </w:tcPr>
    </w:tblStylePr>
  </w:style>
  <w:style w:type="table" w:customStyle="1" w:styleId="NousTableTopandside6">
    <w:name w:val="Nous Table_Top and side6"/>
    <w:basedOn w:val="TableNormal"/>
    <w:uiPriority w:val="99"/>
    <w:rsid w:val="00A911D1"/>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___WRD_EMBED_SUB_184" w:hAnsi="___WRD_EMBED_SUB_184"/>
        <w:b w:val="0"/>
        <w:color w:val="EEEEEE" w:themeColor="background2"/>
        <w:sz w:val="18"/>
      </w:rPr>
      <w:tblPr/>
      <w:tcPr>
        <w:tcBorders>
          <w:top w:val="single" w:sz="24" w:space="0" w:color="8C5AA5" w:themeColor="accent3"/>
          <w:insideV w:val="single" w:sz="8" w:space="0" w:color="FFFFFF" w:themeColor="background1"/>
        </w:tcBorders>
        <w:shd w:val="clear" w:color="auto" w:fill="F26A2B" w:themeFill="accent5"/>
        <w:vAlign w:val="center"/>
      </w:tcPr>
    </w:tblStylePr>
    <w:tblStylePr w:type="firstCol">
      <w:pPr>
        <w:jc w:val="left"/>
      </w:pPr>
      <w:rPr>
        <w:rFonts w:ascii="___WRD_EMBED_SUB_184" w:hAnsi="___WRD_EMBED_SUB_184"/>
        <w:b w:val="0"/>
        <w:color w:val="EEEEEE" w:themeColor="background2"/>
        <w:sz w:val="18"/>
      </w:rPr>
      <w:tblPr/>
      <w:tcPr>
        <w:tcBorders>
          <w:left w:val="nil"/>
        </w:tcBorders>
        <w:shd w:val="clear" w:color="auto" w:fill="F26A2B" w:themeFill="accent5"/>
      </w:tcPr>
    </w:tblStylePr>
  </w:style>
  <w:style w:type="paragraph" w:styleId="ListBullet">
    <w:name w:val="List Bullet"/>
    <w:qFormat/>
    <w:rsid w:val="00BD0982"/>
    <w:pPr>
      <w:numPr>
        <w:numId w:val="1"/>
      </w:numPr>
      <w:tabs>
        <w:tab w:val="clear" w:pos="284"/>
      </w:tabs>
      <w:spacing w:before="60" w:after="60" w:line="276" w:lineRule="auto"/>
    </w:pPr>
    <w:rPr>
      <w:rFonts w:ascii="Arial" w:eastAsia="Times New Roman" w:hAnsi="Arial" w:cs="Times New Roman"/>
      <w:snapToGrid w:val="0"/>
      <w:sz w:val="20"/>
      <w:szCs w:val="24"/>
      <w:lang w:val="en-AU" w:eastAsia="en-AU"/>
    </w:rPr>
  </w:style>
  <w:style w:type="paragraph" w:styleId="FootnoteText">
    <w:name w:val="footnote text"/>
    <w:basedOn w:val="Normal"/>
    <w:link w:val="FootnoteTextChar"/>
    <w:uiPriority w:val="99"/>
    <w:unhideWhenUsed/>
    <w:rsid w:val="00BF2397"/>
    <w:pPr>
      <w:spacing w:after="0" w:line="240" w:lineRule="auto"/>
    </w:pPr>
    <w:rPr>
      <w:sz w:val="15"/>
      <w:szCs w:val="20"/>
    </w:rPr>
  </w:style>
  <w:style w:type="character" w:customStyle="1" w:styleId="FootnoteTextChar">
    <w:name w:val="Footnote Text Char"/>
    <w:basedOn w:val="DefaultParagraphFont"/>
    <w:link w:val="FootnoteText"/>
    <w:uiPriority w:val="99"/>
    <w:rsid w:val="00BF2397"/>
    <w:rPr>
      <w:rFonts w:ascii="Segoe UI" w:hAnsi="Segoe UI"/>
      <w:sz w:val="15"/>
      <w:szCs w:val="20"/>
      <w:lang w:val="en-AU"/>
    </w:rPr>
  </w:style>
  <w:style w:type="character" w:styleId="FootnoteReference">
    <w:name w:val="footnote reference"/>
    <w:basedOn w:val="DefaultParagraphFont"/>
    <w:uiPriority w:val="99"/>
    <w:unhideWhenUsed/>
    <w:rsid w:val="00826B7E"/>
    <w:rPr>
      <w:vertAlign w:val="superscript"/>
    </w:rPr>
  </w:style>
  <w:style w:type="table" w:customStyle="1" w:styleId="NOUS1">
    <w:name w:val="NOUS1"/>
    <w:basedOn w:val="TableNormal"/>
    <w:uiPriority w:val="99"/>
    <w:rsid w:val="00020B4D"/>
    <w:pPr>
      <w:spacing w:after="0" w:line="240" w:lineRule="auto"/>
    </w:pPr>
    <w:rPr>
      <w:rFonts w:ascii="Segoe UI" w:hAnsi="Segoe UI"/>
      <w:sz w:val="17"/>
    </w:rPr>
    <w:tblPr>
      <w:tblBorders>
        <w:bottom w:val="single" w:sz="8" w:space="0" w:color="F26A2B" w:themeColor="accent5"/>
        <w:insideH w:val="single" w:sz="8" w:space="0" w:color="F26A2B" w:themeColor="accent5"/>
      </w:tblBorders>
      <w:tblCellMar>
        <w:top w:w="57" w:type="dxa"/>
        <w:left w:w="85" w:type="dxa"/>
        <w:bottom w:w="57" w:type="dxa"/>
        <w:right w:w="85" w:type="dxa"/>
      </w:tblCellMar>
    </w:tblPr>
    <w:tblStylePr w:type="firstRow">
      <w:rPr>
        <w:rFonts w:ascii="___WRD_EMBED_SUB_184" w:hAnsi="___WRD_EMBED_SUB_184"/>
        <w:b/>
        <w:color w:val="EEEEEE" w:themeColor="background2"/>
        <w:sz w:val="18"/>
      </w:rPr>
      <w:tblPr/>
      <w:trPr>
        <w:tblHeader/>
      </w:trPr>
      <w:tcPr>
        <w:tcBorders>
          <w:top w:val="single" w:sz="24" w:space="0" w:color="8C5AA5" w:themeColor="accent3"/>
          <w:left w:val="nil"/>
          <w:bottom w:val="nil"/>
          <w:right w:val="nil"/>
          <w:insideH w:val="nil"/>
          <w:insideV w:val="single" w:sz="8" w:space="0" w:color="FFFFFF" w:themeColor="background1"/>
          <w:tl2br w:val="nil"/>
          <w:tr2bl w:val="nil"/>
        </w:tcBorders>
        <w:shd w:val="clear" w:color="auto" w:fill="F26A2B" w:themeFill="accent5"/>
      </w:tcPr>
    </w:tblStylePr>
  </w:style>
  <w:style w:type="character" w:styleId="UnresolvedMention">
    <w:name w:val="Unresolved Mention"/>
    <w:basedOn w:val="DefaultParagraphFont"/>
    <w:uiPriority w:val="99"/>
    <w:unhideWhenUsed/>
    <w:rsid w:val="00465D73"/>
    <w:rPr>
      <w:color w:val="605E5C"/>
      <w:shd w:val="clear" w:color="auto" w:fill="E1DFDD"/>
    </w:rPr>
  </w:style>
  <w:style w:type="character" w:styleId="Mention">
    <w:name w:val="Mention"/>
    <w:basedOn w:val="DefaultParagraphFont"/>
    <w:uiPriority w:val="99"/>
    <w:unhideWhenUsed/>
    <w:rsid w:val="00465D73"/>
    <w:rPr>
      <w:color w:val="2B579A"/>
      <w:shd w:val="clear" w:color="auto" w:fill="E1DFDD"/>
    </w:rPr>
  </w:style>
  <w:style w:type="table" w:customStyle="1" w:styleId="NOUSSideHeader3">
    <w:name w:val="NOUS Side Header3"/>
    <w:basedOn w:val="TableNormal"/>
    <w:next w:val="TableGrid"/>
    <w:uiPriority w:val="39"/>
    <w:rsid w:val="00C70573"/>
    <w:pPr>
      <w:spacing w:after="0" w:line="240" w:lineRule="auto"/>
    </w:pPr>
    <w:rPr>
      <w:rFonts w:ascii="Segoe UI" w:hAnsi="Segoe UI"/>
      <w:sz w:val="17"/>
    </w:rPr>
    <w:tblPr>
      <w:tblStyleRowBandSize w:val="1"/>
      <w:tblBorders>
        <w:top w:val="single" w:sz="8" w:space="0" w:color="F26A2B" w:themeColor="accent5"/>
        <w:bottom w:val="single" w:sz="8" w:space="0" w:color="F26A2B" w:themeColor="accent5"/>
        <w:insideH w:val="single" w:sz="8" w:space="0" w:color="F26A2B" w:themeColor="accent5"/>
      </w:tblBorders>
      <w:tblCellMar>
        <w:top w:w="57" w:type="dxa"/>
        <w:left w:w="85" w:type="dxa"/>
        <w:bottom w:w="57" w:type="dxa"/>
        <w:right w:w="85" w:type="dxa"/>
      </w:tblCellMar>
    </w:tblPr>
    <w:tcPr>
      <w:vAlign w:val="center"/>
    </w:tcPr>
    <w:tblStylePr w:type="firstRow">
      <w:pPr>
        <w:jc w:val="left"/>
      </w:pPr>
      <w:rPr>
        <w:rFonts w:ascii="Sitka Small" w:hAnsi="Sitka Small"/>
        <w:b w:val="0"/>
        <w:color w:val="EEEEEE" w:themeColor="background2"/>
        <w:sz w:val="18"/>
      </w:rPr>
      <w:tblPr/>
      <w:trPr>
        <w:cantSplit/>
        <w:tblHeader/>
      </w:trPr>
      <w:tcPr>
        <w:tcBorders>
          <w:top w:val="single" w:sz="24" w:space="0" w:color="8C5AA5" w:themeColor="accent3"/>
          <w:left w:val="nil"/>
          <w:bottom w:val="nil"/>
          <w:right w:val="nil"/>
          <w:insideH w:val="nil"/>
          <w:insideV w:val="single" w:sz="8" w:space="0" w:color="FFFFFF" w:themeColor="background1"/>
          <w:tl2br w:val="nil"/>
          <w:tr2bl w:val="nil"/>
        </w:tcBorders>
        <w:shd w:val="clear" w:color="auto" w:fill="F26A2B" w:themeFill="accent5"/>
      </w:tcPr>
    </w:tblStylePr>
    <w:tblStylePr w:type="band1Horz">
      <w:rPr>
        <w:rFonts w:ascii="@SimSun" w:hAnsi="@SimSun"/>
        <w:sz w:val="17"/>
      </w:rPr>
    </w:tblStylePr>
    <w:tblStylePr w:type="band2Horz">
      <w:rPr>
        <w:rFonts w:ascii="@SimSun" w:hAnsi="@SimSun"/>
        <w:sz w:val="17"/>
      </w:rPr>
    </w:tblStylePr>
  </w:style>
  <w:style w:type="character" w:styleId="Strong">
    <w:name w:val="Strong"/>
    <w:basedOn w:val="DefaultParagraphFont"/>
    <w:uiPriority w:val="22"/>
    <w:qFormat/>
    <w:rsid w:val="00C26FB0"/>
    <w:rPr>
      <w:rFonts w:ascii="Arial" w:hAnsi="Arial"/>
      <w:b/>
      <w:bCs/>
    </w:rPr>
  </w:style>
  <w:style w:type="paragraph" w:styleId="Revision">
    <w:name w:val="Revision"/>
    <w:hidden/>
    <w:uiPriority w:val="99"/>
    <w:semiHidden/>
    <w:rsid w:val="005E0530"/>
    <w:pPr>
      <w:spacing w:after="0" w:line="240" w:lineRule="auto"/>
    </w:pPr>
    <w:rPr>
      <w:rFonts w:ascii="Segoe UI" w:hAnsi="Segoe UI"/>
      <w:sz w:val="19"/>
    </w:rPr>
  </w:style>
  <w:style w:type="character" w:styleId="FollowedHyperlink">
    <w:name w:val="FollowedHyperlink"/>
    <w:basedOn w:val="DefaultParagraphFont"/>
    <w:uiPriority w:val="99"/>
    <w:semiHidden/>
    <w:unhideWhenUsed/>
    <w:rsid w:val="00BF2397"/>
    <w:rPr>
      <w:color w:val="78BE43" w:themeColor="followedHyperlink"/>
      <w:u w:val="single"/>
    </w:rPr>
  </w:style>
  <w:style w:type="paragraph" w:customStyle="1" w:styleId="Longformcallout">
    <w:name w:val="Long form callout"/>
    <w:basedOn w:val="Normal"/>
    <w:uiPriority w:val="20"/>
    <w:qFormat/>
    <w:rsid w:val="00C26FB0"/>
    <w:pPr>
      <w:spacing w:before="60" w:after="60" w:line="240" w:lineRule="auto"/>
    </w:pPr>
    <w:rPr>
      <w:rFonts w:ascii="Arial" w:hAnsi="Arial"/>
      <w:color w:val="EEEEEE" w:themeColor="background2"/>
      <w:szCs w:val="19"/>
      <w:lang w:eastAsia="en-AU"/>
    </w:rPr>
  </w:style>
  <w:style w:type="paragraph" w:customStyle="1" w:styleId="longformcalloutbullet">
    <w:name w:val="long form call out bullet"/>
    <w:basedOn w:val="Longformcallout"/>
    <w:uiPriority w:val="20"/>
    <w:qFormat/>
    <w:rsid w:val="00BF2397"/>
    <w:pPr>
      <w:numPr>
        <w:numId w:val="6"/>
      </w:numPr>
    </w:pPr>
  </w:style>
  <w:style w:type="paragraph" w:customStyle="1" w:styleId="longformcalloutnumber">
    <w:name w:val="long form callout number"/>
    <w:basedOn w:val="longformcalloutbullet"/>
    <w:uiPriority w:val="20"/>
    <w:qFormat/>
    <w:rsid w:val="00BF2397"/>
    <w:pPr>
      <w:numPr>
        <w:numId w:val="7"/>
      </w:numPr>
    </w:pPr>
  </w:style>
  <w:style w:type="paragraph" w:customStyle="1" w:styleId="BioName">
    <w:name w:val="Bio Name"/>
    <w:basedOn w:val="Normal"/>
    <w:uiPriority w:val="97"/>
    <w:qFormat/>
    <w:rsid w:val="00BF2397"/>
    <w:pPr>
      <w:spacing w:before="60" w:after="60" w:line="240" w:lineRule="auto"/>
      <w:jc w:val="center"/>
    </w:pPr>
    <w:rPr>
      <w:b/>
      <w:caps/>
      <w:color w:val="EEEEEE" w:themeColor="background2"/>
      <w:szCs w:val="19"/>
    </w:rPr>
  </w:style>
  <w:style w:type="paragraph" w:customStyle="1" w:styleId="BioPosition">
    <w:name w:val="Bio Position"/>
    <w:basedOn w:val="Normal"/>
    <w:uiPriority w:val="97"/>
    <w:qFormat/>
    <w:rsid w:val="00BF2397"/>
    <w:pPr>
      <w:spacing w:line="240" w:lineRule="auto"/>
      <w:jc w:val="center"/>
    </w:pPr>
    <w:rPr>
      <w:color w:val="EEEEEE" w:themeColor="background2"/>
      <w:szCs w:val="19"/>
    </w:rPr>
  </w:style>
  <w:style w:type="paragraph" w:customStyle="1" w:styleId="BioQualifications">
    <w:name w:val="Bio Qualifications"/>
    <w:basedOn w:val="Normal"/>
    <w:uiPriority w:val="97"/>
    <w:qFormat/>
    <w:rsid w:val="00BF2397"/>
    <w:pPr>
      <w:spacing w:before="240" w:after="60" w:line="240" w:lineRule="auto"/>
      <w:jc w:val="center"/>
    </w:pPr>
    <w:rPr>
      <w:b/>
      <w:color w:val="EEEEEE" w:themeColor="background2"/>
      <w:szCs w:val="17"/>
    </w:rPr>
  </w:style>
  <w:style w:type="paragraph" w:customStyle="1" w:styleId="BioQualificationsText">
    <w:name w:val="Bio Qualifications Text"/>
    <w:basedOn w:val="Normal"/>
    <w:uiPriority w:val="97"/>
    <w:qFormat/>
    <w:rsid w:val="00BF2397"/>
    <w:pPr>
      <w:spacing w:line="240" w:lineRule="auto"/>
      <w:jc w:val="center"/>
    </w:pPr>
  </w:style>
  <w:style w:type="paragraph" w:customStyle="1" w:styleId="Callout">
    <w:name w:val="Call out"/>
    <w:basedOn w:val="Normal"/>
    <w:uiPriority w:val="98"/>
    <w:qFormat/>
    <w:rsid w:val="00C26FB0"/>
    <w:pPr>
      <w:pBdr>
        <w:top w:val="single" w:sz="18" w:space="4" w:color="F26A2B" w:themeColor="accent5"/>
      </w:pBdr>
    </w:pPr>
    <w:rPr>
      <w:rFonts w:ascii="Arial" w:hAnsi="Arial"/>
      <w:color w:val="8C5AA5" w:themeColor="accent3"/>
      <w:kern w:val="24"/>
      <w:sz w:val="22"/>
    </w:rPr>
  </w:style>
  <w:style w:type="paragraph" w:customStyle="1" w:styleId="CaseStudytitle">
    <w:name w:val="Case Study title"/>
    <w:basedOn w:val="Normal"/>
    <w:uiPriority w:val="98"/>
    <w:qFormat/>
    <w:rsid w:val="00BF2397"/>
    <w:pPr>
      <w:spacing w:line="240" w:lineRule="auto"/>
    </w:pPr>
    <w:rPr>
      <w:rFonts w:asciiTheme="majorHAnsi" w:hAnsiTheme="majorHAnsi"/>
      <w:caps/>
      <w:color w:val="78BE43" w:themeColor="accent2"/>
      <w:sz w:val="24"/>
    </w:rPr>
  </w:style>
  <w:style w:type="paragraph" w:customStyle="1" w:styleId="Sectionintroduction">
    <w:name w:val="Section introduction"/>
    <w:uiPriority w:val="21"/>
    <w:qFormat/>
    <w:rsid w:val="00C26FB0"/>
    <w:pPr>
      <w:spacing w:before="120" w:after="120"/>
    </w:pPr>
    <w:rPr>
      <w:rFonts w:ascii="Arial" w:hAnsi="Arial"/>
      <w:color w:val="EEEEEE" w:themeColor="background2"/>
      <w:sz w:val="21"/>
      <w:szCs w:val="21"/>
      <w:lang w:val="en-AU"/>
    </w:rPr>
  </w:style>
  <w:style w:type="paragraph" w:customStyle="1" w:styleId="intoductionbullet">
    <w:name w:val="intoduction bullet"/>
    <w:basedOn w:val="Sectionintroduction"/>
    <w:uiPriority w:val="21"/>
    <w:qFormat/>
    <w:rsid w:val="00BF2397"/>
    <w:pPr>
      <w:numPr>
        <w:numId w:val="13"/>
      </w:numPr>
    </w:pPr>
  </w:style>
  <w:style w:type="paragraph" w:customStyle="1" w:styleId="introductionlist">
    <w:name w:val="introduction list"/>
    <w:basedOn w:val="Sectionintroduction"/>
    <w:uiPriority w:val="21"/>
    <w:qFormat/>
    <w:rsid w:val="00BF2397"/>
    <w:pPr>
      <w:numPr>
        <w:numId w:val="14"/>
      </w:numPr>
      <w:spacing w:before="60"/>
    </w:pPr>
  </w:style>
  <w:style w:type="numbering" w:customStyle="1" w:styleId="Listnumberedmultilevel">
    <w:name w:val="List (numbered)_multilevel"/>
    <w:uiPriority w:val="99"/>
    <w:rsid w:val="00BF2397"/>
    <w:pPr>
      <w:numPr>
        <w:numId w:val="4"/>
      </w:numPr>
    </w:pPr>
  </w:style>
  <w:style w:type="table" w:customStyle="1" w:styleId="NousTableSide">
    <w:name w:val="Nous Table_Side"/>
    <w:basedOn w:val="TableNormal"/>
    <w:uiPriority w:val="99"/>
    <w:rsid w:val="00BF2397"/>
    <w:pPr>
      <w:spacing w:after="0" w:line="240" w:lineRule="auto"/>
    </w:pPr>
    <w:rPr>
      <w:rFonts w:ascii="Segoe UI" w:hAnsi="Segoe UI"/>
      <w:sz w:val="17"/>
    </w:rPr>
    <w:tblPr>
      <w:tblBorders>
        <w:top w:val="single" w:sz="8" w:space="0" w:color="F26A2B" w:themeColor="accent5"/>
        <w:bottom w:val="single" w:sz="8" w:space="0" w:color="F26A2B" w:themeColor="accent5"/>
        <w:insideH w:val="single" w:sz="8" w:space="0" w:color="F26A2B" w:themeColor="accent5"/>
      </w:tblBorders>
      <w:tblCellMar>
        <w:top w:w="57" w:type="dxa"/>
        <w:left w:w="85" w:type="dxa"/>
        <w:bottom w:w="57" w:type="dxa"/>
        <w:right w:w="85" w:type="dxa"/>
      </w:tblCellMar>
    </w:tblPr>
    <w:tblStylePr w:type="firstCol">
      <w:pPr>
        <w:jc w:val="left"/>
      </w:pPr>
      <w:rPr>
        <w:rFonts w:ascii="___WRD_EMBED_SUB_184" w:hAnsi="___WRD_EMBED_SUB_184"/>
        <w:b w:val="0"/>
        <w:color w:val="EEEEEE" w:themeColor="background2"/>
        <w:sz w:val="17"/>
      </w:rPr>
      <w:tblPr/>
      <w:tcPr>
        <w:tcBorders>
          <w:top w:val="single" w:sz="12" w:space="0" w:color="FFFFFF" w:themeColor="background1"/>
          <w:left w:val="single" w:sz="18" w:space="0" w:color="8C5AA5"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F26A2B" w:themeFill="accent5"/>
      </w:tcPr>
    </w:tblStylePr>
  </w:style>
  <w:style w:type="table" w:customStyle="1" w:styleId="Sectionintroductiontable">
    <w:name w:val="Section introduction table"/>
    <w:basedOn w:val="TableNormal"/>
    <w:uiPriority w:val="99"/>
    <w:rsid w:val="00BF2397"/>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___WRD_EMBED_SUB_184" w:hAnsi="___WRD_EMBED_SUB_184"/>
        <w:color w:val="EEEEEE" w:themeColor="background2"/>
        <w:sz w:val="21"/>
      </w:rPr>
      <w:tblPr/>
      <w:tcPr>
        <w:tcBorders>
          <w:top w:val="single" w:sz="8" w:space="0" w:color="EEEEEE" w:themeColor="background2"/>
          <w:left w:val="nil"/>
          <w:bottom w:val="single" w:sz="8" w:space="0" w:color="EEEEEE" w:themeColor="background2"/>
          <w:right w:val="nil"/>
        </w:tcBorders>
      </w:tcPr>
    </w:tblStylePr>
  </w:style>
  <w:style w:type="paragraph" w:customStyle="1" w:styleId="TableExpbullet">
    <w:name w:val="Table Exp bullet"/>
    <w:basedOn w:val="Normal"/>
    <w:uiPriority w:val="3"/>
    <w:qFormat/>
    <w:rsid w:val="00C26FB0"/>
    <w:pPr>
      <w:numPr>
        <w:numId w:val="15"/>
      </w:numPr>
      <w:spacing w:before="60" w:after="60"/>
    </w:pPr>
    <w:rPr>
      <w:rFonts w:ascii="Arial" w:hAnsi="Arial"/>
      <w:sz w:val="16"/>
    </w:rPr>
  </w:style>
  <w:style w:type="numbering" w:customStyle="1" w:styleId="TableexpListnumberedmultilevel">
    <w:name w:val="Table exp List (numbered) multilevel"/>
    <w:uiPriority w:val="99"/>
    <w:rsid w:val="00BF2397"/>
    <w:pPr>
      <w:numPr>
        <w:numId w:val="5"/>
      </w:numPr>
    </w:pPr>
  </w:style>
  <w:style w:type="numbering" w:customStyle="1" w:styleId="TableNListnumberedmultilevel">
    <w:name w:val="Table N List (numbered) multilevel"/>
    <w:uiPriority w:val="99"/>
    <w:rsid w:val="00BF2397"/>
    <w:pPr>
      <w:numPr>
        <w:numId w:val="9"/>
      </w:numPr>
    </w:pPr>
  </w:style>
  <w:style w:type="paragraph" w:customStyle="1" w:styleId="Default">
    <w:name w:val="Default"/>
    <w:rsid w:val="00D9609C"/>
    <w:pPr>
      <w:autoSpaceDE w:val="0"/>
      <w:autoSpaceDN w:val="0"/>
      <w:adjustRightInd w:val="0"/>
      <w:spacing w:after="0" w:line="240" w:lineRule="auto"/>
    </w:pPr>
    <w:rPr>
      <w:rFonts w:ascii="Segoe UI" w:hAnsi="Segoe UI" w:cs="Segoe UI"/>
      <w:color w:val="000000"/>
      <w:sz w:val="24"/>
      <w:szCs w:val="24"/>
      <w:lang w:val="en-AU"/>
    </w:rPr>
  </w:style>
  <w:style w:type="table" w:styleId="TableGridLight">
    <w:name w:val="Grid Table Light"/>
    <w:basedOn w:val="TableNormal"/>
    <w:uiPriority w:val="40"/>
    <w:rsid w:val="00060280"/>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Col">
      <w:tblPr/>
      <w:tcPr>
        <w:shd w:val="clear" w:color="auto" w:fill="1E1545" w:themeFill="text1"/>
      </w:tcPr>
    </w:tblStylePr>
  </w:style>
  <w:style w:type="paragraph" w:styleId="NormalWeb">
    <w:name w:val="Normal (Web)"/>
    <w:basedOn w:val="Normal"/>
    <w:uiPriority w:val="99"/>
    <w:unhideWhenUsed/>
    <w:rsid w:val="00C3607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NOUSSideHeader4">
    <w:name w:val="NOUS Side Header4"/>
    <w:basedOn w:val="TableNormal"/>
    <w:next w:val="TableGrid"/>
    <w:uiPriority w:val="39"/>
    <w:rsid w:val="00207AC8"/>
    <w:pPr>
      <w:spacing w:after="0" w:line="240" w:lineRule="auto"/>
    </w:pPr>
    <w:rPr>
      <w:rFonts w:ascii="Segoe UI" w:hAnsi="Segoe UI"/>
      <w:sz w:val="17"/>
    </w:rPr>
    <w:tblPr>
      <w:tblStyleRowBandSize w:val="1"/>
      <w:tblBorders>
        <w:top w:val="single" w:sz="8" w:space="0" w:color="F26A2B" w:themeColor="accent5"/>
        <w:bottom w:val="single" w:sz="8" w:space="0" w:color="F26A2B" w:themeColor="accent5"/>
        <w:insideH w:val="single" w:sz="8" w:space="0" w:color="F26A2B" w:themeColor="accent5"/>
      </w:tblBorders>
      <w:tblCellMar>
        <w:top w:w="57" w:type="dxa"/>
        <w:left w:w="85" w:type="dxa"/>
        <w:bottom w:w="57" w:type="dxa"/>
        <w:right w:w="85" w:type="dxa"/>
      </w:tblCellMar>
    </w:tblPr>
    <w:tcPr>
      <w:vAlign w:val="center"/>
    </w:tcPr>
    <w:tblStylePr w:type="firstRow">
      <w:pPr>
        <w:jc w:val="left"/>
      </w:pPr>
      <w:rPr>
        <w:rFonts w:ascii="___WRD_EMBED_SUB_184" w:hAnsi="___WRD_EMBED_SUB_184"/>
        <w:b w:val="0"/>
        <w:color w:val="EEEEEE" w:themeColor="background2"/>
        <w:sz w:val="18"/>
      </w:rPr>
      <w:tblPr/>
      <w:trPr>
        <w:cantSplit/>
        <w:tblHeader/>
      </w:trPr>
      <w:tcPr>
        <w:tcBorders>
          <w:top w:val="single" w:sz="24" w:space="0" w:color="8C5AA5" w:themeColor="accent3"/>
          <w:left w:val="nil"/>
          <w:bottom w:val="nil"/>
          <w:right w:val="nil"/>
          <w:insideH w:val="nil"/>
          <w:insideV w:val="single" w:sz="8" w:space="0" w:color="FFFFFF" w:themeColor="background1"/>
          <w:tl2br w:val="nil"/>
          <w:tr2bl w:val="nil"/>
        </w:tcBorders>
        <w:shd w:val="clear" w:color="auto" w:fill="F26A2B" w:themeFill="accent5"/>
      </w:tcPr>
    </w:tblStylePr>
    <w:tblStylePr w:type="band1Horz">
      <w:rPr>
        <w:rFonts w:ascii="___WRD_EMBED_SUB_184" w:hAnsi="___WRD_EMBED_SUB_184"/>
        <w:sz w:val="17"/>
      </w:rPr>
    </w:tblStylePr>
    <w:tblStylePr w:type="band2Horz">
      <w:rPr>
        <w:rFonts w:ascii="___WRD_EMBED_SUB_184" w:hAnsi="___WRD_EMBED_SUB_184"/>
        <w:sz w:val="17"/>
      </w:rPr>
    </w:tblStylePr>
  </w:style>
  <w:style w:type="paragraph" w:customStyle="1" w:styleId="Sectionlist">
    <w:name w:val="Section list"/>
    <w:basedOn w:val="VisionBox"/>
    <w:link w:val="SectionlistChar"/>
    <w:qFormat/>
    <w:rsid w:val="00740BBB"/>
    <w:pPr>
      <w:numPr>
        <w:numId w:val="0"/>
      </w:numPr>
      <w:pBdr>
        <w:top w:val="single" w:sz="4" w:space="1" w:color="15585D" w:themeColor="accent1" w:themeShade="80"/>
        <w:bottom w:val="none" w:sz="0" w:space="0" w:color="auto"/>
      </w:pBdr>
    </w:pPr>
  </w:style>
  <w:style w:type="paragraph" w:customStyle="1" w:styleId="PolicyStatementbullet">
    <w:name w:val="PolicyStatement (bullet)"/>
    <w:basedOn w:val="PolicyStatement"/>
    <w:link w:val="PolicyStatementbulletChar"/>
    <w:qFormat/>
    <w:rsid w:val="00133B7C"/>
    <w:pPr>
      <w:numPr>
        <w:numId w:val="37"/>
      </w:numPr>
      <w:ind w:left="584" w:hanging="357"/>
    </w:pPr>
  </w:style>
  <w:style w:type="character" w:customStyle="1" w:styleId="SectionlistChar">
    <w:name w:val="Section list Char"/>
    <w:basedOn w:val="DefaultParagraphFont"/>
    <w:link w:val="Sectionlist"/>
    <w:rsid w:val="00740BBB"/>
    <w:rPr>
      <w:rFonts w:ascii="Arial" w:hAnsi="Arial" w:cs="Times New Roman"/>
      <w:color w:val="358189"/>
      <w:szCs w:val="24"/>
      <w:lang w:val="en-AU"/>
    </w:rPr>
  </w:style>
  <w:style w:type="table" w:styleId="PlainTable1">
    <w:name w:val="Plain Table 1"/>
    <w:basedOn w:val="TableNormal"/>
    <w:uiPriority w:val="41"/>
    <w:rsid w:val="00CC3881"/>
    <w:pPr>
      <w:spacing w:after="0" w:line="240" w:lineRule="auto"/>
    </w:pPr>
    <w:rPr>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tcPr>
    <w:tblStylePr w:type="firstRow">
      <w:rPr>
        <w:rFonts w:ascii="Segoe UI" w:hAnsi="Segoe UI"/>
        <w:b/>
        <w:bCs/>
        <w:sz w:val="20"/>
      </w:rPr>
      <w:tblPr/>
      <w:tcPr>
        <w:shd w:val="clear" w:color="auto" w:fill="1E1545" w:themeFill="text1"/>
      </w:tcPr>
    </w:tblStylePr>
    <w:tblStylePr w:type="lastRow">
      <w:rPr>
        <w:b/>
        <w:bCs/>
      </w:rPr>
      <w:tblPr/>
      <w:tcPr>
        <w:tcBorders>
          <w:top w:val="double" w:sz="4" w:space="0" w:color="BFBFBF" w:themeColor="background1" w:themeShade="BF"/>
        </w:tcBorders>
      </w:tcPr>
    </w:tblStylePr>
    <w:tblStylePr w:type="firstCol">
      <w:rPr>
        <w:rFonts w:asciiTheme="minorHAnsi" w:hAnsiTheme="minorHAnsi"/>
        <w:b/>
        <w:bCs/>
        <w:sz w:val="20"/>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olicyStatementChar">
    <w:name w:val="PolicyStatement Char"/>
    <w:basedOn w:val="DefaultParagraphFont"/>
    <w:link w:val="PolicyStatement"/>
    <w:rsid w:val="00133B7C"/>
    <w:rPr>
      <w:rFonts w:ascii="Arial" w:eastAsia="Times New Roman" w:hAnsi="Arial" w:cs="Times New Roman"/>
      <w:color w:val="1E1545" w:themeColor="text1"/>
      <w:szCs w:val="24"/>
      <w:shd w:val="clear" w:color="auto" w:fill="F2F2F2" w:themeFill="background1" w:themeFillShade="F2"/>
      <w:lang w:val="en-AU"/>
    </w:rPr>
  </w:style>
  <w:style w:type="character" w:customStyle="1" w:styleId="PolicyStatementbulletChar">
    <w:name w:val="PolicyStatement (bullet) Char"/>
    <w:basedOn w:val="PolicyStatementChar"/>
    <w:link w:val="PolicyStatementbullet"/>
    <w:rsid w:val="00133B7C"/>
    <w:rPr>
      <w:rFonts w:ascii="Arial" w:eastAsia="Times New Roman" w:hAnsi="Arial" w:cs="Times New Roman"/>
      <w:color w:val="1E1545" w:themeColor="text1"/>
      <w:szCs w:val="24"/>
      <w:shd w:val="clear" w:color="auto" w:fill="F2F2F2" w:themeFill="background1" w:themeFillShade="F2"/>
      <w:lang w:val="en-AU"/>
    </w:rPr>
  </w:style>
  <w:style w:type="paragraph" w:customStyle="1" w:styleId="TableNtextstrong">
    <w:name w:val="Table N text (strong)"/>
    <w:basedOn w:val="TableNText"/>
    <w:link w:val="TableNtextstrongChar"/>
    <w:qFormat/>
    <w:rsid w:val="00852F0E"/>
    <w:rPr>
      <w:b/>
    </w:rPr>
  </w:style>
  <w:style w:type="character" w:customStyle="1" w:styleId="TableNtextstrongChar">
    <w:name w:val="Table N text (strong) Char"/>
    <w:basedOn w:val="TableNTextChar"/>
    <w:link w:val="TableNtextstrong"/>
    <w:rsid w:val="00852F0E"/>
    <w:rPr>
      <w:rFonts w:ascii="Segoe UI" w:hAnsi="Segoe UI"/>
      <w:b/>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5683">
      <w:bodyDiv w:val="1"/>
      <w:marLeft w:val="0"/>
      <w:marRight w:val="0"/>
      <w:marTop w:val="0"/>
      <w:marBottom w:val="0"/>
      <w:divBdr>
        <w:top w:val="none" w:sz="0" w:space="0" w:color="auto"/>
        <w:left w:val="none" w:sz="0" w:space="0" w:color="auto"/>
        <w:bottom w:val="none" w:sz="0" w:space="0" w:color="auto"/>
        <w:right w:val="none" w:sz="0" w:space="0" w:color="auto"/>
      </w:divBdr>
    </w:div>
    <w:div w:id="39941090">
      <w:bodyDiv w:val="1"/>
      <w:marLeft w:val="0"/>
      <w:marRight w:val="0"/>
      <w:marTop w:val="0"/>
      <w:marBottom w:val="0"/>
      <w:divBdr>
        <w:top w:val="none" w:sz="0" w:space="0" w:color="auto"/>
        <w:left w:val="none" w:sz="0" w:space="0" w:color="auto"/>
        <w:bottom w:val="none" w:sz="0" w:space="0" w:color="auto"/>
        <w:right w:val="none" w:sz="0" w:space="0" w:color="auto"/>
      </w:divBdr>
    </w:div>
    <w:div w:id="68502862">
      <w:bodyDiv w:val="1"/>
      <w:marLeft w:val="0"/>
      <w:marRight w:val="0"/>
      <w:marTop w:val="0"/>
      <w:marBottom w:val="0"/>
      <w:divBdr>
        <w:top w:val="none" w:sz="0" w:space="0" w:color="auto"/>
        <w:left w:val="none" w:sz="0" w:space="0" w:color="auto"/>
        <w:bottom w:val="none" w:sz="0" w:space="0" w:color="auto"/>
        <w:right w:val="none" w:sz="0" w:space="0" w:color="auto"/>
      </w:divBdr>
    </w:div>
    <w:div w:id="76291764">
      <w:bodyDiv w:val="1"/>
      <w:marLeft w:val="0"/>
      <w:marRight w:val="0"/>
      <w:marTop w:val="0"/>
      <w:marBottom w:val="0"/>
      <w:divBdr>
        <w:top w:val="none" w:sz="0" w:space="0" w:color="auto"/>
        <w:left w:val="none" w:sz="0" w:space="0" w:color="auto"/>
        <w:bottom w:val="none" w:sz="0" w:space="0" w:color="auto"/>
        <w:right w:val="none" w:sz="0" w:space="0" w:color="auto"/>
      </w:divBdr>
    </w:div>
    <w:div w:id="97142296">
      <w:bodyDiv w:val="1"/>
      <w:marLeft w:val="0"/>
      <w:marRight w:val="0"/>
      <w:marTop w:val="0"/>
      <w:marBottom w:val="0"/>
      <w:divBdr>
        <w:top w:val="none" w:sz="0" w:space="0" w:color="auto"/>
        <w:left w:val="none" w:sz="0" w:space="0" w:color="auto"/>
        <w:bottom w:val="none" w:sz="0" w:space="0" w:color="auto"/>
        <w:right w:val="none" w:sz="0" w:space="0" w:color="auto"/>
      </w:divBdr>
    </w:div>
    <w:div w:id="117723645">
      <w:bodyDiv w:val="1"/>
      <w:marLeft w:val="0"/>
      <w:marRight w:val="0"/>
      <w:marTop w:val="0"/>
      <w:marBottom w:val="0"/>
      <w:divBdr>
        <w:top w:val="none" w:sz="0" w:space="0" w:color="auto"/>
        <w:left w:val="none" w:sz="0" w:space="0" w:color="auto"/>
        <w:bottom w:val="none" w:sz="0" w:space="0" w:color="auto"/>
        <w:right w:val="none" w:sz="0" w:space="0" w:color="auto"/>
      </w:divBdr>
    </w:div>
    <w:div w:id="139272371">
      <w:bodyDiv w:val="1"/>
      <w:marLeft w:val="0"/>
      <w:marRight w:val="0"/>
      <w:marTop w:val="0"/>
      <w:marBottom w:val="0"/>
      <w:divBdr>
        <w:top w:val="none" w:sz="0" w:space="0" w:color="auto"/>
        <w:left w:val="none" w:sz="0" w:space="0" w:color="auto"/>
        <w:bottom w:val="none" w:sz="0" w:space="0" w:color="auto"/>
        <w:right w:val="none" w:sz="0" w:space="0" w:color="auto"/>
      </w:divBdr>
    </w:div>
    <w:div w:id="250357188">
      <w:bodyDiv w:val="1"/>
      <w:marLeft w:val="0"/>
      <w:marRight w:val="0"/>
      <w:marTop w:val="0"/>
      <w:marBottom w:val="0"/>
      <w:divBdr>
        <w:top w:val="none" w:sz="0" w:space="0" w:color="auto"/>
        <w:left w:val="none" w:sz="0" w:space="0" w:color="auto"/>
        <w:bottom w:val="none" w:sz="0" w:space="0" w:color="auto"/>
        <w:right w:val="none" w:sz="0" w:space="0" w:color="auto"/>
      </w:divBdr>
      <w:divsChild>
        <w:div w:id="1429697027">
          <w:marLeft w:val="0"/>
          <w:marRight w:val="0"/>
          <w:marTop w:val="0"/>
          <w:marBottom w:val="0"/>
          <w:divBdr>
            <w:top w:val="none" w:sz="0" w:space="0" w:color="auto"/>
            <w:left w:val="none" w:sz="0" w:space="0" w:color="auto"/>
            <w:bottom w:val="none" w:sz="0" w:space="0" w:color="auto"/>
            <w:right w:val="none" w:sz="0" w:space="0" w:color="auto"/>
          </w:divBdr>
        </w:div>
      </w:divsChild>
    </w:div>
    <w:div w:id="286473249">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7928711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178">
          <w:marLeft w:val="274"/>
          <w:marRight w:val="0"/>
          <w:marTop w:val="60"/>
          <w:marBottom w:val="0"/>
          <w:divBdr>
            <w:top w:val="none" w:sz="0" w:space="0" w:color="auto"/>
            <w:left w:val="none" w:sz="0" w:space="0" w:color="auto"/>
            <w:bottom w:val="none" w:sz="0" w:space="0" w:color="auto"/>
            <w:right w:val="none" w:sz="0" w:space="0" w:color="auto"/>
          </w:divBdr>
        </w:div>
      </w:divsChild>
    </w:div>
    <w:div w:id="824008024">
      <w:bodyDiv w:val="1"/>
      <w:marLeft w:val="0"/>
      <w:marRight w:val="0"/>
      <w:marTop w:val="0"/>
      <w:marBottom w:val="0"/>
      <w:divBdr>
        <w:top w:val="none" w:sz="0" w:space="0" w:color="auto"/>
        <w:left w:val="none" w:sz="0" w:space="0" w:color="auto"/>
        <w:bottom w:val="none" w:sz="0" w:space="0" w:color="auto"/>
        <w:right w:val="none" w:sz="0" w:space="0" w:color="auto"/>
      </w:divBdr>
      <w:divsChild>
        <w:div w:id="1436975024">
          <w:marLeft w:val="0"/>
          <w:marRight w:val="0"/>
          <w:marTop w:val="0"/>
          <w:marBottom w:val="0"/>
          <w:divBdr>
            <w:top w:val="none" w:sz="0" w:space="0" w:color="auto"/>
            <w:left w:val="none" w:sz="0" w:space="0" w:color="auto"/>
            <w:bottom w:val="none" w:sz="0" w:space="0" w:color="auto"/>
            <w:right w:val="none" w:sz="0" w:space="0" w:color="auto"/>
          </w:divBdr>
        </w:div>
      </w:divsChild>
    </w:div>
    <w:div w:id="826674313">
      <w:bodyDiv w:val="1"/>
      <w:marLeft w:val="0"/>
      <w:marRight w:val="0"/>
      <w:marTop w:val="0"/>
      <w:marBottom w:val="0"/>
      <w:divBdr>
        <w:top w:val="none" w:sz="0" w:space="0" w:color="auto"/>
        <w:left w:val="none" w:sz="0" w:space="0" w:color="auto"/>
        <w:bottom w:val="none" w:sz="0" w:space="0" w:color="auto"/>
        <w:right w:val="none" w:sz="0" w:space="0" w:color="auto"/>
      </w:divBdr>
    </w:div>
    <w:div w:id="845287565">
      <w:bodyDiv w:val="1"/>
      <w:marLeft w:val="0"/>
      <w:marRight w:val="0"/>
      <w:marTop w:val="0"/>
      <w:marBottom w:val="0"/>
      <w:divBdr>
        <w:top w:val="none" w:sz="0" w:space="0" w:color="auto"/>
        <w:left w:val="none" w:sz="0" w:space="0" w:color="auto"/>
        <w:bottom w:val="none" w:sz="0" w:space="0" w:color="auto"/>
        <w:right w:val="none" w:sz="0" w:space="0" w:color="auto"/>
      </w:divBdr>
      <w:divsChild>
        <w:div w:id="4674291">
          <w:marLeft w:val="274"/>
          <w:marRight w:val="0"/>
          <w:marTop w:val="0"/>
          <w:marBottom w:val="0"/>
          <w:divBdr>
            <w:top w:val="none" w:sz="0" w:space="0" w:color="auto"/>
            <w:left w:val="none" w:sz="0" w:space="0" w:color="auto"/>
            <w:bottom w:val="none" w:sz="0" w:space="0" w:color="auto"/>
            <w:right w:val="none" w:sz="0" w:space="0" w:color="auto"/>
          </w:divBdr>
        </w:div>
        <w:div w:id="48962313">
          <w:marLeft w:val="274"/>
          <w:marRight w:val="0"/>
          <w:marTop w:val="0"/>
          <w:marBottom w:val="0"/>
          <w:divBdr>
            <w:top w:val="none" w:sz="0" w:space="0" w:color="auto"/>
            <w:left w:val="none" w:sz="0" w:space="0" w:color="auto"/>
            <w:bottom w:val="none" w:sz="0" w:space="0" w:color="auto"/>
            <w:right w:val="none" w:sz="0" w:space="0" w:color="auto"/>
          </w:divBdr>
        </w:div>
        <w:div w:id="52237183">
          <w:marLeft w:val="274"/>
          <w:marRight w:val="0"/>
          <w:marTop w:val="0"/>
          <w:marBottom w:val="0"/>
          <w:divBdr>
            <w:top w:val="none" w:sz="0" w:space="0" w:color="auto"/>
            <w:left w:val="none" w:sz="0" w:space="0" w:color="auto"/>
            <w:bottom w:val="none" w:sz="0" w:space="0" w:color="auto"/>
            <w:right w:val="none" w:sz="0" w:space="0" w:color="auto"/>
          </w:divBdr>
        </w:div>
        <w:div w:id="105468268">
          <w:marLeft w:val="274"/>
          <w:marRight w:val="0"/>
          <w:marTop w:val="0"/>
          <w:marBottom w:val="0"/>
          <w:divBdr>
            <w:top w:val="none" w:sz="0" w:space="0" w:color="auto"/>
            <w:left w:val="none" w:sz="0" w:space="0" w:color="auto"/>
            <w:bottom w:val="none" w:sz="0" w:space="0" w:color="auto"/>
            <w:right w:val="none" w:sz="0" w:space="0" w:color="auto"/>
          </w:divBdr>
        </w:div>
        <w:div w:id="113718178">
          <w:marLeft w:val="274"/>
          <w:marRight w:val="0"/>
          <w:marTop w:val="0"/>
          <w:marBottom w:val="0"/>
          <w:divBdr>
            <w:top w:val="none" w:sz="0" w:space="0" w:color="auto"/>
            <w:left w:val="none" w:sz="0" w:space="0" w:color="auto"/>
            <w:bottom w:val="none" w:sz="0" w:space="0" w:color="auto"/>
            <w:right w:val="none" w:sz="0" w:space="0" w:color="auto"/>
          </w:divBdr>
        </w:div>
        <w:div w:id="113911446">
          <w:marLeft w:val="274"/>
          <w:marRight w:val="0"/>
          <w:marTop w:val="0"/>
          <w:marBottom w:val="0"/>
          <w:divBdr>
            <w:top w:val="none" w:sz="0" w:space="0" w:color="auto"/>
            <w:left w:val="none" w:sz="0" w:space="0" w:color="auto"/>
            <w:bottom w:val="none" w:sz="0" w:space="0" w:color="auto"/>
            <w:right w:val="none" w:sz="0" w:space="0" w:color="auto"/>
          </w:divBdr>
        </w:div>
        <w:div w:id="281574354">
          <w:marLeft w:val="274"/>
          <w:marRight w:val="0"/>
          <w:marTop w:val="0"/>
          <w:marBottom w:val="0"/>
          <w:divBdr>
            <w:top w:val="none" w:sz="0" w:space="0" w:color="auto"/>
            <w:left w:val="none" w:sz="0" w:space="0" w:color="auto"/>
            <w:bottom w:val="none" w:sz="0" w:space="0" w:color="auto"/>
            <w:right w:val="none" w:sz="0" w:space="0" w:color="auto"/>
          </w:divBdr>
        </w:div>
        <w:div w:id="289676944">
          <w:marLeft w:val="274"/>
          <w:marRight w:val="0"/>
          <w:marTop w:val="60"/>
          <w:marBottom w:val="0"/>
          <w:divBdr>
            <w:top w:val="none" w:sz="0" w:space="0" w:color="auto"/>
            <w:left w:val="none" w:sz="0" w:space="0" w:color="auto"/>
            <w:bottom w:val="none" w:sz="0" w:space="0" w:color="auto"/>
            <w:right w:val="none" w:sz="0" w:space="0" w:color="auto"/>
          </w:divBdr>
        </w:div>
        <w:div w:id="304548120">
          <w:marLeft w:val="274"/>
          <w:marRight w:val="0"/>
          <w:marTop w:val="0"/>
          <w:marBottom w:val="0"/>
          <w:divBdr>
            <w:top w:val="none" w:sz="0" w:space="0" w:color="auto"/>
            <w:left w:val="none" w:sz="0" w:space="0" w:color="auto"/>
            <w:bottom w:val="none" w:sz="0" w:space="0" w:color="auto"/>
            <w:right w:val="none" w:sz="0" w:space="0" w:color="auto"/>
          </w:divBdr>
        </w:div>
        <w:div w:id="328755950">
          <w:marLeft w:val="274"/>
          <w:marRight w:val="0"/>
          <w:marTop w:val="0"/>
          <w:marBottom w:val="0"/>
          <w:divBdr>
            <w:top w:val="none" w:sz="0" w:space="0" w:color="auto"/>
            <w:left w:val="none" w:sz="0" w:space="0" w:color="auto"/>
            <w:bottom w:val="none" w:sz="0" w:space="0" w:color="auto"/>
            <w:right w:val="none" w:sz="0" w:space="0" w:color="auto"/>
          </w:divBdr>
        </w:div>
        <w:div w:id="349766577">
          <w:marLeft w:val="274"/>
          <w:marRight w:val="0"/>
          <w:marTop w:val="0"/>
          <w:marBottom w:val="0"/>
          <w:divBdr>
            <w:top w:val="none" w:sz="0" w:space="0" w:color="auto"/>
            <w:left w:val="none" w:sz="0" w:space="0" w:color="auto"/>
            <w:bottom w:val="none" w:sz="0" w:space="0" w:color="auto"/>
            <w:right w:val="none" w:sz="0" w:space="0" w:color="auto"/>
          </w:divBdr>
        </w:div>
        <w:div w:id="356976117">
          <w:marLeft w:val="274"/>
          <w:marRight w:val="0"/>
          <w:marTop w:val="0"/>
          <w:marBottom w:val="0"/>
          <w:divBdr>
            <w:top w:val="none" w:sz="0" w:space="0" w:color="auto"/>
            <w:left w:val="none" w:sz="0" w:space="0" w:color="auto"/>
            <w:bottom w:val="none" w:sz="0" w:space="0" w:color="auto"/>
            <w:right w:val="none" w:sz="0" w:space="0" w:color="auto"/>
          </w:divBdr>
        </w:div>
        <w:div w:id="364871593">
          <w:marLeft w:val="274"/>
          <w:marRight w:val="0"/>
          <w:marTop w:val="0"/>
          <w:marBottom w:val="0"/>
          <w:divBdr>
            <w:top w:val="none" w:sz="0" w:space="0" w:color="auto"/>
            <w:left w:val="none" w:sz="0" w:space="0" w:color="auto"/>
            <w:bottom w:val="none" w:sz="0" w:space="0" w:color="auto"/>
            <w:right w:val="none" w:sz="0" w:space="0" w:color="auto"/>
          </w:divBdr>
        </w:div>
        <w:div w:id="403913696">
          <w:marLeft w:val="274"/>
          <w:marRight w:val="0"/>
          <w:marTop w:val="0"/>
          <w:marBottom w:val="0"/>
          <w:divBdr>
            <w:top w:val="none" w:sz="0" w:space="0" w:color="auto"/>
            <w:left w:val="none" w:sz="0" w:space="0" w:color="auto"/>
            <w:bottom w:val="none" w:sz="0" w:space="0" w:color="auto"/>
            <w:right w:val="none" w:sz="0" w:space="0" w:color="auto"/>
          </w:divBdr>
        </w:div>
        <w:div w:id="406732964">
          <w:marLeft w:val="274"/>
          <w:marRight w:val="0"/>
          <w:marTop w:val="0"/>
          <w:marBottom w:val="0"/>
          <w:divBdr>
            <w:top w:val="none" w:sz="0" w:space="0" w:color="auto"/>
            <w:left w:val="none" w:sz="0" w:space="0" w:color="auto"/>
            <w:bottom w:val="none" w:sz="0" w:space="0" w:color="auto"/>
            <w:right w:val="none" w:sz="0" w:space="0" w:color="auto"/>
          </w:divBdr>
        </w:div>
        <w:div w:id="429467480">
          <w:marLeft w:val="274"/>
          <w:marRight w:val="0"/>
          <w:marTop w:val="60"/>
          <w:marBottom w:val="0"/>
          <w:divBdr>
            <w:top w:val="none" w:sz="0" w:space="0" w:color="auto"/>
            <w:left w:val="none" w:sz="0" w:space="0" w:color="auto"/>
            <w:bottom w:val="none" w:sz="0" w:space="0" w:color="auto"/>
            <w:right w:val="none" w:sz="0" w:space="0" w:color="auto"/>
          </w:divBdr>
        </w:div>
        <w:div w:id="491485355">
          <w:marLeft w:val="274"/>
          <w:marRight w:val="0"/>
          <w:marTop w:val="0"/>
          <w:marBottom w:val="0"/>
          <w:divBdr>
            <w:top w:val="none" w:sz="0" w:space="0" w:color="auto"/>
            <w:left w:val="none" w:sz="0" w:space="0" w:color="auto"/>
            <w:bottom w:val="none" w:sz="0" w:space="0" w:color="auto"/>
            <w:right w:val="none" w:sz="0" w:space="0" w:color="auto"/>
          </w:divBdr>
        </w:div>
        <w:div w:id="508447071">
          <w:marLeft w:val="274"/>
          <w:marRight w:val="0"/>
          <w:marTop w:val="0"/>
          <w:marBottom w:val="0"/>
          <w:divBdr>
            <w:top w:val="none" w:sz="0" w:space="0" w:color="auto"/>
            <w:left w:val="none" w:sz="0" w:space="0" w:color="auto"/>
            <w:bottom w:val="none" w:sz="0" w:space="0" w:color="auto"/>
            <w:right w:val="none" w:sz="0" w:space="0" w:color="auto"/>
          </w:divBdr>
        </w:div>
        <w:div w:id="524372460">
          <w:marLeft w:val="274"/>
          <w:marRight w:val="0"/>
          <w:marTop w:val="0"/>
          <w:marBottom w:val="0"/>
          <w:divBdr>
            <w:top w:val="none" w:sz="0" w:space="0" w:color="auto"/>
            <w:left w:val="none" w:sz="0" w:space="0" w:color="auto"/>
            <w:bottom w:val="none" w:sz="0" w:space="0" w:color="auto"/>
            <w:right w:val="none" w:sz="0" w:space="0" w:color="auto"/>
          </w:divBdr>
        </w:div>
        <w:div w:id="528569506">
          <w:marLeft w:val="274"/>
          <w:marRight w:val="0"/>
          <w:marTop w:val="0"/>
          <w:marBottom w:val="0"/>
          <w:divBdr>
            <w:top w:val="none" w:sz="0" w:space="0" w:color="auto"/>
            <w:left w:val="none" w:sz="0" w:space="0" w:color="auto"/>
            <w:bottom w:val="none" w:sz="0" w:space="0" w:color="auto"/>
            <w:right w:val="none" w:sz="0" w:space="0" w:color="auto"/>
          </w:divBdr>
        </w:div>
        <w:div w:id="545720343">
          <w:marLeft w:val="274"/>
          <w:marRight w:val="0"/>
          <w:marTop w:val="0"/>
          <w:marBottom w:val="0"/>
          <w:divBdr>
            <w:top w:val="none" w:sz="0" w:space="0" w:color="auto"/>
            <w:left w:val="none" w:sz="0" w:space="0" w:color="auto"/>
            <w:bottom w:val="none" w:sz="0" w:space="0" w:color="auto"/>
            <w:right w:val="none" w:sz="0" w:space="0" w:color="auto"/>
          </w:divBdr>
        </w:div>
        <w:div w:id="549923304">
          <w:marLeft w:val="274"/>
          <w:marRight w:val="0"/>
          <w:marTop w:val="0"/>
          <w:marBottom w:val="0"/>
          <w:divBdr>
            <w:top w:val="none" w:sz="0" w:space="0" w:color="auto"/>
            <w:left w:val="none" w:sz="0" w:space="0" w:color="auto"/>
            <w:bottom w:val="none" w:sz="0" w:space="0" w:color="auto"/>
            <w:right w:val="none" w:sz="0" w:space="0" w:color="auto"/>
          </w:divBdr>
        </w:div>
        <w:div w:id="569272334">
          <w:marLeft w:val="274"/>
          <w:marRight w:val="0"/>
          <w:marTop w:val="0"/>
          <w:marBottom w:val="0"/>
          <w:divBdr>
            <w:top w:val="none" w:sz="0" w:space="0" w:color="auto"/>
            <w:left w:val="none" w:sz="0" w:space="0" w:color="auto"/>
            <w:bottom w:val="none" w:sz="0" w:space="0" w:color="auto"/>
            <w:right w:val="none" w:sz="0" w:space="0" w:color="auto"/>
          </w:divBdr>
        </w:div>
        <w:div w:id="582837496">
          <w:marLeft w:val="274"/>
          <w:marRight w:val="0"/>
          <w:marTop w:val="0"/>
          <w:marBottom w:val="0"/>
          <w:divBdr>
            <w:top w:val="none" w:sz="0" w:space="0" w:color="auto"/>
            <w:left w:val="none" w:sz="0" w:space="0" w:color="auto"/>
            <w:bottom w:val="none" w:sz="0" w:space="0" w:color="auto"/>
            <w:right w:val="none" w:sz="0" w:space="0" w:color="auto"/>
          </w:divBdr>
        </w:div>
        <w:div w:id="614098889">
          <w:marLeft w:val="274"/>
          <w:marRight w:val="0"/>
          <w:marTop w:val="0"/>
          <w:marBottom w:val="0"/>
          <w:divBdr>
            <w:top w:val="none" w:sz="0" w:space="0" w:color="auto"/>
            <w:left w:val="none" w:sz="0" w:space="0" w:color="auto"/>
            <w:bottom w:val="none" w:sz="0" w:space="0" w:color="auto"/>
            <w:right w:val="none" w:sz="0" w:space="0" w:color="auto"/>
          </w:divBdr>
        </w:div>
        <w:div w:id="637107940">
          <w:marLeft w:val="274"/>
          <w:marRight w:val="0"/>
          <w:marTop w:val="60"/>
          <w:marBottom w:val="0"/>
          <w:divBdr>
            <w:top w:val="none" w:sz="0" w:space="0" w:color="auto"/>
            <w:left w:val="none" w:sz="0" w:space="0" w:color="auto"/>
            <w:bottom w:val="none" w:sz="0" w:space="0" w:color="auto"/>
            <w:right w:val="none" w:sz="0" w:space="0" w:color="auto"/>
          </w:divBdr>
        </w:div>
        <w:div w:id="637565722">
          <w:marLeft w:val="274"/>
          <w:marRight w:val="0"/>
          <w:marTop w:val="0"/>
          <w:marBottom w:val="0"/>
          <w:divBdr>
            <w:top w:val="none" w:sz="0" w:space="0" w:color="auto"/>
            <w:left w:val="none" w:sz="0" w:space="0" w:color="auto"/>
            <w:bottom w:val="none" w:sz="0" w:space="0" w:color="auto"/>
            <w:right w:val="none" w:sz="0" w:space="0" w:color="auto"/>
          </w:divBdr>
        </w:div>
        <w:div w:id="711807196">
          <w:marLeft w:val="274"/>
          <w:marRight w:val="0"/>
          <w:marTop w:val="0"/>
          <w:marBottom w:val="0"/>
          <w:divBdr>
            <w:top w:val="none" w:sz="0" w:space="0" w:color="auto"/>
            <w:left w:val="none" w:sz="0" w:space="0" w:color="auto"/>
            <w:bottom w:val="none" w:sz="0" w:space="0" w:color="auto"/>
            <w:right w:val="none" w:sz="0" w:space="0" w:color="auto"/>
          </w:divBdr>
        </w:div>
        <w:div w:id="715934244">
          <w:marLeft w:val="274"/>
          <w:marRight w:val="0"/>
          <w:marTop w:val="0"/>
          <w:marBottom w:val="0"/>
          <w:divBdr>
            <w:top w:val="none" w:sz="0" w:space="0" w:color="auto"/>
            <w:left w:val="none" w:sz="0" w:space="0" w:color="auto"/>
            <w:bottom w:val="none" w:sz="0" w:space="0" w:color="auto"/>
            <w:right w:val="none" w:sz="0" w:space="0" w:color="auto"/>
          </w:divBdr>
        </w:div>
        <w:div w:id="717700973">
          <w:marLeft w:val="274"/>
          <w:marRight w:val="0"/>
          <w:marTop w:val="0"/>
          <w:marBottom w:val="0"/>
          <w:divBdr>
            <w:top w:val="none" w:sz="0" w:space="0" w:color="auto"/>
            <w:left w:val="none" w:sz="0" w:space="0" w:color="auto"/>
            <w:bottom w:val="none" w:sz="0" w:space="0" w:color="auto"/>
            <w:right w:val="none" w:sz="0" w:space="0" w:color="auto"/>
          </w:divBdr>
        </w:div>
        <w:div w:id="719983186">
          <w:marLeft w:val="274"/>
          <w:marRight w:val="0"/>
          <w:marTop w:val="0"/>
          <w:marBottom w:val="0"/>
          <w:divBdr>
            <w:top w:val="none" w:sz="0" w:space="0" w:color="auto"/>
            <w:left w:val="none" w:sz="0" w:space="0" w:color="auto"/>
            <w:bottom w:val="none" w:sz="0" w:space="0" w:color="auto"/>
            <w:right w:val="none" w:sz="0" w:space="0" w:color="auto"/>
          </w:divBdr>
        </w:div>
        <w:div w:id="801117873">
          <w:marLeft w:val="274"/>
          <w:marRight w:val="0"/>
          <w:marTop w:val="0"/>
          <w:marBottom w:val="0"/>
          <w:divBdr>
            <w:top w:val="none" w:sz="0" w:space="0" w:color="auto"/>
            <w:left w:val="none" w:sz="0" w:space="0" w:color="auto"/>
            <w:bottom w:val="none" w:sz="0" w:space="0" w:color="auto"/>
            <w:right w:val="none" w:sz="0" w:space="0" w:color="auto"/>
          </w:divBdr>
        </w:div>
        <w:div w:id="802888260">
          <w:marLeft w:val="274"/>
          <w:marRight w:val="0"/>
          <w:marTop w:val="0"/>
          <w:marBottom w:val="0"/>
          <w:divBdr>
            <w:top w:val="none" w:sz="0" w:space="0" w:color="auto"/>
            <w:left w:val="none" w:sz="0" w:space="0" w:color="auto"/>
            <w:bottom w:val="none" w:sz="0" w:space="0" w:color="auto"/>
            <w:right w:val="none" w:sz="0" w:space="0" w:color="auto"/>
          </w:divBdr>
        </w:div>
        <w:div w:id="854422148">
          <w:marLeft w:val="274"/>
          <w:marRight w:val="0"/>
          <w:marTop w:val="0"/>
          <w:marBottom w:val="0"/>
          <w:divBdr>
            <w:top w:val="none" w:sz="0" w:space="0" w:color="auto"/>
            <w:left w:val="none" w:sz="0" w:space="0" w:color="auto"/>
            <w:bottom w:val="none" w:sz="0" w:space="0" w:color="auto"/>
            <w:right w:val="none" w:sz="0" w:space="0" w:color="auto"/>
          </w:divBdr>
        </w:div>
        <w:div w:id="875895530">
          <w:marLeft w:val="274"/>
          <w:marRight w:val="0"/>
          <w:marTop w:val="0"/>
          <w:marBottom w:val="0"/>
          <w:divBdr>
            <w:top w:val="none" w:sz="0" w:space="0" w:color="auto"/>
            <w:left w:val="none" w:sz="0" w:space="0" w:color="auto"/>
            <w:bottom w:val="none" w:sz="0" w:space="0" w:color="auto"/>
            <w:right w:val="none" w:sz="0" w:space="0" w:color="auto"/>
          </w:divBdr>
        </w:div>
        <w:div w:id="876233029">
          <w:marLeft w:val="274"/>
          <w:marRight w:val="0"/>
          <w:marTop w:val="0"/>
          <w:marBottom w:val="0"/>
          <w:divBdr>
            <w:top w:val="none" w:sz="0" w:space="0" w:color="auto"/>
            <w:left w:val="none" w:sz="0" w:space="0" w:color="auto"/>
            <w:bottom w:val="none" w:sz="0" w:space="0" w:color="auto"/>
            <w:right w:val="none" w:sz="0" w:space="0" w:color="auto"/>
          </w:divBdr>
        </w:div>
        <w:div w:id="914240725">
          <w:marLeft w:val="274"/>
          <w:marRight w:val="0"/>
          <w:marTop w:val="0"/>
          <w:marBottom w:val="0"/>
          <w:divBdr>
            <w:top w:val="none" w:sz="0" w:space="0" w:color="auto"/>
            <w:left w:val="none" w:sz="0" w:space="0" w:color="auto"/>
            <w:bottom w:val="none" w:sz="0" w:space="0" w:color="auto"/>
            <w:right w:val="none" w:sz="0" w:space="0" w:color="auto"/>
          </w:divBdr>
        </w:div>
        <w:div w:id="926185172">
          <w:marLeft w:val="274"/>
          <w:marRight w:val="0"/>
          <w:marTop w:val="0"/>
          <w:marBottom w:val="0"/>
          <w:divBdr>
            <w:top w:val="none" w:sz="0" w:space="0" w:color="auto"/>
            <w:left w:val="none" w:sz="0" w:space="0" w:color="auto"/>
            <w:bottom w:val="none" w:sz="0" w:space="0" w:color="auto"/>
            <w:right w:val="none" w:sz="0" w:space="0" w:color="auto"/>
          </w:divBdr>
        </w:div>
        <w:div w:id="934509900">
          <w:marLeft w:val="274"/>
          <w:marRight w:val="0"/>
          <w:marTop w:val="0"/>
          <w:marBottom w:val="0"/>
          <w:divBdr>
            <w:top w:val="none" w:sz="0" w:space="0" w:color="auto"/>
            <w:left w:val="none" w:sz="0" w:space="0" w:color="auto"/>
            <w:bottom w:val="none" w:sz="0" w:space="0" w:color="auto"/>
            <w:right w:val="none" w:sz="0" w:space="0" w:color="auto"/>
          </w:divBdr>
        </w:div>
        <w:div w:id="941642064">
          <w:marLeft w:val="274"/>
          <w:marRight w:val="0"/>
          <w:marTop w:val="0"/>
          <w:marBottom w:val="0"/>
          <w:divBdr>
            <w:top w:val="none" w:sz="0" w:space="0" w:color="auto"/>
            <w:left w:val="none" w:sz="0" w:space="0" w:color="auto"/>
            <w:bottom w:val="none" w:sz="0" w:space="0" w:color="auto"/>
            <w:right w:val="none" w:sz="0" w:space="0" w:color="auto"/>
          </w:divBdr>
        </w:div>
        <w:div w:id="950479783">
          <w:marLeft w:val="274"/>
          <w:marRight w:val="0"/>
          <w:marTop w:val="0"/>
          <w:marBottom w:val="0"/>
          <w:divBdr>
            <w:top w:val="none" w:sz="0" w:space="0" w:color="auto"/>
            <w:left w:val="none" w:sz="0" w:space="0" w:color="auto"/>
            <w:bottom w:val="none" w:sz="0" w:space="0" w:color="auto"/>
            <w:right w:val="none" w:sz="0" w:space="0" w:color="auto"/>
          </w:divBdr>
        </w:div>
        <w:div w:id="985472066">
          <w:marLeft w:val="274"/>
          <w:marRight w:val="0"/>
          <w:marTop w:val="0"/>
          <w:marBottom w:val="0"/>
          <w:divBdr>
            <w:top w:val="none" w:sz="0" w:space="0" w:color="auto"/>
            <w:left w:val="none" w:sz="0" w:space="0" w:color="auto"/>
            <w:bottom w:val="none" w:sz="0" w:space="0" w:color="auto"/>
            <w:right w:val="none" w:sz="0" w:space="0" w:color="auto"/>
          </w:divBdr>
        </w:div>
        <w:div w:id="1125738478">
          <w:marLeft w:val="274"/>
          <w:marRight w:val="0"/>
          <w:marTop w:val="0"/>
          <w:marBottom w:val="0"/>
          <w:divBdr>
            <w:top w:val="none" w:sz="0" w:space="0" w:color="auto"/>
            <w:left w:val="none" w:sz="0" w:space="0" w:color="auto"/>
            <w:bottom w:val="none" w:sz="0" w:space="0" w:color="auto"/>
            <w:right w:val="none" w:sz="0" w:space="0" w:color="auto"/>
          </w:divBdr>
        </w:div>
        <w:div w:id="1211309782">
          <w:marLeft w:val="274"/>
          <w:marRight w:val="0"/>
          <w:marTop w:val="0"/>
          <w:marBottom w:val="0"/>
          <w:divBdr>
            <w:top w:val="none" w:sz="0" w:space="0" w:color="auto"/>
            <w:left w:val="none" w:sz="0" w:space="0" w:color="auto"/>
            <w:bottom w:val="none" w:sz="0" w:space="0" w:color="auto"/>
            <w:right w:val="none" w:sz="0" w:space="0" w:color="auto"/>
          </w:divBdr>
        </w:div>
        <w:div w:id="1280333138">
          <w:marLeft w:val="274"/>
          <w:marRight w:val="0"/>
          <w:marTop w:val="0"/>
          <w:marBottom w:val="0"/>
          <w:divBdr>
            <w:top w:val="none" w:sz="0" w:space="0" w:color="auto"/>
            <w:left w:val="none" w:sz="0" w:space="0" w:color="auto"/>
            <w:bottom w:val="none" w:sz="0" w:space="0" w:color="auto"/>
            <w:right w:val="none" w:sz="0" w:space="0" w:color="auto"/>
          </w:divBdr>
        </w:div>
        <w:div w:id="1308432567">
          <w:marLeft w:val="274"/>
          <w:marRight w:val="0"/>
          <w:marTop w:val="0"/>
          <w:marBottom w:val="0"/>
          <w:divBdr>
            <w:top w:val="none" w:sz="0" w:space="0" w:color="auto"/>
            <w:left w:val="none" w:sz="0" w:space="0" w:color="auto"/>
            <w:bottom w:val="none" w:sz="0" w:space="0" w:color="auto"/>
            <w:right w:val="none" w:sz="0" w:space="0" w:color="auto"/>
          </w:divBdr>
        </w:div>
        <w:div w:id="1332372078">
          <w:marLeft w:val="274"/>
          <w:marRight w:val="0"/>
          <w:marTop w:val="0"/>
          <w:marBottom w:val="0"/>
          <w:divBdr>
            <w:top w:val="none" w:sz="0" w:space="0" w:color="auto"/>
            <w:left w:val="none" w:sz="0" w:space="0" w:color="auto"/>
            <w:bottom w:val="none" w:sz="0" w:space="0" w:color="auto"/>
            <w:right w:val="none" w:sz="0" w:space="0" w:color="auto"/>
          </w:divBdr>
        </w:div>
        <w:div w:id="1335843503">
          <w:marLeft w:val="274"/>
          <w:marRight w:val="0"/>
          <w:marTop w:val="0"/>
          <w:marBottom w:val="0"/>
          <w:divBdr>
            <w:top w:val="none" w:sz="0" w:space="0" w:color="auto"/>
            <w:left w:val="none" w:sz="0" w:space="0" w:color="auto"/>
            <w:bottom w:val="none" w:sz="0" w:space="0" w:color="auto"/>
            <w:right w:val="none" w:sz="0" w:space="0" w:color="auto"/>
          </w:divBdr>
        </w:div>
        <w:div w:id="1406222967">
          <w:marLeft w:val="274"/>
          <w:marRight w:val="0"/>
          <w:marTop w:val="0"/>
          <w:marBottom w:val="0"/>
          <w:divBdr>
            <w:top w:val="none" w:sz="0" w:space="0" w:color="auto"/>
            <w:left w:val="none" w:sz="0" w:space="0" w:color="auto"/>
            <w:bottom w:val="none" w:sz="0" w:space="0" w:color="auto"/>
            <w:right w:val="none" w:sz="0" w:space="0" w:color="auto"/>
          </w:divBdr>
        </w:div>
        <w:div w:id="1409763575">
          <w:marLeft w:val="274"/>
          <w:marRight w:val="0"/>
          <w:marTop w:val="0"/>
          <w:marBottom w:val="0"/>
          <w:divBdr>
            <w:top w:val="none" w:sz="0" w:space="0" w:color="auto"/>
            <w:left w:val="none" w:sz="0" w:space="0" w:color="auto"/>
            <w:bottom w:val="none" w:sz="0" w:space="0" w:color="auto"/>
            <w:right w:val="none" w:sz="0" w:space="0" w:color="auto"/>
          </w:divBdr>
        </w:div>
        <w:div w:id="1451126414">
          <w:marLeft w:val="274"/>
          <w:marRight w:val="0"/>
          <w:marTop w:val="0"/>
          <w:marBottom w:val="0"/>
          <w:divBdr>
            <w:top w:val="none" w:sz="0" w:space="0" w:color="auto"/>
            <w:left w:val="none" w:sz="0" w:space="0" w:color="auto"/>
            <w:bottom w:val="none" w:sz="0" w:space="0" w:color="auto"/>
            <w:right w:val="none" w:sz="0" w:space="0" w:color="auto"/>
          </w:divBdr>
        </w:div>
        <w:div w:id="1532112817">
          <w:marLeft w:val="274"/>
          <w:marRight w:val="0"/>
          <w:marTop w:val="0"/>
          <w:marBottom w:val="0"/>
          <w:divBdr>
            <w:top w:val="none" w:sz="0" w:space="0" w:color="auto"/>
            <w:left w:val="none" w:sz="0" w:space="0" w:color="auto"/>
            <w:bottom w:val="none" w:sz="0" w:space="0" w:color="auto"/>
            <w:right w:val="none" w:sz="0" w:space="0" w:color="auto"/>
          </w:divBdr>
        </w:div>
        <w:div w:id="1542934016">
          <w:marLeft w:val="274"/>
          <w:marRight w:val="0"/>
          <w:marTop w:val="0"/>
          <w:marBottom w:val="0"/>
          <w:divBdr>
            <w:top w:val="none" w:sz="0" w:space="0" w:color="auto"/>
            <w:left w:val="none" w:sz="0" w:space="0" w:color="auto"/>
            <w:bottom w:val="none" w:sz="0" w:space="0" w:color="auto"/>
            <w:right w:val="none" w:sz="0" w:space="0" w:color="auto"/>
          </w:divBdr>
        </w:div>
        <w:div w:id="1634947528">
          <w:marLeft w:val="274"/>
          <w:marRight w:val="0"/>
          <w:marTop w:val="0"/>
          <w:marBottom w:val="0"/>
          <w:divBdr>
            <w:top w:val="none" w:sz="0" w:space="0" w:color="auto"/>
            <w:left w:val="none" w:sz="0" w:space="0" w:color="auto"/>
            <w:bottom w:val="none" w:sz="0" w:space="0" w:color="auto"/>
            <w:right w:val="none" w:sz="0" w:space="0" w:color="auto"/>
          </w:divBdr>
        </w:div>
        <w:div w:id="1646738717">
          <w:marLeft w:val="274"/>
          <w:marRight w:val="0"/>
          <w:marTop w:val="0"/>
          <w:marBottom w:val="0"/>
          <w:divBdr>
            <w:top w:val="none" w:sz="0" w:space="0" w:color="auto"/>
            <w:left w:val="none" w:sz="0" w:space="0" w:color="auto"/>
            <w:bottom w:val="none" w:sz="0" w:space="0" w:color="auto"/>
            <w:right w:val="none" w:sz="0" w:space="0" w:color="auto"/>
          </w:divBdr>
        </w:div>
        <w:div w:id="1715041529">
          <w:marLeft w:val="274"/>
          <w:marRight w:val="0"/>
          <w:marTop w:val="0"/>
          <w:marBottom w:val="0"/>
          <w:divBdr>
            <w:top w:val="none" w:sz="0" w:space="0" w:color="auto"/>
            <w:left w:val="none" w:sz="0" w:space="0" w:color="auto"/>
            <w:bottom w:val="none" w:sz="0" w:space="0" w:color="auto"/>
            <w:right w:val="none" w:sz="0" w:space="0" w:color="auto"/>
          </w:divBdr>
        </w:div>
        <w:div w:id="1735159439">
          <w:marLeft w:val="274"/>
          <w:marRight w:val="0"/>
          <w:marTop w:val="0"/>
          <w:marBottom w:val="0"/>
          <w:divBdr>
            <w:top w:val="none" w:sz="0" w:space="0" w:color="auto"/>
            <w:left w:val="none" w:sz="0" w:space="0" w:color="auto"/>
            <w:bottom w:val="none" w:sz="0" w:space="0" w:color="auto"/>
            <w:right w:val="none" w:sz="0" w:space="0" w:color="auto"/>
          </w:divBdr>
        </w:div>
        <w:div w:id="1745106712">
          <w:marLeft w:val="274"/>
          <w:marRight w:val="0"/>
          <w:marTop w:val="0"/>
          <w:marBottom w:val="0"/>
          <w:divBdr>
            <w:top w:val="none" w:sz="0" w:space="0" w:color="auto"/>
            <w:left w:val="none" w:sz="0" w:space="0" w:color="auto"/>
            <w:bottom w:val="none" w:sz="0" w:space="0" w:color="auto"/>
            <w:right w:val="none" w:sz="0" w:space="0" w:color="auto"/>
          </w:divBdr>
        </w:div>
        <w:div w:id="1780637769">
          <w:marLeft w:val="274"/>
          <w:marRight w:val="0"/>
          <w:marTop w:val="0"/>
          <w:marBottom w:val="0"/>
          <w:divBdr>
            <w:top w:val="none" w:sz="0" w:space="0" w:color="auto"/>
            <w:left w:val="none" w:sz="0" w:space="0" w:color="auto"/>
            <w:bottom w:val="none" w:sz="0" w:space="0" w:color="auto"/>
            <w:right w:val="none" w:sz="0" w:space="0" w:color="auto"/>
          </w:divBdr>
        </w:div>
        <w:div w:id="1790391945">
          <w:marLeft w:val="274"/>
          <w:marRight w:val="0"/>
          <w:marTop w:val="60"/>
          <w:marBottom w:val="0"/>
          <w:divBdr>
            <w:top w:val="none" w:sz="0" w:space="0" w:color="auto"/>
            <w:left w:val="none" w:sz="0" w:space="0" w:color="auto"/>
            <w:bottom w:val="none" w:sz="0" w:space="0" w:color="auto"/>
            <w:right w:val="none" w:sz="0" w:space="0" w:color="auto"/>
          </w:divBdr>
        </w:div>
        <w:div w:id="1825319603">
          <w:marLeft w:val="274"/>
          <w:marRight w:val="0"/>
          <w:marTop w:val="0"/>
          <w:marBottom w:val="0"/>
          <w:divBdr>
            <w:top w:val="none" w:sz="0" w:space="0" w:color="auto"/>
            <w:left w:val="none" w:sz="0" w:space="0" w:color="auto"/>
            <w:bottom w:val="none" w:sz="0" w:space="0" w:color="auto"/>
            <w:right w:val="none" w:sz="0" w:space="0" w:color="auto"/>
          </w:divBdr>
        </w:div>
        <w:div w:id="1864857506">
          <w:marLeft w:val="274"/>
          <w:marRight w:val="0"/>
          <w:marTop w:val="0"/>
          <w:marBottom w:val="0"/>
          <w:divBdr>
            <w:top w:val="none" w:sz="0" w:space="0" w:color="auto"/>
            <w:left w:val="none" w:sz="0" w:space="0" w:color="auto"/>
            <w:bottom w:val="none" w:sz="0" w:space="0" w:color="auto"/>
            <w:right w:val="none" w:sz="0" w:space="0" w:color="auto"/>
          </w:divBdr>
        </w:div>
        <w:div w:id="1885752269">
          <w:marLeft w:val="274"/>
          <w:marRight w:val="0"/>
          <w:marTop w:val="0"/>
          <w:marBottom w:val="0"/>
          <w:divBdr>
            <w:top w:val="none" w:sz="0" w:space="0" w:color="auto"/>
            <w:left w:val="none" w:sz="0" w:space="0" w:color="auto"/>
            <w:bottom w:val="none" w:sz="0" w:space="0" w:color="auto"/>
            <w:right w:val="none" w:sz="0" w:space="0" w:color="auto"/>
          </w:divBdr>
        </w:div>
        <w:div w:id="1898587179">
          <w:marLeft w:val="274"/>
          <w:marRight w:val="0"/>
          <w:marTop w:val="0"/>
          <w:marBottom w:val="0"/>
          <w:divBdr>
            <w:top w:val="none" w:sz="0" w:space="0" w:color="auto"/>
            <w:left w:val="none" w:sz="0" w:space="0" w:color="auto"/>
            <w:bottom w:val="none" w:sz="0" w:space="0" w:color="auto"/>
            <w:right w:val="none" w:sz="0" w:space="0" w:color="auto"/>
          </w:divBdr>
        </w:div>
        <w:div w:id="1983732745">
          <w:marLeft w:val="274"/>
          <w:marRight w:val="0"/>
          <w:marTop w:val="0"/>
          <w:marBottom w:val="0"/>
          <w:divBdr>
            <w:top w:val="none" w:sz="0" w:space="0" w:color="auto"/>
            <w:left w:val="none" w:sz="0" w:space="0" w:color="auto"/>
            <w:bottom w:val="none" w:sz="0" w:space="0" w:color="auto"/>
            <w:right w:val="none" w:sz="0" w:space="0" w:color="auto"/>
          </w:divBdr>
        </w:div>
        <w:div w:id="2008553227">
          <w:marLeft w:val="274"/>
          <w:marRight w:val="0"/>
          <w:marTop w:val="0"/>
          <w:marBottom w:val="0"/>
          <w:divBdr>
            <w:top w:val="none" w:sz="0" w:space="0" w:color="auto"/>
            <w:left w:val="none" w:sz="0" w:space="0" w:color="auto"/>
            <w:bottom w:val="none" w:sz="0" w:space="0" w:color="auto"/>
            <w:right w:val="none" w:sz="0" w:space="0" w:color="auto"/>
          </w:divBdr>
        </w:div>
        <w:div w:id="2088726434">
          <w:marLeft w:val="274"/>
          <w:marRight w:val="0"/>
          <w:marTop w:val="0"/>
          <w:marBottom w:val="0"/>
          <w:divBdr>
            <w:top w:val="none" w:sz="0" w:space="0" w:color="auto"/>
            <w:left w:val="none" w:sz="0" w:space="0" w:color="auto"/>
            <w:bottom w:val="none" w:sz="0" w:space="0" w:color="auto"/>
            <w:right w:val="none" w:sz="0" w:space="0" w:color="auto"/>
          </w:divBdr>
        </w:div>
        <w:div w:id="2100372436">
          <w:marLeft w:val="274"/>
          <w:marRight w:val="0"/>
          <w:marTop w:val="0"/>
          <w:marBottom w:val="0"/>
          <w:divBdr>
            <w:top w:val="none" w:sz="0" w:space="0" w:color="auto"/>
            <w:left w:val="none" w:sz="0" w:space="0" w:color="auto"/>
            <w:bottom w:val="none" w:sz="0" w:space="0" w:color="auto"/>
            <w:right w:val="none" w:sz="0" w:space="0" w:color="auto"/>
          </w:divBdr>
        </w:div>
        <w:div w:id="2111007448">
          <w:marLeft w:val="274"/>
          <w:marRight w:val="0"/>
          <w:marTop w:val="0"/>
          <w:marBottom w:val="0"/>
          <w:divBdr>
            <w:top w:val="none" w:sz="0" w:space="0" w:color="auto"/>
            <w:left w:val="none" w:sz="0" w:space="0" w:color="auto"/>
            <w:bottom w:val="none" w:sz="0" w:space="0" w:color="auto"/>
            <w:right w:val="none" w:sz="0" w:space="0" w:color="auto"/>
          </w:divBdr>
        </w:div>
        <w:div w:id="2123108605">
          <w:marLeft w:val="274"/>
          <w:marRight w:val="0"/>
          <w:marTop w:val="0"/>
          <w:marBottom w:val="0"/>
          <w:divBdr>
            <w:top w:val="none" w:sz="0" w:space="0" w:color="auto"/>
            <w:left w:val="none" w:sz="0" w:space="0" w:color="auto"/>
            <w:bottom w:val="none" w:sz="0" w:space="0" w:color="auto"/>
            <w:right w:val="none" w:sz="0" w:space="0" w:color="auto"/>
          </w:divBdr>
        </w:div>
      </w:divsChild>
    </w:div>
    <w:div w:id="1062875128">
      <w:bodyDiv w:val="1"/>
      <w:marLeft w:val="0"/>
      <w:marRight w:val="0"/>
      <w:marTop w:val="0"/>
      <w:marBottom w:val="0"/>
      <w:divBdr>
        <w:top w:val="none" w:sz="0" w:space="0" w:color="auto"/>
        <w:left w:val="none" w:sz="0" w:space="0" w:color="auto"/>
        <w:bottom w:val="none" w:sz="0" w:space="0" w:color="auto"/>
        <w:right w:val="none" w:sz="0" w:space="0" w:color="auto"/>
      </w:divBdr>
    </w:div>
    <w:div w:id="1068528543">
      <w:bodyDiv w:val="1"/>
      <w:marLeft w:val="0"/>
      <w:marRight w:val="0"/>
      <w:marTop w:val="0"/>
      <w:marBottom w:val="0"/>
      <w:divBdr>
        <w:top w:val="none" w:sz="0" w:space="0" w:color="auto"/>
        <w:left w:val="none" w:sz="0" w:space="0" w:color="auto"/>
        <w:bottom w:val="none" w:sz="0" w:space="0" w:color="auto"/>
        <w:right w:val="none" w:sz="0" w:space="0" w:color="auto"/>
      </w:divBdr>
    </w:div>
    <w:div w:id="1157648926">
      <w:bodyDiv w:val="1"/>
      <w:marLeft w:val="0"/>
      <w:marRight w:val="0"/>
      <w:marTop w:val="0"/>
      <w:marBottom w:val="0"/>
      <w:divBdr>
        <w:top w:val="none" w:sz="0" w:space="0" w:color="auto"/>
        <w:left w:val="none" w:sz="0" w:space="0" w:color="auto"/>
        <w:bottom w:val="none" w:sz="0" w:space="0" w:color="auto"/>
        <w:right w:val="none" w:sz="0" w:space="0" w:color="auto"/>
      </w:divBdr>
      <w:divsChild>
        <w:div w:id="20013647">
          <w:marLeft w:val="446"/>
          <w:marRight w:val="0"/>
          <w:marTop w:val="0"/>
          <w:marBottom w:val="0"/>
          <w:divBdr>
            <w:top w:val="none" w:sz="0" w:space="0" w:color="auto"/>
            <w:left w:val="none" w:sz="0" w:space="0" w:color="auto"/>
            <w:bottom w:val="none" w:sz="0" w:space="0" w:color="auto"/>
            <w:right w:val="none" w:sz="0" w:space="0" w:color="auto"/>
          </w:divBdr>
        </w:div>
        <w:div w:id="38826511">
          <w:marLeft w:val="446"/>
          <w:marRight w:val="0"/>
          <w:marTop w:val="0"/>
          <w:marBottom w:val="0"/>
          <w:divBdr>
            <w:top w:val="none" w:sz="0" w:space="0" w:color="auto"/>
            <w:left w:val="none" w:sz="0" w:space="0" w:color="auto"/>
            <w:bottom w:val="none" w:sz="0" w:space="0" w:color="auto"/>
            <w:right w:val="none" w:sz="0" w:space="0" w:color="auto"/>
          </w:divBdr>
        </w:div>
        <w:div w:id="69276445">
          <w:marLeft w:val="446"/>
          <w:marRight w:val="0"/>
          <w:marTop w:val="0"/>
          <w:marBottom w:val="0"/>
          <w:divBdr>
            <w:top w:val="none" w:sz="0" w:space="0" w:color="auto"/>
            <w:left w:val="none" w:sz="0" w:space="0" w:color="auto"/>
            <w:bottom w:val="none" w:sz="0" w:space="0" w:color="auto"/>
            <w:right w:val="none" w:sz="0" w:space="0" w:color="auto"/>
          </w:divBdr>
        </w:div>
        <w:div w:id="71852144">
          <w:marLeft w:val="446"/>
          <w:marRight w:val="0"/>
          <w:marTop w:val="0"/>
          <w:marBottom w:val="0"/>
          <w:divBdr>
            <w:top w:val="none" w:sz="0" w:space="0" w:color="auto"/>
            <w:left w:val="none" w:sz="0" w:space="0" w:color="auto"/>
            <w:bottom w:val="none" w:sz="0" w:space="0" w:color="auto"/>
            <w:right w:val="none" w:sz="0" w:space="0" w:color="auto"/>
          </w:divBdr>
        </w:div>
        <w:div w:id="359749503">
          <w:marLeft w:val="446"/>
          <w:marRight w:val="0"/>
          <w:marTop w:val="0"/>
          <w:marBottom w:val="0"/>
          <w:divBdr>
            <w:top w:val="none" w:sz="0" w:space="0" w:color="auto"/>
            <w:left w:val="none" w:sz="0" w:space="0" w:color="auto"/>
            <w:bottom w:val="none" w:sz="0" w:space="0" w:color="auto"/>
            <w:right w:val="none" w:sz="0" w:space="0" w:color="auto"/>
          </w:divBdr>
        </w:div>
        <w:div w:id="530922455">
          <w:marLeft w:val="446"/>
          <w:marRight w:val="0"/>
          <w:marTop w:val="0"/>
          <w:marBottom w:val="0"/>
          <w:divBdr>
            <w:top w:val="none" w:sz="0" w:space="0" w:color="auto"/>
            <w:left w:val="none" w:sz="0" w:space="0" w:color="auto"/>
            <w:bottom w:val="none" w:sz="0" w:space="0" w:color="auto"/>
            <w:right w:val="none" w:sz="0" w:space="0" w:color="auto"/>
          </w:divBdr>
        </w:div>
        <w:div w:id="565578172">
          <w:marLeft w:val="446"/>
          <w:marRight w:val="0"/>
          <w:marTop w:val="0"/>
          <w:marBottom w:val="0"/>
          <w:divBdr>
            <w:top w:val="none" w:sz="0" w:space="0" w:color="auto"/>
            <w:left w:val="none" w:sz="0" w:space="0" w:color="auto"/>
            <w:bottom w:val="none" w:sz="0" w:space="0" w:color="auto"/>
            <w:right w:val="none" w:sz="0" w:space="0" w:color="auto"/>
          </w:divBdr>
        </w:div>
        <w:div w:id="609821459">
          <w:marLeft w:val="446"/>
          <w:marRight w:val="0"/>
          <w:marTop w:val="0"/>
          <w:marBottom w:val="0"/>
          <w:divBdr>
            <w:top w:val="none" w:sz="0" w:space="0" w:color="auto"/>
            <w:left w:val="none" w:sz="0" w:space="0" w:color="auto"/>
            <w:bottom w:val="none" w:sz="0" w:space="0" w:color="auto"/>
            <w:right w:val="none" w:sz="0" w:space="0" w:color="auto"/>
          </w:divBdr>
        </w:div>
        <w:div w:id="626817029">
          <w:marLeft w:val="446"/>
          <w:marRight w:val="0"/>
          <w:marTop w:val="0"/>
          <w:marBottom w:val="0"/>
          <w:divBdr>
            <w:top w:val="none" w:sz="0" w:space="0" w:color="auto"/>
            <w:left w:val="none" w:sz="0" w:space="0" w:color="auto"/>
            <w:bottom w:val="none" w:sz="0" w:space="0" w:color="auto"/>
            <w:right w:val="none" w:sz="0" w:space="0" w:color="auto"/>
          </w:divBdr>
        </w:div>
        <w:div w:id="689796819">
          <w:marLeft w:val="446"/>
          <w:marRight w:val="0"/>
          <w:marTop w:val="0"/>
          <w:marBottom w:val="0"/>
          <w:divBdr>
            <w:top w:val="none" w:sz="0" w:space="0" w:color="auto"/>
            <w:left w:val="none" w:sz="0" w:space="0" w:color="auto"/>
            <w:bottom w:val="none" w:sz="0" w:space="0" w:color="auto"/>
            <w:right w:val="none" w:sz="0" w:space="0" w:color="auto"/>
          </w:divBdr>
        </w:div>
        <w:div w:id="692727103">
          <w:marLeft w:val="446"/>
          <w:marRight w:val="0"/>
          <w:marTop w:val="0"/>
          <w:marBottom w:val="0"/>
          <w:divBdr>
            <w:top w:val="none" w:sz="0" w:space="0" w:color="auto"/>
            <w:left w:val="none" w:sz="0" w:space="0" w:color="auto"/>
            <w:bottom w:val="none" w:sz="0" w:space="0" w:color="auto"/>
            <w:right w:val="none" w:sz="0" w:space="0" w:color="auto"/>
          </w:divBdr>
        </w:div>
        <w:div w:id="693265289">
          <w:marLeft w:val="446"/>
          <w:marRight w:val="0"/>
          <w:marTop w:val="0"/>
          <w:marBottom w:val="0"/>
          <w:divBdr>
            <w:top w:val="none" w:sz="0" w:space="0" w:color="auto"/>
            <w:left w:val="none" w:sz="0" w:space="0" w:color="auto"/>
            <w:bottom w:val="none" w:sz="0" w:space="0" w:color="auto"/>
            <w:right w:val="none" w:sz="0" w:space="0" w:color="auto"/>
          </w:divBdr>
        </w:div>
        <w:div w:id="702361119">
          <w:marLeft w:val="446"/>
          <w:marRight w:val="0"/>
          <w:marTop w:val="0"/>
          <w:marBottom w:val="0"/>
          <w:divBdr>
            <w:top w:val="none" w:sz="0" w:space="0" w:color="auto"/>
            <w:left w:val="none" w:sz="0" w:space="0" w:color="auto"/>
            <w:bottom w:val="none" w:sz="0" w:space="0" w:color="auto"/>
            <w:right w:val="none" w:sz="0" w:space="0" w:color="auto"/>
          </w:divBdr>
        </w:div>
        <w:div w:id="820392732">
          <w:marLeft w:val="446"/>
          <w:marRight w:val="0"/>
          <w:marTop w:val="0"/>
          <w:marBottom w:val="0"/>
          <w:divBdr>
            <w:top w:val="none" w:sz="0" w:space="0" w:color="auto"/>
            <w:left w:val="none" w:sz="0" w:space="0" w:color="auto"/>
            <w:bottom w:val="none" w:sz="0" w:space="0" w:color="auto"/>
            <w:right w:val="none" w:sz="0" w:space="0" w:color="auto"/>
          </w:divBdr>
        </w:div>
        <w:div w:id="908416914">
          <w:marLeft w:val="446"/>
          <w:marRight w:val="0"/>
          <w:marTop w:val="0"/>
          <w:marBottom w:val="0"/>
          <w:divBdr>
            <w:top w:val="none" w:sz="0" w:space="0" w:color="auto"/>
            <w:left w:val="none" w:sz="0" w:space="0" w:color="auto"/>
            <w:bottom w:val="none" w:sz="0" w:space="0" w:color="auto"/>
            <w:right w:val="none" w:sz="0" w:space="0" w:color="auto"/>
          </w:divBdr>
        </w:div>
        <w:div w:id="946621342">
          <w:marLeft w:val="446"/>
          <w:marRight w:val="0"/>
          <w:marTop w:val="0"/>
          <w:marBottom w:val="0"/>
          <w:divBdr>
            <w:top w:val="none" w:sz="0" w:space="0" w:color="auto"/>
            <w:left w:val="none" w:sz="0" w:space="0" w:color="auto"/>
            <w:bottom w:val="none" w:sz="0" w:space="0" w:color="auto"/>
            <w:right w:val="none" w:sz="0" w:space="0" w:color="auto"/>
          </w:divBdr>
        </w:div>
        <w:div w:id="971326696">
          <w:marLeft w:val="446"/>
          <w:marRight w:val="0"/>
          <w:marTop w:val="0"/>
          <w:marBottom w:val="0"/>
          <w:divBdr>
            <w:top w:val="none" w:sz="0" w:space="0" w:color="auto"/>
            <w:left w:val="none" w:sz="0" w:space="0" w:color="auto"/>
            <w:bottom w:val="none" w:sz="0" w:space="0" w:color="auto"/>
            <w:right w:val="none" w:sz="0" w:space="0" w:color="auto"/>
          </w:divBdr>
        </w:div>
        <w:div w:id="1130978465">
          <w:marLeft w:val="446"/>
          <w:marRight w:val="0"/>
          <w:marTop w:val="0"/>
          <w:marBottom w:val="0"/>
          <w:divBdr>
            <w:top w:val="none" w:sz="0" w:space="0" w:color="auto"/>
            <w:left w:val="none" w:sz="0" w:space="0" w:color="auto"/>
            <w:bottom w:val="none" w:sz="0" w:space="0" w:color="auto"/>
            <w:right w:val="none" w:sz="0" w:space="0" w:color="auto"/>
          </w:divBdr>
        </w:div>
        <w:div w:id="1291016722">
          <w:marLeft w:val="446"/>
          <w:marRight w:val="0"/>
          <w:marTop w:val="0"/>
          <w:marBottom w:val="0"/>
          <w:divBdr>
            <w:top w:val="none" w:sz="0" w:space="0" w:color="auto"/>
            <w:left w:val="none" w:sz="0" w:space="0" w:color="auto"/>
            <w:bottom w:val="none" w:sz="0" w:space="0" w:color="auto"/>
            <w:right w:val="none" w:sz="0" w:space="0" w:color="auto"/>
          </w:divBdr>
        </w:div>
        <w:div w:id="1365598473">
          <w:marLeft w:val="446"/>
          <w:marRight w:val="0"/>
          <w:marTop w:val="0"/>
          <w:marBottom w:val="0"/>
          <w:divBdr>
            <w:top w:val="none" w:sz="0" w:space="0" w:color="auto"/>
            <w:left w:val="none" w:sz="0" w:space="0" w:color="auto"/>
            <w:bottom w:val="none" w:sz="0" w:space="0" w:color="auto"/>
            <w:right w:val="none" w:sz="0" w:space="0" w:color="auto"/>
          </w:divBdr>
        </w:div>
        <w:div w:id="1372192906">
          <w:marLeft w:val="446"/>
          <w:marRight w:val="0"/>
          <w:marTop w:val="0"/>
          <w:marBottom w:val="0"/>
          <w:divBdr>
            <w:top w:val="none" w:sz="0" w:space="0" w:color="auto"/>
            <w:left w:val="none" w:sz="0" w:space="0" w:color="auto"/>
            <w:bottom w:val="none" w:sz="0" w:space="0" w:color="auto"/>
            <w:right w:val="none" w:sz="0" w:space="0" w:color="auto"/>
          </w:divBdr>
        </w:div>
        <w:div w:id="1538010429">
          <w:marLeft w:val="446"/>
          <w:marRight w:val="0"/>
          <w:marTop w:val="0"/>
          <w:marBottom w:val="0"/>
          <w:divBdr>
            <w:top w:val="none" w:sz="0" w:space="0" w:color="auto"/>
            <w:left w:val="none" w:sz="0" w:space="0" w:color="auto"/>
            <w:bottom w:val="none" w:sz="0" w:space="0" w:color="auto"/>
            <w:right w:val="none" w:sz="0" w:space="0" w:color="auto"/>
          </w:divBdr>
        </w:div>
        <w:div w:id="1632712937">
          <w:marLeft w:val="446"/>
          <w:marRight w:val="0"/>
          <w:marTop w:val="0"/>
          <w:marBottom w:val="0"/>
          <w:divBdr>
            <w:top w:val="none" w:sz="0" w:space="0" w:color="auto"/>
            <w:left w:val="none" w:sz="0" w:space="0" w:color="auto"/>
            <w:bottom w:val="none" w:sz="0" w:space="0" w:color="auto"/>
            <w:right w:val="none" w:sz="0" w:space="0" w:color="auto"/>
          </w:divBdr>
        </w:div>
        <w:div w:id="1815676116">
          <w:marLeft w:val="446"/>
          <w:marRight w:val="0"/>
          <w:marTop w:val="0"/>
          <w:marBottom w:val="0"/>
          <w:divBdr>
            <w:top w:val="none" w:sz="0" w:space="0" w:color="auto"/>
            <w:left w:val="none" w:sz="0" w:space="0" w:color="auto"/>
            <w:bottom w:val="none" w:sz="0" w:space="0" w:color="auto"/>
            <w:right w:val="none" w:sz="0" w:space="0" w:color="auto"/>
          </w:divBdr>
        </w:div>
        <w:div w:id="1835804022">
          <w:marLeft w:val="446"/>
          <w:marRight w:val="0"/>
          <w:marTop w:val="0"/>
          <w:marBottom w:val="0"/>
          <w:divBdr>
            <w:top w:val="none" w:sz="0" w:space="0" w:color="auto"/>
            <w:left w:val="none" w:sz="0" w:space="0" w:color="auto"/>
            <w:bottom w:val="none" w:sz="0" w:space="0" w:color="auto"/>
            <w:right w:val="none" w:sz="0" w:space="0" w:color="auto"/>
          </w:divBdr>
        </w:div>
        <w:div w:id="2029674980">
          <w:marLeft w:val="446"/>
          <w:marRight w:val="0"/>
          <w:marTop w:val="0"/>
          <w:marBottom w:val="0"/>
          <w:divBdr>
            <w:top w:val="none" w:sz="0" w:space="0" w:color="auto"/>
            <w:left w:val="none" w:sz="0" w:space="0" w:color="auto"/>
            <w:bottom w:val="none" w:sz="0" w:space="0" w:color="auto"/>
            <w:right w:val="none" w:sz="0" w:space="0" w:color="auto"/>
          </w:divBdr>
        </w:div>
        <w:div w:id="2072074116">
          <w:marLeft w:val="446"/>
          <w:marRight w:val="0"/>
          <w:marTop w:val="0"/>
          <w:marBottom w:val="0"/>
          <w:divBdr>
            <w:top w:val="none" w:sz="0" w:space="0" w:color="auto"/>
            <w:left w:val="none" w:sz="0" w:space="0" w:color="auto"/>
            <w:bottom w:val="none" w:sz="0" w:space="0" w:color="auto"/>
            <w:right w:val="none" w:sz="0" w:space="0" w:color="auto"/>
          </w:divBdr>
        </w:div>
        <w:div w:id="2098597203">
          <w:marLeft w:val="446"/>
          <w:marRight w:val="0"/>
          <w:marTop w:val="0"/>
          <w:marBottom w:val="0"/>
          <w:divBdr>
            <w:top w:val="none" w:sz="0" w:space="0" w:color="auto"/>
            <w:left w:val="none" w:sz="0" w:space="0" w:color="auto"/>
            <w:bottom w:val="none" w:sz="0" w:space="0" w:color="auto"/>
            <w:right w:val="none" w:sz="0" w:space="0" w:color="auto"/>
          </w:divBdr>
        </w:div>
      </w:divsChild>
    </w:div>
    <w:div w:id="1238634262">
      <w:bodyDiv w:val="1"/>
      <w:marLeft w:val="0"/>
      <w:marRight w:val="0"/>
      <w:marTop w:val="0"/>
      <w:marBottom w:val="0"/>
      <w:divBdr>
        <w:top w:val="none" w:sz="0" w:space="0" w:color="auto"/>
        <w:left w:val="none" w:sz="0" w:space="0" w:color="auto"/>
        <w:bottom w:val="none" w:sz="0" w:space="0" w:color="auto"/>
        <w:right w:val="none" w:sz="0" w:space="0" w:color="auto"/>
      </w:divBdr>
      <w:divsChild>
        <w:div w:id="960721459">
          <w:marLeft w:val="0"/>
          <w:marRight w:val="0"/>
          <w:marTop w:val="0"/>
          <w:marBottom w:val="0"/>
          <w:divBdr>
            <w:top w:val="none" w:sz="0" w:space="0" w:color="auto"/>
            <w:left w:val="none" w:sz="0" w:space="0" w:color="auto"/>
            <w:bottom w:val="none" w:sz="0" w:space="0" w:color="auto"/>
            <w:right w:val="none" w:sz="0" w:space="0" w:color="auto"/>
          </w:divBdr>
        </w:div>
      </w:divsChild>
    </w:div>
    <w:div w:id="1339848152">
      <w:bodyDiv w:val="1"/>
      <w:marLeft w:val="0"/>
      <w:marRight w:val="0"/>
      <w:marTop w:val="0"/>
      <w:marBottom w:val="0"/>
      <w:divBdr>
        <w:top w:val="none" w:sz="0" w:space="0" w:color="auto"/>
        <w:left w:val="none" w:sz="0" w:space="0" w:color="auto"/>
        <w:bottom w:val="none" w:sz="0" w:space="0" w:color="auto"/>
        <w:right w:val="none" w:sz="0" w:space="0" w:color="auto"/>
      </w:divBdr>
      <w:divsChild>
        <w:div w:id="1148522195">
          <w:marLeft w:val="0"/>
          <w:marRight w:val="0"/>
          <w:marTop w:val="0"/>
          <w:marBottom w:val="0"/>
          <w:divBdr>
            <w:top w:val="none" w:sz="0" w:space="0" w:color="auto"/>
            <w:left w:val="none" w:sz="0" w:space="0" w:color="auto"/>
            <w:bottom w:val="none" w:sz="0" w:space="0" w:color="auto"/>
            <w:right w:val="none" w:sz="0" w:space="0" w:color="auto"/>
          </w:divBdr>
        </w:div>
      </w:divsChild>
    </w:div>
    <w:div w:id="1341275264">
      <w:bodyDiv w:val="1"/>
      <w:marLeft w:val="0"/>
      <w:marRight w:val="0"/>
      <w:marTop w:val="0"/>
      <w:marBottom w:val="0"/>
      <w:divBdr>
        <w:top w:val="none" w:sz="0" w:space="0" w:color="auto"/>
        <w:left w:val="none" w:sz="0" w:space="0" w:color="auto"/>
        <w:bottom w:val="none" w:sz="0" w:space="0" w:color="auto"/>
        <w:right w:val="none" w:sz="0" w:space="0" w:color="auto"/>
      </w:divBdr>
    </w:div>
    <w:div w:id="1386484304">
      <w:bodyDiv w:val="1"/>
      <w:marLeft w:val="0"/>
      <w:marRight w:val="0"/>
      <w:marTop w:val="0"/>
      <w:marBottom w:val="0"/>
      <w:divBdr>
        <w:top w:val="none" w:sz="0" w:space="0" w:color="auto"/>
        <w:left w:val="none" w:sz="0" w:space="0" w:color="auto"/>
        <w:bottom w:val="none" w:sz="0" w:space="0" w:color="auto"/>
        <w:right w:val="none" w:sz="0" w:space="0" w:color="auto"/>
      </w:divBdr>
      <w:divsChild>
        <w:div w:id="919368858">
          <w:marLeft w:val="0"/>
          <w:marRight w:val="0"/>
          <w:marTop w:val="0"/>
          <w:marBottom w:val="0"/>
          <w:divBdr>
            <w:top w:val="none" w:sz="0" w:space="0" w:color="auto"/>
            <w:left w:val="none" w:sz="0" w:space="0" w:color="auto"/>
            <w:bottom w:val="none" w:sz="0" w:space="0" w:color="auto"/>
            <w:right w:val="none" w:sz="0" w:space="0" w:color="auto"/>
          </w:divBdr>
        </w:div>
      </w:divsChild>
    </w:div>
    <w:div w:id="1432777498">
      <w:bodyDiv w:val="1"/>
      <w:marLeft w:val="0"/>
      <w:marRight w:val="0"/>
      <w:marTop w:val="0"/>
      <w:marBottom w:val="0"/>
      <w:divBdr>
        <w:top w:val="none" w:sz="0" w:space="0" w:color="auto"/>
        <w:left w:val="none" w:sz="0" w:space="0" w:color="auto"/>
        <w:bottom w:val="none" w:sz="0" w:space="0" w:color="auto"/>
        <w:right w:val="none" w:sz="0" w:space="0" w:color="auto"/>
      </w:divBdr>
      <w:divsChild>
        <w:div w:id="8876749">
          <w:marLeft w:val="274"/>
          <w:marRight w:val="0"/>
          <w:marTop w:val="0"/>
          <w:marBottom w:val="0"/>
          <w:divBdr>
            <w:top w:val="none" w:sz="0" w:space="0" w:color="auto"/>
            <w:left w:val="none" w:sz="0" w:space="0" w:color="auto"/>
            <w:bottom w:val="none" w:sz="0" w:space="0" w:color="auto"/>
            <w:right w:val="none" w:sz="0" w:space="0" w:color="auto"/>
          </w:divBdr>
        </w:div>
        <w:div w:id="199393220">
          <w:marLeft w:val="274"/>
          <w:marRight w:val="0"/>
          <w:marTop w:val="0"/>
          <w:marBottom w:val="0"/>
          <w:divBdr>
            <w:top w:val="none" w:sz="0" w:space="0" w:color="auto"/>
            <w:left w:val="none" w:sz="0" w:space="0" w:color="auto"/>
            <w:bottom w:val="none" w:sz="0" w:space="0" w:color="auto"/>
            <w:right w:val="none" w:sz="0" w:space="0" w:color="auto"/>
          </w:divBdr>
        </w:div>
      </w:divsChild>
    </w:div>
    <w:div w:id="1450247110">
      <w:bodyDiv w:val="1"/>
      <w:marLeft w:val="0"/>
      <w:marRight w:val="0"/>
      <w:marTop w:val="0"/>
      <w:marBottom w:val="0"/>
      <w:divBdr>
        <w:top w:val="none" w:sz="0" w:space="0" w:color="auto"/>
        <w:left w:val="none" w:sz="0" w:space="0" w:color="auto"/>
        <w:bottom w:val="none" w:sz="0" w:space="0" w:color="auto"/>
        <w:right w:val="none" w:sz="0" w:space="0" w:color="auto"/>
      </w:divBdr>
    </w:div>
    <w:div w:id="1491671890">
      <w:bodyDiv w:val="1"/>
      <w:marLeft w:val="0"/>
      <w:marRight w:val="0"/>
      <w:marTop w:val="0"/>
      <w:marBottom w:val="0"/>
      <w:divBdr>
        <w:top w:val="none" w:sz="0" w:space="0" w:color="auto"/>
        <w:left w:val="none" w:sz="0" w:space="0" w:color="auto"/>
        <w:bottom w:val="none" w:sz="0" w:space="0" w:color="auto"/>
        <w:right w:val="none" w:sz="0" w:space="0" w:color="auto"/>
      </w:divBdr>
    </w:div>
    <w:div w:id="1516770621">
      <w:bodyDiv w:val="1"/>
      <w:marLeft w:val="0"/>
      <w:marRight w:val="0"/>
      <w:marTop w:val="0"/>
      <w:marBottom w:val="0"/>
      <w:divBdr>
        <w:top w:val="none" w:sz="0" w:space="0" w:color="auto"/>
        <w:left w:val="none" w:sz="0" w:space="0" w:color="auto"/>
        <w:bottom w:val="none" w:sz="0" w:space="0" w:color="auto"/>
        <w:right w:val="none" w:sz="0" w:space="0" w:color="auto"/>
      </w:divBdr>
    </w:div>
    <w:div w:id="1536037546">
      <w:bodyDiv w:val="1"/>
      <w:marLeft w:val="0"/>
      <w:marRight w:val="0"/>
      <w:marTop w:val="0"/>
      <w:marBottom w:val="0"/>
      <w:divBdr>
        <w:top w:val="none" w:sz="0" w:space="0" w:color="auto"/>
        <w:left w:val="none" w:sz="0" w:space="0" w:color="auto"/>
        <w:bottom w:val="none" w:sz="0" w:space="0" w:color="auto"/>
        <w:right w:val="none" w:sz="0" w:space="0" w:color="auto"/>
      </w:divBdr>
    </w:div>
    <w:div w:id="1691029622">
      <w:bodyDiv w:val="1"/>
      <w:marLeft w:val="0"/>
      <w:marRight w:val="0"/>
      <w:marTop w:val="0"/>
      <w:marBottom w:val="0"/>
      <w:divBdr>
        <w:top w:val="none" w:sz="0" w:space="0" w:color="auto"/>
        <w:left w:val="none" w:sz="0" w:space="0" w:color="auto"/>
        <w:bottom w:val="none" w:sz="0" w:space="0" w:color="auto"/>
        <w:right w:val="none" w:sz="0" w:space="0" w:color="auto"/>
      </w:divBdr>
    </w:div>
    <w:div w:id="1764064191">
      <w:bodyDiv w:val="1"/>
      <w:marLeft w:val="0"/>
      <w:marRight w:val="0"/>
      <w:marTop w:val="0"/>
      <w:marBottom w:val="0"/>
      <w:divBdr>
        <w:top w:val="none" w:sz="0" w:space="0" w:color="auto"/>
        <w:left w:val="none" w:sz="0" w:space="0" w:color="auto"/>
        <w:bottom w:val="none" w:sz="0" w:space="0" w:color="auto"/>
        <w:right w:val="none" w:sz="0" w:space="0" w:color="auto"/>
      </w:divBdr>
      <w:divsChild>
        <w:div w:id="1088961746">
          <w:marLeft w:val="274"/>
          <w:marRight w:val="0"/>
          <w:marTop w:val="0"/>
          <w:marBottom w:val="0"/>
          <w:divBdr>
            <w:top w:val="none" w:sz="0" w:space="0" w:color="auto"/>
            <w:left w:val="none" w:sz="0" w:space="0" w:color="auto"/>
            <w:bottom w:val="none" w:sz="0" w:space="0" w:color="auto"/>
            <w:right w:val="none" w:sz="0" w:space="0" w:color="auto"/>
          </w:divBdr>
        </w:div>
      </w:divsChild>
    </w:div>
    <w:div w:id="1787191708">
      <w:bodyDiv w:val="1"/>
      <w:marLeft w:val="0"/>
      <w:marRight w:val="0"/>
      <w:marTop w:val="0"/>
      <w:marBottom w:val="0"/>
      <w:divBdr>
        <w:top w:val="none" w:sz="0" w:space="0" w:color="auto"/>
        <w:left w:val="none" w:sz="0" w:space="0" w:color="auto"/>
        <w:bottom w:val="none" w:sz="0" w:space="0" w:color="auto"/>
        <w:right w:val="none" w:sz="0" w:space="0" w:color="auto"/>
      </w:divBdr>
    </w:div>
    <w:div w:id="1925215568">
      <w:bodyDiv w:val="1"/>
      <w:marLeft w:val="0"/>
      <w:marRight w:val="0"/>
      <w:marTop w:val="0"/>
      <w:marBottom w:val="0"/>
      <w:divBdr>
        <w:top w:val="none" w:sz="0" w:space="0" w:color="auto"/>
        <w:left w:val="none" w:sz="0" w:space="0" w:color="auto"/>
        <w:bottom w:val="none" w:sz="0" w:space="0" w:color="auto"/>
        <w:right w:val="none" w:sz="0" w:space="0" w:color="auto"/>
      </w:divBdr>
      <w:divsChild>
        <w:div w:id="1553418792">
          <w:marLeft w:val="0"/>
          <w:marRight w:val="0"/>
          <w:marTop w:val="0"/>
          <w:marBottom w:val="0"/>
          <w:divBdr>
            <w:top w:val="none" w:sz="0" w:space="0" w:color="auto"/>
            <w:left w:val="none" w:sz="0" w:space="0" w:color="auto"/>
            <w:bottom w:val="none" w:sz="0" w:space="0" w:color="auto"/>
            <w:right w:val="none" w:sz="0" w:space="0" w:color="auto"/>
          </w:divBdr>
        </w:div>
      </w:divsChild>
    </w:div>
    <w:div w:id="1983147064">
      <w:bodyDiv w:val="1"/>
      <w:marLeft w:val="0"/>
      <w:marRight w:val="0"/>
      <w:marTop w:val="0"/>
      <w:marBottom w:val="0"/>
      <w:divBdr>
        <w:top w:val="none" w:sz="0" w:space="0" w:color="auto"/>
        <w:left w:val="none" w:sz="0" w:space="0" w:color="auto"/>
        <w:bottom w:val="none" w:sz="0" w:space="0" w:color="auto"/>
        <w:right w:val="none" w:sz="0" w:space="0" w:color="auto"/>
      </w:divBdr>
      <w:divsChild>
        <w:div w:id="1233126310">
          <w:marLeft w:val="360"/>
          <w:marRight w:val="0"/>
          <w:marTop w:val="0"/>
          <w:marBottom w:val="40"/>
          <w:divBdr>
            <w:top w:val="none" w:sz="0" w:space="0" w:color="auto"/>
            <w:left w:val="none" w:sz="0" w:space="0" w:color="auto"/>
            <w:bottom w:val="none" w:sz="0" w:space="0" w:color="auto"/>
            <w:right w:val="none" w:sz="0" w:space="0" w:color="auto"/>
          </w:divBdr>
        </w:div>
      </w:divsChild>
    </w:div>
    <w:div w:id="2011369904">
      <w:bodyDiv w:val="1"/>
      <w:marLeft w:val="0"/>
      <w:marRight w:val="0"/>
      <w:marTop w:val="0"/>
      <w:marBottom w:val="0"/>
      <w:divBdr>
        <w:top w:val="none" w:sz="0" w:space="0" w:color="auto"/>
        <w:left w:val="none" w:sz="0" w:space="0" w:color="auto"/>
        <w:bottom w:val="none" w:sz="0" w:space="0" w:color="auto"/>
        <w:right w:val="none" w:sz="0" w:space="0" w:color="auto"/>
      </w:divBdr>
    </w:div>
    <w:div w:id="2017073154">
      <w:bodyDiv w:val="1"/>
      <w:marLeft w:val="0"/>
      <w:marRight w:val="0"/>
      <w:marTop w:val="0"/>
      <w:marBottom w:val="0"/>
      <w:divBdr>
        <w:top w:val="none" w:sz="0" w:space="0" w:color="auto"/>
        <w:left w:val="none" w:sz="0" w:space="0" w:color="auto"/>
        <w:bottom w:val="none" w:sz="0" w:space="0" w:color="auto"/>
        <w:right w:val="none" w:sz="0" w:space="0" w:color="auto"/>
      </w:divBdr>
      <w:divsChild>
        <w:div w:id="353070247">
          <w:marLeft w:val="274"/>
          <w:marRight w:val="0"/>
          <w:marTop w:val="0"/>
          <w:marBottom w:val="0"/>
          <w:divBdr>
            <w:top w:val="none" w:sz="0" w:space="0" w:color="auto"/>
            <w:left w:val="none" w:sz="0" w:space="0" w:color="auto"/>
            <w:bottom w:val="none" w:sz="0" w:space="0" w:color="auto"/>
            <w:right w:val="none" w:sz="0" w:space="0" w:color="auto"/>
          </w:divBdr>
        </w:div>
        <w:div w:id="749733090">
          <w:marLeft w:val="274"/>
          <w:marRight w:val="0"/>
          <w:marTop w:val="0"/>
          <w:marBottom w:val="0"/>
          <w:divBdr>
            <w:top w:val="none" w:sz="0" w:space="0" w:color="auto"/>
            <w:left w:val="none" w:sz="0" w:space="0" w:color="auto"/>
            <w:bottom w:val="none" w:sz="0" w:space="0" w:color="auto"/>
            <w:right w:val="none" w:sz="0" w:space="0" w:color="auto"/>
          </w:divBdr>
        </w:div>
        <w:div w:id="796416562">
          <w:marLeft w:val="274"/>
          <w:marRight w:val="0"/>
          <w:marTop w:val="0"/>
          <w:marBottom w:val="0"/>
          <w:divBdr>
            <w:top w:val="none" w:sz="0" w:space="0" w:color="auto"/>
            <w:left w:val="none" w:sz="0" w:space="0" w:color="auto"/>
            <w:bottom w:val="none" w:sz="0" w:space="0" w:color="auto"/>
            <w:right w:val="none" w:sz="0" w:space="0" w:color="auto"/>
          </w:divBdr>
        </w:div>
        <w:div w:id="1129737080">
          <w:marLeft w:val="274"/>
          <w:marRight w:val="0"/>
          <w:marTop w:val="0"/>
          <w:marBottom w:val="0"/>
          <w:divBdr>
            <w:top w:val="none" w:sz="0" w:space="0" w:color="auto"/>
            <w:left w:val="none" w:sz="0" w:space="0" w:color="auto"/>
            <w:bottom w:val="none" w:sz="0" w:space="0" w:color="auto"/>
            <w:right w:val="none" w:sz="0" w:space="0" w:color="auto"/>
          </w:divBdr>
        </w:div>
        <w:div w:id="1998221758">
          <w:marLeft w:val="274"/>
          <w:marRight w:val="0"/>
          <w:marTop w:val="0"/>
          <w:marBottom w:val="0"/>
          <w:divBdr>
            <w:top w:val="none" w:sz="0" w:space="0" w:color="auto"/>
            <w:left w:val="none" w:sz="0" w:space="0" w:color="auto"/>
            <w:bottom w:val="none" w:sz="0" w:space="0" w:color="auto"/>
            <w:right w:val="none" w:sz="0" w:space="0" w:color="auto"/>
          </w:divBdr>
        </w:div>
        <w:div w:id="2098474704">
          <w:marLeft w:val="274"/>
          <w:marRight w:val="0"/>
          <w:marTop w:val="0"/>
          <w:marBottom w:val="0"/>
          <w:divBdr>
            <w:top w:val="none" w:sz="0" w:space="0" w:color="auto"/>
            <w:left w:val="none" w:sz="0" w:space="0" w:color="auto"/>
            <w:bottom w:val="none" w:sz="0" w:space="0" w:color="auto"/>
            <w:right w:val="none" w:sz="0" w:space="0" w:color="auto"/>
          </w:divBdr>
        </w:div>
        <w:div w:id="2142113718">
          <w:marLeft w:val="274"/>
          <w:marRight w:val="0"/>
          <w:marTop w:val="0"/>
          <w:marBottom w:val="0"/>
          <w:divBdr>
            <w:top w:val="none" w:sz="0" w:space="0" w:color="auto"/>
            <w:left w:val="none" w:sz="0" w:space="0" w:color="auto"/>
            <w:bottom w:val="none" w:sz="0" w:space="0" w:color="auto"/>
            <w:right w:val="none" w:sz="0" w:space="0" w:color="auto"/>
          </w:divBdr>
        </w:div>
      </w:divsChild>
    </w:div>
    <w:div w:id="2021084028">
      <w:bodyDiv w:val="1"/>
      <w:marLeft w:val="0"/>
      <w:marRight w:val="0"/>
      <w:marTop w:val="0"/>
      <w:marBottom w:val="0"/>
      <w:divBdr>
        <w:top w:val="none" w:sz="0" w:space="0" w:color="auto"/>
        <w:left w:val="none" w:sz="0" w:space="0" w:color="auto"/>
        <w:bottom w:val="none" w:sz="0" w:space="0" w:color="auto"/>
        <w:right w:val="none" w:sz="0" w:space="0" w:color="auto"/>
      </w:divBdr>
    </w:div>
    <w:div w:id="2031713221">
      <w:bodyDiv w:val="1"/>
      <w:marLeft w:val="0"/>
      <w:marRight w:val="0"/>
      <w:marTop w:val="0"/>
      <w:marBottom w:val="0"/>
      <w:divBdr>
        <w:top w:val="none" w:sz="0" w:space="0" w:color="auto"/>
        <w:left w:val="none" w:sz="0" w:space="0" w:color="auto"/>
        <w:bottom w:val="none" w:sz="0" w:space="0" w:color="auto"/>
        <w:right w:val="none" w:sz="0" w:space="0" w:color="auto"/>
      </w:divBdr>
    </w:div>
    <w:div w:id="213321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yperlink" Target="https://www.aihw.gov.au/reports/mothers-babies/australias-mothers-babies-data-visualisations/contents/antenatal-period/antenatal-care" TargetMode="External"/><Relationship Id="rId21" Type="http://schemas.openxmlformats.org/officeDocument/2006/relationships/image" Target="media/image4.emf"/><Relationship Id="rId34" Type="http://schemas.openxmlformats.org/officeDocument/2006/relationships/image" Target="media/image14.jpeg"/><Relationship Id="rId42" Type="http://schemas.openxmlformats.org/officeDocument/2006/relationships/hyperlink" Target="https://www.rte.ie/documents/news/standardsbereavementcarepregnancyloss.pdf" TargetMode="External"/><Relationship Id="rId47" Type="http://schemas.openxmlformats.org/officeDocument/2006/relationships/hyperlink" Target="https://meteor.aihw.gov.au/content/index.phtml/itemId/721201" TargetMode="External"/><Relationship Id="rId50" Type="http://schemas.openxmlformats.org/officeDocument/2006/relationships/hyperlink" Target="https://www.aph.gov.au/Parliamentary_Business/Committees/Senate/Stillbirth_Research_and_Education/Stillbirth/Report/a05" TargetMode="External"/><Relationship Id="rId55" Type="http://schemas.openxmlformats.org/officeDocument/2006/relationships/hyperlink" Target="https://www1.health.gov.au/internet/publications/publishing.nsf/Content/pacd-maternityservicesplan-toc~pacd-maternityservicesplan-chapter15" TargetMode="External"/><Relationship Id="rId63" Type="http://schemas.openxmlformats.org/officeDocument/2006/relationships/hyperlink" Target="https://www.aihw.gov.au/reports-data/population-groups/mothers-babies/glossary" TargetMode="External"/><Relationship Id="rId68" Type="http://schemas.openxmlformats.org/officeDocument/2006/relationships/hyperlink" Target="https://www.health.gov.au/resources/publications/woman-centred-care-strategic-directions-for-australian-maternity-services" TargetMode="External"/><Relationship Id="rId7" Type="http://schemas.openxmlformats.org/officeDocument/2006/relationships/styles" Target="styles.xml"/><Relationship Id="rId71"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yperlink" Target="https://www.aihw.gov.au/reports/mothers-babies/australias-mothers-babies-data-visualisations/contents/antenatal-period/antenatal-care" TargetMode="External"/><Relationship Id="rId45" Type="http://schemas.openxmlformats.org/officeDocument/2006/relationships/hyperlink" Target="https://www1.health.gov.au/internet/publications/publishing.nsf/Content/pacd-maternityservicesplan-toc~pacd-maternityservicesplan-chapter15" TargetMode="External"/><Relationship Id="rId53" Type="http://schemas.openxmlformats.org/officeDocument/2006/relationships/hyperlink" Target="https://www.health.gov.au/resources/publications/woman-centred-care-strategic-directions-for-australian-maternity-services" TargetMode="External"/><Relationship Id="rId58" Type="http://schemas.openxmlformats.org/officeDocument/2006/relationships/hyperlink" Target="https://www.health.gov.au/resources/pregnancy-care-guidelines/glossary" TargetMode="External"/><Relationship Id="rId66" Type="http://schemas.openxmlformats.org/officeDocument/2006/relationships/hyperlink" Target="https://www.aihw.gov.au/reports/mothers-babies/australias-mothers-babies-data-visualisations/contents/antenatal-period/antenatal-care" TargetMode="External"/><Relationship Id="rId7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9.gif"/><Relationship Id="rId36" Type="http://schemas.openxmlformats.org/officeDocument/2006/relationships/image" Target="media/image16.jpeg"/><Relationship Id="rId49" Type="http://schemas.openxmlformats.org/officeDocument/2006/relationships/hyperlink" Target="https://www.health.gov.au/resources/publications/woman-centred-care-strategic-directions-for-australian-maternity-services" TargetMode="External"/><Relationship Id="rId57" Type="http://schemas.openxmlformats.org/officeDocument/2006/relationships/hyperlink" Target="https://www.health.gov.au/resources/publications/woman-centred-care-strategic-directions-for-australian-maternity-services" TargetMode="External"/><Relationship Id="rId61" Type="http://schemas.openxmlformats.org/officeDocument/2006/relationships/hyperlink" Target="https://www.aihw.gov.au/reports-data/population-groups/mothers-babies/glossary"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1.jpeg"/><Relationship Id="rId44" Type="http://schemas.openxmlformats.org/officeDocument/2006/relationships/hyperlink" Target="https://www.cdu.edu.au/mwrc/rise-framework" TargetMode="External"/><Relationship Id="rId52" Type="http://schemas.openxmlformats.org/officeDocument/2006/relationships/hyperlink" Target="https://stillbirthcre.org.au/about-us/our-work/improve/" TargetMode="External"/><Relationship Id="rId60" Type="http://schemas.openxmlformats.org/officeDocument/2006/relationships/hyperlink" Target="https://www.aihw.gov.au/reports-data/population-groups/mothers-babies/glossary" TargetMode="External"/><Relationship Id="rId65" Type="http://schemas.openxmlformats.org/officeDocument/2006/relationships/hyperlink" Target="https://stillbirthcre.org.au/about-us/our-work/the-safer-baby-bundle/"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yperlink" Target="https://www.aihw.gov.au/getmedia/aa54e74a-bda7-4497-93ce-e0010cb66231/aihw-per-108.pdf.aspx?inline=true" TargetMode="External"/><Relationship Id="rId48" Type="http://schemas.openxmlformats.org/officeDocument/2006/relationships/hyperlink" Target="https://www.health.gov.au/resources/publications/woman-centred-care-strategic-directions-for-australian-maternity-services" TargetMode="External"/><Relationship Id="rId56" Type="http://schemas.openxmlformats.org/officeDocument/2006/relationships/hyperlink" Target="https://www.aihw.gov.au/getmedia/4b6ff4e5-f549-42c7-96ac-e6cc221d79b8/aihw-per-115.pdf.aspx" TargetMode="External"/><Relationship Id="rId64" Type="http://schemas.openxmlformats.org/officeDocument/2006/relationships/hyperlink" Target="https://www.thelancet.com/pb/assets/raw/Lancet/stories/series/stillbirths2016-exec-summ.pdf" TargetMode="External"/><Relationship Id="rId69" Type="http://schemas.openxmlformats.org/officeDocument/2006/relationships/image" Target="media/image19.emf"/><Relationship Id="rId8" Type="http://schemas.openxmlformats.org/officeDocument/2006/relationships/settings" Target="settings.xml"/><Relationship Id="rId51" Type="http://schemas.openxmlformats.org/officeDocument/2006/relationships/hyperlink" Target="https://www.health.gov.au/resources/publications/woman-centred-care-strategic-directions-for-australian-maternity-services" TargetMode="External"/><Relationship Id="rId72"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yperlink" Target="https://www.aihw.gov.au/reports/mothers-babies/australias-mothers-babies-data-visualisations/contents/antenatal-period/antenatal-care" TargetMode="External"/><Relationship Id="rId59" Type="http://schemas.openxmlformats.org/officeDocument/2006/relationships/hyperlink" Target="https://www.aihw.gov.au/reports/mothers-babies/australias-mothers-babies-data-visualisations/contents/antenatal-period/antenatal-care" TargetMode="External"/><Relationship Id="rId67" Type="http://schemas.openxmlformats.org/officeDocument/2006/relationships/hyperlink" Target="https://stillbirthcre.org.au/wp-content/uploads/2021/03/Appendix-A-Stillbirth-investigation-Algorithm-1.pdf" TargetMode="External"/><Relationship Id="rId20" Type="http://schemas.openxmlformats.org/officeDocument/2006/relationships/image" Target="media/image3.emf"/><Relationship Id="rId41" Type="http://schemas.openxmlformats.org/officeDocument/2006/relationships/hyperlink" Target="https://ranzcog.edu.au/RANZCOG_SITE/media/RANZCOG-MEDIA/Women%27s%20Health/Statement%20and%20guidelines/Clinical-Obstetrics/Sands-Australian-Principles-of-Bereavement-Care.pdf?ext=.pdf" TargetMode="External"/><Relationship Id="rId54" Type="http://schemas.openxmlformats.org/officeDocument/2006/relationships/hyperlink" Target="https://www.aihw.gov.au/reports/mothers-babies/australias-mothers-babies-data-visualisations/contents/antenatal-period/antenatal-care" TargetMode="External"/><Relationship Id="rId62" Type="http://schemas.openxmlformats.org/officeDocument/2006/relationships/hyperlink" Target="https://www1.health.gov.au/internet/publications/publishing.nsf/Content/pacd-maternityservicesplan-toc~pacd-maternityservicesplan-chapter15" TargetMode="External"/><Relationship Id="rId70" Type="http://schemas.openxmlformats.org/officeDocument/2006/relationships/header" Target="head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na.page\AppData\Roaming\Microsoft\Templates\2%20Report\Report%20template%20-%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5665AC75924558AB9F2796332820A1"/>
        <w:category>
          <w:name w:val="General"/>
          <w:gallery w:val="placeholder"/>
        </w:category>
        <w:types>
          <w:type w:val="bbPlcHdr"/>
        </w:types>
        <w:behaviors>
          <w:behavior w:val="content"/>
        </w:behaviors>
        <w:guid w:val="{5EC9D977-5230-409D-A5BF-C8560E8E47F1}"/>
      </w:docPartPr>
      <w:docPartBody>
        <w:p w:rsidR="00FD3B93" w:rsidRDefault="00FD3B9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___WRD_EMBED_SUB_184">
    <w:charset w:val="00"/>
    <w:family w:val="auto"/>
    <w:pitch w:val="variable"/>
    <w:sig w:usb0="2000020F" w:usb1="00000003" w:usb2="00000000" w:usb3="00000000" w:csb0="00000197"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itka Small">
    <w:panose1 w:val="02000505000000020004"/>
    <w:charset w:val="00"/>
    <w:family w:val="auto"/>
    <w:pitch w:val="variable"/>
    <w:sig w:usb0="A00002EF" w:usb1="4000204B" w:usb2="00000000" w:usb3="00000000" w:csb0="0000019F" w:csb1="00000000"/>
  </w:font>
  <w:font w:name="@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B93"/>
    <w:rsid w:val="0000396A"/>
    <w:rsid w:val="00075ADA"/>
    <w:rsid w:val="00080AD1"/>
    <w:rsid w:val="00102EF5"/>
    <w:rsid w:val="00131D72"/>
    <w:rsid w:val="0015184E"/>
    <w:rsid w:val="00195C3E"/>
    <w:rsid w:val="002042D2"/>
    <w:rsid w:val="00280F0F"/>
    <w:rsid w:val="002A5DCD"/>
    <w:rsid w:val="00321352"/>
    <w:rsid w:val="00325E95"/>
    <w:rsid w:val="003F28C2"/>
    <w:rsid w:val="00431E78"/>
    <w:rsid w:val="00461EC5"/>
    <w:rsid w:val="00520F0B"/>
    <w:rsid w:val="0053743E"/>
    <w:rsid w:val="005626EA"/>
    <w:rsid w:val="00574F74"/>
    <w:rsid w:val="005C3128"/>
    <w:rsid w:val="005D3C0F"/>
    <w:rsid w:val="006268F6"/>
    <w:rsid w:val="006C1D3E"/>
    <w:rsid w:val="006F0E8C"/>
    <w:rsid w:val="00720766"/>
    <w:rsid w:val="0075168D"/>
    <w:rsid w:val="00775119"/>
    <w:rsid w:val="00784463"/>
    <w:rsid w:val="007B6A0B"/>
    <w:rsid w:val="007C3883"/>
    <w:rsid w:val="007C644D"/>
    <w:rsid w:val="0088003C"/>
    <w:rsid w:val="00883C3B"/>
    <w:rsid w:val="008F0037"/>
    <w:rsid w:val="00913E09"/>
    <w:rsid w:val="00943DBA"/>
    <w:rsid w:val="00977126"/>
    <w:rsid w:val="009A629E"/>
    <w:rsid w:val="009C05C4"/>
    <w:rsid w:val="009C6EA9"/>
    <w:rsid w:val="009D0008"/>
    <w:rsid w:val="00A100C7"/>
    <w:rsid w:val="00AC69B7"/>
    <w:rsid w:val="00AD075F"/>
    <w:rsid w:val="00AD7218"/>
    <w:rsid w:val="00AF3499"/>
    <w:rsid w:val="00B631F3"/>
    <w:rsid w:val="00BF0526"/>
    <w:rsid w:val="00C03DE0"/>
    <w:rsid w:val="00C06C14"/>
    <w:rsid w:val="00C112AF"/>
    <w:rsid w:val="00C16EBB"/>
    <w:rsid w:val="00CE418B"/>
    <w:rsid w:val="00CF3761"/>
    <w:rsid w:val="00D53B5C"/>
    <w:rsid w:val="00D715DF"/>
    <w:rsid w:val="00D94496"/>
    <w:rsid w:val="00DD7C14"/>
    <w:rsid w:val="00E2348F"/>
    <w:rsid w:val="00E26D3A"/>
    <w:rsid w:val="00E41508"/>
    <w:rsid w:val="00E84F31"/>
    <w:rsid w:val="00ED65DC"/>
    <w:rsid w:val="00F95560"/>
    <w:rsid w:val="00F972A1"/>
    <w:rsid w:val="00FD3B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fault Theme">
  <a:themeElements>
    <a:clrScheme name="Custom 1">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248EAD4158AE49B2C5B2609986DACF" ma:contentTypeVersion="6" ma:contentTypeDescription="Create a new document." ma:contentTypeScope="" ma:versionID="63debde284d3f2fffdcf8636c0f7807b">
  <xsd:schema xmlns:xsd="http://www.w3.org/2001/XMLSchema" xmlns:xs="http://www.w3.org/2001/XMLSchema" xmlns:p="http://schemas.microsoft.com/office/2006/metadata/properties" xmlns:ns2="ed0e681d-f07d-4fe3-a8c7-4fa07fc047f7" xmlns:ns3="8efa7cf9-b5c9-40ae-8fef-d8b5fa84cb5f" targetNamespace="http://schemas.microsoft.com/office/2006/metadata/properties" ma:root="true" ma:fieldsID="4ac3d5d97e9acd4ac708efd1f2c55d56" ns2:_="" ns3:_="">
    <xsd:import namespace="ed0e681d-f07d-4fe3-a8c7-4fa07fc047f7"/>
    <xsd:import namespace="8efa7cf9-b5c9-40ae-8fef-d8b5fa84cb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e681d-f07d-4fe3-a8c7-4fa07fc04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fa7cf9-b5c9-40ae-8fef-d8b5fa84cb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8efa7cf9-b5c9-40ae-8fef-d8b5fa84cb5f">
      <UserInfo>
        <DisplayName>Tiffany Ayala</DisplayName>
        <AccountId>47</AccountId>
        <AccountType/>
      </UserInfo>
      <UserInfo>
        <DisplayName>Magaly Cortes</DisplayName>
        <AccountId>113</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591FB6-4E2B-4D1D-954B-BEE329BD6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e681d-f07d-4fe3-a8c7-4fa07fc047f7"/>
    <ds:schemaRef ds:uri="8efa7cf9-b5c9-40ae-8fef-d8b5fa84c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8A50A5-A9D9-47DA-A16E-D617A161F77C}">
  <ds:schemaRefs>
    <ds:schemaRef ds:uri="http://schemas.openxmlformats.org/officeDocument/2006/bibliography"/>
  </ds:schemaRefs>
</ds:datastoreItem>
</file>

<file path=customXml/itemProps4.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8efa7cf9-b5c9-40ae-8fef-d8b5fa84cb5f"/>
  </ds:schemaRefs>
</ds:datastoreItem>
</file>

<file path=customXml/itemProps5.xml><?xml version="1.0" encoding="utf-8"?>
<ds:datastoreItem xmlns:ds="http://schemas.openxmlformats.org/officeDocument/2006/customXml" ds:itemID="{D51B4A30-4335-4615-B531-124E826026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 - Portrait.dotm</Template>
  <TotalTime>0</TotalTime>
  <Pages>77</Pages>
  <Words>20450</Words>
  <Characters>116570</Characters>
  <Application>Microsoft Office Word</Application>
  <DocSecurity>4</DocSecurity>
  <Lines>971</Lines>
  <Paragraphs>273</Paragraphs>
  <ScaleCrop>false</ScaleCrop>
  <HeadingPairs>
    <vt:vector size="2" baseType="variant">
      <vt:variant>
        <vt:lpstr>Title</vt:lpstr>
      </vt:variant>
      <vt:variant>
        <vt:i4>1</vt:i4>
      </vt:variant>
    </vt:vector>
  </HeadingPairs>
  <TitlesOfParts>
    <vt:vector size="1" baseType="lpstr">
      <vt:lpstr>National Stillbirth Action and Implementation Plan: Monitoring and Evaluation Framework 2022-2030</vt:lpstr>
    </vt:vector>
  </TitlesOfParts>
  <Company>The Nous Group</Company>
  <LinksUpToDate>false</LinksUpToDate>
  <CharactersWithSpaces>136747</CharactersWithSpaces>
  <SharedDoc>false</SharedDoc>
  <HLinks>
    <vt:vector size="246" baseType="variant">
      <vt:variant>
        <vt:i4>3211378</vt:i4>
      </vt:variant>
      <vt:variant>
        <vt:i4>363</vt:i4>
      </vt:variant>
      <vt:variant>
        <vt:i4>0</vt:i4>
      </vt:variant>
      <vt:variant>
        <vt:i4>5</vt:i4>
      </vt:variant>
      <vt:variant>
        <vt:lpwstr>https://www.health.gov.au/resources/publications/woman-centred-care-strategic-directions-for-australian-maternity-services</vt:lpwstr>
      </vt:variant>
      <vt:variant>
        <vt:lpwstr/>
      </vt:variant>
      <vt:variant>
        <vt:i4>2818089</vt:i4>
      </vt:variant>
      <vt:variant>
        <vt:i4>360</vt:i4>
      </vt:variant>
      <vt:variant>
        <vt:i4>0</vt:i4>
      </vt:variant>
      <vt:variant>
        <vt:i4>5</vt:i4>
      </vt:variant>
      <vt:variant>
        <vt:lpwstr>https://stillbirthcre.org.au/wp-content/uploads/2021/03/Appendix-A-Stillbirth-investigation-Algorithm-1.pdf</vt:lpwstr>
      </vt:variant>
      <vt:variant>
        <vt:lpwstr/>
      </vt:variant>
      <vt:variant>
        <vt:i4>4259852</vt:i4>
      </vt:variant>
      <vt:variant>
        <vt:i4>357</vt:i4>
      </vt:variant>
      <vt:variant>
        <vt:i4>0</vt:i4>
      </vt:variant>
      <vt:variant>
        <vt:i4>5</vt:i4>
      </vt:variant>
      <vt:variant>
        <vt:lpwstr>https://www.aihw.gov.au/reports/mothers-babies/australias-mothers-babies-data-visualisations/contents/antenatal-period/antenatal-care</vt:lpwstr>
      </vt:variant>
      <vt:variant>
        <vt:lpwstr/>
      </vt:variant>
      <vt:variant>
        <vt:i4>5701633</vt:i4>
      </vt:variant>
      <vt:variant>
        <vt:i4>354</vt:i4>
      </vt:variant>
      <vt:variant>
        <vt:i4>0</vt:i4>
      </vt:variant>
      <vt:variant>
        <vt:i4>5</vt:i4>
      </vt:variant>
      <vt:variant>
        <vt:lpwstr>https://stillbirthcre.org.au/about-us/our-work/the-safer-baby-bundle/</vt:lpwstr>
      </vt:variant>
      <vt:variant>
        <vt:lpwstr/>
      </vt:variant>
      <vt:variant>
        <vt:i4>7733302</vt:i4>
      </vt:variant>
      <vt:variant>
        <vt:i4>351</vt:i4>
      </vt:variant>
      <vt:variant>
        <vt:i4>0</vt:i4>
      </vt:variant>
      <vt:variant>
        <vt:i4>5</vt:i4>
      </vt:variant>
      <vt:variant>
        <vt:lpwstr>https://www.thelancet.com/pb/assets/raw/Lancet/stories/series/stillbirths2016-exec-summ.pdf</vt:lpwstr>
      </vt:variant>
      <vt:variant>
        <vt:lpwstr/>
      </vt:variant>
      <vt:variant>
        <vt:i4>3539054</vt:i4>
      </vt:variant>
      <vt:variant>
        <vt:i4>348</vt:i4>
      </vt:variant>
      <vt:variant>
        <vt:i4>0</vt:i4>
      </vt:variant>
      <vt:variant>
        <vt:i4>5</vt:i4>
      </vt:variant>
      <vt:variant>
        <vt:lpwstr>https://www.aihw.gov.au/reports-data/population-groups/mothers-babies/glossary</vt:lpwstr>
      </vt:variant>
      <vt:variant>
        <vt:lpwstr/>
      </vt:variant>
      <vt:variant>
        <vt:i4>6750328</vt:i4>
      </vt:variant>
      <vt:variant>
        <vt:i4>345</vt:i4>
      </vt:variant>
      <vt:variant>
        <vt:i4>0</vt:i4>
      </vt:variant>
      <vt:variant>
        <vt:i4>5</vt:i4>
      </vt:variant>
      <vt:variant>
        <vt:lpwstr>https://www1.health.gov.au/internet/publications/publishing.nsf/Content/pacd-maternityservicesplan-toc~pacd-maternityservicesplan-chapter15</vt:lpwstr>
      </vt:variant>
      <vt:variant>
        <vt:lpwstr/>
      </vt:variant>
      <vt:variant>
        <vt:i4>3539054</vt:i4>
      </vt:variant>
      <vt:variant>
        <vt:i4>342</vt:i4>
      </vt:variant>
      <vt:variant>
        <vt:i4>0</vt:i4>
      </vt:variant>
      <vt:variant>
        <vt:i4>5</vt:i4>
      </vt:variant>
      <vt:variant>
        <vt:lpwstr>https://www.aihw.gov.au/reports-data/population-groups/mothers-babies/glossary</vt:lpwstr>
      </vt:variant>
      <vt:variant>
        <vt:lpwstr/>
      </vt:variant>
      <vt:variant>
        <vt:i4>3539054</vt:i4>
      </vt:variant>
      <vt:variant>
        <vt:i4>339</vt:i4>
      </vt:variant>
      <vt:variant>
        <vt:i4>0</vt:i4>
      </vt:variant>
      <vt:variant>
        <vt:i4>5</vt:i4>
      </vt:variant>
      <vt:variant>
        <vt:lpwstr>https://www.aihw.gov.au/reports-data/population-groups/mothers-babies/glossary</vt:lpwstr>
      </vt:variant>
      <vt:variant>
        <vt:lpwstr/>
      </vt:variant>
      <vt:variant>
        <vt:i4>4259852</vt:i4>
      </vt:variant>
      <vt:variant>
        <vt:i4>336</vt:i4>
      </vt:variant>
      <vt:variant>
        <vt:i4>0</vt:i4>
      </vt:variant>
      <vt:variant>
        <vt:i4>5</vt:i4>
      </vt:variant>
      <vt:variant>
        <vt:lpwstr>https://www.aihw.gov.au/reports/mothers-babies/australias-mothers-babies-data-visualisations/contents/antenatal-period/antenatal-care</vt:lpwstr>
      </vt:variant>
      <vt:variant>
        <vt:lpwstr/>
      </vt:variant>
      <vt:variant>
        <vt:i4>3473530</vt:i4>
      </vt:variant>
      <vt:variant>
        <vt:i4>333</vt:i4>
      </vt:variant>
      <vt:variant>
        <vt:i4>0</vt:i4>
      </vt:variant>
      <vt:variant>
        <vt:i4>5</vt:i4>
      </vt:variant>
      <vt:variant>
        <vt:lpwstr>https://www.health.gov.au/resources/pregnancy-care-guidelines/glossary</vt:lpwstr>
      </vt:variant>
      <vt:variant>
        <vt:lpwstr/>
      </vt:variant>
      <vt:variant>
        <vt:i4>3211378</vt:i4>
      </vt:variant>
      <vt:variant>
        <vt:i4>330</vt:i4>
      </vt:variant>
      <vt:variant>
        <vt:i4>0</vt:i4>
      </vt:variant>
      <vt:variant>
        <vt:i4>5</vt:i4>
      </vt:variant>
      <vt:variant>
        <vt:lpwstr>https://www.health.gov.au/resources/publications/woman-centred-care-strategic-directions-for-australian-maternity-services</vt:lpwstr>
      </vt:variant>
      <vt:variant>
        <vt:lpwstr/>
      </vt:variant>
      <vt:variant>
        <vt:i4>7012385</vt:i4>
      </vt:variant>
      <vt:variant>
        <vt:i4>327</vt:i4>
      </vt:variant>
      <vt:variant>
        <vt:i4>0</vt:i4>
      </vt:variant>
      <vt:variant>
        <vt:i4>5</vt:i4>
      </vt:variant>
      <vt:variant>
        <vt:lpwstr>https://www.aihw.gov.au/getmedia/4b6ff4e5-f549-42c7-96ac-e6cc221d79b8/aihw-per-115.pdf.aspx</vt:lpwstr>
      </vt:variant>
      <vt:variant>
        <vt:lpwstr/>
      </vt:variant>
      <vt:variant>
        <vt:i4>6750328</vt:i4>
      </vt:variant>
      <vt:variant>
        <vt:i4>324</vt:i4>
      </vt:variant>
      <vt:variant>
        <vt:i4>0</vt:i4>
      </vt:variant>
      <vt:variant>
        <vt:i4>5</vt:i4>
      </vt:variant>
      <vt:variant>
        <vt:lpwstr>https://www1.health.gov.au/internet/publications/publishing.nsf/Content/pacd-maternityservicesplan-toc~pacd-maternityservicesplan-chapter15</vt:lpwstr>
      </vt:variant>
      <vt:variant>
        <vt:lpwstr/>
      </vt:variant>
      <vt:variant>
        <vt:i4>4259852</vt:i4>
      </vt:variant>
      <vt:variant>
        <vt:i4>321</vt:i4>
      </vt:variant>
      <vt:variant>
        <vt:i4>0</vt:i4>
      </vt:variant>
      <vt:variant>
        <vt:i4>5</vt:i4>
      </vt:variant>
      <vt:variant>
        <vt:lpwstr>https://www.aihw.gov.au/reports/mothers-babies/australias-mothers-babies-data-visualisations/contents/antenatal-period/antenatal-care</vt:lpwstr>
      </vt:variant>
      <vt:variant>
        <vt:lpwstr/>
      </vt:variant>
      <vt:variant>
        <vt:i4>3211378</vt:i4>
      </vt:variant>
      <vt:variant>
        <vt:i4>318</vt:i4>
      </vt:variant>
      <vt:variant>
        <vt:i4>0</vt:i4>
      </vt:variant>
      <vt:variant>
        <vt:i4>5</vt:i4>
      </vt:variant>
      <vt:variant>
        <vt:lpwstr>https://www.health.gov.au/resources/publications/woman-centred-care-strategic-directions-for-australian-maternity-services</vt:lpwstr>
      </vt:variant>
      <vt:variant>
        <vt:lpwstr/>
      </vt:variant>
      <vt:variant>
        <vt:i4>7012476</vt:i4>
      </vt:variant>
      <vt:variant>
        <vt:i4>315</vt:i4>
      </vt:variant>
      <vt:variant>
        <vt:i4>0</vt:i4>
      </vt:variant>
      <vt:variant>
        <vt:i4>5</vt:i4>
      </vt:variant>
      <vt:variant>
        <vt:lpwstr>https://stillbirthcre.org.au/about-us/our-work/improve/</vt:lpwstr>
      </vt:variant>
      <vt:variant>
        <vt:lpwstr/>
      </vt:variant>
      <vt:variant>
        <vt:i4>3211378</vt:i4>
      </vt:variant>
      <vt:variant>
        <vt:i4>312</vt:i4>
      </vt:variant>
      <vt:variant>
        <vt:i4>0</vt:i4>
      </vt:variant>
      <vt:variant>
        <vt:i4>5</vt:i4>
      </vt:variant>
      <vt:variant>
        <vt:lpwstr>https://www.health.gov.au/resources/publications/woman-centred-care-strategic-directions-for-australian-maternity-services</vt:lpwstr>
      </vt:variant>
      <vt:variant>
        <vt:lpwstr/>
      </vt:variant>
      <vt:variant>
        <vt:i4>6684786</vt:i4>
      </vt:variant>
      <vt:variant>
        <vt:i4>309</vt:i4>
      </vt:variant>
      <vt:variant>
        <vt:i4>0</vt:i4>
      </vt:variant>
      <vt:variant>
        <vt:i4>5</vt:i4>
      </vt:variant>
      <vt:variant>
        <vt:lpwstr>https://www.aph.gov.au/Parliamentary_Business/Committees/Senate/Stillbirth_Research_and_Education/Stillbirth/Report/a05</vt:lpwstr>
      </vt:variant>
      <vt:variant>
        <vt:lpwstr/>
      </vt:variant>
      <vt:variant>
        <vt:i4>3211378</vt:i4>
      </vt:variant>
      <vt:variant>
        <vt:i4>306</vt:i4>
      </vt:variant>
      <vt:variant>
        <vt:i4>0</vt:i4>
      </vt:variant>
      <vt:variant>
        <vt:i4>5</vt:i4>
      </vt:variant>
      <vt:variant>
        <vt:lpwstr>https://www.health.gov.au/resources/publications/woman-centred-care-strategic-directions-for-australian-maternity-services</vt:lpwstr>
      </vt:variant>
      <vt:variant>
        <vt:lpwstr/>
      </vt:variant>
      <vt:variant>
        <vt:i4>3211378</vt:i4>
      </vt:variant>
      <vt:variant>
        <vt:i4>303</vt:i4>
      </vt:variant>
      <vt:variant>
        <vt:i4>0</vt:i4>
      </vt:variant>
      <vt:variant>
        <vt:i4>5</vt:i4>
      </vt:variant>
      <vt:variant>
        <vt:lpwstr>https://www.health.gov.au/resources/publications/woman-centred-care-strategic-directions-for-australian-maternity-services</vt:lpwstr>
      </vt:variant>
      <vt:variant>
        <vt:lpwstr/>
      </vt:variant>
      <vt:variant>
        <vt:i4>655431</vt:i4>
      </vt:variant>
      <vt:variant>
        <vt:i4>300</vt:i4>
      </vt:variant>
      <vt:variant>
        <vt:i4>0</vt:i4>
      </vt:variant>
      <vt:variant>
        <vt:i4>5</vt:i4>
      </vt:variant>
      <vt:variant>
        <vt:lpwstr>https://meteor.aihw.gov.au/content/index.phtml/itemId/721201</vt:lpwstr>
      </vt:variant>
      <vt:variant>
        <vt:lpwstr/>
      </vt:variant>
      <vt:variant>
        <vt:i4>4259852</vt:i4>
      </vt:variant>
      <vt:variant>
        <vt:i4>297</vt:i4>
      </vt:variant>
      <vt:variant>
        <vt:i4>0</vt:i4>
      </vt:variant>
      <vt:variant>
        <vt:i4>5</vt:i4>
      </vt:variant>
      <vt:variant>
        <vt:lpwstr>https://www.aihw.gov.au/reports/mothers-babies/australias-mothers-babies-data-visualisations/contents/antenatal-period/antenatal-care</vt:lpwstr>
      </vt:variant>
      <vt:variant>
        <vt:lpwstr/>
      </vt:variant>
      <vt:variant>
        <vt:i4>6750328</vt:i4>
      </vt:variant>
      <vt:variant>
        <vt:i4>294</vt:i4>
      </vt:variant>
      <vt:variant>
        <vt:i4>0</vt:i4>
      </vt:variant>
      <vt:variant>
        <vt:i4>5</vt:i4>
      </vt:variant>
      <vt:variant>
        <vt:lpwstr>https://www1.health.gov.au/internet/publications/publishing.nsf/Content/pacd-maternityservicesplan-toc~pacd-maternityservicesplan-chapter15</vt:lpwstr>
      </vt:variant>
      <vt:variant>
        <vt:lpwstr/>
      </vt:variant>
      <vt:variant>
        <vt:i4>6750250</vt:i4>
      </vt:variant>
      <vt:variant>
        <vt:i4>291</vt:i4>
      </vt:variant>
      <vt:variant>
        <vt:i4>0</vt:i4>
      </vt:variant>
      <vt:variant>
        <vt:i4>5</vt:i4>
      </vt:variant>
      <vt:variant>
        <vt:lpwstr>https://www.cdu.edu.au/mwrc/rise-framework</vt:lpwstr>
      </vt:variant>
      <vt:variant>
        <vt:lpwstr/>
      </vt:variant>
      <vt:variant>
        <vt:i4>6946938</vt:i4>
      </vt:variant>
      <vt:variant>
        <vt:i4>288</vt:i4>
      </vt:variant>
      <vt:variant>
        <vt:i4>0</vt:i4>
      </vt:variant>
      <vt:variant>
        <vt:i4>5</vt:i4>
      </vt:variant>
      <vt:variant>
        <vt:lpwstr>https://www.aihw.gov.au/getmedia/aa54e74a-bda7-4497-93ce-e0010cb66231/aihw-per-108.pdf.aspx?inline=true</vt:lpwstr>
      </vt:variant>
      <vt:variant>
        <vt:lpwstr/>
      </vt:variant>
      <vt:variant>
        <vt:i4>6946864</vt:i4>
      </vt:variant>
      <vt:variant>
        <vt:i4>285</vt:i4>
      </vt:variant>
      <vt:variant>
        <vt:i4>0</vt:i4>
      </vt:variant>
      <vt:variant>
        <vt:i4>5</vt:i4>
      </vt:variant>
      <vt:variant>
        <vt:lpwstr>https://www.rte.ie/documents/news/standardsbereavementcarepregnancyloss.pdf</vt:lpwstr>
      </vt:variant>
      <vt:variant>
        <vt:lpwstr/>
      </vt:variant>
      <vt:variant>
        <vt:i4>8126483</vt:i4>
      </vt:variant>
      <vt:variant>
        <vt:i4>282</vt:i4>
      </vt:variant>
      <vt:variant>
        <vt:i4>0</vt:i4>
      </vt:variant>
      <vt:variant>
        <vt:i4>5</vt:i4>
      </vt:variant>
      <vt:variant>
        <vt:lpwstr>https://ranzcog.edu.au/RANZCOG_SITE/media/RANZCOG-MEDIA/Women%27s Health/Statement and guidelines/Clinical-Obstetrics/Sands-Australian-Principles-of-Bereavement-Care.pdf?ext=.pdf</vt:lpwstr>
      </vt:variant>
      <vt:variant>
        <vt:lpwstr/>
      </vt:variant>
      <vt:variant>
        <vt:i4>4259852</vt:i4>
      </vt:variant>
      <vt:variant>
        <vt:i4>279</vt:i4>
      </vt:variant>
      <vt:variant>
        <vt:i4>0</vt:i4>
      </vt:variant>
      <vt:variant>
        <vt:i4>5</vt:i4>
      </vt:variant>
      <vt:variant>
        <vt:lpwstr>https://www.aihw.gov.au/reports/mothers-babies/australias-mothers-babies-data-visualisations/contents/antenatal-period/antenatal-care</vt:lpwstr>
      </vt:variant>
      <vt:variant>
        <vt:lpwstr/>
      </vt:variant>
      <vt:variant>
        <vt:i4>4259852</vt:i4>
      </vt:variant>
      <vt:variant>
        <vt:i4>276</vt:i4>
      </vt:variant>
      <vt:variant>
        <vt:i4>0</vt:i4>
      </vt:variant>
      <vt:variant>
        <vt:i4>5</vt:i4>
      </vt:variant>
      <vt:variant>
        <vt:lpwstr>https://www.aihw.gov.au/reports/mothers-babies/australias-mothers-babies-data-visualisations/contents/antenatal-period/antenatal-care</vt:lpwstr>
      </vt:variant>
      <vt:variant>
        <vt:lpwstr/>
      </vt:variant>
      <vt:variant>
        <vt:i4>1114160</vt:i4>
      </vt:variant>
      <vt:variant>
        <vt:i4>62</vt:i4>
      </vt:variant>
      <vt:variant>
        <vt:i4>0</vt:i4>
      </vt:variant>
      <vt:variant>
        <vt:i4>5</vt:i4>
      </vt:variant>
      <vt:variant>
        <vt:lpwstr/>
      </vt:variant>
      <vt:variant>
        <vt:lpwstr>_Toc100155422</vt:lpwstr>
      </vt:variant>
      <vt:variant>
        <vt:i4>1114160</vt:i4>
      </vt:variant>
      <vt:variant>
        <vt:i4>56</vt:i4>
      </vt:variant>
      <vt:variant>
        <vt:i4>0</vt:i4>
      </vt:variant>
      <vt:variant>
        <vt:i4>5</vt:i4>
      </vt:variant>
      <vt:variant>
        <vt:lpwstr/>
      </vt:variant>
      <vt:variant>
        <vt:lpwstr>_Toc100155421</vt:lpwstr>
      </vt:variant>
      <vt:variant>
        <vt:i4>1114160</vt:i4>
      </vt:variant>
      <vt:variant>
        <vt:i4>50</vt:i4>
      </vt:variant>
      <vt:variant>
        <vt:i4>0</vt:i4>
      </vt:variant>
      <vt:variant>
        <vt:i4>5</vt:i4>
      </vt:variant>
      <vt:variant>
        <vt:lpwstr/>
      </vt:variant>
      <vt:variant>
        <vt:lpwstr>_Toc100155420</vt:lpwstr>
      </vt:variant>
      <vt:variant>
        <vt:i4>1179696</vt:i4>
      </vt:variant>
      <vt:variant>
        <vt:i4>44</vt:i4>
      </vt:variant>
      <vt:variant>
        <vt:i4>0</vt:i4>
      </vt:variant>
      <vt:variant>
        <vt:i4>5</vt:i4>
      </vt:variant>
      <vt:variant>
        <vt:lpwstr/>
      </vt:variant>
      <vt:variant>
        <vt:lpwstr>_Toc100155419</vt:lpwstr>
      </vt:variant>
      <vt:variant>
        <vt:i4>1179696</vt:i4>
      </vt:variant>
      <vt:variant>
        <vt:i4>38</vt:i4>
      </vt:variant>
      <vt:variant>
        <vt:i4>0</vt:i4>
      </vt:variant>
      <vt:variant>
        <vt:i4>5</vt:i4>
      </vt:variant>
      <vt:variant>
        <vt:lpwstr/>
      </vt:variant>
      <vt:variant>
        <vt:lpwstr>_Toc100155418</vt:lpwstr>
      </vt:variant>
      <vt:variant>
        <vt:i4>1179696</vt:i4>
      </vt:variant>
      <vt:variant>
        <vt:i4>32</vt:i4>
      </vt:variant>
      <vt:variant>
        <vt:i4>0</vt:i4>
      </vt:variant>
      <vt:variant>
        <vt:i4>5</vt:i4>
      </vt:variant>
      <vt:variant>
        <vt:lpwstr/>
      </vt:variant>
      <vt:variant>
        <vt:lpwstr>_Toc100155417</vt:lpwstr>
      </vt:variant>
      <vt:variant>
        <vt:i4>1179696</vt:i4>
      </vt:variant>
      <vt:variant>
        <vt:i4>26</vt:i4>
      </vt:variant>
      <vt:variant>
        <vt:i4>0</vt:i4>
      </vt:variant>
      <vt:variant>
        <vt:i4>5</vt:i4>
      </vt:variant>
      <vt:variant>
        <vt:lpwstr/>
      </vt:variant>
      <vt:variant>
        <vt:lpwstr>_Toc100155416</vt:lpwstr>
      </vt:variant>
      <vt:variant>
        <vt:i4>1179696</vt:i4>
      </vt:variant>
      <vt:variant>
        <vt:i4>20</vt:i4>
      </vt:variant>
      <vt:variant>
        <vt:i4>0</vt:i4>
      </vt:variant>
      <vt:variant>
        <vt:i4>5</vt:i4>
      </vt:variant>
      <vt:variant>
        <vt:lpwstr/>
      </vt:variant>
      <vt:variant>
        <vt:lpwstr>_Toc100155415</vt:lpwstr>
      </vt:variant>
      <vt:variant>
        <vt:i4>1179696</vt:i4>
      </vt:variant>
      <vt:variant>
        <vt:i4>14</vt:i4>
      </vt:variant>
      <vt:variant>
        <vt:i4>0</vt:i4>
      </vt:variant>
      <vt:variant>
        <vt:i4>5</vt:i4>
      </vt:variant>
      <vt:variant>
        <vt:lpwstr/>
      </vt:variant>
      <vt:variant>
        <vt:lpwstr>_Toc100155414</vt:lpwstr>
      </vt:variant>
      <vt:variant>
        <vt:i4>1179696</vt:i4>
      </vt:variant>
      <vt:variant>
        <vt:i4>8</vt:i4>
      </vt:variant>
      <vt:variant>
        <vt:i4>0</vt:i4>
      </vt:variant>
      <vt:variant>
        <vt:i4>5</vt:i4>
      </vt:variant>
      <vt:variant>
        <vt:lpwstr/>
      </vt:variant>
      <vt:variant>
        <vt:lpwstr>_Toc100155413</vt:lpwstr>
      </vt:variant>
      <vt:variant>
        <vt:i4>1179696</vt:i4>
      </vt:variant>
      <vt:variant>
        <vt:i4>2</vt:i4>
      </vt:variant>
      <vt:variant>
        <vt:i4>0</vt:i4>
      </vt:variant>
      <vt:variant>
        <vt:i4>5</vt:i4>
      </vt:variant>
      <vt:variant>
        <vt:lpwstr/>
      </vt:variant>
      <vt:variant>
        <vt:lpwstr>_Toc100155412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Stillbirth Action and Implementation Plan: Monitoring and Evaluation Framework 2022-2030</dc:title>
  <dc:subject>Pregnancy, Birth and Babies</dc:subject>
  <dc:creator>Australian Government Department of Health and Aged Care</dc:creator>
  <cp:keywords>Pregnancy; Birth; Babies; Stillbirth;</cp:keywords>
  <cp:lastModifiedBy>Department of Health and Aged Care</cp:lastModifiedBy>
  <cp:revision>2</cp:revision>
  <cp:lastPrinted>2022-04-07T01:45:00Z</cp:lastPrinted>
  <dcterms:created xsi:type="dcterms:W3CDTF">2022-12-07T00:11:00Z</dcterms:created>
  <dcterms:modified xsi:type="dcterms:W3CDTF">2022-12-07T00:11:00Z</dcterms:modified>
</cp:coreProperties>
</file>