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508187A1"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3B2238">
        <w:rPr>
          <w:rFonts w:asciiTheme="minorHAnsi" w:hAnsiTheme="minorHAnsi" w:cstheme="minorHAnsi"/>
          <w:b/>
          <w:bCs/>
          <w:noProof/>
          <w:u w:val="single"/>
        </w:rPr>
        <w:t>2</w:t>
      </w:r>
      <w:r w:rsidR="00672E1E">
        <w:rPr>
          <w:rFonts w:asciiTheme="minorHAnsi" w:hAnsiTheme="minorHAnsi" w:cstheme="minorHAnsi"/>
          <w:b/>
          <w:bCs/>
          <w:noProof/>
          <w:u w:val="single"/>
        </w:rPr>
        <w:t>2</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0E4F1F">
        <w:rPr>
          <w:rFonts w:asciiTheme="minorHAnsi" w:hAnsiTheme="minorHAnsi" w:cstheme="minorHAnsi"/>
          <w:b/>
          <w:bCs/>
          <w:noProof/>
          <w:u w:val="single"/>
        </w:rPr>
        <w:t>2</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18487461" w:rsidR="00807835" w:rsidRPr="0088321F" w:rsidRDefault="00672E1E"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17</w:t>
      </w:r>
      <w:r w:rsidR="00433EB5">
        <w:rPr>
          <w:rFonts w:asciiTheme="minorHAnsi" w:hAnsiTheme="minorHAnsi" w:cstheme="minorHAnsi"/>
          <w:sz w:val="24"/>
          <w:szCs w:val="24"/>
          <w:u w:val="single"/>
        </w:rPr>
        <w:t xml:space="preserve"> </w:t>
      </w:r>
      <w:r w:rsidR="00A97013">
        <w:rPr>
          <w:rFonts w:asciiTheme="minorHAnsi" w:hAnsiTheme="minorHAnsi" w:cstheme="minorHAnsi"/>
          <w:sz w:val="24"/>
          <w:szCs w:val="24"/>
          <w:u w:val="single"/>
        </w:rPr>
        <w:t>October</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0E4F1F">
        <w:rPr>
          <w:rFonts w:asciiTheme="minorHAnsi" w:hAnsiTheme="minorHAnsi" w:cstheme="minorHAnsi"/>
          <w:sz w:val="24"/>
          <w:szCs w:val="24"/>
          <w:u w:val="single"/>
        </w:rPr>
        <w:t>2</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30</w:t>
      </w:r>
      <w:r w:rsidR="00A97013">
        <w:rPr>
          <w:rFonts w:asciiTheme="minorHAnsi" w:hAnsiTheme="minorHAnsi" w:cstheme="minorHAnsi"/>
          <w:sz w:val="24"/>
          <w:szCs w:val="24"/>
          <w:u w:val="single"/>
        </w:rPr>
        <w:t xml:space="preserve"> </w:t>
      </w:r>
      <w:r w:rsidR="003B2238">
        <w:rPr>
          <w:rFonts w:asciiTheme="minorHAnsi" w:hAnsiTheme="minorHAnsi" w:cstheme="minorHAnsi"/>
          <w:sz w:val="24"/>
          <w:szCs w:val="24"/>
          <w:u w:val="single"/>
        </w:rPr>
        <w:t>October</w:t>
      </w:r>
      <w:r w:rsidR="00924FC7">
        <w:rPr>
          <w:rFonts w:asciiTheme="minorHAnsi" w:hAnsiTheme="minorHAnsi" w:cstheme="minorHAnsi"/>
          <w:sz w:val="24"/>
          <w:szCs w:val="24"/>
          <w:u w:val="single"/>
        </w:rPr>
        <w:t xml:space="preserve"> 202</w:t>
      </w:r>
      <w:r w:rsidR="00082C5E">
        <w:rPr>
          <w:rFonts w:asciiTheme="minorHAnsi" w:hAnsiTheme="minorHAnsi" w:cstheme="minorHAnsi"/>
          <w:sz w:val="24"/>
          <w:szCs w:val="24"/>
          <w:u w:val="single"/>
        </w:rPr>
        <w:t>2</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2EA5758C" w:rsidR="00064B2A" w:rsidRDefault="00064B2A" w:rsidP="00064B2A">
      <w:pPr>
        <w:autoSpaceDE w:val="0"/>
        <w:autoSpaceDN w:val="0"/>
        <w:rPr>
          <w:rFonts w:asciiTheme="minorHAnsi" w:hAnsiTheme="minorHAnsi" w:cstheme="minorHAnsi"/>
          <w:color w:val="0563C2"/>
          <w:sz w:val="23"/>
          <w:szCs w:val="23"/>
        </w:rPr>
      </w:pPr>
    </w:p>
    <w:p w14:paraId="1C9B3A34" w14:textId="65B0B32E" w:rsidR="00672E1E" w:rsidRPr="00672E1E" w:rsidRDefault="00672E1E" w:rsidP="00064B2A">
      <w:pPr>
        <w:autoSpaceDE w:val="0"/>
        <w:autoSpaceDN w:val="0"/>
        <w:rPr>
          <w:rFonts w:asciiTheme="minorHAnsi" w:hAnsiTheme="minorHAnsi" w:cstheme="minorHAnsi"/>
          <w:b/>
          <w:bCs/>
          <w:color w:val="000000"/>
          <w:u w:val="single"/>
        </w:rPr>
      </w:pPr>
      <w:r w:rsidRPr="00672E1E">
        <w:rPr>
          <w:rFonts w:asciiTheme="minorHAnsi" w:hAnsiTheme="minorHAnsi" w:cstheme="minorHAnsi"/>
          <w:b/>
          <w:bCs/>
          <w:color w:val="000000"/>
          <w:u w:val="single"/>
        </w:rPr>
        <w:t>Legionellosis</w:t>
      </w:r>
    </w:p>
    <w:p w14:paraId="46D6DBBB" w14:textId="77777777" w:rsidR="00672E1E" w:rsidRPr="00672E1E" w:rsidRDefault="00672E1E" w:rsidP="00064B2A">
      <w:pPr>
        <w:autoSpaceDE w:val="0"/>
        <w:autoSpaceDN w:val="0"/>
        <w:rPr>
          <w:rFonts w:asciiTheme="minorHAnsi" w:hAnsiTheme="minorHAnsi" w:cstheme="minorHAnsi"/>
          <w:b/>
          <w:bCs/>
          <w:color w:val="000000"/>
          <w:u w:val="single"/>
        </w:rPr>
      </w:pPr>
    </w:p>
    <w:p w14:paraId="417642EE" w14:textId="77777777" w:rsidR="000A6CB5" w:rsidRPr="00FA31CC" w:rsidRDefault="000A6CB5" w:rsidP="000A6CB5">
      <w:pPr>
        <w:rPr>
          <w:rFonts w:asciiTheme="minorHAnsi" w:hAnsiTheme="minorHAnsi" w:cstheme="minorHAnsi"/>
          <w:color w:val="4472C4"/>
          <w:lang w:eastAsia="en-US"/>
        </w:rPr>
      </w:pPr>
      <w:r w:rsidRPr="00FA31CC">
        <w:rPr>
          <w:rFonts w:asciiTheme="minorHAnsi" w:hAnsiTheme="minorHAnsi" w:cstheme="minorHAnsi"/>
          <w:lang w:eastAsia="en-US"/>
        </w:rPr>
        <w:t xml:space="preserve">In the past 12 months (31 October 2021 – 30 October 2022), there have been 652 cases of legionellosis reported to the National Notifiable Diseases Surveillance System (NNDSS), which is higher than the historical five-year mean (n=460.6). Of the 652 cases, 271 were </w:t>
      </w:r>
      <w:r w:rsidRPr="00FA31CC">
        <w:rPr>
          <w:rFonts w:asciiTheme="minorHAnsi" w:hAnsiTheme="minorHAnsi" w:cstheme="minorHAnsi"/>
          <w:i/>
          <w:iCs/>
          <w:lang w:eastAsia="en-US"/>
        </w:rPr>
        <w:t xml:space="preserve">Legionella pneumophila and 358 were Legionella </w:t>
      </w:r>
      <w:proofErr w:type="spellStart"/>
      <w:r w:rsidRPr="00FA31CC">
        <w:rPr>
          <w:rFonts w:asciiTheme="minorHAnsi" w:hAnsiTheme="minorHAnsi" w:cstheme="minorHAnsi"/>
          <w:i/>
          <w:iCs/>
          <w:lang w:eastAsia="en-US"/>
        </w:rPr>
        <w:t>longbeachae</w:t>
      </w:r>
      <w:proofErr w:type="spellEnd"/>
      <w:r w:rsidRPr="00FA31CC">
        <w:rPr>
          <w:rFonts w:asciiTheme="minorHAnsi" w:hAnsiTheme="minorHAnsi" w:cstheme="minorHAnsi"/>
          <w:lang w:eastAsia="en-US"/>
        </w:rPr>
        <w:t xml:space="preserve">. In the historic five-year mean values, the comparable values are 246.6 </w:t>
      </w:r>
      <w:r w:rsidRPr="00FA31CC">
        <w:rPr>
          <w:rFonts w:asciiTheme="minorHAnsi" w:hAnsiTheme="minorHAnsi" w:cstheme="minorHAnsi"/>
          <w:i/>
          <w:iCs/>
          <w:lang w:eastAsia="en-US"/>
        </w:rPr>
        <w:t>L. pneumophila</w:t>
      </w:r>
      <w:r w:rsidRPr="00FA31CC">
        <w:rPr>
          <w:rFonts w:asciiTheme="minorHAnsi" w:hAnsiTheme="minorHAnsi" w:cstheme="minorHAnsi"/>
          <w:lang w:eastAsia="en-US"/>
        </w:rPr>
        <w:t xml:space="preserve"> and 246.0 </w:t>
      </w:r>
      <w:r w:rsidRPr="00FA31CC">
        <w:rPr>
          <w:rFonts w:asciiTheme="minorHAnsi" w:hAnsiTheme="minorHAnsi" w:cstheme="minorHAnsi"/>
          <w:i/>
          <w:iCs/>
          <w:lang w:eastAsia="en-US"/>
        </w:rPr>
        <w:t xml:space="preserve">L. </w:t>
      </w:r>
      <w:proofErr w:type="spellStart"/>
      <w:r w:rsidRPr="00FA31CC">
        <w:rPr>
          <w:rFonts w:asciiTheme="minorHAnsi" w:hAnsiTheme="minorHAnsi" w:cstheme="minorHAnsi"/>
          <w:i/>
          <w:iCs/>
          <w:lang w:eastAsia="en-US"/>
        </w:rPr>
        <w:t>longbeachae</w:t>
      </w:r>
      <w:proofErr w:type="spellEnd"/>
      <w:r w:rsidRPr="00FA31CC">
        <w:rPr>
          <w:rFonts w:asciiTheme="minorHAnsi" w:hAnsiTheme="minorHAnsi" w:cstheme="minorHAnsi"/>
          <w:lang w:eastAsia="en-US"/>
        </w:rPr>
        <w:t>.</w:t>
      </w:r>
    </w:p>
    <w:p w14:paraId="70F272AF" w14:textId="77777777" w:rsidR="000A6CB5" w:rsidRPr="00FA31CC" w:rsidRDefault="000A6CB5" w:rsidP="000A6CB5">
      <w:pPr>
        <w:rPr>
          <w:rFonts w:asciiTheme="minorHAnsi" w:hAnsiTheme="minorHAnsi" w:cstheme="minorHAnsi"/>
          <w:lang w:eastAsia="en-US"/>
        </w:rPr>
      </w:pPr>
    </w:p>
    <w:p w14:paraId="202695B1" w14:textId="77777777" w:rsidR="000A6CB5" w:rsidRPr="00FA31CC" w:rsidRDefault="000A6CB5" w:rsidP="000A6CB5">
      <w:pPr>
        <w:rPr>
          <w:rFonts w:asciiTheme="minorHAnsi" w:hAnsiTheme="minorHAnsi" w:cstheme="minorHAnsi"/>
          <w:lang w:eastAsia="en-US"/>
        </w:rPr>
      </w:pPr>
      <w:r w:rsidRPr="00FA31CC">
        <w:rPr>
          <w:rFonts w:asciiTheme="minorHAnsi" w:hAnsiTheme="minorHAnsi" w:cstheme="minorHAnsi"/>
          <w:lang w:eastAsia="en-US"/>
        </w:rPr>
        <w:t xml:space="preserve">In the past fortnight (17 October – 30 October) there have been 18 cases of legionellosis, when the 5-yearly average for this fortnight is 21.4 cases.  Of the cases this notified in this fortnight, 6 (33%) were </w:t>
      </w:r>
      <w:r w:rsidRPr="00FA31CC">
        <w:rPr>
          <w:rFonts w:asciiTheme="minorHAnsi" w:hAnsiTheme="minorHAnsi" w:cstheme="minorHAnsi"/>
          <w:i/>
          <w:iCs/>
          <w:lang w:eastAsia="en-US"/>
        </w:rPr>
        <w:t>Legionella pneumophila</w:t>
      </w:r>
      <w:r w:rsidRPr="00FA31CC">
        <w:rPr>
          <w:rFonts w:asciiTheme="minorHAnsi" w:hAnsiTheme="minorHAnsi" w:cstheme="minorHAnsi"/>
          <w:lang w:eastAsia="en-US"/>
        </w:rPr>
        <w:t xml:space="preserve">, 11 (61%) were </w:t>
      </w:r>
      <w:r w:rsidRPr="00FA31CC">
        <w:rPr>
          <w:rFonts w:asciiTheme="minorHAnsi" w:hAnsiTheme="minorHAnsi" w:cstheme="minorHAnsi"/>
          <w:i/>
          <w:iCs/>
          <w:shd w:val="clear" w:color="auto" w:fill="FFFFFF"/>
          <w:lang w:eastAsia="en-US"/>
        </w:rPr>
        <w:t xml:space="preserve">Legionella </w:t>
      </w:r>
      <w:proofErr w:type="spellStart"/>
      <w:r w:rsidRPr="00FA31CC">
        <w:rPr>
          <w:rFonts w:asciiTheme="minorHAnsi" w:hAnsiTheme="minorHAnsi" w:cstheme="minorHAnsi"/>
          <w:i/>
          <w:iCs/>
          <w:lang w:eastAsia="en-US"/>
        </w:rPr>
        <w:t>longbeachae</w:t>
      </w:r>
      <w:proofErr w:type="spellEnd"/>
      <w:r w:rsidRPr="00FA31CC">
        <w:rPr>
          <w:rFonts w:asciiTheme="minorHAnsi" w:hAnsiTheme="minorHAnsi" w:cstheme="minorHAnsi"/>
          <w:lang w:eastAsia="en-US"/>
        </w:rPr>
        <w:t xml:space="preserve"> and 1 (6%) was unknown.  This fortnight had proportionally slightly more </w:t>
      </w:r>
      <w:r w:rsidRPr="00FA31CC">
        <w:rPr>
          <w:rFonts w:asciiTheme="minorHAnsi" w:hAnsiTheme="minorHAnsi" w:cstheme="minorHAnsi"/>
          <w:i/>
          <w:iCs/>
          <w:lang w:eastAsia="en-US"/>
        </w:rPr>
        <w:t xml:space="preserve">Legionella </w:t>
      </w:r>
      <w:proofErr w:type="spellStart"/>
      <w:r w:rsidRPr="00FA31CC">
        <w:rPr>
          <w:rFonts w:asciiTheme="minorHAnsi" w:hAnsiTheme="minorHAnsi" w:cstheme="minorHAnsi"/>
          <w:i/>
          <w:iCs/>
          <w:lang w:eastAsia="en-US"/>
        </w:rPr>
        <w:t>longbeachae</w:t>
      </w:r>
      <w:proofErr w:type="spellEnd"/>
      <w:r w:rsidRPr="00FA31CC">
        <w:rPr>
          <w:rFonts w:asciiTheme="minorHAnsi" w:hAnsiTheme="minorHAnsi" w:cstheme="minorHAnsi"/>
          <w:i/>
          <w:iCs/>
          <w:lang w:eastAsia="en-US"/>
        </w:rPr>
        <w:t xml:space="preserve"> </w:t>
      </w:r>
      <w:r w:rsidRPr="00FA31CC">
        <w:rPr>
          <w:rFonts w:asciiTheme="minorHAnsi" w:hAnsiTheme="minorHAnsi" w:cstheme="minorHAnsi"/>
          <w:lang w:eastAsia="en-US"/>
        </w:rPr>
        <w:t xml:space="preserve">cases than the average proportion of all cases in the last 5 years where </w:t>
      </w:r>
      <w:r w:rsidRPr="00FA31CC">
        <w:rPr>
          <w:rFonts w:asciiTheme="minorHAnsi" w:hAnsiTheme="minorHAnsi" w:cstheme="minorHAnsi"/>
          <w:i/>
          <w:iCs/>
          <w:lang w:eastAsia="en-US"/>
        </w:rPr>
        <w:t xml:space="preserve">L. pneumophila </w:t>
      </w:r>
      <w:r w:rsidRPr="00FA31CC">
        <w:rPr>
          <w:rFonts w:asciiTheme="minorHAnsi" w:hAnsiTheme="minorHAnsi" w:cstheme="minorHAnsi"/>
          <w:lang w:eastAsia="en-US"/>
        </w:rPr>
        <w:t xml:space="preserve">comprised 48.4% of all cases, </w:t>
      </w:r>
      <w:r w:rsidRPr="00FA31CC">
        <w:rPr>
          <w:rFonts w:asciiTheme="minorHAnsi" w:hAnsiTheme="minorHAnsi" w:cstheme="minorHAnsi"/>
          <w:i/>
          <w:iCs/>
          <w:lang w:eastAsia="en-US"/>
        </w:rPr>
        <w:t xml:space="preserve">L. </w:t>
      </w:r>
      <w:proofErr w:type="spellStart"/>
      <w:r w:rsidRPr="00FA31CC">
        <w:rPr>
          <w:rFonts w:asciiTheme="minorHAnsi" w:hAnsiTheme="minorHAnsi" w:cstheme="minorHAnsi"/>
          <w:i/>
          <w:iCs/>
          <w:lang w:eastAsia="en-US"/>
        </w:rPr>
        <w:t>longbeachae</w:t>
      </w:r>
      <w:proofErr w:type="spellEnd"/>
      <w:r w:rsidRPr="00FA31CC">
        <w:rPr>
          <w:rFonts w:asciiTheme="minorHAnsi" w:hAnsiTheme="minorHAnsi" w:cstheme="minorHAnsi"/>
          <w:i/>
          <w:iCs/>
          <w:lang w:eastAsia="en-US"/>
        </w:rPr>
        <w:t xml:space="preserve"> </w:t>
      </w:r>
      <w:r w:rsidRPr="00FA31CC">
        <w:rPr>
          <w:rFonts w:asciiTheme="minorHAnsi" w:hAnsiTheme="minorHAnsi" w:cstheme="minorHAnsi"/>
          <w:lang w:eastAsia="en-US"/>
        </w:rPr>
        <w:t xml:space="preserve">comprised 48.5% of all cases and other serotypes, including an </w:t>
      </w:r>
      <w:proofErr w:type="gramStart"/>
      <w:r w:rsidRPr="00FA31CC">
        <w:rPr>
          <w:rFonts w:asciiTheme="minorHAnsi" w:hAnsiTheme="minorHAnsi" w:cstheme="minorHAnsi"/>
          <w:lang w:eastAsia="en-US"/>
        </w:rPr>
        <w:t>unknowns</w:t>
      </w:r>
      <w:proofErr w:type="gramEnd"/>
      <w:r w:rsidRPr="00FA31CC">
        <w:rPr>
          <w:rFonts w:asciiTheme="minorHAnsi" w:hAnsiTheme="minorHAnsi" w:cstheme="minorHAnsi"/>
          <w:lang w:eastAsia="en-US"/>
        </w:rPr>
        <w:t>, comprised 3.0% of all cases.</w:t>
      </w:r>
    </w:p>
    <w:p w14:paraId="0349735B" w14:textId="77777777" w:rsidR="000A6CB5" w:rsidRPr="00FA31CC" w:rsidRDefault="000A6CB5" w:rsidP="000A6CB5">
      <w:pPr>
        <w:rPr>
          <w:rFonts w:asciiTheme="minorHAnsi" w:hAnsiTheme="minorHAnsi" w:cstheme="minorHAnsi"/>
          <w:lang w:eastAsia="en-US"/>
        </w:rPr>
      </w:pPr>
    </w:p>
    <w:p w14:paraId="33DB2B8C" w14:textId="77777777" w:rsidR="000A6CB5" w:rsidRPr="00FA31CC" w:rsidRDefault="000A6CB5" w:rsidP="000A6CB5">
      <w:pPr>
        <w:rPr>
          <w:rFonts w:asciiTheme="minorHAnsi" w:hAnsiTheme="minorHAnsi" w:cstheme="minorHAnsi"/>
          <w:lang w:eastAsia="en-US"/>
        </w:rPr>
      </w:pPr>
      <w:r w:rsidRPr="00FA31CC">
        <w:rPr>
          <w:rFonts w:asciiTheme="minorHAnsi" w:hAnsiTheme="minorHAnsi" w:cstheme="minorHAnsi"/>
          <w:lang w:eastAsia="en-US"/>
        </w:rPr>
        <w:t xml:space="preserve">The largest proportional increase in cases has come from an increase in </w:t>
      </w:r>
      <w:r w:rsidRPr="00FA31CC">
        <w:rPr>
          <w:rFonts w:asciiTheme="minorHAnsi" w:hAnsiTheme="minorHAnsi" w:cstheme="minorHAnsi"/>
          <w:i/>
          <w:iCs/>
          <w:color w:val="000000"/>
          <w:shd w:val="clear" w:color="auto" w:fill="FFFFFF"/>
          <w:lang w:eastAsia="en-US"/>
        </w:rPr>
        <w:t xml:space="preserve">L. </w:t>
      </w:r>
      <w:proofErr w:type="spellStart"/>
      <w:r w:rsidRPr="00FA31CC">
        <w:rPr>
          <w:rFonts w:asciiTheme="minorHAnsi" w:hAnsiTheme="minorHAnsi" w:cstheme="minorHAnsi"/>
          <w:i/>
          <w:iCs/>
          <w:lang w:eastAsia="en-US"/>
        </w:rPr>
        <w:t>longbeachae</w:t>
      </w:r>
      <w:proofErr w:type="spellEnd"/>
      <w:r w:rsidRPr="00FA31CC">
        <w:rPr>
          <w:rFonts w:asciiTheme="minorHAnsi" w:hAnsiTheme="minorHAnsi" w:cstheme="minorHAnsi"/>
          <w:lang w:eastAsia="en-US"/>
        </w:rPr>
        <w:t xml:space="preserve"> in Queensland.  Queensland has reported nearly three times as many </w:t>
      </w:r>
      <w:r w:rsidRPr="00FA31CC">
        <w:rPr>
          <w:rFonts w:asciiTheme="minorHAnsi" w:hAnsiTheme="minorHAnsi" w:cstheme="minorHAnsi"/>
          <w:i/>
          <w:iCs/>
          <w:lang w:eastAsia="en-US"/>
        </w:rPr>
        <w:t xml:space="preserve">L. </w:t>
      </w:r>
      <w:proofErr w:type="spellStart"/>
      <w:r w:rsidRPr="00FA31CC">
        <w:rPr>
          <w:rFonts w:asciiTheme="minorHAnsi" w:hAnsiTheme="minorHAnsi" w:cstheme="minorHAnsi"/>
          <w:i/>
          <w:iCs/>
          <w:lang w:eastAsia="en-US"/>
        </w:rPr>
        <w:t>longbeachae</w:t>
      </w:r>
      <w:proofErr w:type="spellEnd"/>
      <w:r w:rsidRPr="00FA31CC">
        <w:rPr>
          <w:rFonts w:asciiTheme="minorHAnsi" w:hAnsiTheme="minorHAnsi" w:cstheme="minorHAnsi"/>
          <w:i/>
          <w:iCs/>
          <w:lang w:eastAsia="en-US"/>
        </w:rPr>
        <w:t xml:space="preserve"> </w:t>
      </w:r>
      <w:r w:rsidRPr="00FA31CC">
        <w:rPr>
          <w:rFonts w:asciiTheme="minorHAnsi" w:hAnsiTheme="minorHAnsi" w:cstheme="minorHAnsi"/>
          <w:lang w:eastAsia="en-US"/>
        </w:rPr>
        <w:t xml:space="preserve">cases this year (90 cases), compared to a 5-year mean (32.0 cases).  </w:t>
      </w:r>
      <w:r w:rsidRPr="00FA31CC">
        <w:rPr>
          <w:rFonts w:asciiTheme="minorHAnsi" w:hAnsiTheme="minorHAnsi" w:cstheme="minorHAnsi"/>
          <w:i/>
          <w:iCs/>
          <w:lang w:eastAsia="en-US"/>
        </w:rPr>
        <w:t xml:space="preserve">L. pneumophila </w:t>
      </w:r>
      <w:r w:rsidRPr="00FA31CC">
        <w:rPr>
          <w:rFonts w:asciiTheme="minorHAnsi" w:hAnsiTheme="minorHAnsi" w:cstheme="minorHAnsi"/>
          <w:lang w:eastAsia="en-US"/>
        </w:rPr>
        <w:t xml:space="preserve">cases in Queensland this year (25 cases) have decreased slightly from the 5-year mean (31.0 cases). New South Wales has also reported 21% more cases of legionellosis this year (205 cases) than the 5-year mean (168.6 cases), though the increase in cases in New South Wales is consistent across both </w:t>
      </w:r>
      <w:r w:rsidRPr="00FA31CC">
        <w:rPr>
          <w:rFonts w:asciiTheme="minorHAnsi" w:hAnsiTheme="minorHAnsi" w:cstheme="minorHAnsi"/>
          <w:i/>
          <w:iCs/>
          <w:color w:val="000000"/>
          <w:shd w:val="clear" w:color="auto" w:fill="FFFFFF"/>
          <w:lang w:eastAsia="en-US"/>
        </w:rPr>
        <w:t xml:space="preserve">L. </w:t>
      </w:r>
      <w:proofErr w:type="spellStart"/>
      <w:r w:rsidRPr="00FA31CC">
        <w:rPr>
          <w:rFonts w:asciiTheme="minorHAnsi" w:hAnsiTheme="minorHAnsi" w:cstheme="minorHAnsi"/>
          <w:i/>
          <w:iCs/>
          <w:lang w:eastAsia="en-US"/>
        </w:rPr>
        <w:t>longbeachae</w:t>
      </w:r>
      <w:proofErr w:type="spellEnd"/>
      <w:r w:rsidRPr="00FA31CC">
        <w:rPr>
          <w:rFonts w:asciiTheme="minorHAnsi" w:hAnsiTheme="minorHAnsi" w:cstheme="minorHAnsi"/>
          <w:i/>
          <w:iCs/>
          <w:lang w:eastAsia="en-US"/>
        </w:rPr>
        <w:t xml:space="preserve"> </w:t>
      </w:r>
      <w:r w:rsidRPr="00FA31CC">
        <w:rPr>
          <w:rFonts w:asciiTheme="minorHAnsi" w:hAnsiTheme="minorHAnsi" w:cstheme="minorHAnsi"/>
          <w:lang w:eastAsia="en-US"/>
        </w:rPr>
        <w:t>(24% increase from the 5-year mean) and</w:t>
      </w:r>
      <w:r w:rsidRPr="00FA31CC">
        <w:rPr>
          <w:rFonts w:asciiTheme="minorHAnsi" w:hAnsiTheme="minorHAnsi" w:cstheme="minorHAnsi"/>
          <w:i/>
          <w:iCs/>
          <w:lang w:eastAsia="en-US"/>
        </w:rPr>
        <w:t xml:space="preserve"> L. pneumophila </w:t>
      </w:r>
      <w:r w:rsidRPr="00FA31CC">
        <w:rPr>
          <w:rFonts w:asciiTheme="minorHAnsi" w:hAnsiTheme="minorHAnsi" w:cstheme="minorHAnsi"/>
          <w:lang w:eastAsia="en-US"/>
        </w:rPr>
        <w:t>(19% increase from the 5-year mean).  No outbreaks have been identified.</w:t>
      </w:r>
    </w:p>
    <w:p w14:paraId="22A90F0C" w14:textId="43A5D962" w:rsidR="0021612C" w:rsidRDefault="0021612C"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88321F">
        <w:rPr>
          <w:rFonts w:asciiTheme="minorHAnsi" w:hAnsiTheme="minorHAnsi" w:cstheme="minorHAnsi"/>
          <w:i/>
          <w:color w:val="000000"/>
          <w:sz w:val="16"/>
          <w:szCs w:val="16"/>
        </w:rPr>
        <w:t>365 day</w:t>
      </w:r>
      <w:proofErr w:type="gramEnd"/>
      <w:r w:rsidRPr="0088321F">
        <w:rPr>
          <w:rFonts w:asciiTheme="minorHAnsi" w:hAnsiTheme="minorHAnsi" w:cstheme="minorHAnsi"/>
          <w:i/>
          <w:color w:val="000000"/>
          <w:sz w:val="16"/>
          <w:szCs w:val="16"/>
        </w:rPr>
        <w:t xml:space="preserve">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27E99B9F"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672E1E">
        <w:rPr>
          <w:rFonts w:asciiTheme="minorHAnsi" w:hAnsiTheme="minorHAnsi" w:cstheme="minorHAnsi"/>
          <w:i/>
          <w:sz w:val="16"/>
          <w:szCs w:val="16"/>
        </w:rPr>
        <w:t>23</w:t>
      </w:r>
      <w:r w:rsidR="0081611F" w:rsidRPr="0088321F">
        <w:rPr>
          <w:rFonts w:asciiTheme="minorHAnsi" w:hAnsiTheme="minorHAnsi" w:cstheme="minorHAnsi"/>
          <w:i/>
          <w:sz w:val="16"/>
          <w:szCs w:val="16"/>
        </w:rPr>
        <w:t>/</w:t>
      </w:r>
      <w:r w:rsidR="006553DE">
        <w:rPr>
          <w:rFonts w:asciiTheme="minorHAnsi" w:hAnsiTheme="minorHAnsi" w:cstheme="minorHAnsi"/>
          <w:i/>
          <w:sz w:val="16"/>
          <w:szCs w:val="16"/>
        </w:rPr>
        <w:t>0</w:t>
      </w:r>
      <w:r w:rsidR="003B2238">
        <w:rPr>
          <w:rFonts w:asciiTheme="minorHAnsi" w:hAnsiTheme="minorHAnsi" w:cstheme="minorHAnsi"/>
          <w:i/>
          <w:sz w:val="16"/>
          <w:szCs w:val="16"/>
        </w:rPr>
        <w:t>7</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6553DE">
        <w:rPr>
          <w:rFonts w:asciiTheme="minorHAnsi" w:hAnsiTheme="minorHAnsi" w:cstheme="minorHAnsi"/>
          <w:i/>
          <w:sz w:val="16"/>
          <w:szCs w:val="16"/>
        </w:rPr>
        <w:t>2</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672E1E">
        <w:rPr>
          <w:rFonts w:asciiTheme="minorHAnsi" w:hAnsiTheme="minorHAnsi" w:cstheme="minorHAnsi"/>
          <w:i/>
          <w:sz w:val="16"/>
          <w:szCs w:val="16"/>
        </w:rPr>
        <w:t>30</w:t>
      </w:r>
      <w:r w:rsidR="00270632" w:rsidRPr="0088321F">
        <w:rPr>
          <w:rFonts w:asciiTheme="minorHAnsi" w:hAnsiTheme="minorHAnsi" w:cstheme="minorHAnsi"/>
          <w:i/>
          <w:sz w:val="16"/>
          <w:szCs w:val="16"/>
        </w:rPr>
        <w:t>/</w:t>
      </w:r>
      <w:r w:rsidR="003B2238">
        <w:rPr>
          <w:rFonts w:asciiTheme="minorHAnsi" w:hAnsiTheme="minorHAnsi" w:cstheme="minorHAnsi"/>
          <w:i/>
          <w:sz w:val="16"/>
          <w:szCs w:val="16"/>
        </w:rPr>
        <w:t>10</w:t>
      </w:r>
      <w:r w:rsidR="009C1059">
        <w:rPr>
          <w:rFonts w:asciiTheme="minorHAnsi" w:hAnsiTheme="minorHAnsi" w:cstheme="minorHAnsi"/>
          <w:i/>
          <w:sz w:val="16"/>
          <w:szCs w:val="16"/>
        </w:rPr>
        <w:t>/202</w:t>
      </w:r>
      <w:r w:rsidR="00082C5E">
        <w:rPr>
          <w:rFonts w:asciiTheme="minorHAnsi" w:hAnsiTheme="minorHAnsi" w:cstheme="minorHAnsi"/>
          <w:i/>
          <w:sz w:val="16"/>
          <w:szCs w:val="16"/>
        </w:rPr>
        <w:t>2</w:t>
      </w:r>
      <w:r w:rsidR="00777AAA" w:rsidRPr="0088321F">
        <w:rPr>
          <w:rFonts w:asciiTheme="minorHAnsi" w:hAnsiTheme="minorHAnsi" w:cstheme="minorHAnsi"/>
          <w:i/>
          <w:sz w:val="16"/>
          <w:szCs w:val="16"/>
        </w:rPr>
        <w:t>).</w:t>
      </w:r>
    </w:p>
    <w:p w14:paraId="38B56901" w14:textId="1E7EB8EF"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672E1E">
        <w:rPr>
          <w:rFonts w:asciiTheme="minorHAnsi" w:hAnsiTheme="minorHAnsi" w:cstheme="minorHAnsi"/>
          <w:i/>
          <w:sz w:val="16"/>
          <w:szCs w:val="16"/>
        </w:rPr>
        <w:t>30</w:t>
      </w:r>
      <w:r w:rsidR="00270632" w:rsidRPr="0088321F">
        <w:rPr>
          <w:rFonts w:asciiTheme="minorHAnsi" w:hAnsiTheme="minorHAnsi" w:cstheme="minorHAnsi"/>
          <w:i/>
          <w:sz w:val="16"/>
          <w:szCs w:val="16"/>
        </w:rPr>
        <w:t>/</w:t>
      </w:r>
      <w:r w:rsidR="003B2238">
        <w:rPr>
          <w:rFonts w:asciiTheme="minorHAnsi" w:hAnsiTheme="minorHAnsi" w:cstheme="minorHAnsi"/>
          <w:i/>
          <w:sz w:val="16"/>
          <w:szCs w:val="16"/>
        </w:rPr>
        <w:t>10</w:t>
      </w:r>
      <w:r w:rsidR="00735187">
        <w:rPr>
          <w:rFonts w:asciiTheme="minorHAnsi" w:hAnsiTheme="minorHAnsi" w:cstheme="minorHAnsi"/>
          <w:i/>
          <w:sz w:val="16"/>
          <w:szCs w:val="16"/>
        </w:rPr>
        <w:t>/202</w:t>
      </w:r>
      <w:r w:rsidR="00082C5E">
        <w:rPr>
          <w:rFonts w:asciiTheme="minorHAnsi" w:hAnsiTheme="minorHAnsi" w:cstheme="minorHAnsi"/>
          <w:i/>
          <w:sz w:val="16"/>
          <w:szCs w:val="16"/>
        </w:rPr>
        <w:t>2</w:t>
      </w:r>
      <w:r w:rsidRPr="0088321F">
        <w:rPr>
          <w:rFonts w:asciiTheme="minorHAnsi" w:hAnsiTheme="minorHAnsi" w:cstheme="minorHAnsi"/>
          <w:i/>
          <w:sz w:val="16"/>
          <w:szCs w:val="16"/>
        </w:rPr>
        <w:t xml:space="preserve">.  The ratio is the notification activity in the past quarter (90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228A0A61" w14:textId="62132B4D"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672E1E">
        <w:rPr>
          <w:rFonts w:asciiTheme="minorHAnsi" w:hAnsiTheme="minorHAnsi" w:cstheme="minorHAnsi"/>
          <w:i/>
          <w:sz w:val="16"/>
          <w:szCs w:val="16"/>
        </w:rPr>
        <w:t>31</w:t>
      </w:r>
      <w:r w:rsidR="00421F52" w:rsidRPr="0088321F">
        <w:rPr>
          <w:rFonts w:asciiTheme="minorHAnsi" w:hAnsiTheme="minorHAnsi" w:cstheme="minorHAnsi"/>
          <w:i/>
          <w:sz w:val="16"/>
          <w:szCs w:val="16"/>
        </w:rPr>
        <w:t>/</w:t>
      </w:r>
      <w:r w:rsidR="003B2238">
        <w:rPr>
          <w:rFonts w:asciiTheme="minorHAnsi" w:hAnsiTheme="minorHAnsi" w:cstheme="minorHAnsi"/>
          <w:i/>
          <w:sz w:val="16"/>
          <w:szCs w:val="16"/>
        </w:rPr>
        <w:t>10</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082C5E">
        <w:rPr>
          <w:rFonts w:asciiTheme="minorHAnsi" w:hAnsiTheme="minorHAnsi" w:cstheme="minorHAnsi"/>
          <w:i/>
          <w:sz w:val="16"/>
          <w:szCs w:val="16"/>
        </w:rPr>
        <w:t>1</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672E1E">
        <w:rPr>
          <w:rFonts w:asciiTheme="minorHAnsi" w:hAnsiTheme="minorHAnsi" w:cstheme="minorHAnsi"/>
          <w:i/>
          <w:sz w:val="16"/>
          <w:szCs w:val="16"/>
        </w:rPr>
        <w:t>30</w:t>
      </w:r>
      <w:r w:rsidR="00270632" w:rsidRPr="0088321F">
        <w:rPr>
          <w:rFonts w:asciiTheme="minorHAnsi" w:hAnsiTheme="minorHAnsi" w:cstheme="minorHAnsi"/>
          <w:i/>
          <w:sz w:val="16"/>
          <w:szCs w:val="16"/>
        </w:rPr>
        <w:t>/</w:t>
      </w:r>
      <w:r w:rsidR="003B2238">
        <w:rPr>
          <w:rFonts w:asciiTheme="minorHAnsi" w:hAnsiTheme="minorHAnsi" w:cstheme="minorHAnsi"/>
          <w:i/>
          <w:sz w:val="16"/>
          <w:szCs w:val="16"/>
        </w:rPr>
        <w:t>10</w:t>
      </w:r>
      <w:r w:rsidR="009C1059">
        <w:rPr>
          <w:rFonts w:asciiTheme="minorHAnsi" w:hAnsiTheme="minorHAnsi" w:cstheme="minorHAnsi"/>
          <w:i/>
          <w:sz w:val="16"/>
          <w:szCs w:val="16"/>
        </w:rPr>
        <w:t>/202</w:t>
      </w:r>
      <w:r w:rsidR="00082C5E">
        <w:rPr>
          <w:rFonts w:asciiTheme="minorHAnsi" w:hAnsiTheme="minorHAnsi" w:cstheme="minorHAnsi"/>
          <w:i/>
          <w:sz w:val="16"/>
          <w:szCs w:val="16"/>
        </w:rPr>
        <w:t>2</w:t>
      </w:r>
      <w:r w:rsidR="002C38A0" w:rsidRPr="0088321F">
        <w:rPr>
          <w:rFonts w:asciiTheme="minorHAnsi" w:hAnsiTheme="minorHAnsi" w:cstheme="minorHAnsi"/>
          <w:i/>
          <w:sz w:val="16"/>
          <w:szCs w:val="16"/>
        </w:rPr>
        <w:t>).</w:t>
      </w:r>
    </w:p>
    <w:p w14:paraId="24BCFBDD" w14:textId="64F5357A"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 xml:space="preserve">5 intervals of 365 days up to </w:t>
      </w:r>
      <w:r w:rsidR="00672E1E">
        <w:rPr>
          <w:rFonts w:asciiTheme="minorHAnsi" w:hAnsiTheme="minorHAnsi" w:cstheme="minorHAnsi"/>
          <w:i/>
          <w:sz w:val="16"/>
          <w:szCs w:val="16"/>
        </w:rPr>
        <w:t>30</w:t>
      </w:r>
      <w:r w:rsidR="00FB7FEB">
        <w:rPr>
          <w:rFonts w:asciiTheme="minorHAnsi" w:hAnsiTheme="minorHAnsi" w:cstheme="minorHAnsi"/>
          <w:i/>
          <w:sz w:val="16"/>
          <w:szCs w:val="16"/>
        </w:rPr>
        <w:t>/</w:t>
      </w:r>
      <w:r w:rsidR="003B2238">
        <w:rPr>
          <w:rFonts w:asciiTheme="minorHAnsi" w:hAnsiTheme="minorHAnsi" w:cstheme="minorHAnsi"/>
          <w:i/>
          <w:sz w:val="16"/>
          <w:szCs w:val="16"/>
        </w:rPr>
        <w:t>10</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082C5E">
        <w:rPr>
          <w:rFonts w:asciiTheme="minorHAnsi" w:hAnsiTheme="minorHAnsi" w:cstheme="minorHAnsi"/>
          <w:i/>
          <w:sz w:val="16"/>
          <w:szCs w:val="16"/>
        </w:rPr>
        <w:t>2</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 xml:space="preserve">The ratio is the notification activity in the past year (365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932"/>
    <w:rsid w:val="00581DBA"/>
    <w:rsid w:val="00582555"/>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4F54"/>
    <w:rsid w:val="00C354D2"/>
    <w:rsid w:val="00C37502"/>
    <w:rsid w:val="00C37A92"/>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E66E4"/>
    <w:rsid w:val="00FF029A"/>
    <w:rsid w:val="00FF1467"/>
    <w:rsid w:val="00FF27AB"/>
    <w:rsid w:val="00FF281A"/>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758</Words>
  <Characters>4501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National Notifiable Diseases Surveillance System (NNDSS) fortnightly reports – 17 to 30 October 2022</vt:lpstr>
    </vt:vector>
  </TitlesOfParts>
  <Company/>
  <LinksUpToDate>false</LinksUpToDate>
  <CharactersWithSpaces>5249</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Notifiable Diseases Surveillance System (NNDSS) fortnightly reports – 17 to 30 October 2022</dc:title>
  <dc:subject>Communicable Diseases; National Notifiable Diseases Surveillance System (NNDSS)</dc:subject>
  <dc:creator>Department of Health and Aged Care</dc:creator>
  <cp:keywords>Communicable Diseases; National Notifiable Diseases Surveillance System (NNDSS)</cp:keywords>
  <cp:lastModifiedBy>HAMLEY, Erynn</cp:lastModifiedBy>
  <cp:revision>2</cp:revision>
  <cp:lastPrinted>2021-04-13T23:49:00Z</cp:lastPrinted>
  <dcterms:created xsi:type="dcterms:W3CDTF">2022-12-01T23:28:00Z</dcterms:created>
  <dcterms:modified xsi:type="dcterms:W3CDTF">2022-12-01T23:28:00Z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