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241B" w14:textId="3929C1F7" w:rsidR="00807835" w:rsidRPr="005B66A6" w:rsidRDefault="00B254A9" w:rsidP="005B66A6">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5B66A6">
        <w:t>National Communicable Diseases Surveillance Report</w:t>
      </w:r>
      <w:r w:rsidR="005B66A6">
        <w:t xml:space="preserve"> </w:t>
      </w:r>
      <w:r w:rsidR="00807835" w:rsidRPr="005B66A6">
        <w:t xml:space="preserve">Fortnight </w:t>
      </w:r>
      <w:r w:rsidR="003B2238" w:rsidRPr="005B66A6">
        <w:t>2</w:t>
      </w:r>
      <w:r w:rsidR="00126C55" w:rsidRPr="005B66A6">
        <w:t>4</w:t>
      </w:r>
      <w:r w:rsidR="00F816D5" w:rsidRPr="005B66A6">
        <w:t>,</w:t>
      </w:r>
      <w:r w:rsidR="003D48B5" w:rsidRPr="005B66A6">
        <w:t xml:space="preserve"> </w:t>
      </w:r>
      <w:r w:rsidR="00924FC7" w:rsidRPr="005B66A6">
        <w:t>202</w:t>
      </w:r>
      <w:r w:rsidR="000E4F1F" w:rsidRPr="005B66A6">
        <w:t>2</w:t>
      </w:r>
      <w:r w:rsidR="00031B33" w:rsidRPr="005B66A6">
        <w:t xml:space="preserve"> </w:t>
      </w:r>
      <w:r w:rsidR="00807835" w:rsidRPr="005B66A6">
        <w:t>Summary Notes</w:t>
      </w:r>
      <w:r w:rsidR="00EB26EC" w:rsidRPr="005B66A6">
        <w:t xml:space="preserve"> for Selected Diseases</w:t>
      </w:r>
      <w:r w:rsidR="005B66A6">
        <w:t xml:space="preserve"> </w:t>
      </w:r>
      <w:r w:rsidR="00126C55" w:rsidRPr="005B66A6">
        <w:t>14</w:t>
      </w:r>
      <w:r w:rsidR="00433EB5" w:rsidRPr="005B66A6">
        <w:t xml:space="preserve"> </w:t>
      </w:r>
      <w:r w:rsidR="00126C55" w:rsidRPr="005B66A6">
        <w:t>November</w:t>
      </w:r>
      <w:r w:rsidR="00433EB5" w:rsidRPr="005B66A6">
        <w:t xml:space="preserve"> </w:t>
      </w:r>
      <w:r w:rsidR="00082C5E" w:rsidRPr="005B66A6">
        <w:t>202</w:t>
      </w:r>
      <w:r w:rsidR="000E4F1F" w:rsidRPr="005B66A6">
        <w:t>2</w:t>
      </w:r>
      <w:r w:rsidR="0082527C" w:rsidRPr="005B66A6">
        <w:t xml:space="preserve"> </w:t>
      </w:r>
      <w:r w:rsidR="00CA37B4" w:rsidRPr="005B66A6">
        <w:t xml:space="preserve">to </w:t>
      </w:r>
      <w:r w:rsidR="00126C55" w:rsidRPr="005B66A6">
        <w:t>27</w:t>
      </w:r>
      <w:r w:rsidR="00A97013" w:rsidRPr="005B66A6">
        <w:t xml:space="preserve"> </w:t>
      </w:r>
      <w:r w:rsidR="00E02BE8" w:rsidRPr="005B66A6">
        <w:t>November</w:t>
      </w:r>
      <w:r w:rsidR="00924FC7" w:rsidRPr="005B66A6">
        <w:t xml:space="preserve"> 202</w:t>
      </w:r>
      <w:r w:rsidR="00082C5E" w:rsidRPr="005B66A6">
        <w:t>2</w:t>
      </w:r>
    </w:p>
    <w:bookmarkEnd w:id="0"/>
    <w:bookmarkEnd w:id="1"/>
    <w:bookmarkEnd w:id="2"/>
    <w:p w14:paraId="6968E245" w14:textId="77777777" w:rsidR="00064B2A" w:rsidRPr="005B66A6" w:rsidRDefault="00064B2A" w:rsidP="005B66A6">
      <w:pPr>
        <w:pStyle w:val="Heading1"/>
      </w:pPr>
      <w:r w:rsidRPr="005B66A6">
        <w:t>Infectious and congenital syphilis</w:t>
      </w:r>
    </w:p>
    <w:p w14:paraId="3F2C4C76" w14:textId="77777777" w:rsidR="00251640" w:rsidRPr="005B66A6" w:rsidRDefault="00251640" w:rsidP="005B66A6">
      <w:r w:rsidRPr="00251640">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0D85AB71" w14:textId="3584E342" w:rsidR="00251640" w:rsidRPr="005B66A6" w:rsidRDefault="00251640" w:rsidP="005B66A6">
      <w:pPr>
        <w:pStyle w:val="Heading2"/>
      </w:pPr>
      <w:r w:rsidRPr="005B66A6">
        <w:t>Syphilis response</w:t>
      </w:r>
    </w:p>
    <w:p w14:paraId="5C0EBE3A" w14:textId="6021CBD8" w:rsidR="00251640" w:rsidRPr="005B66A6" w:rsidRDefault="00251640" w:rsidP="005B66A6">
      <w:r w:rsidRPr="005B66A6">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i/>
          <w:iCs/>
        </w:rPr>
        <w:t xml:space="preserve"> </w:t>
      </w:r>
      <w:r w:rsidRPr="00251640">
        <w:rPr>
          <w:i/>
          <w:iCs/>
        </w:rPr>
        <w:t xml:space="preserve">2021 </w:t>
      </w:r>
      <w:r w:rsidRPr="005B66A6">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14E9F7AF" w14:textId="0BD0B0F8" w:rsidR="00251640" w:rsidRPr="005B66A6" w:rsidRDefault="00251640" w:rsidP="005B66A6">
      <w:r w:rsidRPr="005B66A6">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30F89AAE" w14:textId="3EEE39BD" w:rsidR="00251640" w:rsidRPr="005B66A6" w:rsidRDefault="00251640" w:rsidP="005B66A6">
      <w:r w:rsidRPr="005B66A6">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p>
    <w:p w14:paraId="1C9B3A34" w14:textId="290B8849" w:rsidR="00672E1E" w:rsidRPr="005B66A6" w:rsidRDefault="00126C55" w:rsidP="005B66A6">
      <w:pPr>
        <w:pStyle w:val="Heading2"/>
      </w:pPr>
      <w:r w:rsidRPr="005B66A6">
        <w:t>Listeriosis</w:t>
      </w:r>
    </w:p>
    <w:p w14:paraId="029148A4" w14:textId="3F5A71E8" w:rsidR="00126C55" w:rsidRPr="00126C55" w:rsidRDefault="00126C55" w:rsidP="005B66A6">
      <w:r w:rsidRPr="00126C55">
        <w:t>In the past 12 months (28 November – 27 November 2022), there have been 85 cases of listeriosis reported to the National Notifiable Diseases Surveillance System (NNDSS), which is 1.4 times higher than the historical five-year mean (n=59.2). In the past quarter (30 August – 27 November) there have been 24 cases of listeriosis, which is 1.8 times higher than the 5-yearly average for this period (n=13.6). The increase in cases appears to be largely driven by sporadic cases rather than known clusters or outbreaks of listeriosis. Previous studies have shown that rain events may create favourable conditions for foodborne pathogen growth and increase the risk of produce contamination, however, it is not known if, or to what extent, rain events have influenced the higher number of listeriosis notifications in the past year.</w:t>
      </w:r>
    </w:p>
    <w:p w14:paraId="15978A89" w14:textId="70F342E6" w:rsidR="00C37A92" w:rsidRPr="005B66A6" w:rsidRDefault="00C37A92" w:rsidP="005B66A6">
      <w:pPr>
        <w:pStyle w:val="FootnoteText"/>
        <w:rPr>
          <w:rStyle w:val="Strong"/>
        </w:rPr>
      </w:pPr>
      <w:r w:rsidRPr="005B66A6">
        <w:rPr>
          <w:rStyle w:val="Strong"/>
        </w:rPr>
        <w:t>Interpretative Notes</w:t>
      </w:r>
    </w:p>
    <w:bookmarkEnd w:id="3"/>
    <w:bookmarkEnd w:id="4"/>
    <w:bookmarkEnd w:id="5"/>
    <w:bookmarkEnd w:id="6"/>
    <w:p w14:paraId="71AA7033" w14:textId="121FF5D2" w:rsidR="00017515" w:rsidRPr="005B66A6" w:rsidRDefault="00017515" w:rsidP="005B66A6">
      <w:pPr>
        <w:pStyle w:val="FootnoteText"/>
      </w:pPr>
      <w:r w:rsidRPr="005B66A6">
        <w:t xml:space="preserve">Selected diseases are chosen each fortnight based on either exceeding two standard deviations from the 90 day and/or </w:t>
      </w:r>
      <w:r w:rsidR="005A6FEE" w:rsidRPr="005B66A6">
        <w:t>365-day</w:t>
      </w:r>
      <w:r w:rsidRPr="005B66A6">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5B66A6" w:rsidRDefault="00017515" w:rsidP="005B66A6">
      <w:pPr>
        <w:pStyle w:val="FootnoteText"/>
      </w:pPr>
      <w:r w:rsidRPr="005B66A6">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E4DDAD6" w:rsidR="00017515" w:rsidRPr="005B66A6" w:rsidRDefault="00017515" w:rsidP="005B66A6">
      <w:pPr>
        <w:pStyle w:val="FootnoteText"/>
      </w:pPr>
      <w:r w:rsidRPr="005B66A6">
        <w:t>1The past quarter (90 day) surveillance period includes the date range (</w:t>
      </w:r>
      <w:r w:rsidR="00126C55" w:rsidRPr="005B66A6">
        <w:t>30</w:t>
      </w:r>
      <w:r w:rsidR="0081611F" w:rsidRPr="005B66A6">
        <w:t>/</w:t>
      </w:r>
      <w:r w:rsidR="006553DE" w:rsidRPr="005B66A6">
        <w:t>0</w:t>
      </w:r>
      <w:r w:rsidR="00E02BE8" w:rsidRPr="005B66A6">
        <w:t>8</w:t>
      </w:r>
      <w:r w:rsidR="0081611F" w:rsidRPr="005B66A6">
        <w:t>/20</w:t>
      </w:r>
      <w:r w:rsidR="007F67BA" w:rsidRPr="005B66A6">
        <w:t>2</w:t>
      </w:r>
      <w:r w:rsidR="006553DE" w:rsidRPr="005B66A6">
        <w:t>2</w:t>
      </w:r>
      <w:r w:rsidR="0081611F" w:rsidRPr="005B66A6">
        <w:t xml:space="preserve"> to</w:t>
      </w:r>
      <w:r w:rsidR="005F4765" w:rsidRPr="005B66A6">
        <w:t xml:space="preserve"> </w:t>
      </w:r>
      <w:r w:rsidR="00126C55" w:rsidRPr="005B66A6">
        <w:t>27</w:t>
      </w:r>
      <w:r w:rsidR="00270632" w:rsidRPr="005B66A6">
        <w:t>/</w:t>
      </w:r>
      <w:r w:rsidR="003B2238" w:rsidRPr="005B66A6">
        <w:t>1</w:t>
      </w:r>
      <w:r w:rsidR="00E02BE8" w:rsidRPr="005B66A6">
        <w:t>1</w:t>
      </w:r>
      <w:r w:rsidR="009C1059" w:rsidRPr="005B66A6">
        <w:t>/202</w:t>
      </w:r>
      <w:r w:rsidR="00082C5E" w:rsidRPr="005B66A6">
        <w:t>2</w:t>
      </w:r>
      <w:r w:rsidR="00777AAA" w:rsidRPr="005B66A6">
        <w:t>).</w:t>
      </w:r>
    </w:p>
    <w:p w14:paraId="38B56901" w14:textId="1A1420B2" w:rsidR="00017515" w:rsidRPr="005B66A6" w:rsidRDefault="00017515" w:rsidP="005B66A6">
      <w:pPr>
        <w:pStyle w:val="FootnoteText"/>
      </w:pPr>
      <w:r w:rsidRPr="005B66A6">
        <w:t xml:space="preserve">2The quarterly (90 day) five year rolling mean is the average </w:t>
      </w:r>
      <w:r w:rsidR="00D26EE8" w:rsidRPr="005B66A6">
        <w:t>of</w:t>
      </w:r>
      <w:r w:rsidR="00CA37B4" w:rsidRPr="005B66A6">
        <w:t xml:space="preserve"> 5 intervals of 90 days up to</w:t>
      </w:r>
      <w:r w:rsidR="003603F7" w:rsidRPr="005B66A6">
        <w:t xml:space="preserve"> </w:t>
      </w:r>
      <w:r w:rsidR="00126C55" w:rsidRPr="005B66A6">
        <w:t>27</w:t>
      </w:r>
      <w:r w:rsidR="00270632" w:rsidRPr="005B66A6">
        <w:t>/</w:t>
      </w:r>
      <w:r w:rsidR="003B2238" w:rsidRPr="005B66A6">
        <w:t>1</w:t>
      </w:r>
      <w:r w:rsidR="00E02BE8" w:rsidRPr="005B66A6">
        <w:t>1</w:t>
      </w:r>
      <w:r w:rsidR="00735187" w:rsidRPr="005B66A6">
        <w:t>/202</w:t>
      </w:r>
      <w:r w:rsidR="00082C5E" w:rsidRPr="005B66A6">
        <w:t>2</w:t>
      </w:r>
      <w:r w:rsidRPr="005B66A6">
        <w:t xml:space="preserve">.  The ratio is the notification activity in the past quarter (90 days) compared with the </w:t>
      </w:r>
      <w:r w:rsidR="005B66A6" w:rsidRPr="005B66A6">
        <w:t>five-year</w:t>
      </w:r>
      <w:r w:rsidRPr="005B66A6">
        <w:t xml:space="preserve"> rolling mean for the same period.</w:t>
      </w:r>
    </w:p>
    <w:p w14:paraId="228A0A61" w14:textId="059EBACA" w:rsidR="00017515" w:rsidRPr="005B66A6" w:rsidRDefault="00017515" w:rsidP="005B66A6">
      <w:pPr>
        <w:pStyle w:val="FootnoteText"/>
      </w:pPr>
      <w:r w:rsidRPr="005B66A6">
        <w:t xml:space="preserve">3The past year (365 day) surveillance period includes the date range </w:t>
      </w:r>
      <w:r w:rsidR="002C38A0" w:rsidRPr="005B66A6">
        <w:t>(</w:t>
      </w:r>
      <w:r w:rsidR="00126C55" w:rsidRPr="005B66A6">
        <w:t>28</w:t>
      </w:r>
      <w:r w:rsidR="00421F52" w:rsidRPr="005B66A6">
        <w:t>/</w:t>
      </w:r>
      <w:r w:rsidR="003B2238" w:rsidRPr="005B66A6">
        <w:t>1</w:t>
      </w:r>
      <w:r w:rsidR="00E02BE8" w:rsidRPr="005B66A6">
        <w:t>1</w:t>
      </w:r>
      <w:r w:rsidR="00421F52" w:rsidRPr="005B66A6">
        <w:t>/</w:t>
      </w:r>
      <w:r w:rsidR="009C1059" w:rsidRPr="005B66A6">
        <w:t>202</w:t>
      </w:r>
      <w:r w:rsidR="00082C5E" w:rsidRPr="005B66A6">
        <w:t>1</w:t>
      </w:r>
      <w:r w:rsidR="00493076" w:rsidRPr="005B66A6">
        <w:t xml:space="preserve"> to</w:t>
      </w:r>
      <w:r w:rsidR="00EA74EE" w:rsidRPr="005B66A6">
        <w:t xml:space="preserve"> </w:t>
      </w:r>
      <w:r w:rsidR="00126C55" w:rsidRPr="005B66A6">
        <w:t>27</w:t>
      </w:r>
      <w:r w:rsidR="00270632" w:rsidRPr="005B66A6">
        <w:t>/</w:t>
      </w:r>
      <w:r w:rsidR="003B2238" w:rsidRPr="005B66A6">
        <w:t>1</w:t>
      </w:r>
      <w:r w:rsidR="00E02BE8" w:rsidRPr="005B66A6">
        <w:t>1</w:t>
      </w:r>
      <w:r w:rsidR="009C1059" w:rsidRPr="005B66A6">
        <w:t>/202</w:t>
      </w:r>
      <w:r w:rsidR="00082C5E" w:rsidRPr="005B66A6">
        <w:t>2</w:t>
      </w:r>
      <w:r w:rsidR="002C38A0" w:rsidRPr="005B66A6">
        <w:t>).</w:t>
      </w:r>
    </w:p>
    <w:p w14:paraId="24BCFBDD" w14:textId="0A0F6896" w:rsidR="00017515" w:rsidRPr="005B66A6" w:rsidRDefault="00017515" w:rsidP="005B66A6">
      <w:pPr>
        <w:pStyle w:val="FootnoteText"/>
      </w:pPr>
      <w:r w:rsidRPr="005B66A6">
        <w:t>4The yearly (365 day) five year rolling mean is the average o</w:t>
      </w:r>
      <w:r w:rsidR="007F67BA" w:rsidRPr="005B66A6">
        <w:t xml:space="preserve">f </w:t>
      </w:r>
      <w:r w:rsidR="00CA37B4" w:rsidRPr="005B66A6">
        <w:t xml:space="preserve">5 intervals of 365 days up to </w:t>
      </w:r>
      <w:r w:rsidR="00126C55" w:rsidRPr="005B66A6">
        <w:t>27</w:t>
      </w:r>
      <w:r w:rsidR="00FB7FEB" w:rsidRPr="005B66A6">
        <w:t>/</w:t>
      </w:r>
      <w:r w:rsidR="003B2238" w:rsidRPr="005B66A6">
        <w:t>1</w:t>
      </w:r>
      <w:r w:rsidR="00E02BE8" w:rsidRPr="005B66A6">
        <w:t>1</w:t>
      </w:r>
      <w:r w:rsidR="0071646F" w:rsidRPr="005B66A6">
        <w:t>/</w:t>
      </w:r>
      <w:r w:rsidR="00735187" w:rsidRPr="005B66A6">
        <w:t>202</w:t>
      </w:r>
      <w:r w:rsidR="00082C5E" w:rsidRPr="005B66A6">
        <w:t>2</w:t>
      </w:r>
      <w:r w:rsidR="002C38A0" w:rsidRPr="005B66A6">
        <w:t>.</w:t>
      </w:r>
      <w:r w:rsidR="00777AAA" w:rsidRPr="005B66A6">
        <w:t xml:space="preserve"> </w:t>
      </w:r>
      <w:r w:rsidRPr="005B66A6">
        <w:t xml:space="preserve">The ratio is the notification activity in the past year (365 days) compared with the </w:t>
      </w:r>
      <w:r w:rsidR="005B66A6" w:rsidRPr="005B66A6">
        <w:t>five-year</w:t>
      </w:r>
      <w:r w:rsidRPr="005B66A6">
        <w:t xml:space="preserve"> rolling mean for the same period.</w:t>
      </w:r>
    </w:p>
    <w:p w14:paraId="011711D9" w14:textId="2522D5F3" w:rsidR="00745E0F" w:rsidRPr="005B66A6" w:rsidRDefault="00017515" w:rsidP="005B66A6">
      <w:pPr>
        <w:pStyle w:val="FootnoteText"/>
      </w:pPr>
      <w:r w:rsidRPr="005B66A6">
        <w:t xml:space="preserve">The </w:t>
      </w:r>
      <w:r w:rsidR="005B66A6" w:rsidRPr="005B66A6">
        <w:t>five-year</w:t>
      </w:r>
      <w:r w:rsidRPr="005B66A6">
        <w:t xml:space="preserve"> rolling mean and the ratio of notifications compared with the </w:t>
      </w:r>
      <w:r w:rsidR="005A6FEE" w:rsidRPr="005B66A6">
        <w:t>five-year</w:t>
      </w:r>
      <w:r w:rsidRPr="005B66A6">
        <w:t xml:space="preserve"> rolling mean should be interpreted with caution.  Changes in surveillance practice, diagnostic techniques and reporting may contribute to increases or decreases in the total notifications received over a </w:t>
      </w:r>
      <w:r w:rsidR="005B66A6" w:rsidRPr="005B66A6">
        <w:t>five-year</w:t>
      </w:r>
      <w:r w:rsidRPr="005B66A6">
        <w:t xml:space="preserve"> period. Ratios are to be taken as a crude measure of current disease activity and may reflect changes in reporting rather than changes in disease activity. </w:t>
      </w:r>
    </w:p>
    <w:sectPr w:rsidR="00745E0F" w:rsidRPr="005B66A6" w:rsidSect="005A6FEE">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84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E4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04BC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8A1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9E0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EF9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6EE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4A5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608C6"/>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A6FEE"/>
    <w:rsid w:val="005B00B2"/>
    <w:rsid w:val="005B1F2C"/>
    <w:rsid w:val="005B38CF"/>
    <w:rsid w:val="005B38F1"/>
    <w:rsid w:val="005B3DE5"/>
    <w:rsid w:val="005B44D0"/>
    <w:rsid w:val="005B66A6"/>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6A6"/>
    <w:pPr>
      <w:spacing w:before="120" w:after="120"/>
    </w:pPr>
    <w:rPr>
      <w:rFonts w:ascii="Calibri" w:hAnsi="Calibri"/>
      <w:sz w:val="24"/>
      <w:szCs w:val="24"/>
    </w:rPr>
  </w:style>
  <w:style w:type="paragraph" w:styleId="Heading1">
    <w:name w:val="heading 1"/>
    <w:next w:val="Normal"/>
    <w:qFormat/>
    <w:rsid w:val="005B66A6"/>
    <w:pPr>
      <w:keepNext/>
      <w:spacing w:before="120" w:after="120" w:line="276" w:lineRule="auto"/>
      <w:outlineLvl w:val="0"/>
    </w:pPr>
    <w:rPr>
      <w:rFonts w:ascii="Calibri" w:hAnsi="Calibri" w:cs="Arial"/>
      <w:b/>
      <w:bCs/>
      <w:color w:val="000000"/>
      <w:sz w:val="24"/>
      <w:szCs w:val="22"/>
    </w:rPr>
  </w:style>
  <w:style w:type="paragraph" w:styleId="Heading2">
    <w:name w:val="heading 2"/>
    <w:basedOn w:val="Heading1"/>
    <w:next w:val="Normal"/>
    <w:link w:val="Heading2Char"/>
    <w:unhideWhenUsed/>
    <w:qFormat/>
    <w:rsid w:val="005B66A6"/>
    <w:pPr>
      <w:outlineLvl w:val="1"/>
    </w:pPr>
    <w:rPr>
      <w:rFonts w:eastAsiaTheme="majorEastAsia" w:cstheme="majorBidi"/>
      <w:bCs w:val="0"/>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character" w:styleId="Strong">
    <w:name w:val="Strong"/>
    <w:basedOn w:val="DefaultParagraphFont"/>
    <w:qFormat/>
    <w:rsid w:val="005B66A6"/>
    <w:rPr>
      <w:b/>
      <w:bC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5B66A6"/>
    <w:rPr>
      <w:rFonts w:ascii="Calibri" w:eastAsiaTheme="majorEastAsia" w:hAnsi="Calibri" w:cstheme="majorBidi"/>
      <w:b/>
      <w:iCs/>
      <w:color w:val="000000"/>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FootnoteText">
    <w:name w:val="footnote text"/>
    <w:link w:val="FootnoteTextChar"/>
    <w:unhideWhenUsed/>
    <w:rsid w:val="005A6FEE"/>
    <w:pPr>
      <w:spacing w:before="40"/>
    </w:pPr>
    <w:rPr>
      <w:rFonts w:ascii="Calibri" w:hAnsi="Calibri"/>
    </w:rPr>
  </w:style>
  <w:style w:type="character" w:customStyle="1" w:styleId="FootnoteTextChar">
    <w:name w:val="Footnote Text Char"/>
    <w:basedOn w:val="DefaultParagraphFont"/>
    <w:link w:val="FootnoteText"/>
    <w:rsid w:val="005A6FEE"/>
    <w:rPr>
      <w:rFonts w:ascii="Calibri" w:hAnsi="Calibri"/>
    </w:rPr>
  </w:style>
  <w:style w:type="paragraph" w:styleId="Title">
    <w:name w:val="Title"/>
    <w:next w:val="Normal"/>
    <w:link w:val="TitleChar"/>
    <w:qFormat/>
    <w:rsid w:val="005B66A6"/>
    <w:pPr>
      <w:spacing w:before="120" w:after="120"/>
      <w:ind w:left="794" w:right="794"/>
      <w:jc w:val="center"/>
    </w:pPr>
    <w:rPr>
      <w:rFonts w:ascii="Calibri" w:eastAsiaTheme="majorEastAsia" w:hAnsi="Calibri" w:cstheme="majorBidi"/>
      <w:spacing w:val="-10"/>
      <w:kern w:val="28"/>
      <w:sz w:val="36"/>
      <w:szCs w:val="56"/>
    </w:rPr>
  </w:style>
  <w:style w:type="character" w:customStyle="1" w:styleId="TitleChar">
    <w:name w:val="Title Char"/>
    <w:basedOn w:val="DefaultParagraphFont"/>
    <w:link w:val="Title"/>
    <w:rsid w:val="005B66A6"/>
    <w:rPr>
      <w:rFonts w:ascii="Calibri" w:eastAsiaTheme="majorEastAsia" w:hAnsi="Calibri"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3729</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
  <LinksUpToDate>false</LinksUpToDate>
  <CharactersWithSpaces>4319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Communicable Diseases Surveillance Report Fortnight 24, 2022 Summary Notes for Selected Diseases 14 November 2022 to 27 November 2022</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Department of Health and Aged Care</cp:lastModifiedBy>
  <cp:revision>3</cp:revision>
  <cp:lastPrinted>2021-04-13T23:49:00Z</cp:lastPrinted>
  <dcterms:created xsi:type="dcterms:W3CDTF">2022-12-21T03:09:00Z</dcterms:created>
  <dcterms:modified xsi:type="dcterms:W3CDTF">2022-12-21T03:12:00Z</dcterms:modified>
</cp:coreProperties>
</file>