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B008" w14:textId="78EB9EFD" w:rsidR="00F95E1B" w:rsidRDefault="00C1152C" w:rsidP="009578BD">
      <w:pPr>
        <w:pStyle w:val="Title"/>
        <w:spacing w:before="1680"/>
        <w:jc w:val="center"/>
        <w:rPr>
          <w:rFonts w:cs="Arial"/>
        </w:rPr>
      </w:pPr>
      <w:r w:rsidRPr="00D8062C">
        <w:rPr>
          <w:rFonts w:cs="Arial"/>
        </w:rPr>
        <w:t>National Medicines Policy</w:t>
      </w:r>
    </w:p>
    <w:p w14:paraId="44659CBC" w14:textId="23D37077" w:rsidR="00C1152C" w:rsidRPr="008903FE" w:rsidRDefault="00F95E1B" w:rsidP="009578BD">
      <w:pPr>
        <w:pStyle w:val="Title"/>
        <w:spacing w:before="1680"/>
        <w:jc w:val="center"/>
        <w:rPr>
          <w:rFonts w:cs="Arial"/>
          <w:sz w:val="44"/>
          <w:szCs w:val="44"/>
        </w:rPr>
      </w:pPr>
      <w:r w:rsidRPr="008903FE">
        <w:rPr>
          <w:rFonts w:cs="Arial"/>
          <w:sz w:val="44"/>
          <w:szCs w:val="44"/>
        </w:rPr>
        <w:t>2022</w:t>
      </w:r>
      <w:r w:rsidR="00C1152C" w:rsidRPr="008903FE">
        <w:rPr>
          <w:rFonts w:cs="Arial"/>
          <w:sz w:val="44"/>
          <w:szCs w:val="44"/>
        </w:rPr>
        <w:br/>
      </w:r>
    </w:p>
    <w:p w14:paraId="6A2F7488" w14:textId="4E12432A" w:rsidR="007016BF" w:rsidRPr="00DC3F0B" w:rsidRDefault="00AE7710" w:rsidP="00DA72DD">
      <w:pPr>
        <w:pStyle w:val="Title"/>
        <w:jc w:val="center"/>
        <w:rPr>
          <w:rFonts w:cs="Arial"/>
        </w:rPr>
      </w:pPr>
      <w:r w:rsidRPr="00D8062C">
        <w:rPr>
          <w:rFonts w:cs="Arial"/>
          <w:noProof/>
          <w:sz w:val="21"/>
          <w:szCs w:val="21"/>
        </w:rPr>
        <w:drawing>
          <wp:inline distT="0" distB="0" distL="0" distR="0" wp14:anchorId="2DA7725C" wp14:editId="20C9857F">
            <wp:extent cx="5730875" cy="6673850"/>
            <wp:effectExtent l="0" t="0" r="3175" b="0"/>
            <wp:docPr id="17" name="Picture 17" descr="Blank coloured square on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lank coloured square on cover page"/>
                    <pic:cNvPicPr/>
                  </pic:nvPicPr>
                  <pic:blipFill>
                    <a:blip r:embed="rId8"/>
                    <a:stretch>
                      <a:fillRect/>
                    </a:stretch>
                  </pic:blipFill>
                  <pic:spPr>
                    <a:xfrm>
                      <a:off x="0" y="0"/>
                      <a:ext cx="5730875" cy="6673850"/>
                    </a:xfrm>
                    <a:prstGeom prst="rect">
                      <a:avLst/>
                    </a:prstGeom>
                  </pic:spPr>
                </pic:pic>
              </a:graphicData>
            </a:graphic>
          </wp:inline>
        </w:drawing>
      </w:r>
    </w:p>
    <w:p w14:paraId="093AA121" w14:textId="77777777" w:rsidR="00C1152C" w:rsidRPr="00DC3F0B" w:rsidRDefault="00C1152C" w:rsidP="00DA72DD">
      <w:pPr>
        <w:pStyle w:val="Paragraphtext"/>
        <w:jc w:val="center"/>
        <w:rPr>
          <w:rFonts w:cs="Arial"/>
        </w:rPr>
        <w:sectPr w:rsidR="00C1152C" w:rsidRPr="00DC3F0B" w:rsidSect="007016BF">
          <w:headerReference w:type="default" r:id="rId9"/>
          <w:footerReference w:type="default" r:id="rId10"/>
          <w:headerReference w:type="first" r:id="rId11"/>
          <w:pgSz w:w="11906" w:h="16838"/>
          <w:pgMar w:top="1440" w:right="1440" w:bottom="1440" w:left="1440" w:header="708" w:footer="708" w:gutter="0"/>
          <w:cols w:space="708"/>
          <w:docGrid w:linePitch="360"/>
        </w:sectPr>
      </w:pPr>
    </w:p>
    <w:p w14:paraId="0058F187" w14:textId="2137BB42" w:rsidR="008903FE" w:rsidRPr="006D55B2" w:rsidRDefault="008903FE" w:rsidP="0022544E">
      <w:pPr>
        <w:spacing w:after="120"/>
        <w:rPr>
          <w:rFonts w:cs="Arial"/>
        </w:rPr>
      </w:pPr>
      <w:r w:rsidRPr="006D55B2">
        <w:rPr>
          <w:rFonts w:cs="Arial"/>
        </w:rPr>
        <w:lastRenderedPageBreak/>
        <w:t xml:space="preserve">© Commonwealth of Australia as represented by the Department of Health </w:t>
      </w:r>
      <w:r>
        <w:rPr>
          <w:rFonts w:cs="Arial"/>
        </w:rPr>
        <w:t xml:space="preserve">and Aged Care </w:t>
      </w:r>
      <w:r w:rsidRPr="006D55B2">
        <w:rPr>
          <w:rFonts w:cs="Arial"/>
        </w:rPr>
        <w:t>20</w:t>
      </w:r>
      <w:r>
        <w:rPr>
          <w:rFonts w:cs="Arial"/>
        </w:rPr>
        <w:t>22</w:t>
      </w:r>
    </w:p>
    <w:p w14:paraId="6F366902" w14:textId="77777777" w:rsidR="008903FE" w:rsidRPr="006D55B2" w:rsidRDefault="008903FE" w:rsidP="0022544E">
      <w:pPr>
        <w:spacing w:after="120"/>
        <w:rPr>
          <w:rFonts w:cs="Arial"/>
        </w:rPr>
      </w:pPr>
    </w:p>
    <w:p w14:paraId="15676EF0" w14:textId="77777777" w:rsidR="008903FE" w:rsidRPr="006D55B2" w:rsidRDefault="008903FE" w:rsidP="0022544E">
      <w:pPr>
        <w:spacing w:after="120"/>
        <w:rPr>
          <w:rFonts w:cs="Arial"/>
          <w:b/>
        </w:rPr>
      </w:pPr>
      <w:r w:rsidRPr="006D55B2">
        <w:rPr>
          <w:rFonts w:cs="Arial"/>
          <w:b/>
        </w:rPr>
        <w:t>Creative Commons Licence</w:t>
      </w:r>
    </w:p>
    <w:p w14:paraId="3C179CC4" w14:textId="77777777" w:rsidR="008903FE" w:rsidRPr="006D55B2" w:rsidRDefault="008903FE" w:rsidP="0022544E">
      <w:pPr>
        <w:spacing w:after="120"/>
        <w:rPr>
          <w:rFonts w:cs="Arial"/>
          <w:szCs w:val="22"/>
        </w:rPr>
      </w:pPr>
      <w:r w:rsidRPr="006D55B2">
        <w:rPr>
          <w:rFonts w:cs="Arial"/>
          <w:noProof/>
          <w:szCs w:val="22"/>
        </w:rPr>
        <w:drawing>
          <wp:inline distT="0" distB="0" distL="0" distR="0" wp14:anchorId="71E29E6E" wp14:editId="1DE4E084">
            <wp:extent cx="1026160" cy="356870"/>
            <wp:effectExtent l="0" t="0" r="2540" b="5080"/>
            <wp:docPr id="4" name="Picture 4"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14:paraId="70E5F227" w14:textId="438FCFED" w:rsidR="008903FE" w:rsidRPr="00B67FDC" w:rsidRDefault="008903FE" w:rsidP="00B67FDC">
      <w:pPr>
        <w:autoSpaceDE w:val="0"/>
        <w:autoSpaceDN w:val="0"/>
        <w:spacing w:after="120"/>
        <w:rPr>
          <w:rFonts w:cs="Arial"/>
          <w:sz w:val="21"/>
          <w:szCs w:val="21"/>
        </w:rPr>
      </w:pPr>
      <w:r w:rsidRPr="00B67FDC">
        <w:rPr>
          <w:rFonts w:cs="Arial"/>
          <w:sz w:val="21"/>
          <w:szCs w:val="21"/>
        </w:rPr>
        <w:t xml:space="preserve">This publication is licensed under the Creative Commons Attribution 4.0 International Public License available </w:t>
      </w:r>
      <w:r w:rsidR="00B7300F" w:rsidRPr="00B67FDC">
        <w:rPr>
          <w:rFonts w:cstheme="minorBidi"/>
          <w:sz w:val="21"/>
          <w:szCs w:val="21"/>
        </w:rPr>
        <w:t xml:space="preserve">from </w:t>
      </w:r>
      <w:hyperlink r:id="rId14" w:history="1">
        <w:r w:rsidR="00B7300F" w:rsidRPr="00B67FDC">
          <w:rPr>
            <w:rStyle w:val="Hyperlink"/>
            <w:rFonts w:cstheme="minorBidi"/>
            <w:sz w:val="21"/>
            <w:szCs w:val="21"/>
          </w:rPr>
          <w:t>Creative Commons - Attribution 4.0 International</w:t>
        </w:r>
      </w:hyperlink>
      <w:r w:rsidR="00B7300F" w:rsidRPr="00B67FDC">
        <w:rPr>
          <w:rFonts w:cstheme="minorBidi"/>
          <w:sz w:val="21"/>
          <w:szCs w:val="21"/>
        </w:rPr>
        <w:t xml:space="preserve"> </w:t>
      </w:r>
      <w:r w:rsidRPr="00B67FDC">
        <w:rPr>
          <w:rFonts w:cs="Arial"/>
          <w:sz w:val="21"/>
          <w:szCs w:val="21"/>
        </w:rPr>
        <w:t xml:space="preserve">(“Licence”). You must read and understand the Licence before using any material from this publication. </w:t>
      </w:r>
    </w:p>
    <w:p w14:paraId="4087B209" w14:textId="77777777" w:rsidR="008903FE" w:rsidRPr="00B67FDC" w:rsidRDefault="008903FE" w:rsidP="00B67FDC">
      <w:pPr>
        <w:autoSpaceDE w:val="0"/>
        <w:autoSpaceDN w:val="0"/>
        <w:spacing w:before="240" w:after="120"/>
        <w:rPr>
          <w:rFonts w:cs="Arial"/>
          <w:sz w:val="21"/>
          <w:szCs w:val="21"/>
        </w:rPr>
      </w:pPr>
      <w:r w:rsidRPr="00B67FDC">
        <w:rPr>
          <w:rFonts w:cs="Arial"/>
          <w:sz w:val="21"/>
          <w:szCs w:val="21"/>
        </w:rPr>
        <w:t>Restrictions</w:t>
      </w:r>
    </w:p>
    <w:p w14:paraId="30C5E474" w14:textId="099DC3AE" w:rsidR="008903FE" w:rsidRPr="00B67FDC" w:rsidRDefault="008903FE" w:rsidP="00B67FDC">
      <w:pPr>
        <w:autoSpaceDE w:val="0"/>
        <w:autoSpaceDN w:val="0"/>
        <w:spacing w:after="120"/>
        <w:rPr>
          <w:rFonts w:cs="Arial"/>
          <w:sz w:val="21"/>
          <w:szCs w:val="21"/>
        </w:rPr>
      </w:pPr>
      <w:r w:rsidRPr="00B67FDC">
        <w:rPr>
          <w:rFonts w:cs="Arial"/>
          <w:sz w:val="21"/>
          <w:szCs w:val="21"/>
        </w:rPr>
        <w:t>The Licence may not give you all the permissions necessary for your intended use. For example, other rights (such as publicity, privacy and moral rights) may limit how you use the material found in this publication.</w:t>
      </w:r>
    </w:p>
    <w:p w14:paraId="32DA002C" w14:textId="77777777" w:rsidR="008903FE" w:rsidRPr="00B67FDC" w:rsidRDefault="008903FE" w:rsidP="00B67FDC">
      <w:pPr>
        <w:autoSpaceDE w:val="0"/>
        <w:autoSpaceDN w:val="0"/>
        <w:spacing w:after="120"/>
        <w:rPr>
          <w:rFonts w:cs="Arial"/>
          <w:sz w:val="21"/>
          <w:szCs w:val="21"/>
        </w:rPr>
      </w:pPr>
      <w:r w:rsidRPr="00B67FDC">
        <w:rPr>
          <w:rFonts w:cs="Arial"/>
          <w:sz w:val="21"/>
          <w:szCs w:val="21"/>
        </w:rPr>
        <w:t xml:space="preserve">The Licence does not cover, and there is no permission given for, use of any of the following material found in this publication: </w:t>
      </w:r>
    </w:p>
    <w:p w14:paraId="448C0B59" w14:textId="74BC0CB2" w:rsidR="008D692F" w:rsidRPr="00B67FDC" w:rsidRDefault="008903FE" w:rsidP="00B67FDC">
      <w:pPr>
        <w:pStyle w:val="ListParagraph"/>
        <w:numPr>
          <w:ilvl w:val="0"/>
          <w:numId w:val="53"/>
        </w:numPr>
        <w:spacing w:after="120"/>
        <w:ind w:left="714" w:hanging="357"/>
        <w:contextualSpacing w:val="0"/>
        <w:rPr>
          <w:rFonts w:cs="Arial"/>
          <w:sz w:val="21"/>
          <w:szCs w:val="21"/>
        </w:rPr>
      </w:pPr>
      <w:r w:rsidRPr="00B67FDC">
        <w:rPr>
          <w:rFonts w:cs="Arial"/>
          <w:sz w:val="21"/>
          <w:szCs w:val="21"/>
        </w:rPr>
        <w:t xml:space="preserve">the Commonwealth Coat of Arms. (by way of information, the terms under which the Coat of Arms may be used can be found on the Department of Prime Minister and Cabinet website </w:t>
      </w:r>
      <w:hyperlink r:id="rId15" w:history="1">
        <w:r w:rsidR="002752C6" w:rsidRPr="00B67FDC">
          <w:rPr>
            <w:rStyle w:val="Hyperlink"/>
            <w:rFonts w:cs="Arial"/>
            <w:sz w:val="21"/>
            <w:szCs w:val="21"/>
          </w:rPr>
          <w:t>Commonwealth Coat of Arms</w:t>
        </w:r>
      </w:hyperlink>
      <w:r w:rsidR="002752C6" w:rsidRPr="00B67FDC">
        <w:rPr>
          <w:rFonts w:cs="Arial"/>
          <w:sz w:val="21"/>
          <w:szCs w:val="21"/>
        </w:rPr>
        <w:t>)</w:t>
      </w:r>
    </w:p>
    <w:p w14:paraId="30132105" w14:textId="6D3FEDE4" w:rsidR="008903FE" w:rsidRPr="00B67FDC" w:rsidRDefault="008903FE" w:rsidP="00B67FDC">
      <w:pPr>
        <w:pStyle w:val="ListParagraph"/>
        <w:numPr>
          <w:ilvl w:val="0"/>
          <w:numId w:val="53"/>
        </w:numPr>
        <w:spacing w:after="120"/>
        <w:contextualSpacing w:val="0"/>
        <w:rPr>
          <w:rFonts w:cs="Arial"/>
          <w:sz w:val="21"/>
          <w:szCs w:val="21"/>
        </w:rPr>
      </w:pPr>
      <w:r w:rsidRPr="00B67FDC">
        <w:rPr>
          <w:rFonts w:cs="Arial"/>
          <w:sz w:val="21"/>
          <w:szCs w:val="21"/>
        </w:rPr>
        <w:t>any logos and trademarks</w:t>
      </w:r>
    </w:p>
    <w:p w14:paraId="68E688DE" w14:textId="4447607C" w:rsidR="008903FE" w:rsidRPr="00B67FDC" w:rsidRDefault="008903FE" w:rsidP="00B67FDC">
      <w:pPr>
        <w:pStyle w:val="ListParagraph"/>
        <w:numPr>
          <w:ilvl w:val="0"/>
          <w:numId w:val="53"/>
        </w:numPr>
        <w:spacing w:after="120"/>
        <w:contextualSpacing w:val="0"/>
        <w:rPr>
          <w:rFonts w:cs="Arial"/>
          <w:sz w:val="21"/>
          <w:szCs w:val="21"/>
        </w:rPr>
      </w:pPr>
      <w:r w:rsidRPr="00B67FDC">
        <w:rPr>
          <w:rFonts w:cs="Arial"/>
          <w:sz w:val="21"/>
          <w:szCs w:val="21"/>
        </w:rPr>
        <w:t>any photographs and images</w:t>
      </w:r>
    </w:p>
    <w:p w14:paraId="6F1D947F" w14:textId="014D58B5" w:rsidR="008903FE" w:rsidRPr="00B67FDC" w:rsidRDefault="008903FE" w:rsidP="00B67FDC">
      <w:pPr>
        <w:pStyle w:val="ListParagraph"/>
        <w:numPr>
          <w:ilvl w:val="0"/>
          <w:numId w:val="53"/>
        </w:numPr>
        <w:spacing w:after="120"/>
        <w:contextualSpacing w:val="0"/>
        <w:rPr>
          <w:rFonts w:cs="Arial"/>
          <w:sz w:val="21"/>
          <w:szCs w:val="21"/>
        </w:rPr>
      </w:pPr>
      <w:r w:rsidRPr="00B67FDC">
        <w:rPr>
          <w:rFonts w:cs="Arial"/>
          <w:sz w:val="21"/>
          <w:szCs w:val="21"/>
        </w:rPr>
        <w:t>any signatures</w:t>
      </w:r>
    </w:p>
    <w:p w14:paraId="5CD6C2E6" w14:textId="27D01EFC" w:rsidR="008903FE" w:rsidRPr="00B67FDC" w:rsidRDefault="008903FE" w:rsidP="00B67FDC">
      <w:pPr>
        <w:pStyle w:val="ListParagraph"/>
        <w:numPr>
          <w:ilvl w:val="0"/>
          <w:numId w:val="53"/>
        </w:numPr>
        <w:spacing w:after="120"/>
        <w:contextualSpacing w:val="0"/>
        <w:rPr>
          <w:rFonts w:cs="Arial"/>
          <w:sz w:val="21"/>
          <w:szCs w:val="21"/>
        </w:rPr>
      </w:pPr>
      <w:r w:rsidRPr="00B67FDC">
        <w:rPr>
          <w:rFonts w:cs="Arial"/>
          <w:sz w:val="21"/>
          <w:szCs w:val="21"/>
        </w:rPr>
        <w:t xml:space="preserve">any material belonging to third parties. </w:t>
      </w:r>
    </w:p>
    <w:p w14:paraId="35FFC7A6" w14:textId="77777777" w:rsidR="008903FE" w:rsidRPr="00B67FDC" w:rsidRDefault="008903FE" w:rsidP="00B67FDC">
      <w:pPr>
        <w:autoSpaceDE w:val="0"/>
        <w:autoSpaceDN w:val="0"/>
        <w:spacing w:before="240" w:after="120"/>
        <w:rPr>
          <w:rFonts w:cs="Arial"/>
          <w:sz w:val="21"/>
          <w:szCs w:val="21"/>
        </w:rPr>
      </w:pPr>
      <w:r w:rsidRPr="00B67FDC">
        <w:rPr>
          <w:rFonts w:cs="Arial"/>
          <w:sz w:val="21"/>
          <w:szCs w:val="21"/>
        </w:rPr>
        <w:t>Attribution</w:t>
      </w:r>
    </w:p>
    <w:p w14:paraId="309AF9D5" w14:textId="77777777" w:rsidR="008903FE" w:rsidRPr="00B67FDC" w:rsidRDefault="008903FE" w:rsidP="00B67FDC">
      <w:pPr>
        <w:autoSpaceDE w:val="0"/>
        <w:autoSpaceDN w:val="0"/>
        <w:spacing w:after="120"/>
        <w:rPr>
          <w:rFonts w:cs="Arial"/>
          <w:sz w:val="21"/>
          <w:szCs w:val="21"/>
        </w:rPr>
      </w:pPr>
      <w:r w:rsidRPr="00B67FDC">
        <w:rPr>
          <w:rFonts w:cs="Arial"/>
          <w:sz w:val="21"/>
          <w:szCs w:val="21"/>
        </w:rPr>
        <w:t>Without limiting your obligations under the Licence, the Department of Health and Aged Care requests that you attribute this publication in your work. Any reasonable form of words may be used provided that you:</w:t>
      </w:r>
    </w:p>
    <w:p w14:paraId="446F21A4" w14:textId="272A43C9" w:rsidR="008903FE" w:rsidRPr="00B67FDC" w:rsidRDefault="008903FE" w:rsidP="00B67FDC">
      <w:pPr>
        <w:pStyle w:val="ListParagraph"/>
        <w:numPr>
          <w:ilvl w:val="0"/>
          <w:numId w:val="54"/>
        </w:numPr>
        <w:autoSpaceDE w:val="0"/>
        <w:autoSpaceDN w:val="0"/>
        <w:spacing w:after="120"/>
        <w:contextualSpacing w:val="0"/>
        <w:rPr>
          <w:rFonts w:cs="Arial"/>
          <w:sz w:val="21"/>
          <w:szCs w:val="21"/>
        </w:rPr>
      </w:pPr>
      <w:r w:rsidRPr="00B67FDC">
        <w:rPr>
          <w:rFonts w:cs="Arial"/>
          <w:sz w:val="21"/>
          <w:szCs w:val="21"/>
        </w:rPr>
        <w:t>include a reference to this publication and</w:t>
      </w:r>
      <w:r w:rsidR="00031A3F">
        <w:rPr>
          <w:rFonts w:cs="Arial"/>
          <w:sz w:val="21"/>
          <w:szCs w:val="21"/>
        </w:rPr>
        <w:t>,</w:t>
      </w:r>
      <w:r w:rsidRPr="00B67FDC">
        <w:rPr>
          <w:rFonts w:cs="Arial"/>
          <w:sz w:val="21"/>
          <w:szCs w:val="21"/>
        </w:rPr>
        <w:t xml:space="preserve"> where practicable, the relevant page numbers</w:t>
      </w:r>
    </w:p>
    <w:p w14:paraId="766A726E" w14:textId="1B77341A" w:rsidR="008903FE" w:rsidRPr="00B67FDC" w:rsidRDefault="008903FE" w:rsidP="00B67FDC">
      <w:pPr>
        <w:pStyle w:val="ListParagraph"/>
        <w:numPr>
          <w:ilvl w:val="0"/>
          <w:numId w:val="54"/>
        </w:numPr>
        <w:autoSpaceDE w:val="0"/>
        <w:autoSpaceDN w:val="0"/>
        <w:spacing w:after="120"/>
        <w:contextualSpacing w:val="0"/>
        <w:rPr>
          <w:rFonts w:cs="Arial"/>
          <w:sz w:val="21"/>
          <w:szCs w:val="21"/>
        </w:rPr>
      </w:pPr>
      <w:r w:rsidRPr="00B67FDC">
        <w:rPr>
          <w:rFonts w:cs="Arial"/>
          <w:sz w:val="21"/>
          <w:szCs w:val="21"/>
        </w:rPr>
        <w:t>make it clear that you have permission to use the material under the Creative Commons Attribution</w:t>
      </w:r>
      <w:r w:rsidR="009E6433" w:rsidRPr="00B67FDC">
        <w:rPr>
          <w:rFonts w:cs="Arial"/>
          <w:sz w:val="21"/>
          <w:szCs w:val="21"/>
        </w:rPr>
        <w:t> </w:t>
      </w:r>
      <w:r w:rsidRPr="00B67FDC">
        <w:rPr>
          <w:rFonts w:cs="Arial"/>
          <w:sz w:val="21"/>
          <w:szCs w:val="21"/>
        </w:rPr>
        <w:t>4.0 International Public License</w:t>
      </w:r>
    </w:p>
    <w:p w14:paraId="6CB4EEB4" w14:textId="44B36C1E" w:rsidR="008903FE" w:rsidRPr="00B67FDC" w:rsidRDefault="008903FE" w:rsidP="00B67FDC">
      <w:pPr>
        <w:pStyle w:val="ListParagraph"/>
        <w:numPr>
          <w:ilvl w:val="0"/>
          <w:numId w:val="54"/>
        </w:numPr>
        <w:autoSpaceDE w:val="0"/>
        <w:autoSpaceDN w:val="0"/>
        <w:spacing w:after="120"/>
        <w:contextualSpacing w:val="0"/>
        <w:rPr>
          <w:rFonts w:cs="Arial"/>
          <w:sz w:val="21"/>
          <w:szCs w:val="21"/>
        </w:rPr>
      </w:pPr>
      <w:r w:rsidRPr="00B67FDC">
        <w:rPr>
          <w:rFonts w:cs="Arial"/>
          <w:sz w:val="21"/>
          <w:szCs w:val="21"/>
        </w:rPr>
        <w:t>make it clear whether or not you have changed the material used from this publication</w:t>
      </w:r>
    </w:p>
    <w:p w14:paraId="74365C42" w14:textId="324797D0" w:rsidR="008903FE" w:rsidRPr="00B67FDC" w:rsidRDefault="008903FE" w:rsidP="00B67FDC">
      <w:pPr>
        <w:pStyle w:val="ListParagraph"/>
        <w:numPr>
          <w:ilvl w:val="0"/>
          <w:numId w:val="54"/>
        </w:numPr>
        <w:autoSpaceDE w:val="0"/>
        <w:autoSpaceDN w:val="0"/>
        <w:spacing w:after="120"/>
        <w:contextualSpacing w:val="0"/>
        <w:rPr>
          <w:rFonts w:cs="Arial"/>
          <w:sz w:val="21"/>
          <w:szCs w:val="21"/>
        </w:rPr>
      </w:pPr>
      <w:r w:rsidRPr="00B67FDC">
        <w:rPr>
          <w:rFonts w:cs="Arial"/>
          <w:sz w:val="21"/>
          <w:szCs w:val="21"/>
        </w:rPr>
        <w:t>include a copyright notice in relation to the material used. In the case of no change to the material, the words “© Commonwealth of Australia (Department of Health and Aged Care) 2022” may be used. In the case where the material has been changed or adapted, the words: “Based on Commonwealth of Australia (Department of Health</w:t>
      </w:r>
      <w:r w:rsidR="00723578">
        <w:rPr>
          <w:rFonts w:cs="Arial"/>
          <w:sz w:val="21"/>
          <w:szCs w:val="21"/>
        </w:rPr>
        <w:t xml:space="preserve"> and Aged Care</w:t>
      </w:r>
      <w:r w:rsidRPr="00B67FDC">
        <w:rPr>
          <w:rFonts w:cs="Arial"/>
          <w:sz w:val="21"/>
          <w:szCs w:val="21"/>
        </w:rPr>
        <w:t>) material” may be used</w:t>
      </w:r>
    </w:p>
    <w:p w14:paraId="647E4D54" w14:textId="77777777" w:rsidR="008903FE" w:rsidRPr="00B67FDC" w:rsidRDefault="008903FE" w:rsidP="00B67FDC">
      <w:pPr>
        <w:pStyle w:val="ListParagraph"/>
        <w:numPr>
          <w:ilvl w:val="0"/>
          <w:numId w:val="54"/>
        </w:numPr>
        <w:autoSpaceDE w:val="0"/>
        <w:autoSpaceDN w:val="0"/>
        <w:spacing w:after="120"/>
        <w:contextualSpacing w:val="0"/>
        <w:rPr>
          <w:rFonts w:cs="Arial"/>
          <w:sz w:val="21"/>
          <w:szCs w:val="21"/>
        </w:rPr>
      </w:pPr>
      <w:r w:rsidRPr="00B67FDC">
        <w:rPr>
          <w:rFonts w:cs="Arial"/>
          <w:sz w:val="21"/>
          <w:szCs w:val="21"/>
        </w:rPr>
        <w:t>do not suggest that the Department of Health and Aged Care endorses you or your use of the material.</w:t>
      </w:r>
    </w:p>
    <w:p w14:paraId="58149F04" w14:textId="77777777" w:rsidR="008903FE" w:rsidRPr="00B67FDC" w:rsidRDefault="008903FE" w:rsidP="00B67FDC">
      <w:pPr>
        <w:autoSpaceDE w:val="0"/>
        <w:autoSpaceDN w:val="0"/>
        <w:spacing w:before="240" w:after="120"/>
        <w:rPr>
          <w:rFonts w:cs="Arial"/>
          <w:sz w:val="21"/>
          <w:szCs w:val="21"/>
        </w:rPr>
      </w:pPr>
      <w:r w:rsidRPr="00B67FDC">
        <w:rPr>
          <w:rFonts w:cs="Arial"/>
          <w:sz w:val="21"/>
          <w:szCs w:val="21"/>
        </w:rPr>
        <w:t>Enquiries</w:t>
      </w:r>
    </w:p>
    <w:p w14:paraId="3DE712AC" w14:textId="5A6571AC" w:rsidR="00B67FDC" w:rsidRDefault="008903FE" w:rsidP="00B67FDC">
      <w:pPr>
        <w:spacing w:after="120"/>
        <w:rPr>
          <w:sz w:val="21"/>
          <w:szCs w:val="21"/>
        </w:rPr>
      </w:pPr>
      <w:r w:rsidRPr="00B67FDC">
        <w:rPr>
          <w:rFonts w:cs="Arial"/>
          <w:sz w:val="21"/>
          <w:szCs w:val="21"/>
        </w:rPr>
        <w:t xml:space="preserve">Enquiries regarding any other use of this publication should be addressed to the Branch Manager, Communication Branch, Department of Health and Aged Care, GPO Box 9848, Canberra ACT 2601, or via email to </w:t>
      </w:r>
      <w:hyperlink r:id="rId16" w:history="1">
        <w:r w:rsidRPr="00B67FDC">
          <w:rPr>
            <w:rStyle w:val="Hyperlink"/>
            <w:sz w:val="21"/>
            <w:szCs w:val="21"/>
          </w:rPr>
          <w:t>copyright@health.gov.au</w:t>
        </w:r>
      </w:hyperlink>
      <w:r w:rsidR="00B67FDC">
        <w:rPr>
          <w:sz w:val="21"/>
          <w:szCs w:val="21"/>
        </w:rPr>
        <w:t>.</w:t>
      </w:r>
    </w:p>
    <w:p w14:paraId="752D66A5" w14:textId="5EF8F5B4" w:rsidR="001D3AFE" w:rsidRDefault="001D3AFE">
      <w:pPr>
        <w:spacing w:after="160" w:line="259" w:lineRule="auto"/>
        <w:rPr>
          <w:sz w:val="21"/>
          <w:szCs w:val="21"/>
        </w:rPr>
      </w:pPr>
      <w:r>
        <w:rPr>
          <w:sz w:val="21"/>
          <w:szCs w:val="21"/>
        </w:rPr>
        <w:br w:type="page"/>
      </w:r>
    </w:p>
    <w:p w14:paraId="0FF6E77D" w14:textId="0F7EA883" w:rsidR="00B67FDC" w:rsidRPr="00B67FDC" w:rsidRDefault="00B67FDC" w:rsidP="00B67FDC">
      <w:pPr>
        <w:spacing w:after="120"/>
        <w:rPr>
          <w:sz w:val="21"/>
          <w:szCs w:val="21"/>
        </w:rPr>
        <w:sectPr w:rsidR="00B67FDC" w:rsidRPr="00B67FDC" w:rsidSect="00D17E44">
          <w:headerReference w:type="even" r:id="rId17"/>
          <w:headerReference w:type="default" r:id="rId18"/>
          <w:headerReference w:type="first" r:id="rId19"/>
          <w:pgSz w:w="11906" w:h="16838" w:code="9"/>
          <w:pgMar w:top="1134" w:right="1021" w:bottom="1085" w:left="1134" w:header="567" w:footer="567" w:gutter="0"/>
          <w:cols w:space="708"/>
          <w:docGrid w:linePitch="360"/>
        </w:sectPr>
      </w:pPr>
    </w:p>
    <w:p w14:paraId="294437BF" w14:textId="1F114915" w:rsidR="00C1152C" w:rsidRPr="00D8062C" w:rsidRDefault="00C1152C" w:rsidP="003D5799">
      <w:pPr>
        <w:pStyle w:val="Heading1"/>
        <w:spacing w:before="0"/>
      </w:pPr>
      <w:r w:rsidRPr="00D8062C">
        <w:lastRenderedPageBreak/>
        <w:t xml:space="preserve">Australia’s National Medicines Policy </w:t>
      </w:r>
    </w:p>
    <w:p w14:paraId="391B5C2D" w14:textId="77777777" w:rsidR="00C1152C" w:rsidRPr="00D8062C" w:rsidRDefault="00C1152C" w:rsidP="00C1152C">
      <w:pPr>
        <w:pStyle w:val="Heading2"/>
      </w:pPr>
      <w:r w:rsidRPr="00D8062C">
        <w:t>Introduction</w:t>
      </w:r>
    </w:p>
    <w:p w14:paraId="69ABF041" w14:textId="2716B4F5" w:rsidR="00C1152C" w:rsidRPr="00DC3F0B" w:rsidRDefault="00C1152C" w:rsidP="00C1152C">
      <w:pPr>
        <w:pStyle w:val="Paragraphtext"/>
        <w:rPr>
          <w:rFonts w:cs="Arial"/>
          <w:color w:val="auto"/>
        </w:rPr>
      </w:pPr>
      <w:r w:rsidRPr="00AA1F16">
        <w:rPr>
          <w:rFonts w:eastAsia="Arial" w:cs="Arial"/>
          <w:color w:val="auto"/>
        </w:rPr>
        <w:t>Australia’s National Medicines Policy (NMP) is a high-level framework</w:t>
      </w:r>
      <w:r w:rsidRPr="00701CAB">
        <w:rPr>
          <w:rFonts w:eastAsia="Arial" w:cs="Arial"/>
          <w:color w:val="auto"/>
        </w:rPr>
        <w:t xml:space="preserve"> </w:t>
      </w:r>
      <w:r w:rsidRPr="00AC2E07">
        <w:rPr>
          <w:rFonts w:eastAsia="Arial" w:cs="Arial"/>
          <w:color w:val="auto"/>
        </w:rPr>
        <w:t>focused on</w:t>
      </w:r>
      <w:r w:rsidRPr="00EB54A2">
        <w:rPr>
          <w:rFonts w:eastAsia="Arial" w:cs="Arial"/>
          <w:color w:val="auto"/>
        </w:rPr>
        <w:t xml:space="preserve"> the availability and the use of medicines and medicines-related services.</w:t>
      </w:r>
      <w:r w:rsidRPr="00DC3F0B">
        <w:rPr>
          <w:rFonts w:cs="Arial"/>
          <w:color w:val="auto"/>
        </w:rPr>
        <w:t xml:space="preserve"> The </w:t>
      </w:r>
      <w:r w:rsidR="00603844" w:rsidRPr="00DC3F0B">
        <w:rPr>
          <w:rFonts w:cs="Arial"/>
          <w:color w:val="auto"/>
        </w:rPr>
        <w:t xml:space="preserve">NMP </w:t>
      </w:r>
      <w:r w:rsidRPr="00DC3F0B">
        <w:rPr>
          <w:rFonts w:cs="Arial"/>
          <w:color w:val="auto"/>
        </w:rPr>
        <w:t xml:space="preserve">relates to medicines research and development, </w:t>
      </w:r>
      <w:r w:rsidR="006A219B" w:rsidRPr="00DC3F0B">
        <w:rPr>
          <w:rFonts w:cs="Arial"/>
          <w:color w:val="auto"/>
        </w:rPr>
        <w:t>manufacture</w:t>
      </w:r>
      <w:r w:rsidR="006A219B">
        <w:rPr>
          <w:rFonts w:cs="Arial"/>
          <w:color w:val="auto"/>
        </w:rPr>
        <w:t>,</w:t>
      </w:r>
      <w:r w:rsidR="006A219B" w:rsidRPr="00DC3F0B">
        <w:rPr>
          <w:rFonts w:cs="Arial"/>
          <w:color w:val="auto"/>
        </w:rPr>
        <w:t xml:space="preserve"> </w:t>
      </w:r>
      <w:r w:rsidRPr="00DC3F0B">
        <w:rPr>
          <w:rFonts w:cs="Arial"/>
          <w:color w:val="auto"/>
        </w:rPr>
        <w:t xml:space="preserve">regulation, </w:t>
      </w:r>
      <w:r w:rsidR="00603844" w:rsidRPr="00DC3F0B">
        <w:rPr>
          <w:rFonts w:cs="Arial"/>
          <w:color w:val="auto"/>
        </w:rPr>
        <w:t xml:space="preserve">evaluation, </w:t>
      </w:r>
      <w:r w:rsidRPr="00DC3F0B">
        <w:rPr>
          <w:rFonts w:cs="Arial"/>
          <w:color w:val="auto"/>
        </w:rPr>
        <w:t>supply</w:t>
      </w:r>
      <w:r w:rsidR="00FD761E" w:rsidRPr="00DC3F0B">
        <w:rPr>
          <w:rFonts w:cs="Arial"/>
          <w:color w:val="auto"/>
        </w:rPr>
        <w:t xml:space="preserve">, </w:t>
      </w:r>
      <w:r w:rsidR="006A219B" w:rsidRPr="00073CFA">
        <w:rPr>
          <w:rFonts w:cs="Arial"/>
          <w:color w:val="auto"/>
        </w:rPr>
        <w:t>dispens</w:t>
      </w:r>
      <w:r w:rsidR="00CE0906" w:rsidRPr="00073CFA">
        <w:rPr>
          <w:rFonts w:cs="Arial"/>
          <w:color w:val="auto"/>
        </w:rPr>
        <w:t>ing</w:t>
      </w:r>
      <w:r w:rsidR="006A219B" w:rsidRPr="00073CFA">
        <w:rPr>
          <w:rFonts w:cs="Arial"/>
          <w:color w:val="auto"/>
        </w:rPr>
        <w:t>,</w:t>
      </w:r>
      <w:r w:rsidR="006A219B">
        <w:rPr>
          <w:rFonts w:cs="Arial"/>
          <w:color w:val="auto"/>
        </w:rPr>
        <w:t xml:space="preserve"> </w:t>
      </w:r>
      <w:r w:rsidR="00FD761E" w:rsidRPr="00DC3F0B">
        <w:rPr>
          <w:rFonts w:cs="Arial"/>
          <w:color w:val="auto"/>
        </w:rPr>
        <w:t>storage</w:t>
      </w:r>
      <w:r w:rsidRPr="00DC3F0B">
        <w:rPr>
          <w:rFonts w:cs="Arial"/>
          <w:color w:val="auto"/>
        </w:rPr>
        <w:t xml:space="preserve"> and access. It promotes the quality use of medicines and medicines safety by focusing on the current and future health needs of people and the responsibilities of all partners to achieve the best health, social and economic outcomes for all Australians.</w:t>
      </w:r>
    </w:p>
    <w:p w14:paraId="042CD984" w14:textId="06975A6F" w:rsidR="00C1152C" w:rsidRPr="00DC3F0B" w:rsidRDefault="00C1152C" w:rsidP="00C1152C">
      <w:pPr>
        <w:pStyle w:val="Paragraphtext"/>
        <w:rPr>
          <w:rFonts w:cs="Arial"/>
          <w:color w:val="auto"/>
        </w:rPr>
      </w:pPr>
      <w:r w:rsidRPr="00DC3F0B">
        <w:rPr>
          <w:rFonts w:eastAsia="Arial" w:cs="Arial"/>
          <w:color w:val="auto"/>
        </w:rPr>
        <w:t>The NMP identifies and brings together all partners around a common aim and a shared responsibility for policy stewardship.</w:t>
      </w:r>
      <w:r w:rsidRPr="00E77C38">
        <w:rPr>
          <w:rFonts w:eastAsia="Arial" w:cs="Arial"/>
          <w:color w:val="auto"/>
        </w:rPr>
        <w:t xml:space="preserve"> The NMP acknowledges the fundamental role of consumers in achieving the</w:t>
      </w:r>
      <w:r w:rsidR="00603844" w:rsidRPr="00E77C38">
        <w:rPr>
          <w:rFonts w:eastAsia="Arial" w:cs="Arial"/>
          <w:color w:val="auto"/>
        </w:rPr>
        <w:t xml:space="preserve"> policy</w:t>
      </w:r>
      <w:r w:rsidRPr="00E77C38">
        <w:rPr>
          <w:rFonts w:eastAsia="Arial" w:cs="Arial"/>
          <w:color w:val="auto"/>
        </w:rPr>
        <w:t xml:space="preserve"> aim </w:t>
      </w:r>
      <w:r w:rsidRPr="00DC3F0B">
        <w:rPr>
          <w:rFonts w:eastAsia="Arial" w:cs="Arial"/>
          <w:color w:val="auto"/>
        </w:rPr>
        <w:t>by placing the individual at the centre, and by focusing on and responding to the needs of Australia’s diverse population.</w:t>
      </w:r>
    </w:p>
    <w:p w14:paraId="47A13FA5" w14:textId="7775144F" w:rsidR="00C1152C" w:rsidRPr="00DC3F0B" w:rsidRDefault="00C1152C" w:rsidP="00C1152C">
      <w:pPr>
        <w:pStyle w:val="Paragraphtext"/>
        <w:rPr>
          <w:rFonts w:eastAsia="Arial" w:cs="Arial"/>
          <w:strike/>
          <w:color w:val="auto"/>
        </w:rPr>
      </w:pPr>
      <w:r w:rsidRPr="00DC3F0B">
        <w:rPr>
          <w:rFonts w:cs="Arial"/>
          <w:color w:val="auto"/>
        </w:rPr>
        <w:t>The success of th</w:t>
      </w:r>
      <w:r w:rsidR="00603844" w:rsidRPr="00DC3F0B">
        <w:rPr>
          <w:rFonts w:cs="Arial"/>
          <w:color w:val="auto"/>
        </w:rPr>
        <w:t xml:space="preserve">e NMP </w:t>
      </w:r>
      <w:r w:rsidRPr="00DC3F0B">
        <w:rPr>
          <w:rFonts w:cs="Arial"/>
          <w:color w:val="auto"/>
        </w:rPr>
        <w:t xml:space="preserve">relies upon </w:t>
      </w:r>
      <w:r w:rsidRPr="00DC3F0B">
        <w:rPr>
          <w:rFonts w:eastAsia="Arial" w:cs="Arial"/>
          <w:color w:val="auto"/>
        </w:rPr>
        <w:t>shared decision-making, strategic partnerships and the involvement of people with lived experience in the co-design, development, implementation and evaluation of related policies, strategies, programs and initiatives.</w:t>
      </w:r>
    </w:p>
    <w:p w14:paraId="10137A9B" w14:textId="27428C6E" w:rsidR="00C1152C" w:rsidRPr="00DC3F0B" w:rsidRDefault="00C1152C" w:rsidP="00C1152C">
      <w:pPr>
        <w:pStyle w:val="Paragraphtext"/>
        <w:rPr>
          <w:rFonts w:cs="Arial"/>
          <w:color w:val="auto"/>
        </w:rPr>
      </w:pPr>
      <w:r w:rsidRPr="00DC3F0B">
        <w:rPr>
          <w:rFonts w:cs="Arial"/>
          <w:color w:val="auto"/>
        </w:rPr>
        <w:t xml:space="preserve">The NMP influences, and is influenced by, other related policies, strategies, </w:t>
      </w:r>
      <w:r w:rsidR="00603844" w:rsidRPr="00DC3F0B">
        <w:rPr>
          <w:rFonts w:cs="Arial"/>
          <w:color w:val="auto"/>
        </w:rPr>
        <w:t xml:space="preserve">legislation, </w:t>
      </w:r>
      <w:r w:rsidRPr="00DC3F0B">
        <w:rPr>
          <w:rFonts w:cs="Arial"/>
          <w:color w:val="auto"/>
        </w:rPr>
        <w:t xml:space="preserve">programs and initiatives across </w:t>
      </w:r>
      <w:r w:rsidR="00CD761D" w:rsidRPr="00DC3F0B">
        <w:rPr>
          <w:rFonts w:cs="Arial"/>
          <w:color w:val="auto"/>
        </w:rPr>
        <w:t>Australia’s</w:t>
      </w:r>
      <w:r w:rsidRPr="00DC3F0B">
        <w:rPr>
          <w:rFonts w:cs="Arial"/>
          <w:color w:val="auto"/>
        </w:rPr>
        <w:t xml:space="preserve"> health</w:t>
      </w:r>
      <w:r w:rsidR="00603844" w:rsidRPr="00DC3F0B">
        <w:rPr>
          <w:rFonts w:cs="Arial"/>
          <w:color w:val="auto"/>
        </w:rPr>
        <w:t>, social</w:t>
      </w:r>
      <w:r w:rsidRPr="00DC3F0B">
        <w:rPr>
          <w:rFonts w:cs="Arial"/>
          <w:color w:val="auto"/>
        </w:rPr>
        <w:t xml:space="preserve"> </w:t>
      </w:r>
      <w:r w:rsidR="00603844" w:rsidRPr="00DC3F0B">
        <w:rPr>
          <w:rFonts w:cs="Arial"/>
          <w:color w:val="auto"/>
        </w:rPr>
        <w:t xml:space="preserve">and economic </w:t>
      </w:r>
      <w:r w:rsidRPr="00DC3F0B">
        <w:rPr>
          <w:rFonts w:cs="Arial"/>
          <w:color w:val="auto"/>
        </w:rPr>
        <w:t>system</w:t>
      </w:r>
      <w:r w:rsidR="00603844" w:rsidRPr="00DC3F0B">
        <w:rPr>
          <w:rFonts w:cs="Arial"/>
          <w:color w:val="auto"/>
        </w:rPr>
        <w:t>s</w:t>
      </w:r>
      <w:r w:rsidRPr="00DC3F0B">
        <w:rPr>
          <w:rFonts w:cs="Arial"/>
          <w:color w:val="auto"/>
        </w:rPr>
        <w:t xml:space="preserve">. Achieving the </w:t>
      </w:r>
      <w:r w:rsidR="00603844" w:rsidRPr="00DC3F0B">
        <w:rPr>
          <w:rFonts w:cs="Arial"/>
          <w:color w:val="auto"/>
        </w:rPr>
        <w:t>NMP’s vision and aim</w:t>
      </w:r>
      <w:r w:rsidRPr="00DC3F0B">
        <w:rPr>
          <w:rFonts w:cs="Arial"/>
          <w:color w:val="auto"/>
        </w:rPr>
        <w:t xml:space="preserve"> require</w:t>
      </w:r>
      <w:r w:rsidR="00826A19" w:rsidRPr="00DC3F0B">
        <w:rPr>
          <w:rFonts w:cs="Arial"/>
          <w:color w:val="auto"/>
        </w:rPr>
        <w:t>s</w:t>
      </w:r>
      <w:r w:rsidRPr="00DC3F0B">
        <w:rPr>
          <w:rFonts w:cs="Arial"/>
          <w:color w:val="auto"/>
        </w:rPr>
        <w:t xml:space="preserve"> close alignment with key areas of health reform in Australia and action </w:t>
      </w:r>
      <w:r w:rsidR="00F844A6" w:rsidRPr="00DC3F0B">
        <w:rPr>
          <w:rFonts w:cs="Arial"/>
          <w:color w:val="auto"/>
        </w:rPr>
        <w:t xml:space="preserve">across </w:t>
      </w:r>
      <w:r w:rsidR="002337E0" w:rsidRPr="00DC3F0B">
        <w:rPr>
          <w:rFonts w:cs="Arial"/>
          <w:color w:val="auto"/>
        </w:rPr>
        <w:t xml:space="preserve">Ministerial </w:t>
      </w:r>
      <w:r w:rsidR="00F844A6" w:rsidRPr="00DC3F0B">
        <w:rPr>
          <w:rFonts w:cs="Arial"/>
          <w:color w:val="auto"/>
        </w:rPr>
        <w:t>portfolios and Australian, state and territory levels of government</w:t>
      </w:r>
      <w:r w:rsidRPr="00DC3F0B">
        <w:rPr>
          <w:rFonts w:cs="Arial"/>
          <w:color w:val="auto"/>
        </w:rPr>
        <w:t>.</w:t>
      </w:r>
    </w:p>
    <w:p w14:paraId="565341BB" w14:textId="7EBD26B5" w:rsidR="00C1152C" w:rsidRPr="00DC3F0B" w:rsidRDefault="00C1152C" w:rsidP="00C1152C">
      <w:pPr>
        <w:pStyle w:val="Paragraphtext"/>
        <w:rPr>
          <w:rFonts w:cs="Arial"/>
          <w:color w:val="auto"/>
        </w:rPr>
      </w:pPr>
      <w:r w:rsidRPr="00DC3F0B">
        <w:rPr>
          <w:rFonts w:cs="Arial"/>
          <w:color w:val="auto"/>
        </w:rPr>
        <w:t>This is the second edition of the NMP</w:t>
      </w:r>
      <w:r w:rsidR="00603844" w:rsidRPr="00DC3F0B">
        <w:rPr>
          <w:rFonts w:cs="Arial"/>
          <w:color w:val="auto"/>
        </w:rPr>
        <w:t>,</w:t>
      </w:r>
      <w:r w:rsidRPr="00DC3F0B">
        <w:rPr>
          <w:rFonts w:cs="Arial"/>
          <w:color w:val="auto"/>
        </w:rPr>
        <w:t xml:space="preserve"> which was first published in 2000.</w:t>
      </w:r>
    </w:p>
    <w:p w14:paraId="530D9054" w14:textId="77777777" w:rsidR="00C1152C" w:rsidRPr="00D8062C" w:rsidRDefault="00C1152C" w:rsidP="00C1152C">
      <w:pPr>
        <w:pStyle w:val="Heading2"/>
      </w:pPr>
      <w:r w:rsidRPr="00E77C38">
        <w:t>Vision</w:t>
      </w:r>
    </w:p>
    <w:p w14:paraId="4A66C7D9" w14:textId="6B160F65" w:rsidR="00C1152C" w:rsidRPr="00DC3F0B" w:rsidRDefault="00C1152C" w:rsidP="00C1152C">
      <w:pPr>
        <w:pStyle w:val="Paragraphtext"/>
        <w:rPr>
          <w:rFonts w:cs="Arial"/>
          <w:b/>
        </w:rPr>
      </w:pPr>
      <w:r w:rsidRPr="00AA1F16">
        <w:rPr>
          <w:rFonts w:cs="Arial"/>
          <w:b/>
          <w:bCs/>
        </w:rPr>
        <w:t xml:space="preserve">To achieve the </w:t>
      </w:r>
      <w:r w:rsidR="009E5785" w:rsidRPr="00701CAB">
        <w:rPr>
          <w:rFonts w:cs="Arial"/>
          <w:b/>
          <w:bCs/>
        </w:rPr>
        <w:t xml:space="preserve">world’s </w:t>
      </w:r>
      <w:r w:rsidRPr="00AC2E07">
        <w:rPr>
          <w:rFonts w:cs="Arial"/>
          <w:b/>
          <w:bCs/>
        </w:rPr>
        <w:t xml:space="preserve">best health, social and economic outcomes for </w:t>
      </w:r>
      <w:r w:rsidRPr="00EB54A2">
        <w:rPr>
          <w:rFonts w:cs="Arial"/>
          <w:b/>
          <w:bCs/>
        </w:rPr>
        <w:t>all Australians</w:t>
      </w:r>
      <w:r w:rsidRPr="00DC3F0B">
        <w:rPr>
          <w:rFonts w:cs="Arial"/>
          <w:b/>
          <w:bCs/>
        </w:rPr>
        <w:t xml:space="preserve"> </w:t>
      </w:r>
      <w:r w:rsidRPr="00DC3F0B">
        <w:rPr>
          <w:rFonts w:cs="Arial"/>
          <w:b/>
        </w:rPr>
        <w:t xml:space="preserve">through a highly supportive medicines policy environment. </w:t>
      </w:r>
    </w:p>
    <w:p w14:paraId="640DA7CC" w14:textId="712C55FA" w:rsidR="00C1152C" w:rsidRPr="00DC3F0B" w:rsidRDefault="00C1152C" w:rsidP="00C1152C">
      <w:pPr>
        <w:pStyle w:val="Paragraphtext"/>
        <w:rPr>
          <w:rFonts w:cs="Arial"/>
          <w:b/>
          <w:bCs/>
        </w:rPr>
      </w:pPr>
      <w:r w:rsidRPr="00E77C38">
        <w:rPr>
          <w:rFonts w:cs="Arial"/>
        </w:rPr>
        <w:t xml:space="preserve">This vision </w:t>
      </w:r>
      <w:r w:rsidR="00826A19" w:rsidRPr="00E77C38">
        <w:rPr>
          <w:rFonts w:cs="Arial"/>
        </w:rPr>
        <w:t xml:space="preserve">can </w:t>
      </w:r>
      <w:r w:rsidRPr="00E77C38">
        <w:rPr>
          <w:rFonts w:cs="Arial"/>
        </w:rPr>
        <w:t>be realised through effective partnerships, structures and processes with defined responsibilities to support the NMP.</w:t>
      </w:r>
    </w:p>
    <w:p w14:paraId="7AEB2063" w14:textId="77777777" w:rsidR="00C1152C" w:rsidRPr="00D8062C" w:rsidRDefault="00C1152C" w:rsidP="00C1152C">
      <w:pPr>
        <w:pStyle w:val="Heading2"/>
      </w:pPr>
      <w:r w:rsidRPr="00E77C38">
        <w:t>Aim</w:t>
      </w:r>
    </w:p>
    <w:p w14:paraId="294669A8" w14:textId="60F23F4B" w:rsidR="00C1152C" w:rsidRPr="00701CAB" w:rsidRDefault="006A1E40" w:rsidP="00C1152C">
      <w:pPr>
        <w:pStyle w:val="paragraph"/>
        <w:spacing w:before="0" w:beforeAutospacing="0" w:after="0" w:afterAutospacing="0"/>
        <w:textAlignment w:val="baseline"/>
        <w:rPr>
          <w:rStyle w:val="eop"/>
          <w:rFonts w:ascii="Arial" w:hAnsi="Arial" w:cs="Arial"/>
          <w:sz w:val="21"/>
          <w:szCs w:val="21"/>
        </w:rPr>
      </w:pPr>
      <w:r w:rsidRPr="00AA1F16">
        <w:rPr>
          <w:rStyle w:val="normaltextrun"/>
          <w:rFonts w:ascii="Arial" w:eastAsiaTheme="majorEastAsia" w:hAnsi="Arial" w:cs="Arial"/>
          <w:color w:val="000000" w:themeColor="text1"/>
          <w:sz w:val="21"/>
          <w:szCs w:val="21"/>
        </w:rPr>
        <w:t>The aim of the NMP is t</w:t>
      </w:r>
      <w:r w:rsidR="00C1152C" w:rsidRPr="00AA1F16">
        <w:rPr>
          <w:rStyle w:val="normaltextrun"/>
          <w:rFonts w:ascii="Arial" w:eastAsiaTheme="majorEastAsia" w:hAnsi="Arial" w:cs="Arial"/>
          <w:sz w:val="21"/>
          <w:szCs w:val="21"/>
        </w:rPr>
        <w:t>o ensure:</w:t>
      </w:r>
    </w:p>
    <w:p w14:paraId="0D5016E5" w14:textId="7C0CCAF4" w:rsidR="00C1152C" w:rsidRPr="00DC3F0B" w:rsidRDefault="00C1152C" w:rsidP="00C1152C">
      <w:pPr>
        <w:pStyle w:val="ListBullet"/>
        <w:rPr>
          <w:rStyle w:val="normaltextrun"/>
          <w:rFonts w:cs="Arial"/>
        </w:rPr>
      </w:pPr>
      <w:r w:rsidRPr="00AC2E07">
        <w:rPr>
          <w:rFonts w:cs="Arial"/>
        </w:rPr>
        <w:t>Equitable, timely</w:t>
      </w:r>
      <w:r w:rsidR="00F844A6" w:rsidRPr="00EB54A2">
        <w:rPr>
          <w:rFonts w:cs="Arial"/>
        </w:rPr>
        <w:t>, safe</w:t>
      </w:r>
      <w:r w:rsidRPr="00EB54A2">
        <w:rPr>
          <w:rFonts w:cs="Arial"/>
        </w:rPr>
        <w:t xml:space="preserve"> and affordable access to </w:t>
      </w:r>
      <w:r w:rsidR="003114C3" w:rsidRPr="00EB54A2">
        <w:rPr>
          <w:rFonts w:cs="Arial"/>
        </w:rPr>
        <w:t xml:space="preserve">a </w:t>
      </w:r>
      <w:r w:rsidRPr="00DC3F0B">
        <w:rPr>
          <w:rFonts w:cs="Arial"/>
        </w:rPr>
        <w:t>high-quality</w:t>
      </w:r>
      <w:r w:rsidR="007B08F7" w:rsidRPr="00DC3F0B">
        <w:rPr>
          <w:rFonts w:cs="Arial"/>
        </w:rPr>
        <w:t xml:space="preserve"> and reliable</w:t>
      </w:r>
      <w:r w:rsidR="003114C3" w:rsidRPr="00DC3F0B">
        <w:rPr>
          <w:rFonts w:cs="Arial"/>
        </w:rPr>
        <w:t xml:space="preserve"> supply of</w:t>
      </w:r>
      <w:r w:rsidRPr="00DC3F0B">
        <w:rPr>
          <w:rFonts w:cs="Arial"/>
        </w:rPr>
        <w:t xml:space="preserve"> medicines</w:t>
      </w:r>
      <w:r w:rsidRPr="00E77C38">
        <w:rPr>
          <w:rStyle w:val="normaltextrun"/>
          <w:rFonts w:eastAsiaTheme="majorEastAsia" w:cs="Arial"/>
        </w:rPr>
        <w:t xml:space="preserve"> and medicines-related services </w:t>
      </w:r>
      <w:r w:rsidRPr="00DC3F0B">
        <w:rPr>
          <w:rFonts w:cs="Arial"/>
        </w:rPr>
        <w:t>for all Australians</w:t>
      </w:r>
      <w:r w:rsidRPr="00E77C38">
        <w:rPr>
          <w:rStyle w:val="normaltextrun"/>
          <w:rFonts w:eastAsiaTheme="majorEastAsia" w:cs="Arial"/>
        </w:rPr>
        <w:t>.</w:t>
      </w:r>
    </w:p>
    <w:p w14:paraId="548AFFE5" w14:textId="5FB13F7F" w:rsidR="00C1152C" w:rsidRPr="00E77C38" w:rsidRDefault="00C1152C" w:rsidP="00C1152C">
      <w:pPr>
        <w:pStyle w:val="ListBullet"/>
        <w:rPr>
          <w:rStyle w:val="normaltextrun"/>
          <w:rFonts w:cs="Arial"/>
          <w:szCs w:val="21"/>
        </w:rPr>
      </w:pPr>
      <w:r w:rsidRPr="00E77C38">
        <w:rPr>
          <w:rStyle w:val="normaltextrun"/>
          <w:rFonts w:eastAsiaTheme="majorEastAsia" w:cs="Arial"/>
          <w:szCs w:val="21"/>
        </w:rPr>
        <w:t xml:space="preserve">Medicines are used </w:t>
      </w:r>
      <w:r w:rsidR="0074540B" w:rsidRPr="00E77C38">
        <w:rPr>
          <w:rStyle w:val="normaltextrun"/>
          <w:rFonts w:eastAsiaTheme="majorEastAsia" w:cs="Arial"/>
          <w:szCs w:val="21"/>
        </w:rPr>
        <w:t xml:space="preserve">safely, </w:t>
      </w:r>
      <w:r w:rsidRPr="00E77C38">
        <w:rPr>
          <w:rStyle w:val="normaltextrun"/>
          <w:rFonts w:eastAsiaTheme="majorEastAsia" w:cs="Arial"/>
          <w:szCs w:val="21"/>
        </w:rPr>
        <w:t>optimally</w:t>
      </w:r>
      <w:r w:rsidR="002322DB" w:rsidRPr="00E77C38">
        <w:rPr>
          <w:rStyle w:val="normaltextrun"/>
          <w:rFonts w:eastAsiaTheme="majorEastAsia" w:cs="Arial"/>
          <w:szCs w:val="21"/>
        </w:rPr>
        <w:t xml:space="preserve"> and </w:t>
      </w:r>
      <w:r w:rsidR="006B676C" w:rsidRPr="00E77C38">
        <w:rPr>
          <w:rStyle w:val="normaltextrun"/>
          <w:rFonts w:eastAsiaTheme="majorEastAsia" w:cs="Arial"/>
          <w:szCs w:val="21"/>
        </w:rPr>
        <w:t>judiciously</w:t>
      </w:r>
      <w:r w:rsidR="00CD761D" w:rsidRPr="00E77C38">
        <w:rPr>
          <w:rStyle w:val="normaltextrun"/>
          <w:rFonts w:eastAsiaTheme="majorEastAsia" w:cs="Arial"/>
          <w:szCs w:val="21"/>
        </w:rPr>
        <w:t>,</w:t>
      </w:r>
      <w:r w:rsidRPr="00E77C38">
        <w:rPr>
          <w:rStyle w:val="normaltextrun"/>
          <w:rFonts w:eastAsiaTheme="majorEastAsia" w:cs="Arial"/>
          <w:szCs w:val="21"/>
        </w:rPr>
        <w:t xml:space="preserve"> with a focus on</w:t>
      </w:r>
      <w:r w:rsidR="007B08F7" w:rsidRPr="00E77C38">
        <w:rPr>
          <w:rStyle w:val="normaltextrun"/>
          <w:rFonts w:eastAsiaTheme="majorEastAsia" w:cs="Arial"/>
          <w:szCs w:val="21"/>
        </w:rPr>
        <w:t xml:space="preserve"> informed choice and</w:t>
      </w:r>
      <w:r w:rsidRPr="00E77C38">
        <w:rPr>
          <w:rStyle w:val="normaltextrun"/>
          <w:rFonts w:eastAsiaTheme="majorEastAsia" w:cs="Arial"/>
          <w:szCs w:val="21"/>
        </w:rPr>
        <w:t xml:space="preserve"> </w:t>
      </w:r>
      <w:r w:rsidR="00CD761D" w:rsidRPr="00E77C38">
        <w:rPr>
          <w:rStyle w:val="normaltextrun"/>
          <w:rFonts w:eastAsiaTheme="majorEastAsia" w:cs="Arial"/>
          <w:szCs w:val="21"/>
        </w:rPr>
        <w:t xml:space="preserve">well-coordinated </w:t>
      </w:r>
      <w:r w:rsidRPr="00E77C38">
        <w:rPr>
          <w:rStyle w:val="normaltextrun"/>
          <w:rFonts w:eastAsiaTheme="majorEastAsia" w:cs="Arial"/>
          <w:szCs w:val="21"/>
        </w:rPr>
        <w:t>person-centred care.</w:t>
      </w:r>
    </w:p>
    <w:p w14:paraId="7387D093" w14:textId="11D2F911" w:rsidR="00C1152C" w:rsidRPr="00DC3F0B" w:rsidRDefault="00C1152C" w:rsidP="00C1152C">
      <w:pPr>
        <w:pStyle w:val="ListBullet"/>
        <w:rPr>
          <w:rFonts w:cs="Arial"/>
        </w:rPr>
      </w:pPr>
      <w:r w:rsidRPr="00DC3F0B">
        <w:rPr>
          <w:rFonts w:cs="Arial"/>
        </w:rPr>
        <w:t xml:space="preserve">Support for a positive and sustainable </w:t>
      </w:r>
      <w:r w:rsidR="002322DB" w:rsidRPr="00DC3F0B">
        <w:rPr>
          <w:rFonts w:cs="Arial"/>
        </w:rPr>
        <w:t xml:space="preserve">policy </w:t>
      </w:r>
      <w:r w:rsidRPr="00DC3F0B">
        <w:rPr>
          <w:rFonts w:cs="Arial"/>
        </w:rPr>
        <w:t xml:space="preserve">environment to drive </w:t>
      </w:r>
      <w:r w:rsidR="009E5785" w:rsidRPr="00DC3F0B">
        <w:rPr>
          <w:rFonts w:cs="Arial"/>
        </w:rPr>
        <w:t xml:space="preserve">world-class </w:t>
      </w:r>
      <w:r w:rsidRPr="00DC3F0B">
        <w:rPr>
          <w:rFonts w:cs="Arial"/>
        </w:rPr>
        <w:t xml:space="preserve">innovation and research, including translational research, and the </w:t>
      </w:r>
      <w:r w:rsidR="009E5785" w:rsidRPr="00DC3F0B">
        <w:rPr>
          <w:rFonts w:cs="Arial"/>
        </w:rPr>
        <w:t xml:space="preserve">successful </w:t>
      </w:r>
      <w:r w:rsidRPr="00DC3F0B">
        <w:rPr>
          <w:rFonts w:cs="Arial"/>
        </w:rPr>
        <w:t>development of medicines and medicines-related services</w:t>
      </w:r>
      <w:r w:rsidR="002A08A3" w:rsidRPr="00DC3F0B">
        <w:rPr>
          <w:rFonts w:cs="Arial"/>
        </w:rPr>
        <w:t xml:space="preserve"> in Australia.</w:t>
      </w:r>
    </w:p>
    <w:p w14:paraId="3C59962E" w14:textId="77777777" w:rsidR="00C1152C" w:rsidRPr="00D8062C" w:rsidRDefault="00C1152C" w:rsidP="00C1152C">
      <w:pPr>
        <w:pStyle w:val="Heading2"/>
      </w:pPr>
      <w:r w:rsidRPr="00E77C38">
        <w:t>Scope</w:t>
      </w:r>
    </w:p>
    <w:p w14:paraId="6A601D82" w14:textId="40FFED13" w:rsidR="00943305" w:rsidRPr="00DC3F0B" w:rsidRDefault="0047286A" w:rsidP="00C1152C">
      <w:pPr>
        <w:pStyle w:val="Paragraphtext"/>
        <w:rPr>
          <w:rFonts w:cs="Arial"/>
          <w:szCs w:val="21"/>
        </w:rPr>
      </w:pPr>
      <w:r w:rsidRPr="00D8062C">
        <w:rPr>
          <w:rFonts w:cs="Arial"/>
          <w:szCs w:val="21"/>
        </w:rPr>
        <w:t xml:space="preserve">In the NMP context </w:t>
      </w:r>
      <w:r w:rsidRPr="00DC3F0B">
        <w:rPr>
          <w:rFonts w:cs="Arial"/>
          <w:szCs w:val="21"/>
        </w:rPr>
        <w:t>t</w:t>
      </w:r>
      <w:r w:rsidR="00C1152C" w:rsidRPr="00DC3F0B">
        <w:rPr>
          <w:rFonts w:cs="Arial"/>
          <w:szCs w:val="21"/>
        </w:rPr>
        <w:t>he term ‘medicine</w:t>
      </w:r>
      <w:r w:rsidR="004F10A2" w:rsidRPr="00DC3F0B">
        <w:rPr>
          <w:rFonts w:cs="Arial"/>
          <w:szCs w:val="21"/>
        </w:rPr>
        <w:t>s</w:t>
      </w:r>
      <w:r w:rsidR="00C1152C" w:rsidRPr="00DC3F0B">
        <w:rPr>
          <w:rFonts w:cs="Arial"/>
          <w:szCs w:val="21"/>
        </w:rPr>
        <w:t>’ covers a broad range of</w:t>
      </w:r>
      <w:r w:rsidR="00E80AF2" w:rsidRPr="00DC3F0B">
        <w:rPr>
          <w:rFonts w:cs="Arial"/>
          <w:szCs w:val="21"/>
        </w:rPr>
        <w:t xml:space="preserve"> therapeutic options,</w:t>
      </w:r>
      <w:r w:rsidR="00C1152C" w:rsidRPr="00DC3F0B">
        <w:rPr>
          <w:rFonts w:cs="Arial"/>
          <w:szCs w:val="21"/>
        </w:rPr>
        <w:t xml:space="preserve"> products</w:t>
      </w:r>
      <w:r w:rsidR="00D82044" w:rsidRPr="00DC3F0B">
        <w:rPr>
          <w:rFonts w:cs="Arial"/>
          <w:szCs w:val="21"/>
        </w:rPr>
        <w:t xml:space="preserve"> and interventions</w:t>
      </w:r>
      <w:r w:rsidR="00C1152C" w:rsidRPr="00DC3F0B">
        <w:rPr>
          <w:rFonts w:cs="Arial"/>
          <w:szCs w:val="21"/>
        </w:rPr>
        <w:t xml:space="preserve"> used to prevent, treat, monitor</w:t>
      </w:r>
      <w:r w:rsidR="004A5FFC" w:rsidRPr="00DC3F0B">
        <w:rPr>
          <w:rFonts w:cs="Arial"/>
          <w:szCs w:val="21"/>
        </w:rPr>
        <w:t>, manage</w:t>
      </w:r>
      <w:r w:rsidR="00C1152C" w:rsidRPr="00DC3F0B">
        <w:rPr>
          <w:rFonts w:cs="Arial"/>
          <w:szCs w:val="21"/>
        </w:rPr>
        <w:t xml:space="preserve"> or cure a disease or health condition. This encompasses prescription medicines, including biologic and non-biologic medicines, gene therapies, cell and tissue engineered medicines and vaccines, non-prescription </w:t>
      </w:r>
      <w:r w:rsidR="005653F6" w:rsidRPr="00DC3F0B">
        <w:rPr>
          <w:rFonts w:cs="Arial"/>
          <w:szCs w:val="21"/>
        </w:rPr>
        <w:t>medicines</w:t>
      </w:r>
      <w:r w:rsidR="00C1152C" w:rsidRPr="00DC3F0B">
        <w:rPr>
          <w:rFonts w:cs="Arial"/>
          <w:szCs w:val="21"/>
        </w:rPr>
        <w:t>, complementary medicines, and traditional medicines</w:t>
      </w:r>
      <w:r w:rsidR="005653F6" w:rsidRPr="00DC3F0B">
        <w:rPr>
          <w:rFonts w:cs="Arial"/>
          <w:szCs w:val="21"/>
        </w:rPr>
        <w:t>,</w:t>
      </w:r>
      <w:r w:rsidR="00C1152C" w:rsidRPr="00DC3F0B">
        <w:rPr>
          <w:rFonts w:cs="Arial"/>
          <w:szCs w:val="21"/>
        </w:rPr>
        <w:t xml:space="preserve"> including Aboriginal and Torres Strait Islander traditional medicines.</w:t>
      </w:r>
    </w:p>
    <w:p w14:paraId="53E34970" w14:textId="117B11FA" w:rsidR="00C1152C" w:rsidRPr="00DC3F0B" w:rsidRDefault="00C1152C" w:rsidP="00C1152C">
      <w:pPr>
        <w:pStyle w:val="Paragraphtext"/>
        <w:rPr>
          <w:rFonts w:cs="Arial"/>
          <w:szCs w:val="21"/>
        </w:rPr>
      </w:pPr>
      <w:r w:rsidRPr="00DC3F0B">
        <w:rPr>
          <w:rFonts w:cs="Arial"/>
          <w:szCs w:val="21"/>
        </w:rPr>
        <w:t xml:space="preserve">Devices used to administer and monitor </w:t>
      </w:r>
      <w:r w:rsidR="00683AB5" w:rsidRPr="00DC3F0B">
        <w:rPr>
          <w:rFonts w:cs="Arial"/>
          <w:szCs w:val="21"/>
        </w:rPr>
        <w:t xml:space="preserve">the response to </w:t>
      </w:r>
      <w:r w:rsidRPr="00DC3F0B">
        <w:rPr>
          <w:rFonts w:cs="Arial"/>
          <w:szCs w:val="21"/>
        </w:rPr>
        <w:t>medicines</w:t>
      </w:r>
      <w:r w:rsidR="0077698D" w:rsidRPr="00DC3F0B">
        <w:rPr>
          <w:rFonts w:cs="Arial"/>
          <w:szCs w:val="21"/>
        </w:rPr>
        <w:t xml:space="preserve">, </w:t>
      </w:r>
      <w:r w:rsidR="00D82044" w:rsidRPr="00DC3F0B">
        <w:rPr>
          <w:rFonts w:cs="Arial"/>
          <w:szCs w:val="21"/>
        </w:rPr>
        <w:t>or in combination with</w:t>
      </w:r>
      <w:r w:rsidR="0077698D" w:rsidRPr="00DC3F0B">
        <w:rPr>
          <w:rFonts w:cs="Arial"/>
          <w:szCs w:val="21"/>
        </w:rPr>
        <w:t xml:space="preserve"> medicines,</w:t>
      </w:r>
      <w:r w:rsidR="00D82044" w:rsidRPr="00DC3F0B">
        <w:rPr>
          <w:rFonts w:cs="Arial"/>
          <w:szCs w:val="21"/>
        </w:rPr>
        <w:t xml:space="preserve"> </w:t>
      </w:r>
      <w:r w:rsidRPr="00DC3F0B">
        <w:rPr>
          <w:rFonts w:cs="Arial"/>
          <w:szCs w:val="21"/>
        </w:rPr>
        <w:t>are also included</w:t>
      </w:r>
      <w:r w:rsidR="00943305" w:rsidRPr="00DC3F0B">
        <w:rPr>
          <w:rFonts w:cs="Arial"/>
          <w:szCs w:val="21"/>
        </w:rPr>
        <w:t xml:space="preserve"> within the NMP’s scope</w:t>
      </w:r>
      <w:r w:rsidRPr="00DC3F0B">
        <w:rPr>
          <w:rFonts w:cs="Arial"/>
          <w:szCs w:val="21"/>
        </w:rPr>
        <w:t>.</w:t>
      </w:r>
    </w:p>
    <w:p w14:paraId="518528A6" w14:textId="6CCCA7DD" w:rsidR="00C1152C" w:rsidRPr="00DC3F0B" w:rsidRDefault="00C1152C" w:rsidP="005F54E8">
      <w:pPr>
        <w:pStyle w:val="Paragraphtext"/>
        <w:rPr>
          <w:rFonts w:eastAsia="Arial" w:cs="Arial"/>
          <w:color w:val="auto"/>
          <w:szCs w:val="21"/>
        </w:rPr>
      </w:pPr>
      <w:r w:rsidRPr="00DC3F0B">
        <w:rPr>
          <w:rFonts w:eastAsia="Arial" w:cs="Arial"/>
          <w:szCs w:val="21"/>
        </w:rPr>
        <w:t>The term ‘medicines-related services’ include</w:t>
      </w:r>
      <w:r w:rsidR="00AE7710">
        <w:rPr>
          <w:rFonts w:eastAsia="Arial" w:cs="Arial"/>
          <w:szCs w:val="21"/>
        </w:rPr>
        <w:t>s</w:t>
      </w:r>
      <w:r w:rsidRPr="00DC3F0B">
        <w:rPr>
          <w:rFonts w:eastAsia="Arial" w:cs="Arial"/>
          <w:szCs w:val="21"/>
        </w:rPr>
        <w:t xml:space="preserve"> services and </w:t>
      </w:r>
      <w:r w:rsidRPr="00DC3F0B">
        <w:rPr>
          <w:rFonts w:eastAsia="Arial" w:cs="Arial"/>
          <w:color w:val="auto"/>
          <w:szCs w:val="21"/>
        </w:rPr>
        <w:t xml:space="preserve">programs that </w:t>
      </w:r>
      <w:r w:rsidRPr="00DC3F0B">
        <w:rPr>
          <w:rFonts w:eastAsia="Arial" w:cs="Arial"/>
          <w:szCs w:val="21"/>
        </w:rPr>
        <w:t xml:space="preserve">support the quality use of </w:t>
      </w:r>
      <w:r w:rsidRPr="00DC3F0B">
        <w:rPr>
          <w:rFonts w:eastAsia="Arial" w:cs="Arial"/>
          <w:color w:val="auto"/>
          <w:szCs w:val="21"/>
        </w:rPr>
        <w:t>medicines and medicines safety</w:t>
      </w:r>
      <w:r w:rsidR="00141091" w:rsidRPr="00DC3F0B">
        <w:rPr>
          <w:rFonts w:eastAsia="Arial" w:cs="Arial"/>
          <w:color w:val="auto"/>
          <w:szCs w:val="21"/>
        </w:rPr>
        <w:t>, for e</w:t>
      </w:r>
      <w:r w:rsidRPr="00DC3F0B">
        <w:rPr>
          <w:rFonts w:eastAsia="Arial" w:cs="Arial"/>
          <w:color w:val="auto"/>
          <w:szCs w:val="21"/>
        </w:rPr>
        <w:t>xample</w:t>
      </w:r>
      <w:r w:rsidR="00141091" w:rsidRPr="00DC3F0B">
        <w:rPr>
          <w:rFonts w:eastAsia="Arial" w:cs="Arial"/>
          <w:color w:val="auto"/>
          <w:szCs w:val="21"/>
        </w:rPr>
        <w:t>,</w:t>
      </w:r>
      <w:r w:rsidRPr="00DC3F0B">
        <w:rPr>
          <w:rFonts w:eastAsia="Arial" w:cs="Arial"/>
          <w:color w:val="auto"/>
          <w:szCs w:val="21"/>
        </w:rPr>
        <w:t xml:space="preserve"> </w:t>
      </w:r>
      <w:r w:rsidR="00D82044" w:rsidRPr="00DC3F0B">
        <w:rPr>
          <w:rFonts w:eastAsia="Arial" w:cs="Arial"/>
          <w:color w:val="auto"/>
          <w:szCs w:val="21"/>
        </w:rPr>
        <w:t>education, training and awareness programs,</w:t>
      </w:r>
      <w:r w:rsidRPr="00DC3F0B">
        <w:rPr>
          <w:rFonts w:eastAsia="Arial" w:cs="Arial"/>
          <w:color w:val="auto"/>
          <w:szCs w:val="21"/>
        </w:rPr>
        <w:t xml:space="preserve"> </w:t>
      </w:r>
      <w:r w:rsidR="00E15942" w:rsidRPr="00DC3F0B">
        <w:rPr>
          <w:rFonts w:eastAsia="Arial" w:cs="Arial"/>
          <w:color w:val="auto"/>
          <w:szCs w:val="21"/>
        </w:rPr>
        <w:t xml:space="preserve">digital information </w:t>
      </w:r>
      <w:r w:rsidR="00141091" w:rsidRPr="00DC3F0B">
        <w:rPr>
          <w:rFonts w:eastAsia="Arial" w:cs="Arial"/>
          <w:color w:val="auto"/>
          <w:szCs w:val="21"/>
        </w:rPr>
        <w:t xml:space="preserve">and clinical decision support </w:t>
      </w:r>
      <w:r w:rsidR="00E15942" w:rsidRPr="00DC3F0B">
        <w:rPr>
          <w:rFonts w:eastAsia="Arial" w:cs="Arial"/>
          <w:color w:val="auto"/>
          <w:szCs w:val="21"/>
        </w:rPr>
        <w:t xml:space="preserve">systems, </w:t>
      </w:r>
      <w:r w:rsidRPr="00DC3F0B">
        <w:rPr>
          <w:rFonts w:eastAsia="Arial" w:cs="Arial"/>
          <w:color w:val="auto"/>
          <w:szCs w:val="21"/>
        </w:rPr>
        <w:t>medication review services</w:t>
      </w:r>
      <w:r w:rsidR="00141091" w:rsidRPr="00DC3F0B">
        <w:rPr>
          <w:rFonts w:eastAsia="Arial" w:cs="Arial"/>
          <w:color w:val="auto"/>
          <w:szCs w:val="21"/>
        </w:rPr>
        <w:t>,</w:t>
      </w:r>
      <w:r w:rsidRPr="00DC3F0B">
        <w:rPr>
          <w:rFonts w:eastAsia="Arial" w:cs="Arial"/>
          <w:color w:val="auto"/>
          <w:szCs w:val="21"/>
        </w:rPr>
        <w:t xml:space="preserve"> and diagnostic services including for personalised medicines.</w:t>
      </w:r>
    </w:p>
    <w:p w14:paraId="61CD235D" w14:textId="431422C7" w:rsidR="005653F6" w:rsidRPr="00DC3F0B" w:rsidRDefault="00CA50B3" w:rsidP="00C1152C">
      <w:pPr>
        <w:pStyle w:val="Paragraphtext"/>
        <w:rPr>
          <w:rFonts w:eastAsia="Arial" w:cs="Arial"/>
          <w:color w:val="auto"/>
          <w:szCs w:val="21"/>
        </w:rPr>
      </w:pPr>
      <w:r w:rsidRPr="00DC3F0B">
        <w:rPr>
          <w:rFonts w:eastAsia="Arial" w:cs="Arial"/>
          <w:color w:val="auto"/>
          <w:szCs w:val="21"/>
        </w:rPr>
        <w:lastRenderedPageBreak/>
        <w:t>T</w:t>
      </w:r>
      <w:r w:rsidR="005653F6" w:rsidRPr="00DC3F0B">
        <w:rPr>
          <w:rFonts w:eastAsia="Arial" w:cs="Arial"/>
          <w:color w:val="auto"/>
          <w:szCs w:val="21"/>
        </w:rPr>
        <w:t xml:space="preserve">he NMP </w:t>
      </w:r>
      <w:r w:rsidR="0048454A" w:rsidRPr="00DC3F0B">
        <w:rPr>
          <w:rFonts w:eastAsia="Arial" w:cs="Arial"/>
          <w:color w:val="auto"/>
          <w:szCs w:val="21"/>
        </w:rPr>
        <w:t xml:space="preserve">uses </w:t>
      </w:r>
      <w:r w:rsidR="005653F6" w:rsidRPr="00DC3F0B">
        <w:rPr>
          <w:rFonts w:eastAsia="Arial" w:cs="Arial"/>
          <w:color w:val="auto"/>
          <w:szCs w:val="21"/>
        </w:rPr>
        <w:t>term</w:t>
      </w:r>
      <w:r w:rsidR="000A2D1F" w:rsidRPr="00DC3F0B">
        <w:rPr>
          <w:rFonts w:eastAsia="Arial" w:cs="Arial"/>
          <w:color w:val="auto"/>
          <w:szCs w:val="21"/>
        </w:rPr>
        <w:t xml:space="preserve">s, </w:t>
      </w:r>
      <w:r w:rsidR="00F864A4" w:rsidRPr="00DC3F0B">
        <w:rPr>
          <w:rFonts w:eastAsia="Arial" w:cs="Arial"/>
          <w:color w:val="auto"/>
          <w:szCs w:val="21"/>
        </w:rPr>
        <w:t>principles</w:t>
      </w:r>
      <w:r w:rsidRPr="00DC3F0B">
        <w:rPr>
          <w:rFonts w:eastAsia="Arial" w:cs="Arial"/>
          <w:color w:val="auto"/>
          <w:szCs w:val="21"/>
        </w:rPr>
        <w:t xml:space="preserve"> </w:t>
      </w:r>
      <w:r w:rsidR="000A2D1F" w:rsidRPr="00DC3F0B">
        <w:rPr>
          <w:rFonts w:eastAsia="Arial" w:cs="Arial"/>
          <w:color w:val="auto"/>
          <w:szCs w:val="21"/>
        </w:rPr>
        <w:t xml:space="preserve">and concepts </w:t>
      </w:r>
      <w:r w:rsidR="0048454A" w:rsidRPr="00DC3F0B">
        <w:rPr>
          <w:rFonts w:eastAsia="Arial" w:cs="Arial"/>
          <w:color w:val="auto"/>
          <w:szCs w:val="21"/>
        </w:rPr>
        <w:t>from</w:t>
      </w:r>
      <w:r w:rsidR="0047286A" w:rsidRPr="00DC3F0B">
        <w:rPr>
          <w:rFonts w:cs="Arial"/>
          <w:color w:val="auto"/>
          <w:szCs w:val="21"/>
        </w:rPr>
        <w:t xml:space="preserve"> </w:t>
      </w:r>
      <w:r w:rsidR="00740A0D" w:rsidRPr="00DC3F0B">
        <w:rPr>
          <w:rFonts w:cs="Arial"/>
          <w:color w:val="auto"/>
          <w:szCs w:val="21"/>
        </w:rPr>
        <w:t>rel</w:t>
      </w:r>
      <w:r w:rsidR="0047286A" w:rsidRPr="00DC3F0B">
        <w:rPr>
          <w:rFonts w:cs="Arial"/>
          <w:color w:val="auto"/>
          <w:szCs w:val="21"/>
        </w:rPr>
        <w:t>ated</w:t>
      </w:r>
      <w:r w:rsidR="00740A0D" w:rsidRPr="00DC3F0B">
        <w:rPr>
          <w:rFonts w:cs="Arial"/>
          <w:color w:val="auto"/>
          <w:szCs w:val="21"/>
        </w:rPr>
        <w:t xml:space="preserve"> </w:t>
      </w:r>
      <w:r w:rsidR="0048454A" w:rsidRPr="00DC3F0B">
        <w:rPr>
          <w:rFonts w:cs="Arial"/>
          <w:color w:val="auto"/>
          <w:szCs w:val="21"/>
        </w:rPr>
        <w:t xml:space="preserve">policy </w:t>
      </w:r>
      <w:r w:rsidR="00CA1045" w:rsidRPr="00DC3F0B">
        <w:rPr>
          <w:rFonts w:cs="Arial"/>
          <w:color w:val="auto"/>
          <w:szCs w:val="21"/>
        </w:rPr>
        <w:t xml:space="preserve">and operational </w:t>
      </w:r>
      <w:r w:rsidR="0048454A" w:rsidRPr="00DC3F0B">
        <w:rPr>
          <w:rFonts w:cs="Arial"/>
          <w:color w:val="auto"/>
          <w:szCs w:val="21"/>
        </w:rPr>
        <w:t>contexts</w:t>
      </w:r>
      <w:r w:rsidR="00CA1045" w:rsidRPr="00DC3F0B">
        <w:rPr>
          <w:rFonts w:cs="Arial"/>
          <w:color w:val="auto"/>
          <w:szCs w:val="21"/>
        </w:rPr>
        <w:t>,</w:t>
      </w:r>
      <w:r w:rsidR="008132EB" w:rsidRPr="00DC3F0B">
        <w:rPr>
          <w:rFonts w:cs="Arial"/>
          <w:color w:val="auto"/>
          <w:szCs w:val="21"/>
        </w:rPr>
        <w:t xml:space="preserve"> and recognise</w:t>
      </w:r>
      <w:r w:rsidR="00DF382A" w:rsidRPr="00DC3F0B">
        <w:rPr>
          <w:rFonts w:cs="Arial"/>
          <w:color w:val="auto"/>
          <w:szCs w:val="21"/>
        </w:rPr>
        <w:t>s</w:t>
      </w:r>
      <w:r w:rsidR="008132EB" w:rsidRPr="00DC3F0B">
        <w:rPr>
          <w:rFonts w:cs="Arial"/>
          <w:color w:val="auto"/>
          <w:szCs w:val="21"/>
        </w:rPr>
        <w:t xml:space="preserve"> these </w:t>
      </w:r>
      <w:r w:rsidR="00DF382A" w:rsidRPr="00DC3F0B">
        <w:rPr>
          <w:rFonts w:cs="Arial"/>
          <w:color w:val="auto"/>
          <w:szCs w:val="21"/>
        </w:rPr>
        <w:t>will</w:t>
      </w:r>
      <w:r w:rsidR="008132EB" w:rsidRPr="00DC3F0B">
        <w:rPr>
          <w:rFonts w:cs="Arial"/>
          <w:color w:val="auto"/>
          <w:szCs w:val="21"/>
        </w:rPr>
        <w:t xml:space="preserve"> evolve over time. </w:t>
      </w:r>
      <w:r w:rsidR="005F54E8" w:rsidRPr="00DC3F0B">
        <w:rPr>
          <w:rFonts w:cs="Arial"/>
          <w:color w:val="auto"/>
          <w:szCs w:val="21"/>
        </w:rPr>
        <w:t>F</w:t>
      </w:r>
      <w:r w:rsidRPr="00DC3F0B">
        <w:rPr>
          <w:rFonts w:eastAsia="Arial" w:cs="Arial"/>
          <w:color w:val="auto"/>
          <w:szCs w:val="21"/>
        </w:rPr>
        <w:t xml:space="preserve">or example, </w:t>
      </w:r>
      <w:r w:rsidR="003A4ED8" w:rsidRPr="00DC3F0B">
        <w:rPr>
          <w:rFonts w:eastAsia="Arial" w:cs="Arial"/>
          <w:color w:val="auto"/>
          <w:szCs w:val="21"/>
        </w:rPr>
        <w:t>the Central Pillars</w:t>
      </w:r>
      <w:r w:rsidR="00CA1045" w:rsidRPr="00DC3F0B">
        <w:rPr>
          <w:rFonts w:eastAsia="Arial" w:cs="Arial"/>
          <w:color w:val="auto"/>
          <w:szCs w:val="21"/>
        </w:rPr>
        <w:t xml:space="preserve"> and Principles</w:t>
      </w:r>
      <w:r w:rsidR="003A4ED8" w:rsidRPr="00DC3F0B">
        <w:rPr>
          <w:rFonts w:eastAsia="Arial" w:cs="Arial"/>
          <w:color w:val="auto"/>
          <w:szCs w:val="21"/>
        </w:rPr>
        <w:t xml:space="preserve"> </w:t>
      </w:r>
      <w:r w:rsidR="008132EB" w:rsidRPr="00DC3F0B">
        <w:rPr>
          <w:rFonts w:eastAsia="Arial" w:cs="Arial"/>
          <w:color w:val="auto"/>
          <w:szCs w:val="21"/>
        </w:rPr>
        <w:t>use</w:t>
      </w:r>
      <w:r w:rsidR="00CA1045" w:rsidRPr="00DC3F0B">
        <w:rPr>
          <w:rFonts w:eastAsia="Arial" w:cs="Arial"/>
          <w:color w:val="auto"/>
          <w:szCs w:val="21"/>
        </w:rPr>
        <w:t>s</w:t>
      </w:r>
      <w:r w:rsidR="008132EB" w:rsidRPr="00DC3F0B">
        <w:rPr>
          <w:rFonts w:eastAsia="Arial" w:cs="Arial"/>
          <w:color w:val="auto"/>
          <w:szCs w:val="21"/>
        </w:rPr>
        <w:t xml:space="preserve"> terms that are aligned with</w:t>
      </w:r>
      <w:r w:rsidR="00CA1045" w:rsidRPr="00DC3F0B">
        <w:rPr>
          <w:rFonts w:eastAsia="Arial" w:cs="Arial"/>
          <w:color w:val="auto"/>
          <w:szCs w:val="21"/>
        </w:rPr>
        <w:t xml:space="preserve"> and are intended to be consistent with </w:t>
      </w:r>
      <w:r w:rsidRPr="00DC3F0B">
        <w:rPr>
          <w:rFonts w:eastAsia="Arial" w:cs="Arial"/>
          <w:color w:val="auto"/>
          <w:szCs w:val="21"/>
        </w:rPr>
        <w:t xml:space="preserve">national quality use of medicines </w:t>
      </w:r>
      <w:r w:rsidR="003A4ED8" w:rsidRPr="00DC3F0B">
        <w:rPr>
          <w:rFonts w:eastAsia="Arial" w:cs="Arial"/>
          <w:color w:val="auto"/>
          <w:szCs w:val="21"/>
        </w:rPr>
        <w:t>g</w:t>
      </w:r>
      <w:r w:rsidRPr="00DC3F0B">
        <w:rPr>
          <w:rFonts w:eastAsia="Arial" w:cs="Arial"/>
          <w:color w:val="auto"/>
          <w:szCs w:val="21"/>
        </w:rPr>
        <w:t xml:space="preserve">uiding </w:t>
      </w:r>
      <w:r w:rsidR="003A4ED8" w:rsidRPr="00DC3F0B">
        <w:rPr>
          <w:rFonts w:eastAsia="Arial" w:cs="Arial"/>
          <w:color w:val="auto"/>
          <w:szCs w:val="21"/>
        </w:rPr>
        <w:t>p</w:t>
      </w:r>
      <w:r w:rsidRPr="00DC3F0B">
        <w:rPr>
          <w:rFonts w:eastAsia="Arial" w:cs="Arial"/>
          <w:color w:val="auto"/>
          <w:szCs w:val="21"/>
        </w:rPr>
        <w:t xml:space="preserve">rinciples for </w:t>
      </w:r>
      <w:r w:rsidR="000A2D1F" w:rsidRPr="00DC3F0B">
        <w:rPr>
          <w:rFonts w:eastAsia="Arial" w:cs="Arial"/>
          <w:color w:val="auto"/>
          <w:szCs w:val="21"/>
        </w:rPr>
        <w:t>medication management</w:t>
      </w:r>
      <w:r w:rsidR="008132EB" w:rsidRPr="00DC3F0B">
        <w:rPr>
          <w:rFonts w:eastAsia="Arial" w:cs="Arial"/>
          <w:color w:val="auto"/>
          <w:szCs w:val="21"/>
        </w:rPr>
        <w:t>.</w:t>
      </w:r>
    </w:p>
    <w:p w14:paraId="124D9969" w14:textId="6140A3B9" w:rsidR="00F7385D" w:rsidRPr="00DC3F0B" w:rsidRDefault="00C1152C" w:rsidP="00C1152C">
      <w:pPr>
        <w:pStyle w:val="Paragraphtext"/>
        <w:rPr>
          <w:rFonts w:cs="Arial"/>
          <w:szCs w:val="21"/>
        </w:rPr>
      </w:pPr>
      <w:r w:rsidRPr="00DC3F0B">
        <w:rPr>
          <w:rFonts w:cs="Arial"/>
          <w:szCs w:val="21"/>
        </w:rPr>
        <w:t xml:space="preserve">This broad </w:t>
      </w:r>
      <w:r w:rsidR="005653F6" w:rsidRPr="00DC3F0B">
        <w:rPr>
          <w:rFonts w:cs="Arial"/>
          <w:szCs w:val="21"/>
        </w:rPr>
        <w:t xml:space="preserve">scope </w:t>
      </w:r>
      <w:r w:rsidRPr="00DC3F0B">
        <w:rPr>
          <w:rFonts w:cs="Arial"/>
          <w:szCs w:val="21"/>
        </w:rPr>
        <w:t xml:space="preserve">means the </w:t>
      </w:r>
      <w:bookmarkStart w:id="0" w:name="_Hlk120282141"/>
      <w:r w:rsidRPr="00DC3F0B">
        <w:rPr>
          <w:rFonts w:cs="Arial"/>
          <w:szCs w:val="21"/>
        </w:rPr>
        <w:t xml:space="preserve">NMP </w:t>
      </w:r>
      <w:r w:rsidR="005510D2" w:rsidRPr="00DC3F0B">
        <w:rPr>
          <w:rFonts w:cs="Arial"/>
          <w:szCs w:val="21"/>
        </w:rPr>
        <w:t xml:space="preserve">is positioned to </w:t>
      </w:r>
      <w:r w:rsidRPr="00DC3F0B">
        <w:rPr>
          <w:rFonts w:cs="Arial"/>
          <w:szCs w:val="21"/>
        </w:rPr>
        <w:t>adapt and respond to</w:t>
      </w:r>
      <w:bookmarkEnd w:id="0"/>
      <w:r w:rsidR="00F7385D" w:rsidRPr="00DC3F0B">
        <w:rPr>
          <w:rFonts w:cs="Arial"/>
          <w:szCs w:val="21"/>
        </w:rPr>
        <w:t>:</w:t>
      </w:r>
    </w:p>
    <w:p w14:paraId="1DD6CAE5" w14:textId="7F97C307" w:rsidR="005510D2" w:rsidRPr="00DC3F0B" w:rsidRDefault="00C1152C" w:rsidP="00F7385D">
      <w:pPr>
        <w:pStyle w:val="ListBullet"/>
        <w:rPr>
          <w:rFonts w:cs="Arial"/>
          <w:szCs w:val="21"/>
        </w:rPr>
      </w:pPr>
      <w:r w:rsidRPr="00DC3F0B">
        <w:rPr>
          <w:rFonts w:cs="Arial"/>
          <w:szCs w:val="21"/>
        </w:rPr>
        <w:t>new and emerging treatments and technologies</w:t>
      </w:r>
    </w:p>
    <w:p w14:paraId="5E8F2BBF" w14:textId="7C21D3C8" w:rsidR="00F7385D" w:rsidRPr="00DC3F0B" w:rsidRDefault="00C1152C" w:rsidP="00F7385D">
      <w:pPr>
        <w:pStyle w:val="ListBullet"/>
        <w:rPr>
          <w:rFonts w:cs="Arial"/>
          <w:szCs w:val="21"/>
        </w:rPr>
      </w:pPr>
      <w:r w:rsidRPr="00DC3F0B">
        <w:rPr>
          <w:rFonts w:cs="Arial"/>
          <w:szCs w:val="21"/>
        </w:rPr>
        <w:t>new or improved medicines-related services</w:t>
      </w:r>
    </w:p>
    <w:p w14:paraId="29244525" w14:textId="38C6A3C1" w:rsidR="00F7385D" w:rsidRPr="00DC3F0B" w:rsidRDefault="005510D2" w:rsidP="00F7385D">
      <w:pPr>
        <w:pStyle w:val="ListBullet"/>
        <w:rPr>
          <w:rFonts w:cs="Arial"/>
          <w:szCs w:val="21"/>
        </w:rPr>
      </w:pPr>
      <w:r w:rsidRPr="00DC3F0B">
        <w:rPr>
          <w:rFonts w:cs="Arial"/>
          <w:szCs w:val="21"/>
        </w:rPr>
        <w:t>any</w:t>
      </w:r>
      <w:r w:rsidR="00141091" w:rsidRPr="00DC3F0B">
        <w:rPr>
          <w:rFonts w:cs="Arial"/>
          <w:szCs w:val="21"/>
        </w:rPr>
        <w:t xml:space="preserve"> future</w:t>
      </w:r>
      <w:r w:rsidRPr="00DC3F0B">
        <w:rPr>
          <w:rFonts w:cs="Arial"/>
          <w:szCs w:val="21"/>
        </w:rPr>
        <w:t xml:space="preserve"> </w:t>
      </w:r>
      <w:r w:rsidR="00A5300B" w:rsidRPr="00DC3F0B">
        <w:rPr>
          <w:rFonts w:cs="Arial"/>
          <w:szCs w:val="21"/>
        </w:rPr>
        <w:t>policies developed</w:t>
      </w:r>
      <w:r w:rsidR="00E72974" w:rsidRPr="00DC3F0B">
        <w:rPr>
          <w:rFonts w:cs="Arial"/>
          <w:szCs w:val="21"/>
        </w:rPr>
        <w:t xml:space="preserve"> </w:t>
      </w:r>
      <w:r w:rsidR="00141091" w:rsidRPr="00DC3F0B">
        <w:rPr>
          <w:rFonts w:cs="Arial"/>
          <w:szCs w:val="21"/>
        </w:rPr>
        <w:t>for</w:t>
      </w:r>
      <w:r w:rsidR="00E72974" w:rsidRPr="00DC3F0B">
        <w:rPr>
          <w:rFonts w:cs="Arial"/>
          <w:szCs w:val="21"/>
        </w:rPr>
        <w:t xml:space="preserve"> </w:t>
      </w:r>
      <w:r w:rsidR="00F7385D" w:rsidRPr="00DC3F0B">
        <w:rPr>
          <w:rFonts w:cs="Arial"/>
          <w:szCs w:val="21"/>
        </w:rPr>
        <w:t>devices</w:t>
      </w:r>
      <w:r w:rsidR="00E72974" w:rsidRPr="00DC3F0B">
        <w:rPr>
          <w:rFonts w:cs="Arial"/>
          <w:szCs w:val="21"/>
        </w:rPr>
        <w:t xml:space="preserve"> or other technologies</w:t>
      </w:r>
    </w:p>
    <w:p w14:paraId="7E13CAA6" w14:textId="378505F2" w:rsidR="00CA50B3" w:rsidRPr="00DC3F0B" w:rsidRDefault="005510D2" w:rsidP="00AD0E92">
      <w:pPr>
        <w:pStyle w:val="ListBullet"/>
        <w:rPr>
          <w:rFonts w:cs="Arial"/>
          <w:szCs w:val="21"/>
        </w:rPr>
      </w:pPr>
      <w:r w:rsidRPr="00DC3F0B">
        <w:rPr>
          <w:rFonts w:cs="Arial"/>
          <w:szCs w:val="21"/>
        </w:rPr>
        <w:t xml:space="preserve">ongoing </w:t>
      </w:r>
      <w:r w:rsidR="00F7385D" w:rsidRPr="00DC3F0B">
        <w:rPr>
          <w:rFonts w:cs="Arial"/>
          <w:szCs w:val="21"/>
        </w:rPr>
        <w:t xml:space="preserve">enhancements to </w:t>
      </w:r>
      <w:r w:rsidR="004D4EBE" w:rsidRPr="00DC3F0B">
        <w:rPr>
          <w:rFonts w:cs="Arial"/>
          <w:szCs w:val="21"/>
        </w:rPr>
        <w:t xml:space="preserve">Australia’s </w:t>
      </w:r>
      <w:r w:rsidR="0065466D" w:rsidRPr="00DC3F0B">
        <w:rPr>
          <w:rFonts w:cs="Arial"/>
          <w:szCs w:val="21"/>
        </w:rPr>
        <w:t xml:space="preserve">therapeutic goods </w:t>
      </w:r>
      <w:r w:rsidR="004D4EBE" w:rsidRPr="00DC3F0B">
        <w:rPr>
          <w:rFonts w:cs="Arial"/>
          <w:szCs w:val="21"/>
        </w:rPr>
        <w:t>regulatory framework</w:t>
      </w:r>
    </w:p>
    <w:p w14:paraId="7C7555C6" w14:textId="4E144F60" w:rsidR="00C1152C" w:rsidRPr="00D8062C" w:rsidRDefault="00CA50B3" w:rsidP="00AD0E92">
      <w:pPr>
        <w:pStyle w:val="ListBullet"/>
        <w:rPr>
          <w:rFonts w:cs="Arial"/>
          <w:szCs w:val="21"/>
        </w:rPr>
      </w:pPr>
      <w:r w:rsidRPr="00DC3F0B">
        <w:rPr>
          <w:rFonts w:cs="Arial"/>
          <w:szCs w:val="21"/>
        </w:rPr>
        <w:t>ongoing improvements to national coordinating</w:t>
      </w:r>
      <w:r w:rsidR="000A2D1F" w:rsidRPr="00DC3F0B">
        <w:rPr>
          <w:rFonts w:cs="Arial"/>
          <w:szCs w:val="21"/>
        </w:rPr>
        <w:t xml:space="preserve"> </w:t>
      </w:r>
      <w:r w:rsidR="00FD0298" w:rsidRPr="00DC3F0B">
        <w:rPr>
          <w:rFonts w:cs="Arial"/>
          <w:szCs w:val="21"/>
        </w:rPr>
        <w:t xml:space="preserve">arrangements </w:t>
      </w:r>
      <w:r w:rsidRPr="00DC3F0B">
        <w:rPr>
          <w:rFonts w:cs="Arial"/>
          <w:szCs w:val="21"/>
        </w:rPr>
        <w:t xml:space="preserve">for </w:t>
      </w:r>
      <w:r w:rsidR="000A2D1F" w:rsidRPr="00DC3F0B">
        <w:rPr>
          <w:rFonts w:cs="Arial"/>
          <w:szCs w:val="21"/>
        </w:rPr>
        <w:t>safety and quality in health care</w:t>
      </w:r>
      <w:r w:rsidR="004D4EBE" w:rsidRPr="00DC3F0B">
        <w:rPr>
          <w:rFonts w:cs="Arial"/>
          <w:szCs w:val="21"/>
        </w:rPr>
        <w:t>.</w:t>
      </w:r>
    </w:p>
    <w:p w14:paraId="3C68753B" w14:textId="77777777" w:rsidR="00C1152C" w:rsidRPr="00E77C38" w:rsidRDefault="00C1152C" w:rsidP="00C1152C">
      <w:pPr>
        <w:pStyle w:val="Heading2"/>
      </w:pPr>
      <w:r w:rsidRPr="00E77C38">
        <w:t>Achieving the vision and aim through partnerships</w:t>
      </w:r>
    </w:p>
    <w:p w14:paraId="0E662C48" w14:textId="05643FD5" w:rsidR="00C1152C" w:rsidRPr="00DC3F0B" w:rsidRDefault="00C1152C" w:rsidP="00C1152C">
      <w:pPr>
        <w:rPr>
          <w:rFonts w:eastAsia="Arial" w:cs="Arial"/>
          <w:sz w:val="21"/>
          <w:szCs w:val="21"/>
        </w:rPr>
      </w:pPr>
      <w:r w:rsidRPr="00DC3F0B">
        <w:rPr>
          <w:rFonts w:cs="Arial"/>
          <w:sz w:val="21"/>
          <w:szCs w:val="21"/>
        </w:rPr>
        <w:t xml:space="preserve">Partners to the NMP include </w:t>
      </w:r>
      <w:r w:rsidRPr="00E77C38">
        <w:rPr>
          <w:rFonts w:eastAsia="Arial" w:cs="Arial"/>
          <w:sz w:val="21"/>
          <w:szCs w:val="21"/>
        </w:rPr>
        <w:t xml:space="preserve">individuals, families and carers, </w:t>
      </w:r>
      <w:r w:rsidRPr="00DC3F0B">
        <w:rPr>
          <w:rFonts w:cs="Arial"/>
          <w:sz w:val="21"/>
          <w:szCs w:val="21"/>
        </w:rPr>
        <w:t xml:space="preserve">the Commonwealth, state and territory governments </w:t>
      </w:r>
      <w:r w:rsidRPr="00E77C38">
        <w:rPr>
          <w:rFonts w:eastAsia="Arial" w:cs="Arial"/>
          <w:color w:val="000000" w:themeColor="text1"/>
          <w:sz w:val="21"/>
          <w:szCs w:val="21"/>
        </w:rPr>
        <w:t>and regulatory agencies</w:t>
      </w:r>
      <w:r w:rsidRPr="00DC3F0B">
        <w:rPr>
          <w:rFonts w:cs="Arial"/>
          <w:sz w:val="21"/>
          <w:szCs w:val="21"/>
        </w:rPr>
        <w:t xml:space="preserve">, non-government organisations, health practitioners, </w:t>
      </w:r>
      <w:r w:rsidRPr="00E77C38">
        <w:rPr>
          <w:rFonts w:eastAsia="Arial" w:cs="Arial"/>
          <w:color w:val="000000" w:themeColor="text1"/>
          <w:sz w:val="21"/>
          <w:szCs w:val="21"/>
        </w:rPr>
        <w:t>consumer organisations, including not-for-profits</w:t>
      </w:r>
      <w:r w:rsidRPr="00DC3F0B">
        <w:rPr>
          <w:rFonts w:cs="Arial"/>
          <w:sz w:val="21"/>
          <w:szCs w:val="21"/>
        </w:rPr>
        <w:t>, the private and public health sectors, industry</w:t>
      </w:r>
      <w:r w:rsidR="007C1598" w:rsidRPr="00DC3F0B">
        <w:rPr>
          <w:rFonts w:cs="Arial"/>
          <w:sz w:val="21"/>
          <w:szCs w:val="21"/>
        </w:rPr>
        <w:t xml:space="preserve"> (including pharmaceutical, software and medical service delivery industries</w:t>
      </w:r>
      <w:r w:rsidR="007C1598" w:rsidRPr="00D8062C">
        <w:rPr>
          <w:rFonts w:cs="Arial"/>
          <w:sz w:val="21"/>
          <w:szCs w:val="21"/>
        </w:rPr>
        <w:t>)</w:t>
      </w:r>
      <w:r w:rsidRPr="00AA1F16">
        <w:rPr>
          <w:rFonts w:cs="Arial"/>
          <w:sz w:val="21"/>
          <w:szCs w:val="21"/>
        </w:rPr>
        <w:t>, researchers and academics, h</w:t>
      </w:r>
      <w:r w:rsidRPr="00AA1F16">
        <w:rPr>
          <w:rFonts w:eastAsia="Arial" w:cs="Arial"/>
          <w:color w:val="000000" w:themeColor="text1"/>
          <w:sz w:val="21"/>
          <w:szCs w:val="21"/>
        </w:rPr>
        <w:t xml:space="preserve">ealth educators, including higher education and professional training bodies, </w:t>
      </w:r>
      <w:r w:rsidRPr="00701CAB">
        <w:rPr>
          <w:rFonts w:cs="Arial"/>
          <w:sz w:val="21"/>
          <w:szCs w:val="21"/>
        </w:rPr>
        <w:t>h</w:t>
      </w:r>
      <w:r w:rsidRPr="00AC2E07">
        <w:rPr>
          <w:rFonts w:eastAsia="Arial" w:cs="Arial"/>
          <w:color w:val="000000" w:themeColor="text1"/>
          <w:sz w:val="21"/>
          <w:szCs w:val="21"/>
        </w:rPr>
        <w:t xml:space="preserve">ealth professional organisations and other health related agencies, </w:t>
      </w:r>
      <w:r w:rsidRPr="00EB54A2">
        <w:rPr>
          <w:rFonts w:eastAsia="Arial" w:cs="Arial"/>
          <w:color w:val="000000" w:themeColor="text1"/>
          <w:sz w:val="21"/>
          <w:szCs w:val="21"/>
        </w:rPr>
        <w:t xml:space="preserve">the </w:t>
      </w:r>
      <w:r w:rsidRPr="00EB54A2" w:rsidDel="2ADA6959">
        <w:rPr>
          <w:rFonts w:cs="Arial"/>
          <w:sz w:val="21"/>
          <w:szCs w:val="21"/>
        </w:rPr>
        <w:t xml:space="preserve">media, and the general </w:t>
      </w:r>
      <w:r w:rsidRPr="00EB54A2">
        <w:rPr>
          <w:rFonts w:cs="Arial"/>
          <w:sz w:val="21"/>
          <w:szCs w:val="21"/>
        </w:rPr>
        <w:t>community.</w:t>
      </w:r>
    </w:p>
    <w:p w14:paraId="00BD8374" w14:textId="17E035F5" w:rsidR="00C1152C" w:rsidRPr="00DC3F0B" w:rsidRDefault="00C1152C" w:rsidP="00C1152C">
      <w:pPr>
        <w:pStyle w:val="Paragraphtext"/>
        <w:rPr>
          <w:rFonts w:eastAsia="Arial" w:cs="Arial"/>
          <w:color w:val="auto"/>
          <w:szCs w:val="21"/>
        </w:rPr>
      </w:pPr>
      <w:r w:rsidRPr="00D8062C">
        <w:rPr>
          <w:rFonts w:eastAsia="Arial" w:cs="Arial"/>
          <w:color w:val="auto"/>
          <w:szCs w:val="21"/>
        </w:rPr>
        <w:t xml:space="preserve">All partners </w:t>
      </w:r>
      <w:r w:rsidR="00445E90" w:rsidRPr="00DC3F0B">
        <w:rPr>
          <w:rFonts w:eastAsia="Arial" w:cs="Arial"/>
          <w:color w:val="auto"/>
          <w:szCs w:val="21"/>
        </w:rPr>
        <w:t xml:space="preserve">must </w:t>
      </w:r>
      <w:r w:rsidRPr="00DC3F0B">
        <w:rPr>
          <w:rFonts w:eastAsia="Arial" w:cs="Arial"/>
          <w:color w:val="auto"/>
          <w:szCs w:val="21"/>
        </w:rPr>
        <w:t>be engaged in a collaborative</w:t>
      </w:r>
      <w:r w:rsidR="006C790E" w:rsidRPr="00DC3F0B">
        <w:rPr>
          <w:rFonts w:eastAsia="Arial" w:cs="Arial"/>
          <w:color w:val="auto"/>
          <w:szCs w:val="21"/>
        </w:rPr>
        <w:t xml:space="preserve">, </w:t>
      </w:r>
      <w:r w:rsidRPr="00DC3F0B">
        <w:rPr>
          <w:rFonts w:eastAsia="Arial" w:cs="Arial"/>
          <w:color w:val="auto"/>
          <w:szCs w:val="21"/>
        </w:rPr>
        <w:t xml:space="preserve">cooperative manner to achieve the best health, social and economic outcomes for all Australians. Each partner has a role in progressing the </w:t>
      </w:r>
      <w:r w:rsidR="00CD432F" w:rsidRPr="00DC3F0B">
        <w:rPr>
          <w:rFonts w:eastAsia="Arial" w:cs="Arial"/>
          <w:color w:val="auto"/>
          <w:szCs w:val="21"/>
        </w:rPr>
        <w:t xml:space="preserve">NMP </w:t>
      </w:r>
      <w:r w:rsidRPr="00DC3F0B">
        <w:rPr>
          <w:rFonts w:eastAsia="Arial" w:cs="Arial"/>
          <w:color w:val="auto"/>
          <w:szCs w:val="21"/>
        </w:rPr>
        <w:t>through demonstrating respect for and recogni</w:t>
      </w:r>
      <w:r w:rsidR="00CD432F" w:rsidRPr="00DC3F0B">
        <w:rPr>
          <w:rFonts w:eastAsia="Arial" w:cs="Arial"/>
          <w:color w:val="auto"/>
          <w:szCs w:val="21"/>
        </w:rPr>
        <w:t>sing</w:t>
      </w:r>
      <w:r w:rsidRPr="00DC3F0B">
        <w:rPr>
          <w:rFonts w:eastAsia="Arial" w:cs="Arial"/>
          <w:color w:val="auto"/>
          <w:szCs w:val="21"/>
        </w:rPr>
        <w:t xml:space="preserve"> the expertise and contribution of other partners</w:t>
      </w:r>
      <w:bookmarkStart w:id="1" w:name="_Hlk120202879"/>
      <w:r w:rsidR="00CD432F" w:rsidRPr="00DC3F0B">
        <w:rPr>
          <w:rFonts w:eastAsia="Arial" w:cs="Arial"/>
          <w:color w:val="auto"/>
          <w:szCs w:val="21"/>
        </w:rPr>
        <w:t xml:space="preserve">, with some partners also having additional responsibilities </w:t>
      </w:r>
      <w:r w:rsidR="0073753A" w:rsidRPr="00DC3F0B">
        <w:rPr>
          <w:rFonts w:eastAsia="Arial" w:cs="Arial"/>
          <w:color w:val="auto"/>
          <w:szCs w:val="21"/>
        </w:rPr>
        <w:t>so the</w:t>
      </w:r>
      <w:r w:rsidR="00CD432F" w:rsidRPr="00DC3F0B">
        <w:rPr>
          <w:rFonts w:eastAsia="Arial" w:cs="Arial"/>
          <w:color w:val="auto"/>
          <w:szCs w:val="21"/>
        </w:rPr>
        <w:t xml:space="preserve"> NMP’s objectives</w:t>
      </w:r>
      <w:r w:rsidR="0073753A" w:rsidRPr="00DC3F0B">
        <w:rPr>
          <w:rFonts w:eastAsia="Arial" w:cs="Arial"/>
          <w:color w:val="auto"/>
          <w:szCs w:val="21"/>
        </w:rPr>
        <w:t xml:space="preserve"> can be achieved</w:t>
      </w:r>
      <w:r w:rsidR="00CD432F" w:rsidRPr="00DC3F0B">
        <w:rPr>
          <w:rFonts w:eastAsia="Arial" w:cs="Arial"/>
          <w:color w:val="auto"/>
          <w:szCs w:val="21"/>
        </w:rPr>
        <w:t>.</w:t>
      </w:r>
      <w:r w:rsidRPr="00DC3F0B">
        <w:rPr>
          <w:rFonts w:eastAsia="Arial" w:cs="Arial"/>
          <w:color w:val="auto"/>
          <w:szCs w:val="21"/>
        </w:rPr>
        <w:t xml:space="preserve"> </w:t>
      </w:r>
      <w:bookmarkEnd w:id="1"/>
      <w:r w:rsidRPr="00DC3F0B">
        <w:rPr>
          <w:rFonts w:eastAsia="Arial" w:cs="Arial"/>
          <w:color w:val="auto"/>
          <w:szCs w:val="21"/>
        </w:rPr>
        <w:t>(Figure 1).</w:t>
      </w:r>
    </w:p>
    <w:p w14:paraId="01689C96" w14:textId="77777777" w:rsidR="00C1152C" w:rsidRPr="00701CAB" w:rsidRDefault="00C1152C" w:rsidP="00C1152C">
      <w:pPr>
        <w:pStyle w:val="Paragraphtext"/>
        <w:rPr>
          <w:rFonts w:eastAsia="Arial" w:cs="Arial"/>
          <w:b/>
          <w:color w:val="auto"/>
          <w:szCs w:val="21"/>
        </w:rPr>
      </w:pPr>
      <w:r w:rsidRPr="00DC3F0B">
        <w:rPr>
          <w:rFonts w:cs="Arial"/>
          <w:b/>
          <w:bCs/>
          <w:szCs w:val="21"/>
        </w:rPr>
        <w:t xml:space="preserve">Figure 1 </w:t>
      </w:r>
      <w:r w:rsidRPr="00D8062C">
        <w:rPr>
          <w:rFonts w:cs="Arial"/>
          <w:b/>
          <w:bCs/>
          <w:szCs w:val="21"/>
        </w:rPr>
        <w:t xml:space="preserve">– </w:t>
      </w:r>
      <w:r w:rsidRPr="00AA1F16">
        <w:rPr>
          <w:rFonts w:eastAsia="Arial" w:cs="Arial"/>
          <w:b/>
          <w:color w:val="auto"/>
          <w:szCs w:val="21"/>
        </w:rPr>
        <w:t>Centrality of individuals, carers, families and communities, and the relationships between the NMP partners</w:t>
      </w:r>
    </w:p>
    <w:p w14:paraId="123C2471" w14:textId="7A315A0E" w:rsidR="00C1152C" w:rsidRPr="00DC3F0B" w:rsidRDefault="00C1152C" w:rsidP="00DC3F0B">
      <w:pPr>
        <w:pStyle w:val="Paragraphtext"/>
      </w:pPr>
    </w:p>
    <w:p w14:paraId="71C267EC" w14:textId="43C0B1F3" w:rsidR="00C1152C" w:rsidRPr="00D8062C" w:rsidRDefault="00853132" w:rsidP="00DC3F0B">
      <w:pPr>
        <w:jc w:val="center"/>
        <w:rPr>
          <w:rFonts w:cs="Arial"/>
        </w:rPr>
      </w:pPr>
      <w:r>
        <w:rPr>
          <w:rFonts w:cs="Arial"/>
          <w:noProof/>
        </w:rPr>
        <w:drawing>
          <wp:inline distT="0" distB="0" distL="0" distR="0" wp14:anchorId="527791DD" wp14:editId="0097A338">
            <wp:extent cx="4483100" cy="448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83100" cy="4483100"/>
                    </a:xfrm>
                    <a:prstGeom prst="rect">
                      <a:avLst/>
                    </a:prstGeom>
                  </pic:spPr>
                </pic:pic>
              </a:graphicData>
            </a:graphic>
          </wp:inline>
        </w:drawing>
      </w:r>
      <w:r w:rsidR="00FE3CF6" w:rsidRPr="00D8062C">
        <w:rPr>
          <w:rFonts w:cs="Arial"/>
        </w:rPr>
        <w:t xml:space="preserve"> </w:t>
      </w:r>
      <w:r w:rsidR="00C1152C" w:rsidRPr="00D8062C">
        <w:rPr>
          <w:rFonts w:cs="Arial"/>
        </w:rPr>
        <w:br w:type="page"/>
      </w:r>
    </w:p>
    <w:p w14:paraId="4A19CC75" w14:textId="77777777" w:rsidR="00C1152C" w:rsidRPr="00AA1F16" w:rsidRDefault="00C1152C" w:rsidP="00C1152C">
      <w:pPr>
        <w:pStyle w:val="Heading2"/>
      </w:pPr>
      <w:r w:rsidRPr="00D8062C">
        <w:lastRenderedPageBreak/>
        <w:t>Central pillars, principles and enablers</w:t>
      </w:r>
    </w:p>
    <w:p w14:paraId="5AC58AEE" w14:textId="77777777" w:rsidR="00C1152C" w:rsidRPr="00DC3F0B" w:rsidRDefault="00C1152C" w:rsidP="00C1152C">
      <w:pPr>
        <w:pStyle w:val="Paragraphtext"/>
        <w:rPr>
          <w:rFonts w:eastAsia="Arial" w:cs="Arial"/>
          <w:color w:val="auto"/>
          <w:szCs w:val="21"/>
        </w:rPr>
      </w:pPr>
      <w:r w:rsidRPr="00AA1F16">
        <w:rPr>
          <w:rFonts w:cs="Arial"/>
          <w:szCs w:val="21"/>
        </w:rPr>
        <w:t>The NMP is founded on four interconnected central pillars, which together with principles and enablers, are fundamental to the achievement of the</w:t>
      </w:r>
      <w:r w:rsidRPr="00701CAB">
        <w:rPr>
          <w:rFonts w:eastAsia="Arial" w:cs="Arial"/>
          <w:color w:val="auto"/>
          <w:szCs w:val="21"/>
        </w:rPr>
        <w:t xml:space="preserve"> </w:t>
      </w:r>
      <w:r w:rsidRPr="00AC2E07">
        <w:rPr>
          <w:rFonts w:eastAsia="Arial" w:cs="Arial"/>
          <w:color w:val="auto"/>
          <w:szCs w:val="21"/>
        </w:rPr>
        <w:t xml:space="preserve">vision </w:t>
      </w:r>
      <w:r w:rsidRPr="006417E5">
        <w:rPr>
          <w:rFonts w:eastAsia="Arial" w:cs="Arial"/>
          <w:color w:val="auto"/>
          <w:szCs w:val="21"/>
        </w:rPr>
        <w:t xml:space="preserve">and aim </w:t>
      </w:r>
      <w:r w:rsidRPr="00FE618A">
        <w:rPr>
          <w:rFonts w:eastAsia="Arial" w:cs="Arial"/>
          <w:color w:val="auto"/>
          <w:szCs w:val="21"/>
        </w:rPr>
        <w:t>of the NMP</w:t>
      </w:r>
      <w:r w:rsidRPr="00EB54A2">
        <w:rPr>
          <w:rFonts w:cs="Arial"/>
          <w:szCs w:val="21"/>
        </w:rPr>
        <w:t xml:space="preserve"> (Figure 2). </w:t>
      </w:r>
      <w:r w:rsidRPr="00EB54A2">
        <w:rPr>
          <w:rFonts w:eastAsia="Arial" w:cs="Arial"/>
          <w:color w:val="auto"/>
          <w:szCs w:val="21"/>
        </w:rPr>
        <w:t xml:space="preserve">The Policy sets out the </w:t>
      </w:r>
      <w:r w:rsidRPr="00DC3F0B">
        <w:rPr>
          <w:rFonts w:eastAsia="Arial" w:cs="Arial"/>
          <w:color w:val="auto"/>
          <w:szCs w:val="21"/>
        </w:rPr>
        <w:t>responsibility of all partners to work collaboratively, cooperatively and transparently to achieve its aim and the intended outcomes of each of the central pillars.</w:t>
      </w:r>
    </w:p>
    <w:p w14:paraId="38188102" w14:textId="77777777" w:rsidR="0030451D" w:rsidRPr="00DC3F0B" w:rsidRDefault="0030451D" w:rsidP="0030451D">
      <w:pPr>
        <w:rPr>
          <w:rFonts w:eastAsia="Arial" w:cs="Arial"/>
          <w:sz w:val="21"/>
          <w:szCs w:val="21"/>
        </w:rPr>
      </w:pPr>
    </w:p>
    <w:p w14:paraId="535A1562" w14:textId="77777777" w:rsidR="00C1152C" w:rsidRPr="00DC3F0B" w:rsidRDefault="00C1152C" w:rsidP="00D17E44">
      <w:pPr>
        <w:spacing w:after="240"/>
        <w:rPr>
          <w:rFonts w:cs="Arial"/>
          <w:b/>
          <w:bCs/>
          <w:sz w:val="21"/>
          <w:szCs w:val="21"/>
        </w:rPr>
      </w:pPr>
      <w:r w:rsidRPr="00DC3F0B">
        <w:rPr>
          <w:rFonts w:cs="Arial"/>
          <w:b/>
          <w:sz w:val="21"/>
          <w:szCs w:val="21"/>
        </w:rPr>
        <w:t>Figure 2 – Overview of the NMP</w:t>
      </w:r>
    </w:p>
    <w:p w14:paraId="29E674C2" w14:textId="381B4EA8" w:rsidR="00C1152C" w:rsidRPr="00D8062C" w:rsidRDefault="00A051F4" w:rsidP="0030451D">
      <w:pPr>
        <w:pStyle w:val="Heading2"/>
        <w:jc w:val="center"/>
      </w:pPr>
      <w:r w:rsidRPr="00D8062C">
        <w:rPr>
          <w:noProof/>
        </w:rPr>
        <w:t xml:space="preserve"> </w:t>
      </w:r>
      <w:r w:rsidR="0096462F">
        <w:rPr>
          <w:bCs w:val="0"/>
          <w:iCs w:val="0"/>
          <w:noProof/>
        </w:rPr>
        <w:drawing>
          <wp:inline distT="0" distB="0" distL="0" distR="0" wp14:anchorId="0AA54DAA" wp14:editId="47062363">
            <wp:extent cx="5464474" cy="7549116"/>
            <wp:effectExtent l="0" t="0" r="0" b="0"/>
            <wp:docPr id="7" name="Picture 7" descr="Figure 2 - graphic representation of the NMP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2 - graphic representation of the NMP overview"/>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69808" cy="7556485"/>
                    </a:xfrm>
                    <a:prstGeom prst="rect">
                      <a:avLst/>
                    </a:prstGeom>
                  </pic:spPr>
                </pic:pic>
              </a:graphicData>
            </a:graphic>
          </wp:inline>
        </w:drawing>
      </w:r>
    </w:p>
    <w:p w14:paraId="0919F8CB" w14:textId="38EBFB79" w:rsidR="00C1152C" w:rsidRPr="00D8062C" w:rsidRDefault="00C1152C" w:rsidP="00C1152C">
      <w:pPr>
        <w:rPr>
          <w:rFonts w:cs="Arial"/>
          <w:bCs/>
          <w:iCs/>
          <w:color w:val="358189"/>
          <w:sz w:val="32"/>
          <w:szCs w:val="28"/>
        </w:rPr>
      </w:pPr>
    </w:p>
    <w:p w14:paraId="446A2DB5" w14:textId="4DE3B714" w:rsidR="00C1152C" w:rsidRPr="00D8062C" w:rsidRDefault="00C1152C" w:rsidP="00C1152C">
      <w:pPr>
        <w:pStyle w:val="Heading2"/>
      </w:pPr>
      <w:r w:rsidRPr="00D8062C">
        <w:lastRenderedPageBreak/>
        <w:t xml:space="preserve">Central </w:t>
      </w:r>
      <w:r w:rsidR="00773A2F">
        <w:t>p</w:t>
      </w:r>
      <w:r w:rsidRPr="00D8062C">
        <w:t>illars</w:t>
      </w:r>
    </w:p>
    <w:p w14:paraId="386847CE" w14:textId="77777777" w:rsidR="00C1152C" w:rsidRPr="00AA1F16" w:rsidRDefault="00C1152C" w:rsidP="00C1152C">
      <w:pPr>
        <w:pStyle w:val="Paragraphtext"/>
        <w:rPr>
          <w:rFonts w:cs="Arial"/>
          <w:szCs w:val="21"/>
        </w:rPr>
      </w:pPr>
      <w:r w:rsidRPr="00D8062C">
        <w:rPr>
          <w:rFonts w:cs="Arial"/>
          <w:szCs w:val="21"/>
        </w:rPr>
        <w:t>The central pillars of the NMP are:</w:t>
      </w:r>
    </w:p>
    <w:p w14:paraId="13977584" w14:textId="34D19CE7" w:rsidR="00C1152C" w:rsidRPr="00165D10" w:rsidRDefault="003C4980" w:rsidP="00C1152C">
      <w:pPr>
        <w:pStyle w:val="Paragraphtext"/>
        <w:numPr>
          <w:ilvl w:val="0"/>
          <w:numId w:val="7"/>
        </w:numPr>
        <w:rPr>
          <w:rFonts w:cs="Arial"/>
          <w:szCs w:val="21"/>
        </w:rPr>
      </w:pPr>
      <w:r>
        <w:rPr>
          <w:rFonts w:cs="Arial"/>
          <w:szCs w:val="21"/>
        </w:rPr>
        <w:t>e</w:t>
      </w:r>
      <w:r w:rsidR="00F844A6" w:rsidRPr="00AA1F16">
        <w:rPr>
          <w:rFonts w:cs="Arial"/>
          <w:szCs w:val="21"/>
        </w:rPr>
        <w:t>quitable</w:t>
      </w:r>
      <w:r w:rsidR="00F844A6" w:rsidRPr="00165D10">
        <w:rPr>
          <w:rFonts w:cs="Arial"/>
          <w:szCs w:val="21"/>
        </w:rPr>
        <w:t xml:space="preserve">, </w:t>
      </w:r>
      <w:r w:rsidR="004313CE" w:rsidRPr="00DC3F0B">
        <w:rPr>
          <w:rFonts w:cs="Arial"/>
          <w:szCs w:val="21"/>
        </w:rPr>
        <w:t>t</w:t>
      </w:r>
      <w:r w:rsidR="00C1152C" w:rsidRPr="00DC3F0B">
        <w:rPr>
          <w:rFonts w:cs="Arial"/>
          <w:szCs w:val="21"/>
        </w:rPr>
        <w:t xml:space="preserve">imely, </w:t>
      </w:r>
      <w:r w:rsidR="00F844A6" w:rsidRPr="00DC3F0B">
        <w:rPr>
          <w:rFonts w:cs="Arial"/>
          <w:szCs w:val="21"/>
        </w:rPr>
        <w:t>safe</w:t>
      </w:r>
      <w:r w:rsidR="00C1152C" w:rsidRPr="00DC3F0B">
        <w:rPr>
          <w:rFonts w:cs="Arial"/>
          <w:szCs w:val="21"/>
        </w:rPr>
        <w:t xml:space="preserve"> </w:t>
      </w:r>
      <w:r w:rsidR="00C1152C" w:rsidRPr="00D8062C">
        <w:rPr>
          <w:rFonts w:cs="Arial"/>
          <w:szCs w:val="21"/>
        </w:rPr>
        <w:t>and reliable access to medicines and medicines-related services, at a cost that individuals and the community can afford</w:t>
      </w:r>
    </w:p>
    <w:p w14:paraId="34840DF7" w14:textId="230E23F2" w:rsidR="00C1152C" w:rsidRPr="00FE618A" w:rsidRDefault="003C4980" w:rsidP="00C1152C">
      <w:pPr>
        <w:pStyle w:val="Paragraphtext"/>
        <w:numPr>
          <w:ilvl w:val="0"/>
          <w:numId w:val="7"/>
        </w:numPr>
        <w:rPr>
          <w:rFonts w:cs="Arial"/>
          <w:szCs w:val="21"/>
        </w:rPr>
      </w:pPr>
      <w:r>
        <w:rPr>
          <w:rFonts w:cs="Arial"/>
          <w:szCs w:val="21"/>
        </w:rPr>
        <w:t>m</w:t>
      </w:r>
      <w:r w:rsidR="00C1152C" w:rsidRPr="00701CAB">
        <w:rPr>
          <w:rFonts w:cs="Arial"/>
          <w:szCs w:val="21"/>
        </w:rPr>
        <w:t>edicines meet the required standards of quality, safety and efficacy</w:t>
      </w:r>
    </w:p>
    <w:p w14:paraId="49187B5F" w14:textId="552F309A" w:rsidR="00C1152C" w:rsidRPr="00DC3F0B" w:rsidRDefault="003C4980" w:rsidP="00C1152C">
      <w:pPr>
        <w:pStyle w:val="Paragraphtext"/>
        <w:numPr>
          <w:ilvl w:val="0"/>
          <w:numId w:val="7"/>
        </w:numPr>
        <w:rPr>
          <w:rFonts w:cs="Arial"/>
          <w:szCs w:val="21"/>
        </w:rPr>
      </w:pPr>
      <w:r>
        <w:rPr>
          <w:rFonts w:cs="Arial"/>
          <w:szCs w:val="21"/>
        </w:rPr>
        <w:t>q</w:t>
      </w:r>
      <w:r w:rsidR="00C1152C" w:rsidRPr="00DC3F0B">
        <w:rPr>
          <w:rFonts w:cs="Arial"/>
          <w:szCs w:val="21"/>
        </w:rPr>
        <w:t>uality use of medicines and medicines safety</w:t>
      </w:r>
    </w:p>
    <w:p w14:paraId="4B41BFA8" w14:textId="45B0D283" w:rsidR="00C1152C" w:rsidRPr="00E77C38" w:rsidRDefault="003C4980" w:rsidP="00C1152C">
      <w:pPr>
        <w:pStyle w:val="Paragraphtext"/>
        <w:numPr>
          <w:ilvl w:val="0"/>
          <w:numId w:val="7"/>
        </w:numPr>
        <w:rPr>
          <w:rFonts w:eastAsia="Arial" w:cs="Arial"/>
          <w:szCs w:val="21"/>
        </w:rPr>
      </w:pPr>
      <w:r>
        <w:rPr>
          <w:rFonts w:cs="Arial"/>
          <w:szCs w:val="21"/>
        </w:rPr>
        <w:t>c</w:t>
      </w:r>
      <w:r w:rsidR="00C83653" w:rsidRPr="00DC3F0B">
        <w:rPr>
          <w:rFonts w:cs="Arial"/>
          <w:szCs w:val="21"/>
        </w:rPr>
        <w:t>ollaborative</w:t>
      </w:r>
      <w:r w:rsidR="00C1152C" w:rsidRPr="00DC3F0B">
        <w:rPr>
          <w:rFonts w:cs="Arial"/>
          <w:szCs w:val="21"/>
        </w:rPr>
        <w:t>, innovative and sustainable medicines industry and research sectors with the capability, capacity and expertise to respond to current and future health needs</w:t>
      </w:r>
      <w:r w:rsidR="00CE3108">
        <w:rPr>
          <w:rFonts w:cs="Arial"/>
          <w:szCs w:val="21"/>
        </w:rPr>
        <w:t>.</w:t>
      </w:r>
    </w:p>
    <w:p w14:paraId="34626932" w14:textId="77777777" w:rsidR="00C1152C" w:rsidRPr="00DC3F0B" w:rsidRDefault="00C1152C" w:rsidP="00C1152C">
      <w:pPr>
        <w:pStyle w:val="Paragraphtext"/>
        <w:rPr>
          <w:rFonts w:cs="Arial"/>
          <w:szCs w:val="21"/>
        </w:rPr>
      </w:pPr>
      <w:r w:rsidRPr="00DC3F0B">
        <w:rPr>
          <w:rFonts w:cs="Arial"/>
          <w:szCs w:val="21"/>
        </w:rPr>
        <w:t xml:space="preserve">The NMP identifies the intended outcomes associated with each of the central pillars. </w:t>
      </w:r>
    </w:p>
    <w:p w14:paraId="3E6A82D9" w14:textId="77777777" w:rsidR="00C1152C" w:rsidRPr="00D8062C" w:rsidRDefault="00C1152C" w:rsidP="00DC3F0B">
      <w:pPr>
        <w:pStyle w:val="Heading2"/>
        <w:keepNext w:val="0"/>
      </w:pPr>
      <w:r w:rsidRPr="00E77C38">
        <w:t>Principles</w:t>
      </w:r>
    </w:p>
    <w:p w14:paraId="172A96F3" w14:textId="61391AD1" w:rsidR="00C1152C" w:rsidRPr="00E77C38" w:rsidRDefault="00C1152C" w:rsidP="006B411A">
      <w:pPr>
        <w:rPr>
          <w:rFonts w:eastAsia="Arial" w:cs="Arial"/>
          <w:sz w:val="21"/>
          <w:szCs w:val="21"/>
        </w:rPr>
      </w:pPr>
      <w:r w:rsidRPr="00D8062C">
        <w:rPr>
          <w:rFonts w:eastAsia="Arial" w:cs="Arial"/>
          <w:sz w:val="21"/>
          <w:szCs w:val="21"/>
        </w:rPr>
        <w:t>The NMP identifies a set of fundamental principles intended to guide and direct all partners to work collaboratively</w:t>
      </w:r>
      <w:r w:rsidRPr="00AA1F16">
        <w:rPr>
          <w:rFonts w:eastAsia="Arial" w:cs="Arial"/>
          <w:sz w:val="21"/>
          <w:szCs w:val="21"/>
        </w:rPr>
        <w:t>, cooperatively</w:t>
      </w:r>
      <w:r w:rsidRPr="00165D10">
        <w:rPr>
          <w:rFonts w:eastAsia="Arial" w:cs="Arial"/>
          <w:sz w:val="21"/>
          <w:szCs w:val="21"/>
        </w:rPr>
        <w:t xml:space="preserve"> </w:t>
      </w:r>
      <w:r w:rsidRPr="00701CAB">
        <w:rPr>
          <w:rFonts w:eastAsia="Arial" w:cs="Arial"/>
          <w:sz w:val="21"/>
          <w:szCs w:val="21"/>
        </w:rPr>
        <w:t>and transparently</w:t>
      </w:r>
      <w:r w:rsidRPr="00AC2E07">
        <w:rPr>
          <w:rFonts w:eastAsia="Arial" w:cs="Arial"/>
          <w:sz w:val="21"/>
          <w:szCs w:val="21"/>
        </w:rPr>
        <w:t xml:space="preserve"> in ac</w:t>
      </w:r>
      <w:r w:rsidRPr="00FE618A">
        <w:rPr>
          <w:rFonts w:eastAsia="Arial" w:cs="Arial"/>
          <w:sz w:val="21"/>
          <w:szCs w:val="21"/>
        </w:rPr>
        <w:t>hieving the NMP’s aim through the co-design and development, implementation and evaluation of its related policies, strategies, programs and initiatives.</w:t>
      </w:r>
    </w:p>
    <w:p w14:paraId="66C6A2B5" w14:textId="77777777" w:rsidR="001A6B84" w:rsidRPr="00E77C38" w:rsidRDefault="001A6B84" w:rsidP="00E42FF5">
      <w:pPr>
        <w:rPr>
          <w:rFonts w:eastAsia="Arial" w:cs="Arial"/>
          <w:sz w:val="21"/>
          <w:szCs w:val="21"/>
        </w:rPr>
      </w:pPr>
    </w:p>
    <w:tbl>
      <w:tblPr>
        <w:tblStyle w:val="TableGrid"/>
        <w:tblW w:w="0" w:type="auto"/>
        <w:tblLayout w:type="fixed"/>
        <w:tblLook w:val="04A0" w:firstRow="1" w:lastRow="0" w:firstColumn="1" w:lastColumn="0" w:noHBand="0" w:noVBand="1"/>
      </w:tblPr>
      <w:tblGrid>
        <w:gridCol w:w="1696"/>
        <w:gridCol w:w="7938"/>
      </w:tblGrid>
      <w:tr w:rsidR="00C1152C" w:rsidRPr="00E77C38" w14:paraId="2094CDA3" w14:textId="77777777" w:rsidTr="001148C4">
        <w:trPr>
          <w:cantSplit/>
          <w:trHeight w:val="454"/>
          <w:tblHeader/>
        </w:trPr>
        <w:tc>
          <w:tcPr>
            <w:tcW w:w="1696" w:type="dxa"/>
            <w:vAlign w:val="center"/>
          </w:tcPr>
          <w:p w14:paraId="54FDE46F" w14:textId="77777777" w:rsidR="00C1152C" w:rsidRPr="00E77C38" w:rsidRDefault="00C1152C" w:rsidP="00DC3F0B">
            <w:pPr>
              <w:widowControl w:val="0"/>
              <w:rPr>
                <w:rFonts w:cs="Arial"/>
                <w:b/>
                <w:bCs/>
                <w:color w:val="000000" w:themeColor="text1"/>
                <w:sz w:val="21"/>
                <w:szCs w:val="21"/>
              </w:rPr>
            </w:pPr>
            <w:r w:rsidRPr="00E77C38">
              <w:rPr>
                <w:rFonts w:cs="Arial"/>
                <w:b/>
                <w:bCs/>
                <w:color w:val="000000" w:themeColor="text1"/>
                <w:sz w:val="21"/>
                <w:szCs w:val="21"/>
              </w:rPr>
              <w:t>Principle</w:t>
            </w:r>
          </w:p>
        </w:tc>
        <w:tc>
          <w:tcPr>
            <w:tcW w:w="7938" w:type="dxa"/>
            <w:vAlign w:val="center"/>
          </w:tcPr>
          <w:p w14:paraId="2B31624C" w14:textId="77777777" w:rsidR="00C1152C" w:rsidRPr="00E77C38" w:rsidRDefault="00C1152C" w:rsidP="00DC3F0B">
            <w:pPr>
              <w:widowControl w:val="0"/>
              <w:rPr>
                <w:rFonts w:cs="Arial"/>
                <w:b/>
                <w:bCs/>
                <w:color w:val="000000" w:themeColor="text1"/>
                <w:sz w:val="21"/>
                <w:szCs w:val="21"/>
              </w:rPr>
            </w:pPr>
            <w:r w:rsidRPr="00E77C38">
              <w:rPr>
                <w:rFonts w:cs="Arial"/>
                <w:b/>
                <w:bCs/>
                <w:color w:val="000000" w:themeColor="text1"/>
                <w:sz w:val="21"/>
                <w:szCs w:val="21"/>
              </w:rPr>
              <w:t xml:space="preserve">Principle in action </w:t>
            </w:r>
          </w:p>
        </w:tc>
      </w:tr>
      <w:tr w:rsidR="00C1152C" w:rsidRPr="00E77C38" w14:paraId="5DE673F9" w14:textId="77777777" w:rsidTr="00DC3F0B">
        <w:trPr>
          <w:cantSplit/>
        </w:trPr>
        <w:tc>
          <w:tcPr>
            <w:tcW w:w="1696" w:type="dxa"/>
          </w:tcPr>
          <w:p w14:paraId="07A19965" w14:textId="77777777" w:rsidR="00C1152C" w:rsidRPr="00D8062C" w:rsidRDefault="00C1152C" w:rsidP="00DC3F0B">
            <w:pPr>
              <w:widowControl w:val="0"/>
              <w:rPr>
                <w:rFonts w:cs="Arial"/>
                <w:b/>
                <w:bCs/>
                <w:color w:val="000000" w:themeColor="text1"/>
                <w:sz w:val="21"/>
                <w:szCs w:val="21"/>
              </w:rPr>
            </w:pPr>
            <w:r w:rsidRPr="00D8062C">
              <w:rPr>
                <w:rFonts w:cs="Arial"/>
                <w:b/>
                <w:bCs/>
                <w:color w:val="000000" w:themeColor="text1"/>
                <w:sz w:val="21"/>
                <w:szCs w:val="21"/>
              </w:rPr>
              <w:t>Person-centred</w:t>
            </w:r>
          </w:p>
          <w:p w14:paraId="5D866D7D" w14:textId="77777777" w:rsidR="00C1152C" w:rsidRPr="00AA1F16" w:rsidRDefault="00C1152C" w:rsidP="00DC3F0B">
            <w:pPr>
              <w:widowControl w:val="0"/>
              <w:rPr>
                <w:rFonts w:cs="Arial"/>
                <w:b/>
                <w:bCs/>
                <w:color w:val="000000" w:themeColor="text1"/>
                <w:sz w:val="21"/>
                <w:szCs w:val="21"/>
              </w:rPr>
            </w:pPr>
          </w:p>
          <w:p w14:paraId="09233E4A" w14:textId="77777777" w:rsidR="00C1152C" w:rsidRPr="00701CAB" w:rsidRDefault="00C1152C" w:rsidP="00DC3F0B">
            <w:pPr>
              <w:widowControl w:val="0"/>
              <w:rPr>
                <w:rFonts w:cs="Arial"/>
                <w:b/>
                <w:bCs/>
                <w:color w:val="000000" w:themeColor="text1"/>
                <w:sz w:val="21"/>
                <w:szCs w:val="21"/>
              </w:rPr>
            </w:pPr>
          </w:p>
          <w:p w14:paraId="2819433F" w14:textId="77777777" w:rsidR="00C1152C" w:rsidRPr="00AC2E07" w:rsidRDefault="00C1152C" w:rsidP="00DC3F0B">
            <w:pPr>
              <w:widowControl w:val="0"/>
              <w:rPr>
                <w:rFonts w:cs="Arial"/>
                <w:b/>
                <w:bCs/>
                <w:color w:val="000000" w:themeColor="text1"/>
                <w:sz w:val="21"/>
                <w:szCs w:val="21"/>
              </w:rPr>
            </w:pPr>
          </w:p>
          <w:p w14:paraId="6C35A1B9" w14:textId="77777777" w:rsidR="00C1152C" w:rsidRPr="00E77C38" w:rsidRDefault="00C1152C" w:rsidP="00DC3F0B">
            <w:pPr>
              <w:widowControl w:val="0"/>
              <w:rPr>
                <w:rFonts w:cs="Arial"/>
                <w:b/>
                <w:bCs/>
                <w:color w:val="000000" w:themeColor="text1"/>
                <w:sz w:val="21"/>
                <w:szCs w:val="21"/>
              </w:rPr>
            </w:pPr>
          </w:p>
          <w:p w14:paraId="608A2E3E" w14:textId="77777777" w:rsidR="00C1152C" w:rsidRPr="00E77C38" w:rsidRDefault="00C1152C" w:rsidP="00DC3F0B">
            <w:pPr>
              <w:widowControl w:val="0"/>
              <w:rPr>
                <w:rFonts w:cs="Arial"/>
                <w:b/>
                <w:bCs/>
                <w:color w:val="000000" w:themeColor="text1"/>
                <w:sz w:val="21"/>
                <w:szCs w:val="21"/>
              </w:rPr>
            </w:pPr>
          </w:p>
        </w:tc>
        <w:tc>
          <w:tcPr>
            <w:tcW w:w="7938" w:type="dxa"/>
          </w:tcPr>
          <w:p w14:paraId="301CDA10" w14:textId="799E994D" w:rsidR="00C1152C" w:rsidRPr="00E77C38" w:rsidRDefault="00C1152C" w:rsidP="00DC3F0B">
            <w:pPr>
              <w:pStyle w:val="Tabletextleft"/>
              <w:widowControl w:val="0"/>
            </w:pPr>
            <w:r w:rsidRPr="00E77C38">
              <w:t>Consumers</w:t>
            </w:r>
            <w:r w:rsidRPr="00E77C38" w:rsidDel="55F49542">
              <w:t xml:space="preserve"> </w:t>
            </w:r>
            <w:r w:rsidR="00826A19" w:rsidRPr="00E77C38">
              <w:t>are</w:t>
            </w:r>
            <w:r w:rsidRPr="00E77C38">
              <w:t xml:space="preserve"> supported and enabled to be </w:t>
            </w:r>
            <w:r w:rsidR="005A6FEF" w:rsidRPr="00E77C38">
              <w:t xml:space="preserve">well </w:t>
            </w:r>
            <w:r w:rsidRPr="00E77C38">
              <w:t>informed and active participants in all decision-making, acknowledging their aspirations, diversity and lived experience. This includes developing and building health</w:t>
            </w:r>
            <w:r w:rsidR="005653F6" w:rsidRPr="00E77C38">
              <w:t xml:space="preserve">, </w:t>
            </w:r>
            <w:r w:rsidR="0085452C" w:rsidRPr="00E77C38">
              <w:t>digital and medicines literacy</w:t>
            </w:r>
            <w:r w:rsidRPr="00D8062C">
              <w:t xml:space="preserve"> so that</w:t>
            </w:r>
            <w:r w:rsidRPr="00AA1F16">
              <w:t xml:space="preserve"> individuals, carers and families,</w:t>
            </w:r>
            <w:r w:rsidRPr="00165D10">
              <w:t xml:space="preserve"> and the broader community</w:t>
            </w:r>
            <w:r w:rsidRPr="00701CAB">
              <w:t xml:space="preserve"> are </w:t>
            </w:r>
            <w:r w:rsidR="005A6FEF" w:rsidRPr="00AC2E07">
              <w:t xml:space="preserve">well </w:t>
            </w:r>
            <w:r w:rsidRPr="00FE618A">
              <w:t xml:space="preserve">informed and </w:t>
            </w:r>
            <w:r w:rsidRPr="00EB54A2">
              <w:t xml:space="preserve">active participants in decision-making. </w:t>
            </w:r>
            <w:r w:rsidR="007C1598" w:rsidRPr="00EB54A2">
              <w:t xml:space="preserve">Individuals, their families and/or carers </w:t>
            </w:r>
            <w:r w:rsidR="00826A19" w:rsidRPr="00E77C38">
              <w:t>are</w:t>
            </w:r>
            <w:r w:rsidRPr="00E77C38">
              <w:t xml:space="preserve"> supported to be involved at all levels of the NMP, including in the co-design and development, implementation and evaluation of its related policies, strategies, programs and initiatives.</w:t>
            </w:r>
          </w:p>
        </w:tc>
      </w:tr>
      <w:tr w:rsidR="00C1152C" w:rsidRPr="00E77C38" w14:paraId="1B5AA226" w14:textId="77777777" w:rsidTr="00DC3F0B">
        <w:trPr>
          <w:cantSplit/>
        </w:trPr>
        <w:tc>
          <w:tcPr>
            <w:tcW w:w="1696" w:type="dxa"/>
          </w:tcPr>
          <w:p w14:paraId="6CFC0154" w14:textId="77777777" w:rsidR="00C1152C" w:rsidRPr="00D8062C" w:rsidRDefault="00C1152C" w:rsidP="00DC3F0B">
            <w:pPr>
              <w:widowControl w:val="0"/>
              <w:rPr>
                <w:rFonts w:cs="Arial"/>
                <w:b/>
                <w:bCs/>
                <w:color w:val="000000" w:themeColor="text1"/>
                <w:sz w:val="21"/>
                <w:szCs w:val="21"/>
              </w:rPr>
            </w:pPr>
            <w:r w:rsidRPr="00D8062C">
              <w:rPr>
                <w:rFonts w:cs="Arial"/>
                <w:b/>
                <w:bCs/>
                <w:color w:val="000000" w:themeColor="text1"/>
                <w:sz w:val="21"/>
                <w:szCs w:val="21"/>
              </w:rPr>
              <w:t>Equity and access</w:t>
            </w:r>
          </w:p>
        </w:tc>
        <w:tc>
          <w:tcPr>
            <w:tcW w:w="7938" w:type="dxa"/>
          </w:tcPr>
          <w:p w14:paraId="1ACBE69C" w14:textId="3969BA5E" w:rsidR="00C1152C" w:rsidRPr="00E77C38" w:rsidRDefault="00C1152C" w:rsidP="00DC3F0B">
            <w:pPr>
              <w:pStyle w:val="Tabletextleft"/>
              <w:widowControl w:val="0"/>
              <w:rPr>
                <w:color w:val="000000" w:themeColor="text1"/>
              </w:rPr>
            </w:pPr>
            <w:r w:rsidRPr="00AA1F16">
              <w:t xml:space="preserve">All actions relating to the NMP </w:t>
            </w:r>
            <w:r w:rsidRPr="00E77C38">
              <w:t xml:space="preserve">focus on delivering and </w:t>
            </w:r>
            <w:r w:rsidRPr="00E77C38" w:rsidDel="08A71801">
              <w:t xml:space="preserve">achieving </w:t>
            </w:r>
            <w:r w:rsidRPr="00E77C38">
              <w:t xml:space="preserve">positive health outcomes that matter most to people and their communities. All Australians have </w:t>
            </w:r>
            <w:r w:rsidR="007F1013" w:rsidRPr="00E77C38">
              <w:t xml:space="preserve">timely, </w:t>
            </w:r>
            <w:r w:rsidR="00DF1A47" w:rsidRPr="00E77C38">
              <w:t>safe</w:t>
            </w:r>
            <w:r w:rsidR="007F1013" w:rsidRPr="00E77C38">
              <w:t xml:space="preserve"> and</w:t>
            </w:r>
            <w:r w:rsidR="00DF1A47" w:rsidRPr="00E77C38">
              <w:t xml:space="preserve"> reliable </w:t>
            </w:r>
            <w:r w:rsidRPr="00E77C38">
              <w:t>access to effective</w:t>
            </w:r>
            <w:r w:rsidR="00DF1A47" w:rsidRPr="00E77C38">
              <w:t xml:space="preserve">, </w:t>
            </w:r>
            <w:r w:rsidRPr="00E77C38">
              <w:t>high-quality medicines</w:t>
            </w:r>
            <w:r w:rsidR="00DF1A47" w:rsidRPr="00E77C38">
              <w:t xml:space="preserve"> and/or other appropriate </w:t>
            </w:r>
            <w:r w:rsidR="00F606DD" w:rsidRPr="00E77C38">
              <w:t xml:space="preserve">management </w:t>
            </w:r>
            <w:r w:rsidR="00DF1A47" w:rsidRPr="00E77C38">
              <w:t>options</w:t>
            </w:r>
            <w:r w:rsidRPr="00E77C38">
              <w:t xml:space="preserve">, culturally </w:t>
            </w:r>
            <w:r w:rsidR="00F606DD" w:rsidRPr="00E77C38">
              <w:t xml:space="preserve">safe </w:t>
            </w:r>
            <w:r w:rsidRPr="00E77C38">
              <w:t>medicines-related services and</w:t>
            </w:r>
            <w:r w:rsidR="00294DC0" w:rsidRPr="00E77C38">
              <w:t xml:space="preserve"> culturally </w:t>
            </w:r>
            <w:r w:rsidR="00F606DD" w:rsidRPr="00E77C38">
              <w:t>safe</w:t>
            </w:r>
            <w:r w:rsidRPr="00E77C38">
              <w:t xml:space="preserve"> medicines</w:t>
            </w:r>
            <w:r w:rsidR="007C1598" w:rsidRPr="00E77C38">
              <w:t>-related</w:t>
            </w:r>
            <w:r w:rsidRPr="00E77C38">
              <w:t xml:space="preserve"> information</w:t>
            </w:r>
            <w:r w:rsidRPr="00D8062C">
              <w:t xml:space="preserve">. Access </w:t>
            </w:r>
            <w:r w:rsidR="00826A19" w:rsidRPr="00E77C38">
              <w:t>is</w:t>
            </w:r>
            <w:r w:rsidRPr="00E77C38">
              <w:t xml:space="preserve"> irrespective of diversity, background, age, disability, location or personal circumstance. The NMP’s focus is on delivering positive ways to eliminate health inequities that are experienced by </w:t>
            </w:r>
            <w:r w:rsidR="0082247F" w:rsidRPr="00E77C38">
              <w:t xml:space="preserve">vulnerable population </w:t>
            </w:r>
            <w:r w:rsidRPr="00E77C38">
              <w:t xml:space="preserve">groups within the community. These groups include Aboriginal and Torres Strait Islander people; people from culturally and linguistically diverse backgrounds; children and older people; people with disability; people living in rural and remote areas; people of low socioeconomic status; people living with rare and under-recognised diseases; people with mental illness; lesbian, gay, bisexual, transgender, queer or questioning, intersex and/or other sexuality and gender diverse people (LGBTQI+); and other </w:t>
            </w:r>
            <w:r w:rsidR="0082247F" w:rsidRPr="00E77C38">
              <w:t xml:space="preserve">vulnerable population </w:t>
            </w:r>
            <w:r w:rsidRPr="00E77C38">
              <w:t>groups</w:t>
            </w:r>
            <w:r w:rsidR="0098583E" w:rsidRPr="00E77C38">
              <w:t xml:space="preserve"> including pregnant and breastfeeding women</w:t>
            </w:r>
            <w:r w:rsidRPr="00E77C38">
              <w:t>. People may identify as belonging to one or more of these population groups and</w:t>
            </w:r>
            <w:r w:rsidR="00CE3108">
              <w:t>,</w:t>
            </w:r>
            <w:r w:rsidRPr="00E77C38">
              <w:t xml:space="preserve"> as such, may have compounding health and wellbeing experiences that must be considered.</w:t>
            </w:r>
          </w:p>
        </w:tc>
      </w:tr>
      <w:tr w:rsidR="00C1152C" w:rsidRPr="00E77C38" w14:paraId="1AF2166B" w14:textId="77777777" w:rsidTr="00DC3F0B">
        <w:trPr>
          <w:cantSplit/>
        </w:trPr>
        <w:tc>
          <w:tcPr>
            <w:tcW w:w="1696" w:type="dxa"/>
          </w:tcPr>
          <w:p w14:paraId="7F0B5D79" w14:textId="77777777" w:rsidR="00C1152C" w:rsidRPr="00AA1F16" w:rsidRDefault="00C1152C" w:rsidP="00DC3F0B">
            <w:pPr>
              <w:widowControl w:val="0"/>
              <w:rPr>
                <w:rFonts w:cs="Arial"/>
                <w:b/>
                <w:bCs/>
                <w:color w:val="000000" w:themeColor="text1"/>
                <w:sz w:val="21"/>
                <w:szCs w:val="21"/>
              </w:rPr>
            </w:pPr>
            <w:r w:rsidRPr="00D8062C">
              <w:rPr>
                <w:rFonts w:cs="Arial"/>
                <w:b/>
                <w:bCs/>
                <w:color w:val="000000" w:themeColor="text1"/>
                <w:sz w:val="21"/>
                <w:szCs w:val="21"/>
              </w:rPr>
              <w:t>Partnership-based and shared responsibility</w:t>
            </w:r>
          </w:p>
        </w:tc>
        <w:tc>
          <w:tcPr>
            <w:tcW w:w="7938" w:type="dxa"/>
          </w:tcPr>
          <w:p w14:paraId="720DEAB5" w14:textId="47C821D4" w:rsidR="00C1152C" w:rsidRPr="00E77C38" w:rsidRDefault="00C1152C" w:rsidP="00DC3F0B">
            <w:pPr>
              <w:pStyle w:val="Tabletextleft"/>
              <w:widowControl w:val="0"/>
            </w:pPr>
            <w:r w:rsidRPr="00165D10">
              <w:rPr>
                <w:rStyle w:val="normaltextrun"/>
              </w:rPr>
              <w:t>Active, respectful dialogue</w:t>
            </w:r>
            <w:r w:rsidRPr="00701CAB">
              <w:rPr>
                <w:rStyle w:val="normaltextrun"/>
              </w:rPr>
              <w:t xml:space="preserve">, </w:t>
            </w:r>
            <w:r w:rsidRPr="00AC2E07">
              <w:rPr>
                <w:rStyle w:val="normaltextrun"/>
              </w:rPr>
              <w:t xml:space="preserve">collaboration </w:t>
            </w:r>
            <w:r w:rsidRPr="00FE618A">
              <w:rPr>
                <w:rStyle w:val="normaltextrun"/>
              </w:rPr>
              <w:t xml:space="preserve">and cooperation </w:t>
            </w:r>
            <w:r w:rsidR="00826A19" w:rsidRPr="00E77C38">
              <w:rPr>
                <w:rStyle w:val="normaltextrun"/>
              </w:rPr>
              <w:t>is</w:t>
            </w:r>
            <w:r w:rsidRPr="00E77C38">
              <w:rPr>
                <w:rStyle w:val="normaltextrun"/>
              </w:rPr>
              <w:t xml:space="preserve"> established and maintained between partners - listening to and recognising the wisdom and expertise of each partner. </w:t>
            </w:r>
            <w:r w:rsidRPr="00E77C38">
              <w:t>All partners act responsibly, as stewards of the NMP.</w:t>
            </w:r>
          </w:p>
        </w:tc>
      </w:tr>
      <w:tr w:rsidR="00C1152C" w:rsidRPr="00E77C38" w14:paraId="72BC780C" w14:textId="77777777" w:rsidTr="00DC3F0B">
        <w:trPr>
          <w:cantSplit/>
          <w:trHeight w:val="570"/>
        </w:trPr>
        <w:tc>
          <w:tcPr>
            <w:tcW w:w="1696" w:type="dxa"/>
          </w:tcPr>
          <w:p w14:paraId="5452D9AA" w14:textId="77777777" w:rsidR="00C1152C" w:rsidRPr="00D8062C" w:rsidRDefault="00C1152C" w:rsidP="00DC3F0B">
            <w:pPr>
              <w:widowControl w:val="0"/>
              <w:rPr>
                <w:rFonts w:cs="Arial"/>
                <w:b/>
                <w:bCs/>
                <w:color w:val="000000" w:themeColor="text1"/>
                <w:sz w:val="21"/>
                <w:szCs w:val="21"/>
              </w:rPr>
            </w:pPr>
            <w:r w:rsidRPr="00D8062C">
              <w:rPr>
                <w:rFonts w:cs="Arial"/>
                <w:b/>
                <w:bCs/>
                <w:color w:val="000000" w:themeColor="text1"/>
                <w:sz w:val="21"/>
                <w:szCs w:val="21"/>
              </w:rPr>
              <w:t>Accountability and transparency</w:t>
            </w:r>
          </w:p>
        </w:tc>
        <w:tc>
          <w:tcPr>
            <w:tcW w:w="7938" w:type="dxa"/>
          </w:tcPr>
          <w:p w14:paraId="097543F3" w14:textId="7CE58C38" w:rsidR="00C1152C" w:rsidRPr="00E77C38" w:rsidRDefault="00C1152C" w:rsidP="00DC3F0B">
            <w:pPr>
              <w:widowControl w:val="0"/>
              <w:rPr>
                <w:rFonts w:cs="Arial"/>
                <w:color w:val="000000" w:themeColor="text1"/>
                <w:sz w:val="21"/>
                <w:szCs w:val="21"/>
              </w:rPr>
            </w:pPr>
            <w:r w:rsidRPr="00AA1F16">
              <w:rPr>
                <w:rFonts w:cs="Arial"/>
                <w:color w:val="000000" w:themeColor="text1"/>
                <w:sz w:val="21"/>
                <w:szCs w:val="21"/>
              </w:rPr>
              <w:t xml:space="preserve">All partners </w:t>
            </w:r>
            <w:r w:rsidRPr="00E77C38">
              <w:rPr>
                <w:rFonts w:cs="Arial"/>
                <w:color w:val="000000" w:themeColor="text1"/>
                <w:sz w:val="21"/>
                <w:szCs w:val="21"/>
              </w:rPr>
              <w:t xml:space="preserve">accept responsibility for their actions and </w:t>
            </w:r>
            <w:r w:rsidR="00826A19" w:rsidRPr="00E77C38">
              <w:rPr>
                <w:rFonts w:cs="Arial"/>
                <w:color w:val="000000" w:themeColor="text1"/>
                <w:sz w:val="21"/>
                <w:szCs w:val="21"/>
              </w:rPr>
              <w:t>are</w:t>
            </w:r>
            <w:r w:rsidRPr="00E77C38">
              <w:rPr>
                <w:rFonts w:cs="Arial"/>
                <w:color w:val="000000" w:themeColor="text1"/>
                <w:sz w:val="21"/>
                <w:szCs w:val="21"/>
              </w:rPr>
              <w:t xml:space="preserve"> held accountable for advancing the progress of the NMP’s central pillars</w:t>
            </w:r>
            <w:bookmarkStart w:id="2" w:name="_Hlk120263367"/>
            <w:r w:rsidRPr="00E77C38">
              <w:rPr>
                <w:rFonts w:cs="Arial"/>
                <w:color w:val="000000" w:themeColor="text1"/>
                <w:sz w:val="21"/>
                <w:szCs w:val="21"/>
              </w:rPr>
              <w:t xml:space="preserve">. </w:t>
            </w:r>
            <w:bookmarkEnd w:id="2"/>
            <w:r w:rsidRPr="00E77C38">
              <w:rPr>
                <w:rFonts w:cs="Arial"/>
                <w:color w:val="000000" w:themeColor="text1"/>
                <w:sz w:val="21"/>
                <w:szCs w:val="21"/>
              </w:rPr>
              <w:t xml:space="preserve">All activities </w:t>
            </w:r>
            <w:r w:rsidR="00826A19" w:rsidRPr="00E77C38">
              <w:rPr>
                <w:rFonts w:cs="Arial"/>
                <w:color w:val="000000" w:themeColor="text1"/>
                <w:sz w:val="21"/>
                <w:szCs w:val="21"/>
              </w:rPr>
              <w:t>are</w:t>
            </w:r>
            <w:r w:rsidRPr="00E77C38">
              <w:rPr>
                <w:rFonts w:cs="Arial"/>
                <w:color w:val="000000" w:themeColor="text1"/>
                <w:sz w:val="21"/>
                <w:szCs w:val="21"/>
              </w:rPr>
              <w:t xml:space="preserve"> undertaken, and information shared, in a respectful</w:t>
            </w:r>
            <w:r w:rsidR="00CF1588" w:rsidRPr="00E77C38">
              <w:rPr>
                <w:rFonts w:cs="Arial"/>
                <w:color w:val="000000" w:themeColor="text1"/>
                <w:sz w:val="21"/>
                <w:szCs w:val="21"/>
              </w:rPr>
              <w:t>, ethical</w:t>
            </w:r>
            <w:r w:rsidRPr="00E77C38">
              <w:rPr>
                <w:rFonts w:cs="Arial"/>
                <w:color w:val="000000" w:themeColor="text1"/>
                <w:sz w:val="21"/>
                <w:szCs w:val="21"/>
              </w:rPr>
              <w:t xml:space="preserve"> and transparent way.</w:t>
            </w:r>
            <w:r w:rsidR="005A6FEF" w:rsidRPr="00E77C38">
              <w:rPr>
                <w:rFonts w:cs="Arial"/>
                <w:color w:val="000000" w:themeColor="text1"/>
                <w:sz w:val="21"/>
                <w:szCs w:val="21"/>
              </w:rPr>
              <w:t xml:space="preserve"> </w:t>
            </w:r>
          </w:p>
        </w:tc>
      </w:tr>
      <w:tr w:rsidR="00C1152C" w:rsidRPr="00E77C38" w14:paraId="2748D409" w14:textId="77777777" w:rsidTr="00DC3F0B">
        <w:trPr>
          <w:cantSplit/>
        </w:trPr>
        <w:tc>
          <w:tcPr>
            <w:tcW w:w="1696" w:type="dxa"/>
          </w:tcPr>
          <w:p w14:paraId="43565C18" w14:textId="51D29EB0" w:rsidR="00C1152C" w:rsidRPr="00AA1F16" w:rsidRDefault="00C1152C" w:rsidP="00DC3F0B">
            <w:pPr>
              <w:widowControl w:val="0"/>
              <w:rPr>
                <w:rFonts w:cs="Arial"/>
                <w:b/>
                <w:bCs/>
                <w:color w:val="000000" w:themeColor="text1"/>
                <w:sz w:val="21"/>
                <w:szCs w:val="21"/>
              </w:rPr>
            </w:pPr>
            <w:r w:rsidRPr="00D8062C">
              <w:rPr>
                <w:rFonts w:cs="Arial"/>
                <w:b/>
                <w:bCs/>
                <w:color w:val="000000" w:themeColor="text1"/>
                <w:sz w:val="21"/>
                <w:szCs w:val="21"/>
              </w:rPr>
              <w:t>Innovation</w:t>
            </w:r>
            <w:r w:rsidR="00EF6D31" w:rsidRPr="00D8062C">
              <w:rPr>
                <w:rFonts w:cs="Arial"/>
                <w:b/>
                <w:bCs/>
                <w:color w:val="000000" w:themeColor="text1"/>
                <w:sz w:val="21"/>
                <w:szCs w:val="21"/>
              </w:rPr>
              <w:t xml:space="preserve"> and continuous improvement</w:t>
            </w:r>
            <w:r w:rsidRPr="00AA1F16">
              <w:rPr>
                <w:rFonts w:cs="Arial"/>
                <w:b/>
                <w:bCs/>
                <w:color w:val="000000" w:themeColor="text1"/>
                <w:sz w:val="21"/>
                <w:szCs w:val="21"/>
              </w:rPr>
              <w:t xml:space="preserve"> </w:t>
            </w:r>
          </w:p>
        </w:tc>
        <w:tc>
          <w:tcPr>
            <w:tcW w:w="7938" w:type="dxa"/>
          </w:tcPr>
          <w:p w14:paraId="6317E8BF" w14:textId="0D41438C" w:rsidR="00C1152C" w:rsidRPr="00E77C38" w:rsidRDefault="00C1152C" w:rsidP="00DC3F0B">
            <w:pPr>
              <w:widowControl w:val="0"/>
              <w:rPr>
                <w:rFonts w:cs="Arial"/>
                <w:color w:val="000000" w:themeColor="text1"/>
                <w:sz w:val="21"/>
                <w:szCs w:val="21"/>
              </w:rPr>
            </w:pPr>
            <w:r w:rsidRPr="00165D10">
              <w:rPr>
                <w:rFonts w:cs="Arial"/>
                <w:color w:val="000000" w:themeColor="text1"/>
                <w:sz w:val="21"/>
                <w:szCs w:val="21"/>
              </w:rPr>
              <w:t>All partners</w:t>
            </w:r>
            <w:r w:rsidRPr="00701CAB">
              <w:rPr>
                <w:rFonts w:cs="Arial"/>
                <w:color w:val="000000" w:themeColor="text1"/>
                <w:sz w:val="21"/>
                <w:szCs w:val="21"/>
              </w:rPr>
              <w:t xml:space="preserve"> </w:t>
            </w:r>
            <w:r w:rsidRPr="00E77C38">
              <w:rPr>
                <w:rFonts w:cs="Arial"/>
                <w:color w:val="000000" w:themeColor="text1"/>
                <w:sz w:val="21"/>
                <w:szCs w:val="21"/>
              </w:rPr>
              <w:t xml:space="preserve">proactively support new and improved ways to </w:t>
            </w:r>
            <w:r w:rsidR="006E0213" w:rsidRPr="00E77C38">
              <w:rPr>
                <w:rFonts w:cs="Arial"/>
                <w:color w:val="000000" w:themeColor="text1"/>
                <w:sz w:val="21"/>
                <w:szCs w:val="21"/>
              </w:rPr>
              <w:t xml:space="preserve">identify and </w:t>
            </w:r>
            <w:r w:rsidRPr="00E77C38">
              <w:rPr>
                <w:rFonts w:cs="Arial"/>
                <w:color w:val="000000" w:themeColor="text1"/>
                <w:sz w:val="21"/>
                <w:szCs w:val="21"/>
              </w:rPr>
              <w:t>respond to current and future health needs</w:t>
            </w:r>
            <w:r w:rsidR="00DA3E3D" w:rsidRPr="00E77C38">
              <w:rPr>
                <w:rFonts w:cs="Arial"/>
                <w:color w:val="000000" w:themeColor="text1"/>
                <w:sz w:val="21"/>
                <w:szCs w:val="21"/>
              </w:rPr>
              <w:t>,</w:t>
            </w:r>
            <w:r w:rsidRPr="00E77C38">
              <w:rPr>
                <w:rFonts w:cs="Arial"/>
                <w:color w:val="000000" w:themeColor="text1"/>
                <w:sz w:val="21"/>
                <w:szCs w:val="21"/>
              </w:rPr>
              <w:t xml:space="preserve"> and deliver greater value to achieve the best health, social and economic outcomes</w:t>
            </w:r>
            <w:r w:rsidR="00742388" w:rsidRPr="00E77C38">
              <w:rPr>
                <w:rFonts w:cs="Arial"/>
                <w:color w:val="000000" w:themeColor="text1"/>
                <w:sz w:val="21"/>
                <w:szCs w:val="21"/>
              </w:rPr>
              <w:t xml:space="preserve"> for all Australians</w:t>
            </w:r>
            <w:r w:rsidRPr="00E77C38">
              <w:rPr>
                <w:rFonts w:cs="Arial"/>
                <w:color w:val="000000" w:themeColor="text1"/>
                <w:sz w:val="21"/>
                <w:szCs w:val="21"/>
              </w:rPr>
              <w:t xml:space="preserve">. This includes reducing inequities across society and </w:t>
            </w:r>
            <w:r w:rsidR="00EF6D31" w:rsidRPr="00E77C38">
              <w:rPr>
                <w:rFonts w:cs="Arial"/>
                <w:color w:val="000000" w:themeColor="text1"/>
                <w:sz w:val="21"/>
                <w:szCs w:val="21"/>
              </w:rPr>
              <w:t xml:space="preserve">continually </w:t>
            </w:r>
            <w:r w:rsidRPr="00E77C38">
              <w:rPr>
                <w:rFonts w:cs="Arial"/>
                <w:color w:val="000000" w:themeColor="text1"/>
                <w:sz w:val="21"/>
                <w:szCs w:val="21"/>
              </w:rPr>
              <w:t>improving the health system, with a particular focus on medicines and medicines-related services.</w:t>
            </w:r>
          </w:p>
        </w:tc>
      </w:tr>
      <w:tr w:rsidR="00C1152C" w:rsidRPr="00E77C38" w14:paraId="282EF4A1" w14:textId="77777777" w:rsidTr="00DC3F0B">
        <w:trPr>
          <w:cantSplit/>
        </w:trPr>
        <w:tc>
          <w:tcPr>
            <w:tcW w:w="1696" w:type="dxa"/>
          </w:tcPr>
          <w:p w14:paraId="2FFB1F48" w14:textId="77777777" w:rsidR="00C1152C" w:rsidRPr="00D8062C" w:rsidRDefault="00C1152C" w:rsidP="00DC3F0B">
            <w:pPr>
              <w:widowControl w:val="0"/>
              <w:rPr>
                <w:rFonts w:cs="Arial"/>
                <w:b/>
                <w:bCs/>
                <w:color w:val="000000" w:themeColor="text1"/>
                <w:sz w:val="21"/>
                <w:szCs w:val="21"/>
              </w:rPr>
            </w:pPr>
            <w:r w:rsidRPr="00D8062C">
              <w:rPr>
                <w:rFonts w:cs="Arial"/>
                <w:b/>
                <w:bCs/>
                <w:color w:val="000000" w:themeColor="text1"/>
                <w:sz w:val="21"/>
                <w:szCs w:val="21"/>
              </w:rPr>
              <w:lastRenderedPageBreak/>
              <w:t>Evidence-based</w:t>
            </w:r>
          </w:p>
        </w:tc>
        <w:tc>
          <w:tcPr>
            <w:tcW w:w="7938" w:type="dxa"/>
          </w:tcPr>
          <w:p w14:paraId="4FEBE7F8" w14:textId="38C25557" w:rsidR="00C1152C" w:rsidRPr="00E77C38" w:rsidRDefault="00C1152C" w:rsidP="00DC3F0B">
            <w:pPr>
              <w:pStyle w:val="Default"/>
              <w:widowControl w:val="0"/>
              <w:rPr>
                <w:color w:val="000000" w:themeColor="text1"/>
                <w:sz w:val="21"/>
                <w:szCs w:val="21"/>
              </w:rPr>
            </w:pPr>
            <w:r w:rsidRPr="00AA1F16">
              <w:rPr>
                <w:rFonts w:eastAsia="Arial"/>
                <w:color w:val="000000" w:themeColor="text1"/>
                <w:sz w:val="21"/>
                <w:szCs w:val="21"/>
              </w:rPr>
              <w:t xml:space="preserve">All partners </w:t>
            </w:r>
            <w:r w:rsidRPr="00E77C38">
              <w:rPr>
                <w:rFonts w:eastAsia="Arial"/>
                <w:color w:val="000000" w:themeColor="text1"/>
                <w:sz w:val="21"/>
                <w:szCs w:val="21"/>
              </w:rPr>
              <w:t xml:space="preserve">apply </w:t>
            </w:r>
            <w:r w:rsidRPr="00E77C38">
              <w:rPr>
                <w:color w:val="000000" w:themeColor="text1"/>
                <w:sz w:val="21"/>
                <w:szCs w:val="21"/>
              </w:rPr>
              <w:t xml:space="preserve">relevant, current and </w:t>
            </w:r>
            <w:r w:rsidRPr="00E77C38">
              <w:rPr>
                <w:rFonts w:eastAsia="Arial"/>
                <w:color w:val="000000" w:themeColor="text1"/>
                <w:sz w:val="21"/>
                <w:szCs w:val="21"/>
              </w:rPr>
              <w:t>context</w:t>
            </w:r>
            <w:r w:rsidR="00615062">
              <w:rPr>
                <w:rFonts w:eastAsia="Arial"/>
                <w:color w:val="000000" w:themeColor="text1"/>
                <w:sz w:val="21"/>
                <w:szCs w:val="21"/>
              </w:rPr>
              <w:t>-</w:t>
            </w:r>
            <w:r w:rsidRPr="00E77C38">
              <w:rPr>
                <w:rFonts w:eastAsia="Arial"/>
                <w:color w:val="000000" w:themeColor="text1"/>
                <w:sz w:val="21"/>
                <w:szCs w:val="21"/>
              </w:rPr>
              <w:t>specific</w:t>
            </w:r>
            <w:r w:rsidRPr="00E77C38">
              <w:rPr>
                <w:color w:val="000000" w:themeColor="text1"/>
                <w:sz w:val="21"/>
                <w:szCs w:val="21"/>
              </w:rPr>
              <w:t xml:space="preserve"> </w:t>
            </w:r>
            <w:r w:rsidRPr="00E77C38">
              <w:rPr>
                <w:rFonts w:eastAsia="Arial"/>
                <w:color w:val="000000" w:themeColor="text1"/>
                <w:sz w:val="21"/>
                <w:szCs w:val="21"/>
              </w:rPr>
              <w:t xml:space="preserve">evidence </w:t>
            </w:r>
            <w:r w:rsidR="0025087F" w:rsidRPr="00E77C38">
              <w:rPr>
                <w:rFonts w:eastAsia="Arial"/>
                <w:color w:val="000000" w:themeColor="text1"/>
                <w:sz w:val="21"/>
                <w:szCs w:val="21"/>
              </w:rPr>
              <w:t xml:space="preserve">and consensus best practice </w:t>
            </w:r>
            <w:r w:rsidRPr="00E77C38">
              <w:rPr>
                <w:rFonts w:eastAsia="Arial"/>
                <w:color w:val="000000" w:themeColor="text1"/>
                <w:sz w:val="21"/>
                <w:szCs w:val="21"/>
              </w:rPr>
              <w:t xml:space="preserve">to guide </w:t>
            </w:r>
            <w:r w:rsidR="00DA3E3D" w:rsidRPr="00E77C38">
              <w:rPr>
                <w:rFonts w:eastAsia="Arial"/>
                <w:color w:val="000000" w:themeColor="text1"/>
                <w:sz w:val="21"/>
                <w:szCs w:val="21"/>
              </w:rPr>
              <w:t xml:space="preserve">collaborative </w:t>
            </w:r>
            <w:r w:rsidR="0098583E" w:rsidRPr="00E77C38">
              <w:rPr>
                <w:rFonts w:eastAsia="Arial"/>
                <w:color w:val="000000" w:themeColor="text1"/>
                <w:sz w:val="21"/>
                <w:szCs w:val="21"/>
              </w:rPr>
              <w:t xml:space="preserve">research, </w:t>
            </w:r>
            <w:r w:rsidRPr="00E77C38">
              <w:rPr>
                <w:rFonts w:eastAsia="Arial"/>
                <w:color w:val="000000" w:themeColor="text1"/>
                <w:sz w:val="21"/>
                <w:szCs w:val="21"/>
              </w:rPr>
              <w:t>decision-making, program design and communication. This</w:t>
            </w:r>
            <w:r w:rsidRPr="00E77C38" w:rsidDel="006522EF">
              <w:rPr>
                <w:rFonts w:eastAsia="Arial"/>
                <w:color w:val="000000" w:themeColor="text1"/>
                <w:sz w:val="21"/>
                <w:szCs w:val="21"/>
              </w:rPr>
              <w:t xml:space="preserve"> </w:t>
            </w:r>
            <w:r w:rsidRPr="00E77C38">
              <w:rPr>
                <w:rFonts w:eastAsia="Arial"/>
                <w:color w:val="000000" w:themeColor="text1"/>
                <w:sz w:val="21"/>
                <w:szCs w:val="21"/>
              </w:rPr>
              <w:t>include</w:t>
            </w:r>
            <w:r w:rsidR="00826A19" w:rsidRPr="00E77C38">
              <w:rPr>
                <w:rFonts w:eastAsia="Arial"/>
                <w:color w:val="000000" w:themeColor="text1"/>
                <w:sz w:val="21"/>
                <w:szCs w:val="21"/>
              </w:rPr>
              <w:t>s</w:t>
            </w:r>
            <w:r w:rsidR="00DA3E3D" w:rsidRPr="00E77C38">
              <w:rPr>
                <w:rFonts w:eastAsia="Arial"/>
                <w:color w:val="000000" w:themeColor="text1"/>
                <w:sz w:val="21"/>
                <w:szCs w:val="21"/>
              </w:rPr>
              <w:t xml:space="preserve"> </w:t>
            </w:r>
            <w:r w:rsidRPr="00E77C38">
              <w:rPr>
                <w:rFonts w:eastAsia="Arial"/>
                <w:color w:val="000000" w:themeColor="text1"/>
                <w:sz w:val="21"/>
                <w:szCs w:val="21"/>
              </w:rPr>
              <w:t>information on</w:t>
            </w:r>
            <w:r w:rsidRPr="00E77C38">
              <w:rPr>
                <w:color w:val="000000" w:themeColor="text1"/>
                <w:sz w:val="21"/>
                <w:szCs w:val="21"/>
              </w:rPr>
              <w:t xml:space="preserve"> </w:t>
            </w:r>
            <w:r w:rsidRPr="00E77C38">
              <w:rPr>
                <w:rFonts w:eastAsia="Arial"/>
                <w:color w:val="000000" w:themeColor="text1"/>
                <w:sz w:val="21"/>
                <w:szCs w:val="21"/>
              </w:rPr>
              <w:t>safety, efficacy and effectiveness, and both real-world experience and patient reported experience and outcomes.</w:t>
            </w:r>
          </w:p>
        </w:tc>
      </w:tr>
      <w:tr w:rsidR="00C1152C" w:rsidRPr="00E77C38" w14:paraId="1C148929" w14:textId="77777777" w:rsidTr="00DC3F0B">
        <w:trPr>
          <w:cantSplit/>
        </w:trPr>
        <w:tc>
          <w:tcPr>
            <w:tcW w:w="1696" w:type="dxa"/>
            <w:shd w:val="clear" w:color="auto" w:fill="auto"/>
          </w:tcPr>
          <w:p w14:paraId="2C6B8EAB" w14:textId="77777777" w:rsidR="00C1152C" w:rsidRPr="00D8062C" w:rsidRDefault="00C1152C" w:rsidP="00DC3F0B">
            <w:pPr>
              <w:widowControl w:val="0"/>
              <w:rPr>
                <w:rFonts w:cs="Arial"/>
                <w:b/>
                <w:bCs/>
                <w:color w:val="000000" w:themeColor="text1"/>
                <w:sz w:val="21"/>
                <w:szCs w:val="21"/>
              </w:rPr>
            </w:pPr>
            <w:r w:rsidRPr="00D8062C">
              <w:rPr>
                <w:rFonts w:cs="Arial"/>
                <w:b/>
                <w:bCs/>
                <w:color w:val="000000" w:themeColor="text1"/>
                <w:sz w:val="21"/>
                <w:szCs w:val="21"/>
              </w:rPr>
              <w:t xml:space="preserve">Sustainability </w:t>
            </w:r>
          </w:p>
          <w:p w14:paraId="354D0938" w14:textId="77777777" w:rsidR="00C1152C" w:rsidRPr="00D8062C" w:rsidRDefault="00C1152C" w:rsidP="00DC3F0B">
            <w:pPr>
              <w:widowControl w:val="0"/>
              <w:rPr>
                <w:rFonts w:cs="Arial"/>
                <w:b/>
                <w:bCs/>
                <w:color w:val="000000" w:themeColor="text1"/>
                <w:sz w:val="21"/>
                <w:szCs w:val="21"/>
                <w:highlight w:val="yellow"/>
              </w:rPr>
            </w:pPr>
          </w:p>
          <w:p w14:paraId="67676DAD" w14:textId="77777777" w:rsidR="00C1152C" w:rsidRPr="00AA1F16" w:rsidRDefault="00C1152C" w:rsidP="00DC3F0B">
            <w:pPr>
              <w:widowControl w:val="0"/>
              <w:rPr>
                <w:rFonts w:cs="Arial"/>
                <w:b/>
                <w:color w:val="000000" w:themeColor="text1"/>
                <w:sz w:val="21"/>
                <w:szCs w:val="21"/>
              </w:rPr>
            </w:pPr>
          </w:p>
        </w:tc>
        <w:tc>
          <w:tcPr>
            <w:tcW w:w="7938" w:type="dxa"/>
            <w:shd w:val="clear" w:color="auto" w:fill="auto"/>
          </w:tcPr>
          <w:p w14:paraId="05E778DE" w14:textId="6D2D8C9F" w:rsidR="00C1152C" w:rsidRPr="00D8062C" w:rsidRDefault="00C1152C" w:rsidP="00E42FF5">
            <w:pPr>
              <w:pStyle w:val="Normal0"/>
              <w:rPr>
                <w:sz w:val="21"/>
                <w:szCs w:val="21"/>
              </w:rPr>
            </w:pPr>
            <w:r w:rsidRPr="00165D10">
              <w:rPr>
                <w:sz w:val="21"/>
                <w:szCs w:val="21"/>
              </w:rPr>
              <w:t>All partners</w:t>
            </w:r>
            <w:r w:rsidRPr="00E77C38">
              <w:rPr>
                <w:sz w:val="21"/>
                <w:szCs w:val="21"/>
              </w:rPr>
              <w:t xml:space="preserve"> </w:t>
            </w:r>
            <w:r w:rsidR="0025087F" w:rsidRPr="00E77C38">
              <w:rPr>
                <w:sz w:val="21"/>
                <w:szCs w:val="21"/>
              </w:rPr>
              <w:t xml:space="preserve">focus on optimising medicines use and </w:t>
            </w:r>
            <w:r w:rsidRPr="00E77C38">
              <w:rPr>
                <w:sz w:val="21"/>
                <w:szCs w:val="21"/>
              </w:rPr>
              <w:t>consider</w:t>
            </w:r>
            <w:r w:rsidR="00826A19" w:rsidRPr="00E77C38">
              <w:rPr>
                <w:sz w:val="21"/>
                <w:szCs w:val="21"/>
              </w:rPr>
              <w:t>ing</w:t>
            </w:r>
            <w:r w:rsidRPr="00E77C38">
              <w:rPr>
                <w:sz w:val="21"/>
                <w:szCs w:val="21"/>
              </w:rPr>
              <w:t xml:space="preserve"> the health, social and economic impact and sustainability of the strategies, policies, programs or initiatives they deliver</w:t>
            </w:r>
            <w:r w:rsidR="00CC3E99" w:rsidRPr="00E77C38">
              <w:rPr>
                <w:sz w:val="21"/>
                <w:szCs w:val="21"/>
              </w:rPr>
              <w:t xml:space="preserve"> or fund</w:t>
            </w:r>
            <w:r w:rsidRPr="00E77C38">
              <w:rPr>
                <w:sz w:val="21"/>
                <w:szCs w:val="21"/>
              </w:rPr>
              <w:t xml:space="preserve">. All partners work to </w:t>
            </w:r>
            <w:r w:rsidR="002301B6" w:rsidRPr="00E77C38">
              <w:rPr>
                <w:sz w:val="21"/>
                <w:szCs w:val="21"/>
              </w:rPr>
              <w:t xml:space="preserve">protect and </w:t>
            </w:r>
            <w:r w:rsidRPr="00E77C38">
              <w:rPr>
                <w:sz w:val="21"/>
                <w:szCs w:val="21"/>
              </w:rPr>
              <w:t xml:space="preserve">reduce the impact on the natural environment from the </w:t>
            </w:r>
            <w:r w:rsidRPr="00E77C38" w:rsidDel="4D2AE18D">
              <w:rPr>
                <w:sz w:val="21"/>
                <w:szCs w:val="21"/>
              </w:rPr>
              <w:t>research,</w:t>
            </w:r>
            <w:r w:rsidRPr="00E77C38">
              <w:rPr>
                <w:sz w:val="21"/>
                <w:szCs w:val="21"/>
              </w:rPr>
              <w:t xml:space="preserve"> development, manufacture and supply of medicines</w:t>
            </w:r>
            <w:r w:rsidR="0098583E" w:rsidRPr="00E77C38">
              <w:rPr>
                <w:sz w:val="21"/>
                <w:szCs w:val="21"/>
              </w:rPr>
              <w:t xml:space="preserve">, and delivery of medicines-related services. </w:t>
            </w:r>
            <w:r w:rsidRPr="00E77C38">
              <w:rPr>
                <w:sz w:val="21"/>
                <w:szCs w:val="21"/>
              </w:rPr>
              <w:t>This includes the safe collection</w:t>
            </w:r>
            <w:r w:rsidR="007C1598" w:rsidRPr="00E77C38">
              <w:rPr>
                <w:sz w:val="21"/>
                <w:szCs w:val="21"/>
              </w:rPr>
              <w:t xml:space="preserve"> and segregation</w:t>
            </w:r>
            <w:r w:rsidR="00B667D9">
              <w:rPr>
                <w:sz w:val="21"/>
                <w:szCs w:val="21"/>
              </w:rPr>
              <w:t xml:space="preserve"> of</w:t>
            </w:r>
            <w:r w:rsidR="007C1598" w:rsidRPr="00E77C38">
              <w:rPr>
                <w:sz w:val="21"/>
                <w:szCs w:val="21"/>
              </w:rPr>
              <w:t>,</w:t>
            </w:r>
            <w:r w:rsidRPr="00E77C38">
              <w:rPr>
                <w:sz w:val="21"/>
                <w:szCs w:val="21"/>
              </w:rPr>
              <w:t xml:space="preserve"> and appropriate </w:t>
            </w:r>
            <w:r w:rsidR="007C1598" w:rsidRPr="00E77C38">
              <w:rPr>
                <w:sz w:val="21"/>
                <w:szCs w:val="21"/>
              </w:rPr>
              <w:t xml:space="preserve">and secure </w:t>
            </w:r>
            <w:r w:rsidRPr="00E77C38">
              <w:rPr>
                <w:sz w:val="21"/>
                <w:szCs w:val="21"/>
              </w:rPr>
              <w:t>disposal of</w:t>
            </w:r>
            <w:r w:rsidR="00B667D9">
              <w:rPr>
                <w:sz w:val="21"/>
                <w:szCs w:val="21"/>
              </w:rPr>
              <w:t>,</w:t>
            </w:r>
            <w:r w:rsidRPr="00E77C38">
              <w:rPr>
                <w:sz w:val="21"/>
                <w:szCs w:val="21"/>
              </w:rPr>
              <w:t xml:space="preserve"> expired or unwanted medicines, devices and medicines packaging</w:t>
            </w:r>
            <w:r w:rsidR="007C1598" w:rsidRPr="00E77C38">
              <w:rPr>
                <w:sz w:val="21"/>
                <w:szCs w:val="21"/>
              </w:rPr>
              <w:t>, ensuring minimal impact on the environment</w:t>
            </w:r>
            <w:r w:rsidRPr="00E77C38">
              <w:rPr>
                <w:sz w:val="21"/>
                <w:szCs w:val="21"/>
              </w:rPr>
              <w:t>.</w:t>
            </w:r>
          </w:p>
        </w:tc>
      </w:tr>
    </w:tbl>
    <w:p w14:paraId="5ADE9953" w14:textId="1306E81A" w:rsidR="00C1152C" w:rsidRPr="00D8062C" w:rsidRDefault="00C1152C" w:rsidP="00DC3F0B">
      <w:pPr>
        <w:pStyle w:val="Heading2"/>
        <w:keepNext w:val="0"/>
      </w:pPr>
      <w:r w:rsidRPr="00D8062C">
        <w:t>Enablers</w:t>
      </w:r>
    </w:p>
    <w:p w14:paraId="28ACDE2B" w14:textId="67AD5CFA" w:rsidR="00C1152C" w:rsidRPr="00DC3F0B" w:rsidRDefault="00DF1A47" w:rsidP="00E42FF5">
      <w:pPr>
        <w:pStyle w:val="Paragraphtext"/>
        <w:rPr>
          <w:rFonts w:cs="Arial"/>
        </w:rPr>
      </w:pPr>
      <w:r w:rsidRPr="00D8062C">
        <w:rPr>
          <w:rFonts w:cs="Arial"/>
        </w:rPr>
        <w:t>S</w:t>
      </w:r>
      <w:r w:rsidR="00C1152C" w:rsidRPr="00D8062C">
        <w:rPr>
          <w:rFonts w:cs="Arial"/>
        </w:rPr>
        <w:t xml:space="preserve">even enablers </w:t>
      </w:r>
      <w:r w:rsidR="00C1152C" w:rsidRPr="00DC3F0B">
        <w:rPr>
          <w:rFonts w:cs="Arial"/>
        </w:rPr>
        <w:t>are critical to the success of the NMP:</w:t>
      </w:r>
    </w:p>
    <w:p w14:paraId="0AD3E95F" w14:textId="04DB4896" w:rsidR="00C1152C" w:rsidRPr="00E77C38" w:rsidRDefault="00C1152C" w:rsidP="00027F35">
      <w:pPr>
        <w:pStyle w:val="Tablelistbullet"/>
        <w:rPr>
          <w:rFonts w:eastAsia="Arial"/>
          <w:b/>
          <w:color w:val="000000" w:themeColor="text1"/>
        </w:rPr>
      </w:pPr>
      <w:r w:rsidRPr="00E77C38">
        <w:rPr>
          <w:b/>
          <w:bCs/>
        </w:rPr>
        <w:t>Health</w:t>
      </w:r>
      <w:r w:rsidR="00B04E92" w:rsidRPr="00E77C38">
        <w:rPr>
          <w:b/>
          <w:bCs/>
        </w:rPr>
        <w:t>, digital</w:t>
      </w:r>
      <w:r w:rsidR="0085452C" w:rsidRPr="00E77C38">
        <w:rPr>
          <w:b/>
          <w:bCs/>
        </w:rPr>
        <w:t xml:space="preserve"> and medicines</w:t>
      </w:r>
      <w:r w:rsidRPr="00E77C38">
        <w:rPr>
          <w:b/>
          <w:bCs/>
        </w:rPr>
        <w:t xml:space="preserve"> literacy</w:t>
      </w:r>
      <w:r w:rsidRPr="00E77C38">
        <w:t xml:space="preserve"> </w:t>
      </w:r>
      <w:r w:rsidRPr="00E77C38">
        <w:rPr>
          <w:b/>
          <w:bCs/>
        </w:rPr>
        <w:t>–</w:t>
      </w:r>
      <w:r w:rsidRPr="00E77C38">
        <w:t xml:space="preserve"> to build the skills, knowledge, understanding, motivation, capacity and confidence of a person to access, understand and use information to make </w:t>
      </w:r>
      <w:r w:rsidR="006E0213" w:rsidRPr="00E77C38">
        <w:t xml:space="preserve">well </w:t>
      </w:r>
      <w:r w:rsidR="00BD16B9" w:rsidRPr="00E77C38">
        <w:t xml:space="preserve">informed </w:t>
      </w:r>
      <w:r w:rsidRPr="00E77C38">
        <w:t>decisions about their health and health care</w:t>
      </w:r>
      <w:r w:rsidR="00BD16B9" w:rsidRPr="00E77C38">
        <w:t xml:space="preserve">, including </w:t>
      </w:r>
      <w:r w:rsidR="00B04E92" w:rsidRPr="00E77C38">
        <w:t xml:space="preserve">using medicines </w:t>
      </w:r>
      <w:r w:rsidR="00BD16B9" w:rsidRPr="00E77C38">
        <w:t>safely and effectively</w:t>
      </w:r>
      <w:r w:rsidRPr="00E77C38">
        <w:t xml:space="preserve">. The whole health system </w:t>
      </w:r>
      <w:r w:rsidR="00445E90" w:rsidRPr="00E77C38">
        <w:t xml:space="preserve">must </w:t>
      </w:r>
      <w:r w:rsidRPr="00E77C38">
        <w:t>respond to an individual’s health</w:t>
      </w:r>
      <w:r w:rsidR="0085452C" w:rsidRPr="00E77C38">
        <w:t xml:space="preserve"> and medicines</w:t>
      </w:r>
      <w:r w:rsidRPr="00E77C38">
        <w:t xml:space="preserve"> literacy needs, by delivering person-centred health information, education, support and services. The way information is developed </w:t>
      </w:r>
      <w:r w:rsidR="00445E90" w:rsidRPr="00E77C38">
        <w:t xml:space="preserve">must </w:t>
      </w:r>
      <w:r w:rsidRPr="00E77C38">
        <w:t xml:space="preserve">be appropriate to each person’s culture and language, health beliefs, accessibility, disability and information needs. Digital tools and technologies </w:t>
      </w:r>
      <w:r w:rsidR="00445E90" w:rsidRPr="00E77C38">
        <w:t xml:space="preserve">must </w:t>
      </w:r>
      <w:r w:rsidRPr="00E77C38">
        <w:t xml:space="preserve">be used to help </w:t>
      </w:r>
      <w:r w:rsidR="007D564A" w:rsidRPr="00E77C38">
        <w:t xml:space="preserve">and empower </w:t>
      </w:r>
      <w:r w:rsidRPr="00E77C38">
        <w:t>people manage their health and wellbeing, connect them in meaningful ways to their health care teams and offer them choices for how, when and where care is delivered.</w:t>
      </w:r>
    </w:p>
    <w:p w14:paraId="7EAC9B81" w14:textId="35E37781" w:rsidR="00C1152C" w:rsidRPr="00E77C38" w:rsidRDefault="00C1152C" w:rsidP="00C1152C">
      <w:pPr>
        <w:pStyle w:val="Tablelistbullet"/>
        <w:rPr>
          <w:rFonts w:eastAsia="Arial"/>
          <w:b/>
          <w:bCs/>
          <w:color w:val="000000" w:themeColor="text1"/>
          <w:szCs w:val="21"/>
        </w:rPr>
      </w:pPr>
      <w:r w:rsidRPr="00E77C38">
        <w:rPr>
          <w:b/>
          <w:bCs/>
        </w:rPr>
        <w:t>Leadership</w:t>
      </w:r>
      <w:r w:rsidR="001B2235" w:rsidRPr="00E77C38">
        <w:rPr>
          <w:b/>
          <w:bCs/>
        </w:rPr>
        <w:t>, collaboration</w:t>
      </w:r>
      <w:r w:rsidRPr="00E77C38">
        <w:rPr>
          <w:b/>
          <w:bCs/>
        </w:rPr>
        <w:t xml:space="preserve"> and culture</w:t>
      </w:r>
      <w:r w:rsidRPr="00E77C38">
        <w:t xml:space="preserve"> </w:t>
      </w:r>
      <w:r w:rsidRPr="00E77C38">
        <w:rPr>
          <w:b/>
          <w:bCs/>
        </w:rPr>
        <w:t>–</w:t>
      </w:r>
      <w:r w:rsidRPr="00E77C38">
        <w:t xml:space="preserve"> to encourage a commitment by all partners to the NMP to identify, pursue and communicate the aim, pillars and principles in a collaborative,</w:t>
      </w:r>
      <w:r w:rsidR="003C5DB8" w:rsidRPr="00E77C38">
        <w:t xml:space="preserve"> consultative,</w:t>
      </w:r>
      <w:r w:rsidRPr="00E77C38">
        <w:t xml:space="preserve"> respectful, flexible, adaptable and transparent manner. </w:t>
      </w:r>
      <w:r w:rsidR="007D564A" w:rsidRPr="00E77C38">
        <w:t xml:space="preserve">All partners </w:t>
      </w:r>
      <w:r w:rsidR="00445E90" w:rsidRPr="00E77C38">
        <w:t xml:space="preserve">must </w:t>
      </w:r>
      <w:r w:rsidR="007D564A" w:rsidRPr="00E77C38">
        <w:t>develop, support and promote a</w:t>
      </w:r>
      <w:r w:rsidRPr="00E77C38">
        <w:t xml:space="preserve"> culture that is open to creativity, learning and quality improvement</w:t>
      </w:r>
      <w:r w:rsidR="0098544A" w:rsidRPr="00E77C38">
        <w:t>, including through co-design</w:t>
      </w:r>
      <w:r w:rsidR="00A051F4" w:rsidRPr="00E77C38">
        <w:t xml:space="preserve"> and other participatory</w:t>
      </w:r>
      <w:r w:rsidR="0098544A" w:rsidRPr="00E77C38">
        <w:t xml:space="preserve"> a</w:t>
      </w:r>
      <w:r w:rsidR="00A051F4" w:rsidRPr="00E77C38">
        <w:t>pproaches</w:t>
      </w:r>
      <w:r w:rsidRPr="00E77C38">
        <w:t>.</w:t>
      </w:r>
    </w:p>
    <w:p w14:paraId="3ED69455" w14:textId="76919BA9" w:rsidR="00C1152C" w:rsidRPr="00E77C38" w:rsidRDefault="00C1152C" w:rsidP="00C1152C">
      <w:pPr>
        <w:pStyle w:val="Tablelistbullet"/>
        <w:rPr>
          <w:rFonts w:eastAsia="Arial"/>
          <w:b/>
          <w:bCs/>
        </w:rPr>
      </w:pPr>
      <w:r w:rsidRPr="00E77C38">
        <w:rPr>
          <w:b/>
          <w:bCs/>
        </w:rPr>
        <w:t xml:space="preserve">Workforce </w:t>
      </w:r>
      <w:r w:rsidR="00FE722C" w:rsidRPr="00E77C38">
        <w:rPr>
          <w:b/>
          <w:bCs/>
        </w:rPr>
        <w:t xml:space="preserve">and education </w:t>
      </w:r>
      <w:r w:rsidRPr="00E77C38">
        <w:rPr>
          <w:b/>
          <w:bCs/>
        </w:rPr>
        <w:t xml:space="preserve">– </w:t>
      </w:r>
      <w:r w:rsidRPr="00E77C38">
        <w:t>to ensure a</w:t>
      </w:r>
      <w:r w:rsidR="006A1E40" w:rsidRPr="00E77C38">
        <w:t xml:space="preserve"> </w:t>
      </w:r>
      <w:r w:rsidRPr="00E77C38">
        <w:t>workforce that is knowledgeable,</w:t>
      </w:r>
      <w:r w:rsidR="00FC2975" w:rsidRPr="00E77C38">
        <w:t xml:space="preserve"> capable,</w:t>
      </w:r>
      <w:r w:rsidRPr="00E77C38">
        <w:t xml:space="preserve"> competent, accessible and resourced to provide </w:t>
      </w:r>
      <w:r w:rsidR="0082247F" w:rsidRPr="00E77C38">
        <w:t>well-coordinated</w:t>
      </w:r>
      <w:r w:rsidRPr="00E77C38">
        <w:t xml:space="preserve">, integrated and person-centred care. Health professionals </w:t>
      </w:r>
      <w:r w:rsidR="005A6FEF" w:rsidRPr="00E77C38">
        <w:t xml:space="preserve">are appropriately trained to </w:t>
      </w:r>
      <w:r w:rsidRPr="00E77C38">
        <w:t>work to their full scope of practice, consistently across all jurisdictions within Australia, in collaboration with other partners, and apply relevant and current best practice guidelines.</w:t>
      </w:r>
    </w:p>
    <w:p w14:paraId="49054D15" w14:textId="26060F9B" w:rsidR="00C1152C" w:rsidRPr="00E77C38" w:rsidRDefault="00C1152C" w:rsidP="00C1152C">
      <w:pPr>
        <w:pStyle w:val="Tablelistbullet"/>
        <w:rPr>
          <w:rFonts w:eastAsia="Arial"/>
          <w:b/>
          <w:color w:val="000000" w:themeColor="text1"/>
        </w:rPr>
      </w:pPr>
      <w:r w:rsidRPr="00E77C38">
        <w:rPr>
          <w:b/>
          <w:bCs/>
        </w:rPr>
        <w:t>Research</w:t>
      </w:r>
      <w:r w:rsidR="00FE722C" w:rsidRPr="00E77C38">
        <w:rPr>
          <w:b/>
          <w:bCs/>
        </w:rPr>
        <w:t xml:space="preserve"> and development</w:t>
      </w:r>
      <w:r w:rsidRPr="00E77C38">
        <w:rPr>
          <w:b/>
          <w:bCs/>
        </w:rPr>
        <w:t xml:space="preserve"> – </w:t>
      </w:r>
      <w:r w:rsidRPr="00E77C38">
        <w:t xml:space="preserve">to deepen knowledge and facilitate innovation and delivery of </w:t>
      </w:r>
      <w:r w:rsidR="0098544A" w:rsidRPr="00E77C38">
        <w:t xml:space="preserve">equitable, safe access to </w:t>
      </w:r>
      <w:r w:rsidRPr="00E77C38">
        <w:t>new and better medicines</w:t>
      </w:r>
      <w:r w:rsidR="0098583E" w:rsidRPr="00E77C38">
        <w:t>,</w:t>
      </w:r>
      <w:r w:rsidRPr="00E77C38">
        <w:t xml:space="preserve"> and new and improved medicines-related services to </w:t>
      </w:r>
      <w:r w:rsidR="00FE722C" w:rsidRPr="00E77C38">
        <w:t xml:space="preserve">maintain good health, </w:t>
      </w:r>
      <w:r w:rsidRPr="00E77C38">
        <w:rPr>
          <w:shd w:val="clear" w:color="auto" w:fill="auto"/>
        </w:rPr>
        <w:t>reduce harm and</w:t>
      </w:r>
      <w:r w:rsidRPr="00E77C38">
        <w:t xml:space="preserve"> inform continuous improvement in the quality use of medicines and medicine</w:t>
      </w:r>
      <w:r w:rsidR="007C1598" w:rsidRPr="00E77C38">
        <w:t>s</w:t>
      </w:r>
      <w:r w:rsidRPr="00E77C38">
        <w:t xml:space="preserve"> safety.</w:t>
      </w:r>
      <w:r w:rsidR="0007219E" w:rsidRPr="00E77C38">
        <w:t xml:space="preserve"> This includes </w:t>
      </w:r>
      <w:r w:rsidR="006351AD" w:rsidRPr="00E77C38">
        <w:t>supporting international research collaboration through partnership and policy.</w:t>
      </w:r>
    </w:p>
    <w:p w14:paraId="6B6AEE0D" w14:textId="2697E6EC" w:rsidR="00C1152C" w:rsidRPr="00E77C38" w:rsidRDefault="00C1152C" w:rsidP="00C1152C">
      <w:pPr>
        <w:pStyle w:val="Tablelistbullet"/>
        <w:rPr>
          <w:rFonts w:eastAsia="Arial"/>
          <w:b/>
          <w:color w:val="000000" w:themeColor="text1"/>
        </w:rPr>
      </w:pPr>
      <w:r w:rsidRPr="00E77C38">
        <w:rPr>
          <w:b/>
          <w:bCs/>
        </w:rPr>
        <w:t xml:space="preserve">Data and information – </w:t>
      </w:r>
      <w:r w:rsidRPr="00E77C38">
        <w:t>to ensure the responsible collection, secure storage, appropriate use</w:t>
      </w:r>
      <w:r w:rsidR="00C1280A" w:rsidRPr="00E77C38">
        <w:t xml:space="preserve">, </w:t>
      </w:r>
      <w:r w:rsidRPr="00E77C38">
        <w:t>management</w:t>
      </w:r>
      <w:r w:rsidR="00C1280A" w:rsidRPr="00E77C38">
        <w:t xml:space="preserve"> and sharing</w:t>
      </w:r>
      <w:r w:rsidRPr="00E77C38">
        <w:t xml:space="preserve"> of data and information. Data driven insights and digital integration</w:t>
      </w:r>
      <w:r w:rsidRPr="00E77C38" w:rsidDel="009B5C49">
        <w:t xml:space="preserve"> </w:t>
      </w:r>
      <w:r w:rsidRPr="00E77C38">
        <w:t>enable</w:t>
      </w:r>
      <w:r w:rsidR="00826A19" w:rsidRPr="00E77C38">
        <w:t>s</w:t>
      </w:r>
      <w:r w:rsidRPr="00E77C38">
        <w:t xml:space="preserve"> evidence-based decisions to improve health outcomes,</w:t>
      </w:r>
      <w:r w:rsidR="0098583E" w:rsidRPr="00E77C38">
        <w:t xml:space="preserve"> equity and access,</w:t>
      </w:r>
      <w:r w:rsidRPr="00E77C38">
        <w:t xml:space="preserve"> the quality use of medicines, medicines safety and health system efficiency. This include</w:t>
      </w:r>
      <w:r w:rsidR="00826A19" w:rsidRPr="00E77C38">
        <w:t>s</w:t>
      </w:r>
      <w:r w:rsidRPr="00E77C38">
        <w:t xml:space="preserve"> the capability of horizon scanning to use and translate data in predicting future trends</w:t>
      </w:r>
      <w:r w:rsidR="00C1280A" w:rsidRPr="00E77C38">
        <w:t xml:space="preserve">, including medicine use, </w:t>
      </w:r>
      <w:r w:rsidRPr="00E77C38">
        <w:t>emerging disruptive and innovative therapies</w:t>
      </w:r>
      <w:r w:rsidR="00C1280A" w:rsidRPr="00E77C38">
        <w:t>,</w:t>
      </w:r>
      <w:r w:rsidRPr="00E77C38">
        <w:t xml:space="preserve"> and </w:t>
      </w:r>
      <w:r w:rsidR="00742388" w:rsidRPr="00E77C38">
        <w:t xml:space="preserve">transformative </w:t>
      </w:r>
      <w:r w:rsidRPr="00E77C38">
        <w:t>technologies.</w:t>
      </w:r>
    </w:p>
    <w:p w14:paraId="003B573F" w14:textId="51918340" w:rsidR="00C1152C" w:rsidRPr="00E77C38" w:rsidRDefault="00C1152C" w:rsidP="00C1152C">
      <w:pPr>
        <w:pStyle w:val="Tablelistbullet"/>
        <w:rPr>
          <w:rFonts w:eastAsia="Arial"/>
          <w:b/>
        </w:rPr>
      </w:pPr>
      <w:r w:rsidRPr="00E77C38">
        <w:rPr>
          <w:b/>
          <w:bCs/>
        </w:rPr>
        <w:t xml:space="preserve">Technology – </w:t>
      </w:r>
      <w:r w:rsidRPr="00E77C38">
        <w:t>to embrace and adopt digital information and technologies, and methods that are validated and interoperable to</w:t>
      </w:r>
      <w:r w:rsidR="00C1280A" w:rsidRPr="00E77C38">
        <w:t xml:space="preserve"> promote efficient continuity of medicine</w:t>
      </w:r>
      <w:r w:rsidR="007C1598" w:rsidRPr="00E77C38">
        <w:t>s</w:t>
      </w:r>
      <w:r w:rsidR="00C1280A" w:rsidRPr="00E77C38">
        <w:t xml:space="preserve"> management activities and</w:t>
      </w:r>
      <w:r w:rsidRPr="00E77C38">
        <w:t xml:space="preserve"> drive improvements in access, quality, safety and efficiencies for all Australians across their health journey and use of medicines.</w:t>
      </w:r>
    </w:p>
    <w:p w14:paraId="7F8EBC5D" w14:textId="075373AB" w:rsidR="00C1152C" w:rsidRPr="00E77C38" w:rsidRDefault="00C1152C" w:rsidP="00C1152C">
      <w:pPr>
        <w:pStyle w:val="Tablelistbullet"/>
      </w:pPr>
      <w:r w:rsidRPr="00E77C38">
        <w:rPr>
          <w:b/>
          <w:bCs/>
        </w:rPr>
        <w:t xml:space="preserve">Resources </w:t>
      </w:r>
      <w:r w:rsidR="003C5DB8" w:rsidRPr="00E77C38">
        <w:rPr>
          <w:b/>
          <w:bCs/>
        </w:rPr>
        <w:t xml:space="preserve">and investment </w:t>
      </w:r>
      <w:r w:rsidRPr="00E77C38">
        <w:rPr>
          <w:b/>
          <w:bCs/>
        </w:rPr>
        <w:t>–</w:t>
      </w:r>
      <w:r w:rsidRPr="00E77C38">
        <w:t xml:space="preserve"> to ensure appropriate and adequate resources are </w:t>
      </w:r>
      <w:r w:rsidR="0098544A" w:rsidRPr="00E77C38">
        <w:t xml:space="preserve">sustainably </w:t>
      </w:r>
      <w:r w:rsidR="003C5DB8" w:rsidRPr="00E77C38">
        <w:t xml:space="preserve">invested, </w:t>
      </w:r>
      <w:r w:rsidRPr="00E77C38">
        <w:t xml:space="preserve">distributed, and </w:t>
      </w:r>
      <w:r w:rsidR="006E0213" w:rsidRPr="00E77C38">
        <w:t xml:space="preserve">equitably, </w:t>
      </w:r>
      <w:r w:rsidRPr="00E77C38">
        <w:t>effectively and efficiently used, to achieve the aim of the NMP</w:t>
      </w:r>
      <w:r w:rsidR="009A0D36" w:rsidRPr="00E77C38">
        <w:t xml:space="preserve"> through each enabler</w:t>
      </w:r>
      <w:r w:rsidRPr="00E77C38">
        <w:t>.</w:t>
      </w:r>
    </w:p>
    <w:p w14:paraId="21DD29A2" w14:textId="77777777" w:rsidR="00C1152C" w:rsidRPr="00E77C38" w:rsidDel="001F4C74" w:rsidRDefault="00C1152C" w:rsidP="00C1152C">
      <w:pPr>
        <w:pStyle w:val="Tablelistbullet"/>
        <w:numPr>
          <w:ilvl w:val="0"/>
          <w:numId w:val="0"/>
        </w:numPr>
        <w:ind w:left="360"/>
        <w:sectPr w:rsidR="00C1152C" w:rsidRPr="00E77C38" w:rsidDel="001F4C74" w:rsidSect="008903FE">
          <w:footerReference w:type="default" r:id="rId22"/>
          <w:pgSz w:w="11906" w:h="16838" w:code="9"/>
          <w:pgMar w:top="1134" w:right="1021" w:bottom="1085" w:left="1134" w:header="567" w:footer="567" w:gutter="0"/>
          <w:pgNumType w:start="1"/>
          <w:cols w:space="708"/>
          <w:docGrid w:linePitch="360"/>
        </w:sectPr>
      </w:pPr>
    </w:p>
    <w:p w14:paraId="3C92F8A7" w14:textId="2B7E7CA4" w:rsidR="00C1152C" w:rsidRPr="00E77C38" w:rsidRDefault="00C1152C" w:rsidP="00C1152C">
      <w:pPr>
        <w:pStyle w:val="Heading1"/>
      </w:pPr>
      <w:bookmarkStart w:id="3" w:name="_Hlk87281944"/>
      <w:bookmarkStart w:id="4" w:name="_Hlk93998789"/>
      <w:r w:rsidRPr="00D8062C">
        <w:lastRenderedPageBreak/>
        <w:t xml:space="preserve">Pillar 1: </w:t>
      </w:r>
      <w:bookmarkStart w:id="5" w:name="_Hlk98154093"/>
      <w:r w:rsidR="004313CE" w:rsidRPr="00AA1F16">
        <w:t>Equitable</w:t>
      </w:r>
      <w:r w:rsidR="004313CE" w:rsidRPr="00165D10">
        <w:t>,</w:t>
      </w:r>
      <w:r w:rsidR="004313CE" w:rsidRPr="00701CAB">
        <w:t xml:space="preserve"> </w:t>
      </w:r>
      <w:r w:rsidR="004313CE" w:rsidRPr="00AC2E07">
        <w:t>t</w:t>
      </w:r>
      <w:r w:rsidRPr="00E77C38">
        <w:t xml:space="preserve">imely, </w:t>
      </w:r>
      <w:r w:rsidR="00F844A6" w:rsidRPr="00E77C38">
        <w:t>safe</w:t>
      </w:r>
      <w:r w:rsidRPr="00E77C38">
        <w:t xml:space="preserve"> and reliable access to medicines and medicines-related services, at a cost that individuals and the community can afford</w:t>
      </w:r>
      <w:bookmarkEnd w:id="3"/>
      <w:bookmarkEnd w:id="5"/>
    </w:p>
    <w:p w14:paraId="6D59FF79" w14:textId="77777777" w:rsidR="00C1152C" w:rsidRPr="00DC3F0B" w:rsidRDefault="00C1152C" w:rsidP="00C1152C">
      <w:pPr>
        <w:pStyle w:val="PolicyStatement"/>
        <w:rPr>
          <w:rFonts w:cs="Arial"/>
          <w:b/>
          <w:bCs/>
        </w:rPr>
      </w:pPr>
      <w:r w:rsidRPr="00DC3F0B">
        <w:rPr>
          <w:rFonts w:cs="Arial"/>
          <w:b/>
          <w:bCs/>
        </w:rPr>
        <w:t>Intended outcome</w:t>
      </w:r>
    </w:p>
    <w:p w14:paraId="30AAB8DF" w14:textId="2E80790B" w:rsidR="00C1152C" w:rsidRPr="00DC3F0B" w:rsidRDefault="00C1152C" w:rsidP="00C1152C">
      <w:pPr>
        <w:pStyle w:val="PolicyStatement"/>
        <w:numPr>
          <w:ilvl w:val="0"/>
          <w:numId w:val="9"/>
        </w:numPr>
        <w:rPr>
          <w:rFonts w:cs="Arial"/>
          <w:b/>
          <w:bCs/>
        </w:rPr>
      </w:pPr>
      <w:r w:rsidRPr="00DC3F0B">
        <w:rPr>
          <w:rFonts w:cs="Arial"/>
          <w:b/>
          <w:bCs/>
        </w:rPr>
        <w:t>Medicines and medicines-related services are affordable and accessible in an equitable</w:t>
      </w:r>
      <w:r w:rsidR="00F844A6" w:rsidRPr="00DC3F0B">
        <w:rPr>
          <w:rFonts w:cs="Arial"/>
          <w:b/>
          <w:bCs/>
        </w:rPr>
        <w:t>,</w:t>
      </w:r>
      <w:r w:rsidRPr="00DC3F0B">
        <w:rPr>
          <w:rFonts w:cs="Arial"/>
          <w:b/>
          <w:bCs/>
        </w:rPr>
        <w:t xml:space="preserve"> timely</w:t>
      </w:r>
      <w:r w:rsidR="00F844A6" w:rsidRPr="00DC3F0B">
        <w:rPr>
          <w:rFonts w:cs="Arial"/>
          <w:b/>
          <w:bCs/>
        </w:rPr>
        <w:t xml:space="preserve"> and safe</w:t>
      </w:r>
      <w:r w:rsidRPr="00DC3F0B">
        <w:rPr>
          <w:rFonts w:cs="Arial"/>
          <w:b/>
          <w:bCs/>
        </w:rPr>
        <w:t xml:space="preserve"> manner, leading to the achievement of the best health, social and economic benefits for all Australians</w:t>
      </w:r>
      <w:r w:rsidRPr="00DC3F0B" w:rsidDel="0000084E">
        <w:rPr>
          <w:rFonts w:cs="Arial"/>
          <w:b/>
          <w:bCs/>
        </w:rPr>
        <w:t>.</w:t>
      </w:r>
    </w:p>
    <w:p w14:paraId="20831CDA" w14:textId="243EA1AE" w:rsidR="00C1152C" w:rsidRPr="00165D10" w:rsidRDefault="00C1152C" w:rsidP="00C1152C">
      <w:pPr>
        <w:pStyle w:val="Paragraphtext"/>
        <w:rPr>
          <w:rFonts w:eastAsia="Arial" w:cs="Arial"/>
          <w:szCs w:val="21"/>
        </w:rPr>
      </w:pPr>
      <w:r w:rsidRPr="00DC3F0B">
        <w:rPr>
          <w:rFonts w:cs="Arial"/>
          <w:szCs w:val="21"/>
        </w:rPr>
        <w:t xml:space="preserve">Ensuring equity of access to medicines and medicines-related services for all Australians involves considering timeliness, </w:t>
      </w:r>
      <w:r w:rsidR="00F844A6" w:rsidRPr="00DC3F0B">
        <w:rPr>
          <w:rFonts w:cs="Arial"/>
          <w:szCs w:val="21"/>
        </w:rPr>
        <w:t xml:space="preserve">safety, </w:t>
      </w:r>
      <w:r w:rsidRPr="00DC3F0B">
        <w:rPr>
          <w:rFonts w:cs="Arial"/>
          <w:szCs w:val="21"/>
        </w:rPr>
        <w:t>affordability and</w:t>
      </w:r>
      <w:r w:rsidRPr="00DC3F0B" w:rsidDel="003806A4">
        <w:rPr>
          <w:rFonts w:cs="Arial"/>
          <w:szCs w:val="21"/>
        </w:rPr>
        <w:t xml:space="preserve"> </w:t>
      </w:r>
      <w:r w:rsidRPr="00DC3F0B">
        <w:rPr>
          <w:rFonts w:cs="Arial"/>
          <w:szCs w:val="21"/>
        </w:rPr>
        <w:t>the health, social and economic benefits. National programs that provide subsidised access to medicines include</w:t>
      </w:r>
      <w:r w:rsidR="00E15942" w:rsidRPr="00DC3F0B">
        <w:rPr>
          <w:rFonts w:cs="Arial"/>
          <w:szCs w:val="21"/>
        </w:rPr>
        <w:t xml:space="preserve"> but are not limited to</w:t>
      </w:r>
      <w:r w:rsidRPr="00DC3F0B">
        <w:rPr>
          <w:rFonts w:cs="Arial"/>
          <w:szCs w:val="21"/>
        </w:rPr>
        <w:t xml:space="preserve"> the Pharmaceutical Benefits Scheme (PBS), Repatriation Pharmaceutical Benefits Scheme (RPBS), and the National Immunisation Program (NIP). Medicines are also accessed through public and private hospitals, </w:t>
      </w:r>
      <w:r w:rsidRPr="00DC3F0B">
        <w:rPr>
          <w:rFonts w:eastAsia="Arial" w:cs="Arial"/>
          <w:szCs w:val="21"/>
        </w:rPr>
        <w:t>clinical trials, compassionate access programs, or privately purchased</w:t>
      </w:r>
      <w:r w:rsidR="00D7511A" w:rsidRPr="00DC3F0B">
        <w:rPr>
          <w:rFonts w:eastAsia="Arial" w:cs="Arial"/>
          <w:szCs w:val="21"/>
        </w:rPr>
        <w:t xml:space="preserve"> (including </w:t>
      </w:r>
      <w:r w:rsidR="0085452C" w:rsidRPr="00DC3F0B">
        <w:rPr>
          <w:rFonts w:eastAsia="Arial" w:cs="Arial"/>
          <w:szCs w:val="21"/>
        </w:rPr>
        <w:t>non-prescription</w:t>
      </w:r>
      <w:r w:rsidR="00127861" w:rsidRPr="00DC3F0B">
        <w:rPr>
          <w:rFonts w:eastAsia="Arial" w:cs="Arial"/>
          <w:szCs w:val="21"/>
        </w:rPr>
        <w:t xml:space="preserve"> medicines</w:t>
      </w:r>
      <w:r w:rsidR="00D7511A" w:rsidRPr="00DC3F0B">
        <w:rPr>
          <w:rFonts w:eastAsia="Arial" w:cs="Arial"/>
          <w:szCs w:val="21"/>
        </w:rPr>
        <w:t>)</w:t>
      </w:r>
      <w:r w:rsidRPr="00DC3F0B">
        <w:rPr>
          <w:rFonts w:eastAsia="Arial" w:cs="Arial"/>
          <w:szCs w:val="21"/>
        </w:rPr>
        <w:t xml:space="preserve">. </w:t>
      </w:r>
      <w:r w:rsidR="006C7497" w:rsidRPr="00DC3F0B">
        <w:rPr>
          <w:rFonts w:eastAsia="Arial" w:cs="Arial"/>
          <w:szCs w:val="21"/>
        </w:rPr>
        <w:t>This is supported by</w:t>
      </w:r>
      <w:r w:rsidRPr="00D8062C">
        <w:rPr>
          <w:rFonts w:cs="Arial"/>
          <w:szCs w:val="21"/>
        </w:rPr>
        <w:t xml:space="preserve"> access</w:t>
      </w:r>
      <w:r w:rsidRPr="00AA1F16" w:rsidDel="00410C8A">
        <w:rPr>
          <w:rFonts w:cs="Arial"/>
          <w:szCs w:val="21"/>
        </w:rPr>
        <w:t xml:space="preserve"> arrangements between federal, state and territory governments</w:t>
      </w:r>
      <w:r w:rsidRPr="00AA1F16">
        <w:rPr>
          <w:rFonts w:cs="Arial"/>
          <w:szCs w:val="21"/>
        </w:rPr>
        <w:t xml:space="preserve"> for certain technologies.</w:t>
      </w:r>
    </w:p>
    <w:p w14:paraId="23077786" w14:textId="77777777" w:rsidR="004313CE" w:rsidRPr="00AC2E07" w:rsidRDefault="004313CE" w:rsidP="004313CE">
      <w:pPr>
        <w:pStyle w:val="Heading2"/>
      </w:pPr>
      <w:r w:rsidRPr="00701CAB">
        <w:t>Equity</w:t>
      </w:r>
    </w:p>
    <w:p w14:paraId="708117AF" w14:textId="304554DF" w:rsidR="004313CE" w:rsidRPr="00E77C38" w:rsidRDefault="004313CE" w:rsidP="004313CE">
      <w:pPr>
        <w:pStyle w:val="Tabletextleft"/>
      </w:pPr>
      <w:r w:rsidRPr="00E77C38">
        <w:t>Irrespective of diversity, background, age, disability, location or personal circumstance, all Australians should have equitable access to safe, effective and high-quality medicines, culturally appropriate medicines-related services and medicines</w:t>
      </w:r>
      <w:r w:rsidR="006C7497" w:rsidRPr="00E77C38">
        <w:t>-related</w:t>
      </w:r>
      <w:r w:rsidRPr="00E77C38">
        <w:t xml:space="preserve"> information.</w:t>
      </w:r>
    </w:p>
    <w:p w14:paraId="237683C5" w14:textId="227D069D" w:rsidR="004313CE" w:rsidRPr="00E77C38" w:rsidRDefault="004313CE" w:rsidP="004313CE">
      <w:pPr>
        <w:pStyle w:val="Tabletextleft"/>
        <w:rPr>
          <w:color w:val="auto"/>
        </w:rPr>
      </w:pPr>
      <w:r w:rsidRPr="00E77C38">
        <w:t xml:space="preserve">This pillar focuses on eliminating health inequities that may be experienced by </w:t>
      </w:r>
      <w:r w:rsidR="0082247F" w:rsidRPr="00E77C38">
        <w:t xml:space="preserve">vulnerable population </w:t>
      </w:r>
      <w:r w:rsidRPr="00E77C38">
        <w:t xml:space="preserve">groups, as outlined in the principle of ‘Equity and access’. </w:t>
      </w:r>
      <w:r w:rsidRPr="00E77C38">
        <w:rPr>
          <w:color w:val="auto"/>
        </w:rPr>
        <w:t xml:space="preserve">Specific examples of issues experienced by </w:t>
      </w:r>
      <w:r w:rsidR="0082247F" w:rsidRPr="00E77C38">
        <w:rPr>
          <w:color w:val="auto"/>
        </w:rPr>
        <w:t xml:space="preserve">vulnerable </w:t>
      </w:r>
      <w:r w:rsidRPr="00E77C38">
        <w:rPr>
          <w:color w:val="auto"/>
        </w:rPr>
        <w:t>population</w:t>
      </w:r>
      <w:r w:rsidR="0082247F" w:rsidRPr="00E77C38">
        <w:rPr>
          <w:color w:val="auto"/>
        </w:rPr>
        <w:t xml:space="preserve"> groups</w:t>
      </w:r>
      <w:r w:rsidRPr="00E77C38">
        <w:rPr>
          <w:color w:val="auto"/>
        </w:rPr>
        <w:t xml:space="preserve"> that</w:t>
      </w:r>
      <w:r w:rsidR="00315174" w:rsidRPr="00E77C38">
        <w:rPr>
          <w:color w:val="auto"/>
        </w:rPr>
        <w:t xml:space="preserve"> NMP partners</w:t>
      </w:r>
      <w:r w:rsidRPr="00E77C38">
        <w:rPr>
          <w:color w:val="auto"/>
        </w:rPr>
        <w:t xml:space="preserve"> need to consider and address include:</w:t>
      </w:r>
    </w:p>
    <w:p w14:paraId="14A9E553" w14:textId="70DFA880" w:rsidR="004313CE" w:rsidRPr="00DC3F0B" w:rsidRDefault="004313CE" w:rsidP="004313CE">
      <w:pPr>
        <w:pStyle w:val="ListBullet"/>
        <w:rPr>
          <w:rStyle w:val="normaltextrun"/>
          <w:rFonts w:eastAsia="Arial" w:cs="Arial"/>
          <w:color w:val="auto"/>
        </w:rPr>
      </w:pPr>
      <w:r w:rsidRPr="00E77C38">
        <w:rPr>
          <w:rStyle w:val="normaltextrun"/>
          <w:rFonts w:eastAsia="Arial" w:cs="Arial"/>
          <w:color w:val="auto"/>
        </w:rPr>
        <w:t>Aboriginal and Torres Strait Islander leadership and self-determination is needed in all partnerships to enable shared decision-making in identifying priorities and to drive solutions given the substantial</w:t>
      </w:r>
      <w:r w:rsidR="00282988" w:rsidRPr="00E77C38">
        <w:rPr>
          <w:rStyle w:val="normaltextrun"/>
          <w:rFonts w:eastAsia="Arial" w:cs="Arial"/>
          <w:color w:val="auto"/>
        </w:rPr>
        <w:t xml:space="preserve"> needs and</w:t>
      </w:r>
      <w:r w:rsidRPr="00E77C38">
        <w:rPr>
          <w:rStyle w:val="normaltextrun"/>
          <w:rFonts w:eastAsia="Arial" w:cs="Arial"/>
          <w:color w:val="auto"/>
        </w:rPr>
        <w:t xml:space="preserve"> barriers Aboriginal and Torres Strait Islander people experience.</w:t>
      </w:r>
    </w:p>
    <w:p w14:paraId="54CF62F0" w14:textId="77777777" w:rsidR="004313CE" w:rsidRPr="00E77C38" w:rsidRDefault="004313CE" w:rsidP="004313CE">
      <w:pPr>
        <w:pStyle w:val="ListBullet"/>
        <w:rPr>
          <w:rFonts w:eastAsia="Arial" w:cs="Arial"/>
          <w:color w:val="auto"/>
          <w:szCs w:val="22"/>
        </w:rPr>
      </w:pPr>
      <w:r w:rsidRPr="00E77C38">
        <w:rPr>
          <w:rStyle w:val="eop"/>
          <w:rFonts w:eastAsia="Arial" w:cs="Arial"/>
          <w:color w:val="auto"/>
          <w:szCs w:val="21"/>
        </w:rPr>
        <w:t>People from culturally and linguistically diverse backgrounds are included in partnerships to co-design solutions to increase access to medicines, culturally appropriate medicines information and medicines-related services.</w:t>
      </w:r>
    </w:p>
    <w:p w14:paraId="33137D76" w14:textId="77777777" w:rsidR="004313CE" w:rsidRPr="00E77C38" w:rsidRDefault="004313CE" w:rsidP="004313CE">
      <w:pPr>
        <w:pStyle w:val="ListBullet"/>
        <w:rPr>
          <w:rFonts w:eastAsia="Arial" w:cs="Arial"/>
          <w:color w:val="auto"/>
          <w:szCs w:val="21"/>
        </w:rPr>
      </w:pPr>
      <w:r w:rsidRPr="00E77C38">
        <w:rPr>
          <w:rStyle w:val="eop"/>
          <w:rFonts w:eastAsia="Arial" w:cs="Arial"/>
          <w:color w:val="auto"/>
        </w:rPr>
        <w:t>People living with disability may face specific challenges including accessing the required medicines formulations and medicine reviews, communicating with health professionals, and accessing easy to read written information about their medicines.</w:t>
      </w:r>
    </w:p>
    <w:p w14:paraId="0DC0DD67" w14:textId="77777777" w:rsidR="004313CE" w:rsidRPr="00E77C38" w:rsidDel="00FE35CF" w:rsidRDefault="004313CE" w:rsidP="004313CE">
      <w:pPr>
        <w:pStyle w:val="ListBullet"/>
        <w:rPr>
          <w:rFonts w:eastAsia="Arial" w:cs="Arial"/>
          <w:color w:val="auto"/>
          <w:szCs w:val="21"/>
        </w:rPr>
      </w:pPr>
      <w:r w:rsidRPr="00E77C38">
        <w:rPr>
          <w:rFonts w:eastAsia="Arial" w:cs="Arial"/>
          <w:color w:val="auto"/>
          <w:szCs w:val="21"/>
        </w:rPr>
        <w:t>People from rural and remote communities face specific and ongoing barriers associated with the cost, supply and distance to access medicines and health services.</w:t>
      </w:r>
    </w:p>
    <w:p w14:paraId="3AFA8179" w14:textId="77777777" w:rsidR="004313CE" w:rsidRPr="00E77C38" w:rsidRDefault="004313CE" w:rsidP="004313CE">
      <w:pPr>
        <w:pStyle w:val="ListBullet"/>
        <w:rPr>
          <w:rFonts w:eastAsia="Arial" w:cs="Arial"/>
          <w:color w:val="auto"/>
        </w:rPr>
      </w:pPr>
      <w:r w:rsidRPr="00E77C38">
        <w:rPr>
          <w:rFonts w:eastAsia="Arial" w:cs="Arial"/>
          <w:color w:val="auto"/>
        </w:rPr>
        <w:t>People, including children, living with rare and under-recognised diseases often face inequities due to the scientific and technical complexities of data and its collection, and the absence of evidence</w:t>
      </w:r>
      <w:r w:rsidRPr="00E77C38" w:rsidDel="005416D9">
        <w:rPr>
          <w:rFonts w:eastAsia="Arial" w:cs="Arial"/>
          <w:color w:val="auto"/>
        </w:rPr>
        <w:t xml:space="preserve"> </w:t>
      </w:r>
      <w:r w:rsidRPr="00E77C38">
        <w:rPr>
          <w:rFonts w:eastAsia="Arial" w:cs="Arial"/>
          <w:color w:val="auto"/>
        </w:rPr>
        <w:t>for the evaluation and subsidisation of treatments for rare conditions.</w:t>
      </w:r>
    </w:p>
    <w:p w14:paraId="3745DC9E" w14:textId="3407350E" w:rsidR="004313CE" w:rsidRPr="00E77C38" w:rsidRDefault="004313CE" w:rsidP="004313CE">
      <w:pPr>
        <w:pStyle w:val="Tabletextleft"/>
        <w:rPr>
          <w:rFonts w:eastAsia="Arial"/>
          <w:color w:val="auto"/>
        </w:rPr>
      </w:pPr>
      <w:r w:rsidRPr="00E77C38">
        <w:rPr>
          <w:rFonts w:eastAsia="Arial"/>
          <w:color w:val="auto"/>
        </w:rPr>
        <w:t xml:space="preserve">The location of care delivery should not impact </w:t>
      </w:r>
      <w:r w:rsidR="001255B9" w:rsidRPr="00E77C38">
        <w:rPr>
          <w:rFonts w:eastAsia="Arial"/>
          <w:color w:val="auto"/>
        </w:rPr>
        <w:t xml:space="preserve">safe </w:t>
      </w:r>
      <w:r w:rsidRPr="00E77C38">
        <w:rPr>
          <w:rFonts w:eastAsia="Arial"/>
          <w:color w:val="auto"/>
        </w:rPr>
        <w:t>access to medicines, whether in different states and territories, in hospital or community health care settings or in environments such as disability care settings, residential aged care settings and correctional settings. Health systems can support this by, for example, recognising and addressing these barriers through innovative and consistent approaches to regulation, meeting health</w:t>
      </w:r>
      <w:r w:rsidR="006C7497" w:rsidRPr="00E77C38">
        <w:rPr>
          <w:rFonts w:eastAsia="Arial"/>
          <w:color w:val="auto"/>
        </w:rPr>
        <w:t>, digital and medicines</w:t>
      </w:r>
      <w:r w:rsidRPr="00E77C38">
        <w:rPr>
          <w:rFonts w:eastAsia="Arial"/>
          <w:color w:val="auto"/>
        </w:rPr>
        <w:t xml:space="preserve"> literacy needs, providing continuous education to</w:t>
      </w:r>
      <w:r w:rsidRPr="00E77C38" w:rsidDel="001227D9">
        <w:rPr>
          <w:rFonts w:eastAsia="Arial"/>
          <w:color w:val="auto"/>
        </w:rPr>
        <w:t xml:space="preserve"> </w:t>
      </w:r>
      <w:r w:rsidRPr="00E77C38">
        <w:rPr>
          <w:rFonts w:eastAsia="Arial"/>
          <w:color w:val="auto"/>
        </w:rPr>
        <w:t>improve the skills of the workforce and increasing access to internet and telehealth services.</w:t>
      </w:r>
    </w:p>
    <w:p w14:paraId="60F6A8DE" w14:textId="3626F20C" w:rsidR="00C1152C" w:rsidRPr="00E77C38" w:rsidRDefault="00C1152C" w:rsidP="00C1152C">
      <w:pPr>
        <w:pStyle w:val="Heading2"/>
        <w:spacing w:line="259" w:lineRule="auto"/>
        <w:rPr>
          <w:b/>
          <w:color w:val="ED7D31" w:themeColor="accent2"/>
          <w:szCs w:val="32"/>
        </w:rPr>
      </w:pPr>
      <w:r w:rsidRPr="00E77C38">
        <w:lastRenderedPageBreak/>
        <w:t>Timeliness</w:t>
      </w:r>
    </w:p>
    <w:p w14:paraId="71B92609" w14:textId="452A75CB" w:rsidR="00C1152C" w:rsidRPr="00DC3F0B" w:rsidRDefault="00C1152C" w:rsidP="00C1152C">
      <w:pPr>
        <w:pStyle w:val="Paragraphtext"/>
        <w:rPr>
          <w:rFonts w:cs="Arial"/>
        </w:rPr>
      </w:pPr>
      <w:r w:rsidRPr="00DC3F0B">
        <w:rPr>
          <w:rFonts w:cs="Arial"/>
        </w:rPr>
        <w:t xml:space="preserve">All Australians, regardless of where they live, who they are and the health condition they have, </w:t>
      </w:r>
      <w:r w:rsidR="00445E90" w:rsidRPr="00DC3F0B">
        <w:rPr>
          <w:rFonts w:cs="Arial"/>
        </w:rPr>
        <w:t xml:space="preserve">must </w:t>
      </w:r>
      <w:r w:rsidRPr="00DC3F0B">
        <w:rPr>
          <w:rFonts w:cs="Arial"/>
        </w:rPr>
        <w:t>have timely</w:t>
      </w:r>
      <w:r w:rsidR="004313CE" w:rsidRPr="00DC3F0B">
        <w:rPr>
          <w:rFonts w:cs="Arial"/>
        </w:rPr>
        <w:t>,</w:t>
      </w:r>
      <w:r w:rsidRPr="00DC3F0B">
        <w:rPr>
          <w:rFonts w:cs="Arial"/>
        </w:rPr>
        <w:t xml:space="preserve"> </w:t>
      </w:r>
      <w:r w:rsidR="004313CE" w:rsidRPr="00DC3F0B">
        <w:rPr>
          <w:rFonts w:cs="Arial"/>
        </w:rPr>
        <w:t xml:space="preserve">safe </w:t>
      </w:r>
      <w:r w:rsidRPr="00DC3F0B">
        <w:rPr>
          <w:rFonts w:cs="Arial"/>
        </w:rPr>
        <w:t>and reliable access to effective medicines and medicines-related services to maintain their health and wellbeing</w:t>
      </w:r>
      <w:r w:rsidR="00315174" w:rsidRPr="00DC3F0B">
        <w:rPr>
          <w:rFonts w:cs="Arial"/>
        </w:rPr>
        <w:t xml:space="preserve"> at </w:t>
      </w:r>
      <w:r w:rsidR="00843106" w:rsidRPr="00DC3F0B">
        <w:rPr>
          <w:rFonts w:cs="Arial"/>
        </w:rPr>
        <w:t xml:space="preserve">a </w:t>
      </w:r>
      <w:r w:rsidR="00315174" w:rsidRPr="00DC3F0B">
        <w:rPr>
          <w:rFonts w:cs="Arial"/>
        </w:rPr>
        <w:t>world class level</w:t>
      </w:r>
      <w:r w:rsidRPr="00DC3F0B">
        <w:rPr>
          <w:rFonts w:cs="Arial"/>
        </w:rPr>
        <w:t>. Appropriate and efficient processes must exist for the evaluation of risk-benefit, value and subsidisation</w:t>
      </w:r>
      <w:r w:rsidR="00843106" w:rsidRPr="00DC3F0B">
        <w:rPr>
          <w:rFonts w:cs="Arial"/>
        </w:rPr>
        <w:t xml:space="preserve"> of medicines</w:t>
      </w:r>
      <w:r w:rsidRPr="00DC3F0B">
        <w:rPr>
          <w:rFonts w:cs="Arial"/>
        </w:rPr>
        <w:t xml:space="preserve"> to ensure </w:t>
      </w:r>
      <w:r w:rsidR="001255B9" w:rsidRPr="00DC3F0B">
        <w:rPr>
          <w:rFonts w:cs="Arial"/>
        </w:rPr>
        <w:t xml:space="preserve">optimal </w:t>
      </w:r>
      <w:r w:rsidRPr="00DC3F0B">
        <w:rPr>
          <w:rFonts w:cs="Arial"/>
        </w:rPr>
        <w:t>access</w:t>
      </w:r>
      <w:r w:rsidR="001255B9" w:rsidRPr="00DC3F0B">
        <w:rPr>
          <w:rFonts w:cs="Arial"/>
        </w:rPr>
        <w:t xml:space="preserve"> for Australians</w:t>
      </w:r>
      <w:r w:rsidRPr="00DC3F0B">
        <w:rPr>
          <w:rFonts w:cs="Arial"/>
        </w:rPr>
        <w:t>. This includes the flexibility to rapidly respond to emerging and disruptive technologies, including innovative and highly specialised therapies and services, especially in circumstances where individuals have high unmet clinical needs or in response to public health emergencies or natural disasters. These processes and their outcomes need to be effectively communicated to all stakeholders, including to the public, to build and maintain community understanding and confidence. Further, processes finalising the financing, price, economic and supply arrangements of medicines must be efficient to secure access in a</w:t>
      </w:r>
      <w:r w:rsidR="00315174" w:rsidRPr="00DC3F0B">
        <w:rPr>
          <w:rFonts w:cs="Arial"/>
        </w:rPr>
        <w:t>n optimal</w:t>
      </w:r>
      <w:r w:rsidRPr="00DC3F0B">
        <w:rPr>
          <w:rFonts w:cs="Arial"/>
        </w:rPr>
        <w:t xml:space="preserve"> manner.</w:t>
      </w:r>
      <w:r w:rsidR="001E7FAB" w:rsidRPr="00DC3F0B">
        <w:rPr>
          <w:rFonts w:cs="Arial"/>
        </w:rPr>
        <w:t xml:space="preserve"> Safety and quality are </w:t>
      </w:r>
      <w:r w:rsidR="001439C3" w:rsidRPr="00DC3F0B">
        <w:rPr>
          <w:rFonts w:cs="Arial"/>
        </w:rPr>
        <w:t xml:space="preserve">described </w:t>
      </w:r>
      <w:r w:rsidR="001E7FAB" w:rsidRPr="00DC3F0B">
        <w:rPr>
          <w:rFonts w:cs="Arial"/>
        </w:rPr>
        <w:t>in detail under Pillars 2 and 3.</w:t>
      </w:r>
    </w:p>
    <w:p w14:paraId="66F51BDB" w14:textId="4603B683" w:rsidR="00C1152C" w:rsidRPr="00E77C38" w:rsidRDefault="00C1152C" w:rsidP="00C1152C">
      <w:pPr>
        <w:pStyle w:val="Paragraphtext"/>
        <w:rPr>
          <w:rFonts w:eastAsia="Arial" w:cs="Arial"/>
        </w:rPr>
      </w:pPr>
      <w:r w:rsidRPr="00E77C38">
        <w:rPr>
          <w:rFonts w:eastAsia="Arial" w:cs="Arial"/>
        </w:rPr>
        <w:t xml:space="preserve">Timeliness has several other </w:t>
      </w:r>
      <w:r w:rsidRPr="00E77C38">
        <w:rPr>
          <w:rFonts w:eastAsia="Arial" w:cs="Arial"/>
          <w:color w:val="auto"/>
        </w:rPr>
        <w:t xml:space="preserve">contexts and barriers for </w:t>
      </w:r>
      <w:r w:rsidR="006C7497" w:rsidRPr="00E77C38">
        <w:rPr>
          <w:rFonts w:eastAsia="Arial" w:cs="Arial"/>
        </w:rPr>
        <w:t>individuals, their families and/or carers</w:t>
      </w:r>
      <w:r w:rsidRPr="00E77C38">
        <w:rPr>
          <w:rFonts w:eastAsia="Arial" w:cs="Arial"/>
        </w:rPr>
        <w:t xml:space="preserve">, including not being able to access medicines and medicines-related services due to shortages or </w:t>
      </w:r>
      <w:r w:rsidR="00A61E6D" w:rsidRPr="00E77C38">
        <w:rPr>
          <w:rFonts w:eastAsia="Arial" w:cs="Arial"/>
        </w:rPr>
        <w:t xml:space="preserve">other </w:t>
      </w:r>
      <w:r w:rsidRPr="00E77C38">
        <w:rPr>
          <w:rFonts w:eastAsia="Arial" w:cs="Arial"/>
        </w:rPr>
        <w:t xml:space="preserve">supply challenges, particularly for rural and remote communities. This requires </w:t>
      </w:r>
      <w:r w:rsidR="00A61E6D" w:rsidRPr="00DC3F0B">
        <w:rPr>
          <w:rFonts w:cs="Arial"/>
        </w:rPr>
        <w:t xml:space="preserve">all partners to commit to working together </w:t>
      </w:r>
      <w:r w:rsidRPr="00E77C38">
        <w:rPr>
          <w:rFonts w:eastAsia="Arial" w:cs="Arial"/>
        </w:rPr>
        <w:t>open</w:t>
      </w:r>
      <w:r w:rsidR="00A61E6D" w:rsidRPr="00E77C38">
        <w:rPr>
          <w:rFonts w:eastAsia="Arial" w:cs="Arial"/>
        </w:rPr>
        <w:t>ly</w:t>
      </w:r>
      <w:r w:rsidRPr="00E77C38">
        <w:rPr>
          <w:rFonts w:eastAsia="Arial" w:cs="Arial"/>
        </w:rPr>
        <w:t xml:space="preserve"> and transparent</w:t>
      </w:r>
      <w:r w:rsidR="00A61E6D" w:rsidRPr="00E77C38">
        <w:rPr>
          <w:rFonts w:eastAsia="Arial" w:cs="Arial"/>
        </w:rPr>
        <w:t>ly</w:t>
      </w:r>
      <w:r w:rsidRPr="00E77C38">
        <w:rPr>
          <w:rFonts w:eastAsia="Arial" w:cs="Arial"/>
        </w:rPr>
        <w:t xml:space="preserve"> </w:t>
      </w:r>
      <w:r w:rsidR="00A61E6D" w:rsidRPr="00E77C38">
        <w:rPr>
          <w:rFonts w:eastAsia="Arial" w:cs="Arial"/>
        </w:rPr>
        <w:t xml:space="preserve">and </w:t>
      </w:r>
      <w:r w:rsidRPr="00DC3F0B">
        <w:rPr>
          <w:rFonts w:cs="Arial"/>
        </w:rPr>
        <w:t xml:space="preserve">to </w:t>
      </w:r>
      <w:r w:rsidR="003E4F32" w:rsidRPr="00DC3F0B">
        <w:rPr>
          <w:rFonts w:cs="Arial"/>
        </w:rPr>
        <w:t>take action</w:t>
      </w:r>
      <w:r w:rsidRPr="00DC3F0B">
        <w:rPr>
          <w:rFonts w:cs="Arial"/>
        </w:rPr>
        <w:t xml:space="preserve"> to</w:t>
      </w:r>
      <w:r w:rsidR="003E4F32" w:rsidRPr="00DC3F0B">
        <w:rPr>
          <w:rFonts w:cs="Arial"/>
        </w:rPr>
        <w:t xml:space="preserve"> reduce </w:t>
      </w:r>
      <w:r w:rsidR="001E7FAB" w:rsidRPr="00DC3F0B">
        <w:rPr>
          <w:rFonts w:cs="Arial"/>
        </w:rPr>
        <w:t xml:space="preserve">the </w:t>
      </w:r>
      <w:r w:rsidR="003E4F32" w:rsidRPr="00DC3F0B">
        <w:rPr>
          <w:rFonts w:cs="Arial"/>
        </w:rPr>
        <w:t>risk</w:t>
      </w:r>
      <w:r w:rsidR="001E7FAB" w:rsidRPr="00DC3F0B">
        <w:rPr>
          <w:rFonts w:cs="Arial"/>
        </w:rPr>
        <w:t>,</w:t>
      </w:r>
      <w:r w:rsidR="003E4F32" w:rsidRPr="00DC3F0B">
        <w:rPr>
          <w:rFonts w:cs="Arial"/>
        </w:rPr>
        <w:t xml:space="preserve"> and</w:t>
      </w:r>
      <w:r w:rsidRPr="00DC3F0B">
        <w:rPr>
          <w:rFonts w:cs="Arial"/>
        </w:rPr>
        <w:t xml:space="preserve"> minimise the impact of</w:t>
      </w:r>
      <w:r w:rsidR="001E7FAB" w:rsidRPr="00DC3F0B">
        <w:rPr>
          <w:rFonts w:cs="Arial"/>
        </w:rPr>
        <w:t>,</w:t>
      </w:r>
      <w:r w:rsidRPr="00DC3F0B">
        <w:rPr>
          <w:rFonts w:cs="Arial"/>
        </w:rPr>
        <w:t xml:space="preserve"> </w:t>
      </w:r>
      <w:r w:rsidR="0090226D" w:rsidRPr="00DC3F0B">
        <w:rPr>
          <w:rFonts w:cs="Arial"/>
        </w:rPr>
        <w:t xml:space="preserve">medicines </w:t>
      </w:r>
      <w:r w:rsidRPr="00DC3F0B">
        <w:rPr>
          <w:rFonts w:cs="Arial"/>
        </w:rPr>
        <w:t xml:space="preserve">shortages and </w:t>
      </w:r>
      <w:r w:rsidR="00A61E6D" w:rsidRPr="00DC3F0B">
        <w:rPr>
          <w:rFonts w:cs="Arial"/>
        </w:rPr>
        <w:t xml:space="preserve">other </w:t>
      </w:r>
      <w:r w:rsidRPr="00DC3F0B">
        <w:rPr>
          <w:rFonts w:cs="Arial"/>
        </w:rPr>
        <w:t>supply challenges.</w:t>
      </w:r>
      <w:r w:rsidR="00AE6E12" w:rsidRPr="00DC3F0B">
        <w:rPr>
          <w:rFonts w:cs="Arial"/>
        </w:rPr>
        <w:t xml:space="preserve"> </w:t>
      </w:r>
    </w:p>
    <w:p w14:paraId="050212EC" w14:textId="77777777" w:rsidR="00C1152C" w:rsidRPr="00E77C38" w:rsidRDefault="00C1152C" w:rsidP="00C1152C">
      <w:pPr>
        <w:pStyle w:val="Heading2"/>
        <w:rPr>
          <w:color w:val="ED7D31" w:themeColor="accent2"/>
        </w:rPr>
      </w:pPr>
      <w:r w:rsidRPr="00E77C38">
        <w:t>Affordability and value-based health care</w:t>
      </w:r>
    </w:p>
    <w:p w14:paraId="3B9CA567" w14:textId="177DA785" w:rsidR="00C1152C" w:rsidRPr="00DC3F0B" w:rsidRDefault="00C1152C" w:rsidP="00C1152C">
      <w:pPr>
        <w:pStyle w:val="Paragraphtext"/>
        <w:rPr>
          <w:rFonts w:eastAsia="Arial" w:cs="Arial"/>
          <w:color w:val="auto"/>
          <w:szCs w:val="21"/>
        </w:rPr>
      </w:pPr>
      <w:r w:rsidRPr="00DC3F0B">
        <w:rPr>
          <w:rFonts w:eastAsia="Arial" w:cs="Arial"/>
          <w:szCs w:val="21"/>
        </w:rPr>
        <w:t xml:space="preserve">It is critical that all Australians can afford the medicines and </w:t>
      </w:r>
      <w:r w:rsidRPr="00DC3F0B">
        <w:rPr>
          <w:rFonts w:eastAsia="Arial" w:cs="Arial"/>
          <w:color w:val="auto"/>
          <w:szCs w:val="21"/>
        </w:rPr>
        <w:t xml:space="preserve">medicines-related services they need. This is particularly important for people with multiple health conditions taking multiple medicines, people with low incomes, </w:t>
      </w:r>
      <w:r w:rsidR="00282988" w:rsidRPr="00DC3F0B">
        <w:rPr>
          <w:rFonts w:eastAsia="Arial" w:cs="Arial"/>
          <w:color w:val="auto"/>
          <w:szCs w:val="21"/>
        </w:rPr>
        <w:t>and individual</w:t>
      </w:r>
      <w:r w:rsidR="00E75BE3" w:rsidRPr="00DC3F0B">
        <w:rPr>
          <w:rFonts w:eastAsia="Arial" w:cs="Arial"/>
          <w:color w:val="auto"/>
          <w:szCs w:val="21"/>
        </w:rPr>
        <w:t>s</w:t>
      </w:r>
      <w:r w:rsidR="00282988" w:rsidRPr="00DC3F0B">
        <w:rPr>
          <w:rFonts w:eastAsia="Arial" w:cs="Arial"/>
          <w:color w:val="auto"/>
          <w:szCs w:val="21"/>
        </w:rPr>
        <w:t xml:space="preserve"> </w:t>
      </w:r>
      <w:r w:rsidRPr="00DC3F0B">
        <w:rPr>
          <w:rFonts w:eastAsia="Arial" w:cs="Arial"/>
          <w:color w:val="auto"/>
          <w:szCs w:val="21"/>
        </w:rPr>
        <w:t xml:space="preserve">or families experiencing high </w:t>
      </w:r>
      <w:r w:rsidR="00282988" w:rsidRPr="00DC3F0B">
        <w:rPr>
          <w:rFonts w:eastAsia="Arial" w:cs="Arial"/>
          <w:color w:val="auto"/>
          <w:szCs w:val="21"/>
        </w:rPr>
        <w:t xml:space="preserve">out-of-pocket </w:t>
      </w:r>
      <w:r w:rsidRPr="00DC3F0B">
        <w:rPr>
          <w:rFonts w:eastAsia="Arial" w:cs="Arial"/>
          <w:color w:val="auto"/>
          <w:szCs w:val="21"/>
        </w:rPr>
        <w:t xml:space="preserve">health care costs. </w:t>
      </w:r>
    </w:p>
    <w:p w14:paraId="038226B4" w14:textId="4A904A52" w:rsidR="00C1152C" w:rsidRPr="00DC3F0B" w:rsidRDefault="00C1152C" w:rsidP="00C1152C">
      <w:pPr>
        <w:pStyle w:val="Paragraphtext"/>
        <w:rPr>
          <w:rFonts w:eastAsia="Arial" w:cs="Arial"/>
          <w:color w:val="auto"/>
          <w:szCs w:val="21"/>
        </w:rPr>
      </w:pPr>
      <w:r w:rsidRPr="00DC3F0B">
        <w:rPr>
          <w:rFonts w:cs="Arial"/>
          <w:color w:val="auto"/>
          <w:szCs w:val="21"/>
        </w:rPr>
        <w:t xml:space="preserve">A robust and transparent mechanism for determining the value of a medicine by governments and other payers is essential for the coordinated, fair and efficient supply and use of medicines. </w:t>
      </w:r>
      <w:r w:rsidRPr="00DC3F0B">
        <w:rPr>
          <w:rFonts w:eastAsia="Arial" w:cs="Arial"/>
          <w:color w:val="auto"/>
          <w:szCs w:val="21"/>
        </w:rPr>
        <w:t xml:space="preserve">The value of a medicine includes benefits to the health and wellbeing of the individual, the social and economic benefits to the individual, </w:t>
      </w:r>
      <w:r w:rsidR="00E75BE3" w:rsidRPr="00DC3F0B">
        <w:rPr>
          <w:rFonts w:eastAsia="Arial" w:cs="Arial"/>
          <w:color w:val="auto"/>
          <w:szCs w:val="21"/>
        </w:rPr>
        <w:t>their families and/or carers</w:t>
      </w:r>
      <w:r w:rsidRPr="00DC3F0B">
        <w:rPr>
          <w:rFonts w:eastAsia="Arial" w:cs="Arial"/>
          <w:color w:val="auto"/>
          <w:szCs w:val="21"/>
        </w:rPr>
        <w:t>, as well as to the broader society.</w:t>
      </w:r>
    </w:p>
    <w:p w14:paraId="33138967" w14:textId="05364305" w:rsidR="00C1152C" w:rsidRPr="00AA1F16" w:rsidRDefault="00C1152C" w:rsidP="00C1152C">
      <w:pPr>
        <w:pStyle w:val="Paragraphtext"/>
        <w:rPr>
          <w:rFonts w:cs="Arial"/>
          <w:szCs w:val="21"/>
        </w:rPr>
      </w:pPr>
      <w:r w:rsidRPr="00DC3F0B">
        <w:rPr>
          <w:rFonts w:cs="Arial"/>
          <w:szCs w:val="21"/>
        </w:rPr>
        <w:t>Initial and continued investment decisions should be informed by rigorous health technology evaluation</w:t>
      </w:r>
      <w:r w:rsidR="00CE00A2" w:rsidRPr="00DC3F0B">
        <w:rPr>
          <w:rFonts w:cs="Arial"/>
          <w:szCs w:val="21"/>
        </w:rPr>
        <w:t xml:space="preserve">. This </w:t>
      </w:r>
      <w:r w:rsidRPr="00DC3F0B">
        <w:rPr>
          <w:rFonts w:cs="Arial"/>
          <w:szCs w:val="21"/>
        </w:rPr>
        <w:t>includ</w:t>
      </w:r>
      <w:r w:rsidR="00CE00A2" w:rsidRPr="00DC3F0B">
        <w:rPr>
          <w:rFonts w:cs="Arial"/>
          <w:szCs w:val="21"/>
        </w:rPr>
        <w:t>es</w:t>
      </w:r>
      <w:r w:rsidRPr="00DC3F0B">
        <w:rPr>
          <w:rFonts w:cs="Arial"/>
          <w:szCs w:val="21"/>
        </w:rPr>
        <w:t xml:space="preserve"> incorporating real-world evidence</w:t>
      </w:r>
      <w:r w:rsidR="00BB597B" w:rsidRPr="00DC3F0B">
        <w:rPr>
          <w:rFonts w:cs="Arial"/>
          <w:szCs w:val="21"/>
        </w:rPr>
        <w:t xml:space="preserve">, </w:t>
      </w:r>
      <w:r w:rsidRPr="00DC3F0B">
        <w:rPr>
          <w:rFonts w:cs="Arial"/>
          <w:szCs w:val="21"/>
        </w:rPr>
        <w:t>patient reported outcomes</w:t>
      </w:r>
      <w:r w:rsidR="00BB597B" w:rsidRPr="00DC3F0B">
        <w:rPr>
          <w:rFonts w:cs="Arial"/>
          <w:szCs w:val="21"/>
        </w:rPr>
        <w:t xml:space="preserve"> and the potential impact of a medicine across Australia’s broader health systems</w:t>
      </w:r>
      <w:r w:rsidRPr="00DC3F0B">
        <w:rPr>
          <w:rFonts w:cs="Arial"/>
          <w:szCs w:val="21"/>
        </w:rPr>
        <w:t>, where appropriate</w:t>
      </w:r>
      <w:r w:rsidRPr="00D8062C">
        <w:rPr>
          <w:rFonts w:cs="Arial"/>
          <w:szCs w:val="21"/>
        </w:rPr>
        <w:t>.</w:t>
      </w:r>
    </w:p>
    <w:bookmarkEnd w:id="4"/>
    <w:p w14:paraId="0F8B0F3C" w14:textId="77777777" w:rsidR="00C1152C" w:rsidRPr="00D8062C" w:rsidRDefault="00C1152C" w:rsidP="00C1152C">
      <w:pPr>
        <w:pStyle w:val="Header"/>
        <w:rPr>
          <w:rFonts w:cs="Arial"/>
        </w:rPr>
      </w:pPr>
    </w:p>
    <w:p w14:paraId="64D429F7" w14:textId="77777777" w:rsidR="00C1152C" w:rsidRPr="00D8062C" w:rsidRDefault="00C1152C" w:rsidP="00C1152C">
      <w:pPr>
        <w:rPr>
          <w:rFonts w:cs="Arial"/>
          <w:bCs/>
          <w:color w:val="3F4A75"/>
          <w:kern w:val="28"/>
          <w:sz w:val="36"/>
          <w:szCs w:val="36"/>
        </w:rPr>
      </w:pPr>
      <w:r w:rsidRPr="00D8062C">
        <w:rPr>
          <w:rFonts w:cs="Arial"/>
        </w:rPr>
        <w:br w:type="page"/>
      </w:r>
    </w:p>
    <w:p w14:paraId="3A5AD946" w14:textId="77777777" w:rsidR="00C1152C" w:rsidRPr="00D8062C" w:rsidRDefault="00C1152C" w:rsidP="00C1152C">
      <w:pPr>
        <w:pStyle w:val="Heading1"/>
        <w:rPr>
          <w:b/>
        </w:rPr>
      </w:pPr>
      <w:r w:rsidRPr="00D8062C">
        <w:lastRenderedPageBreak/>
        <w:t>Pillar 2: Medicines meet the required standards of quality, safety and efficacy</w:t>
      </w:r>
    </w:p>
    <w:p w14:paraId="4A4E2586" w14:textId="77777777" w:rsidR="00C1152C" w:rsidRPr="00AA1F16" w:rsidRDefault="00C1152C" w:rsidP="00C1152C">
      <w:pPr>
        <w:pStyle w:val="PolicyStatement"/>
        <w:rPr>
          <w:rFonts w:eastAsia="Arial" w:cs="Arial"/>
          <w:b/>
          <w:szCs w:val="21"/>
        </w:rPr>
      </w:pPr>
      <w:r w:rsidRPr="00D8062C">
        <w:rPr>
          <w:rFonts w:eastAsia="Arial" w:cs="Arial"/>
          <w:b/>
          <w:szCs w:val="21"/>
        </w:rPr>
        <w:t xml:space="preserve">Intended </w:t>
      </w:r>
      <w:r w:rsidRPr="00D8062C">
        <w:rPr>
          <w:rFonts w:eastAsia="Arial" w:cs="Arial"/>
          <w:b/>
          <w:bCs/>
          <w:szCs w:val="21"/>
        </w:rPr>
        <w:t>outcomes</w:t>
      </w:r>
      <w:r w:rsidRPr="00AA1F16">
        <w:rPr>
          <w:rFonts w:eastAsia="Arial" w:cs="Arial"/>
          <w:b/>
          <w:szCs w:val="21"/>
        </w:rPr>
        <w:t>:</w:t>
      </w:r>
    </w:p>
    <w:p w14:paraId="33027061" w14:textId="77777777" w:rsidR="00C1152C" w:rsidRPr="00DC3F0B" w:rsidRDefault="00C1152C" w:rsidP="00C1152C">
      <w:pPr>
        <w:pStyle w:val="PolicyStatement"/>
        <w:numPr>
          <w:ilvl w:val="0"/>
          <w:numId w:val="10"/>
        </w:numPr>
        <w:rPr>
          <w:rFonts w:cs="Arial"/>
          <w:b/>
          <w:bCs/>
          <w:szCs w:val="21"/>
        </w:rPr>
      </w:pPr>
      <w:r w:rsidRPr="00AC2E07">
        <w:rPr>
          <w:rFonts w:cs="Arial"/>
          <w:b/>
          <w:bCs/>
          <w:szCs w:val="21"/>
        </w:rPr>
        <w:t>Australia’s medicines regulatory processes are efficient, protect health and safety and are trusted by the community.</w:t>
      </w:r>
    </w:p>
    <w:p w14:paraId="7F9E05E3" w14:textId="7D4090CD" w:rsidR="00C1152C" w:rsidRPr="00AA1F16" w:rsidRDefault="00C1152C" w:rsidP="00C1152C">
      <w:pPr>
        <w:pStyle w:val="PolicyStatement"/>
        <w:numPr>
          <w:ilvl w:val="0"/>
          <w:numId w:val="10"/>
        </w:numPr>
        <w:rPr>
          <w:rFonts w:eastAsia="Arial" w:cs="Arial"/>
          <w:b/>
          <w:szCs w:val="21"/>
        </w:rPr>
      </w:pPr>
      <w:r w:rsidRPr="00DC3F0B">
        <w:rPr>
          <w:rFonts w:cs="Arial"/>
          <w:b/>
          <w:szCs w:val="21"/>
        </w:rPr>
        <w:t xml:space="preserve">Medicines are safe and effective, and their labelling and supporting information is readily available and supports the </w:t>
      </w:r>
      <w:r w:rsidR="00E75BE3" w:rsidRPr="00DC3F0B">
        <w:rPr>
          <w:rFonts w:cs="Arial"/>
          <w:b/>
          <w:szCs w:val="21"/>
        </w:rPr>
        <w:t>safe and quality</w:t>
      </w:r>
      <w:r w:rsidRPr="00DC3F0B">
        <w:rPr>
          <w:rFonts w:cs="Arial"/>
          <w:b/>
          <w:szCs w:val="21"/>
        </w:rPr>
        <w:t xml:space="preserve"> use of medicines</w:t>
      </w:r>
      <w:r w:rsidRPr="00D8062C">
        <w:rPr>
          <w:rFonts w:cs="Arial"/>
          <w:b/>
          <w:szCs w:val="21"/>
        </w:rPr>
        <w:t xml:space="preserve">. </w:t>
      </w:r>
    </w:p>
    <w:p w14:paraId="5260635A" w14:textId="695106E8" w:rsidR="004B3232" w:rsidRPr="00AA1F16" w:rsidRDefault="00126843" w:rsidP="00C1152C">
      <w:pPr>
        <w:pStyle w:val="Paragraphtext"/>
        <w:rPr>
          <w:rFonts w:cs="Arial"/>
          <w:szCs w:val="21"/>
        </w:rPr>
      </w:pPr>
      <w:r w:rsidRPr="00AA1F16">
        <w:rPr>
          <w:rFonts w:cs="Arial"/>
          <w:szCs w:val="21"/>
        </w:rPr>
        <w:t>All m</w:t>
      </w:r>
      <w:r w:rsidR="00C1152C" w:rsidRPr="00DC3F0B">
        <w:rPr>
          <w:rFonts w:cs="Arial"/>
          <w:szCs w:val="21"/>
        </w:rPr>
        <w:t xml:space="preserve">edicines </w:t>
      </w:r>
      <w:r w:rsidR="004B3232" w:rsidRPr="00DC3F0B">
        <w:rPr>
          <w:rFonts w:cs="Arial"/>
          <w:szCs w:val="21"/>
        </w:rPr>
        <w:t xml:space="preserve">supplied </w:t>
      </w:r>
      <w:r w:rsidR="00C1152C" w:rsidRPr="00DC3F0B">
        <w:rPr>
          <w:rFonts w:cs="Arial"/>
          <w:szCs w:val="21"/>
        </w:rPr>
        <w:t xml:space="preserve">in Australia </w:t>
      </w:r>
      <w:r w:rsidRPr="00DC3F0B">
        <w:rPr>
          <w:rFonts w:cs="Arial"/>
          <w:szCs w:val="21"/>
        </w:rPr>
        <w:t>are regulated</w:t>
      </w:r>
      <w:r w:rsidR="00C1152C" w:rsidRPr="00DC3F0B">
        <w:rPr>
          <w:rFonts w:cs="Arial"/>
          <w:szCs w:val="21"/>
        </w:rPr>
        <w:t xml:space="preserve"> by the Therapeutic Goods Administration (TGA). </w:t>
      </w:r>
      <w:r w:rsidR="004B3232" w:rsidRPr="00DC3F0B">
        <w:rPr>
          <w:rFonts w:cs="Arial"/>
          <w:szCs w:val="21"/>
        </w:rPr>
        <w:t xml:space="preserve">This includes prescription, </w:t>
      </w:r>
      <w:r w:rsidR="00E5754E" w:rsidRPr="00DC3F0B">
        <w:rPr>
          <w:rFonts w:cs="Arial"/>
          <w:szCs w:val="21"/>
        </w:rPr>
        <w:t>non-prescription</w:t>
      </w:r>
      <w:r w:rsidR="004B3232" w:rsidRPr="00DC3F0B">
        <w:rPr>
          <w:rFonts w:cs="Arial"/>
          <w:szCs w:val="21"/>
        </w:rPr>
        <w:t xml:space="preserve"> and complementary medicines</w:t>
      </w:r>
      <w:r w:rsidR="004B3232" w:rsidRPr="00D8062C">
        <w:rPr>
          <w:rFonts w:cs="Arial"/>
          <w:szCs w:val="21"/>
        </w:rPr>
        <w:t>.</w:t>
      </w:r>
    </w:p>
    <w:p w14:paraId="6C54CEB2" w14:textId="4A47B0D7" w:rsidR="00C1152C" w:rsidRPr="00DC3F0B" w:rsidRDefault="004B3232" w:rsidP="00C1152C">
      <w:pPr>
        <w:pStyle w:val="Paragraphtext"/>
        <w:rPr>
          <w:rFonts w:cs="Arial"/>
          <w:szCs w:val="21"/>
        </w:rPr>
      </w:pPr>
      <w:r w:rsidRPr="00AA1F16">
        <w:rPr>
          <w:rFonts w:cs="Arial"/>
          <w:szCs w:val="21"/>
        </w:rPr>
        <w:t>No medicine is 100 per cent</w:t>
      </w:r>
      <w:r w:rsidRPr="00165D10">
        <w:rPr>
          <w:rFonts w:cs="Arial"/>
          <w:szCs w:val="21"/>
        </w:rPr>
        <w:t xml:space="preserve"> risk-free, </w:t>
      </w:r>
      <w:r w:rsidR="00FE3CF6">
        <w:rPr>
          <w:rFonts w:cs="Arial"/>
          <w:szCs w:val="21"/>
        </w:rPr>
        <w:t>and</w:t>
      </w:r>
      <w:r w:rsidRPr="00165D10">
        <w:rPr>
          <w:rFonts w:cs="Arial"/>
          <w:szCs w:val="21"/>
        </w:rPr>
        <w:t xml:space="preserve"> the risk is greater for some medicines. </w:t>
      </w:r>
      <w:r w:rsidRPr="00AC2E07">
        <w:rPr>
          <w:rFonts w:cs="Arial"/>
          <w:szCs w:val="21"/>
        </w:rPr>
        <w:t>The TGA</w:t>
      </w:r>
      <w:r w:rsidRPr="00FE618A">
        <w:rPr>
          <w:rFonts w:cs="Arial"/>
          <w:szCs w:val="21"/>
        </w:rPr>
        <w:t xml:space="preserve"> take</w:t>
      </w:r>
      <w:r w:rsidRPr="00EB54A2">
        <w:rPr>
          <w:rFonts w:cs="Arial"/>
          <w:szCs w:val="21"/>
        </w:rPr>
        <w:t xml:space="preserve">s a risk-based approach to regulation </w:t>
      </w:r>
      <w:r w:rsidRPr="00DC3F0B">
        <w:rPr>
          <w:rFonts w:cs="Arial"/>
          <w:szCs w:val="21"/>
        </w:rPr>
        <w:t>with more rigorous controls on medicines</w:t>
      </w:r>
      <w:r w:rsidR="00E5754E" w:rsidRPr="00DC3F0B">
        <w:rPr>
          <w:rFonts w:cs="Arial"/>
          <w:szCs w:val="21"/>
        </w:rPr>
        <w:t xml:space="preserve"> that pose a higher risk when </w:t>
      </w:r>
      <w:r w:rsidR="00E5754E" w:rsidRPr="002D0777">
        <w:rPr>
          <w:rFonts w:cs="Arial"/>
          <w:szCs w:val="21"/>
        </w:rPr>
        <w:t>used or misused</w:t>
      </w:r>
      <w:r w:rsidRPr="002D0777">
        <w:rPr>
          <w:rFonts w:cs="Arial"/>
          <w:szCs w:val="21"/>
        </w:rPr>
        <w:t xml:space="preserve">. </w:t>
      </w:r>
      <w:r w:rsidR="00C1152C" w:rsidRPr="002D0777">
        <w:rPr>
          <w:rFonts w:cs="Arial"/>
          <w:szCs w:val="21"/>
        </w:rPr>
        <w:t>The TGA assesses the quality</w:t>
      </w:r>
      <w:r w:rsidRPr="002D0777">
        <w:rPr>
          <w:rFonts w:cs="Arial"/>
          <w:szCs w:val="21"/>
        </w:rPr>
        <w:t xml:space="preserve"> and </w:t>
      </w:r>
      <w:r w:rsidR="00C1152C" w:rsidRPr="002D0777">
        <w:rPr>
          <w:rFonts w:cs="Arial"/>
          <w:szCs w:val="21"/>
        </w:rPr>
        <w:t>safety</w:t>
      </w:r>
      <w:r w:rsidRPr="002D0777">
        <w:rPr>
          <w:rFonts w:cs="Arial"/>
          <w:szCs w:val="21"/>
        </w:rPr>
        <w:t xml:space="preserve"> of all medicines, </w:t>
      </w:r>
      <w:r w:rsidR="006C6C20" w:rsidRPr="002D0777">
        <w:rPr>
          <w:rFonts w:cs="Arial"/>
          <w:szCs w:val="21"/>
        </w:rPr>
        <w:t xml:space="preserve">as well as </w:t>
      </w:r>
      <w:r w:rsidRPr="002D0777">
        <w:rPr>
          <w:rFonts w:cs="Arial"/>
          <w:szCs w:val="21"/>
        </w:rPr>
        <w:t xml:space="preserve">the </w:t>
      </w:r>
      <w:r w:rsidR="00C1152C" w:rsidRPr="002D0777">
        <w:rPr>
          <w:rFonts w:cs="Arial"/>
          <w:szCs w:val="21"/>
        </w:rPr>
        <w:t xml:space="preserve">efficacy of </w:t>
      </w:r>
      <w:r w:rsidR="006A219B" w:rsidRPr="002D0777">
        <w:rPr>
          <w:rFonts w:cs="Arial"/>
          <w:szCs w:val="21"/>
        </w:rPr>
        <w:t xml:space="preserve">those </w:t>
      </w:r>
      <w:r w:rsidR="00C1152C" w:rsidRPr="002D0777">
        <w:rPr>
          <w:rFonts w:cs="Arial"/>
          <w:szCs w:val="21"/>
        </w:rPr>
        <w:t>medicines</w:t>
      </w:r>
      <w:r w:rsidR="00E5754E" w:rsidRPr="002D0777">
        <w:rPr>
          <w:rFonts w:cs="Arial"/>
          <w:szCs w:val="21"/>
        </w:rPr>
        <w:t xml:space="preserve"> posing a higher risk</w:t>
      </w:r>
      <w:r w:rsidRPr="002D0777">
        <w:rPr>
          <w:rFonts w:cs="Arial"/>
          <w:szCs w:val="21"/>
        </w:rPr>
        <w:t xml:space="preserve">. </w:t>
      </w:r>
      <w:r w:rsidR="00E730E5" w:rsidRPr="002D0777">
        <w:rPr>
          <w:rFonts w:cs="Arial"/>
          <w:szCs w:val="21"/>
        </w:rPr>
        <w:t>The TGA also regulates t</w:t>
      </w:r>
      <w:r w:rsidRPr="002D0777">
        <w:rPr>
          <w:rFonts w:cs="Arial"/>
          <w:szCs w:val="21"/>
        </w:rPr>
        <w:t xml:space="preserve">he </w:t>
      </w:r>
      <w:r w:rsidR="00C1152C" w:rsidRPr="002D0777">
        <w:rPr>
          <w:rFonts w:cs="Arial"/>
          <w:szCs w:val="21"/>
        </w:rPr>
        <w:t>manufacturing</w:t>
      </w:r>
      <w:r w:rsidRPr="002D0777">
        <w:rPr>
          <w:rFonts w:cs="Arial"/>
          <w:szCs w:val="21"/>
        </w:rPr>
        <w:t xml:space="preserve"> </w:t>
      </w:r>
      <w:r w:rsidR="00A62C93" w:rsidRPr="002D0777">
        <w:rPr>
          <w:rFonts w:cs="Arial"/>
          <w:szCs w:val="21"/>
        </w:rPr>
        <w:t xml:space="preserve">and </w:t>
      </w:r>
      <w:r w:rsidR="00C1152C" w:rsidRPr="002D0777">
        <w:rPr>
          <w:rFonts w:cs="Arial"/>
          <w:szCs w:val="21"/>
        </w:rPr>
        <w:t>advertising</w:t>
      </w:r>
      <w:r w:rsidRPr="002D0777">
        <w:rPr>
          <w:rFonts w:cs="Arial"/>
          <w:szCs w:val="21"/>
        </w:rPr>
        <w:t xml:space="preserve"> of medicines</w:t>
      </w:r>
      <w:r w:rsidR="00E730E5" w:rsidRPr="002D0777">
        <w:rPr>
          <w:rFonts w:cs="Arial"/>
          <w:szCs w:val="21"/>
        </w:rPr>
        <w:t xml:space="preserve">, </w:t>
      </w:r>
      <w:r w:rsidR="00961C99" w:rsidRPr="002D0777">
        <w:rPr>
          <w:rFonts w:cs="Arial"/>
          <w:szCs w:val="21"/>
        </w:rPr>
        <w:t xml:space="preserve">as well as whether </w:t>
      </w:r>
      <w:r w:rsidR="00E730E5" w:rsidRPr="002D0777">
        <w:rPr>
          <w:rFonts w:cs="Arial"/>
          <w:szCs w:val="21"/>
        </w:rPr>
        <w:t xml:space="preserve">a </w:t>
      </w:r>
      <w:r w:rsidR="00681C7D" w:rsidRPr="002D0777">
        <w:rPr>
          <w:rFonts w:cs="Arial"/>
          <w:szCs w:val="21"/>
        </w:rPr>
        <w:t xml:space="preserve">valid </w:t>
      </w:r>
      <w:r w:rsidR="00E730E5" w:rsidRPr="002D0777">
        <w:rPr>
          <w:rFonts w:cs="Arial"/>
          <w:szCs w:val="21"/>
        </w:rPr>
        <w:t>prescription and/or consultation from a health professional is required</w:t>
      </w:r>
      <w:r w:rsidR="00961C99" w:rsidRPr="002D0777">
        <w:rPr>
          <w:rFonts w:cs="Arial"/>
          <w:szCs w:val="21"/>
        </w:rPr>
        <w:t xml:space="preserve"> for access by consumers</w:t>
      </w:r>
      <w:r w:rsidR="00E730E5" w:rsidRPr="002D0777">
        <w:rPr>
          <w:rFonts w:cs="Arial"/>
          <w:szCs w:val="21"/>
        </w:rPr>
        <w:t>.</w:t>
      </w:r>
    </w:p>
    <w:p w14:paraId="0C8A7EF9" w14:textId="77777777" w:rsidR="00C1152C" w:rsidRPr="00E77C38" w:rsidRDefault="00C1152C" w:rsidP="00C1152C">
      <w:pPr>
        <w:pStyle w:val="Heading2"/>
        <w:rPr>
          <w:shd w:val="clear" w:color="auto" w:fill="FFFFFF"/>
          <w:lang w:eastAsia="en-AU"/>
        </w:rPr>
      </w:pPr>
      <w:r w:rsidRPr="00E77C38">
        <w:rPr>
          <w:shd w:val="clear" w:color="auto" w:fill="FFFFFF"/>
          <w:lang w:eastAsia="en-AU"/>
        </w:rPr>
        <w:t>Protecting the health and safety of the community</w:t>
      </w:r>
    </w:p>
    <w:p w14:paraId="3835D71F" w14:textId="76AE1C28" w:rsidR="00C1152C" w:rsidRPr="00DC3F0B" w:rsidRDefault="00C1152C" w:rsidP="00C1152C">
      <w:pPr>
        <w:pStyle w:val="Paragraphtext"/>
        <w:rPr>
          <w:rFonts w:cs="Arial"/>
          <w:szCs w:val="21"/>
          <w:shd w:val="clear" w:color="auto" w:fill="FFFFFF"/>
          <w:lang w:eastAsia="en-AU"/>
        </w:rPr>
      </w:pPr>
      <w:r w:rsidRPr="00DC3F0B">
        <w:rPr>
          <w:rFonts w:cs="Arial"/>
          <w:szCs w:val="21"/>
          <w:shd w:val="clear" w:color="auto" w:fill="FFFFFF"/>
          <w:lang w:eastAsia="en-AU"/>
        </w:rPr>
        <w:t>Ensuring the safe</w:t>
      </w:r>
      <w:r w:rsidR="00E75BE3" w:rsidRPr="00DC3F0B">
        <w:rPr>
          <w:rFonts w:cs="Arial"/>
          <w:szCs w:val="21"/>
          <w:shd w:val="clear" w:color="auto" w:fill="FFFFFF"/>
          <w:lang w:eastAsia="en-AU"/>
        </w:rPr>
        <w:t xml:space="preserve"> and quality</w:t>
      </w:r>
      <w:r w:rsidRPr="00DC3F0B">
        <w:rPr>
          <w:rFonts w:cs="Arial"/>
          <w:szCs w:val="21"/>
          <w:shd w:val="clear" w:color="auto" w:fill="FFFFFF"/>
          <w:lang w:eastAsia="en-AU"/>
        </w:rPr>
        <w:t xml:space="preserve"> use of medicines is </w:t>
      </w:r>
      <w:r w:rsidR="00A32897" w:rsidRPr="00DC3F0B">
        <w:rPr>
          <w:rFonts w:cs="Arial"/>
          <w:szCs w:val="21"/>
          <w:shd w:val="clear" w:color="auto" w:fill="FFFFFF"/>
          <w:lang w:eastAsia="en-AU"/>
        </w:rPr>
        <w:t xml:space="preserve">fundamental </w:t>
      </w:r>
      <w:r w:rsidR="00E5754E" w:rsidRPr="00DC3F0B">
        <w:rPr>
          <w:rFonts w:cs="Arial"/>
          <w:szCs w:val="21"/>
          <w:shd w:val="clear" w:color="auto" w:fill="FFFFFF"/>
          <w:lang w:eastAsia="en-AU"/>
        </w:rPr>
        <w:t>throughout the medication management pathway</w:t>
      </w:r>
      <w:r w:rsidRPr="00DC3F0B">
        <w:rPr>
          <w:rFonts w:cs="Arial"/>
          <w:szCs w:val="21"/>
          <w:shd w:val="clear" w:color="auto" w:fill="FFFFFF"/>
          <w:lang w:eastAsia="en-AU"/>
        </w:rPr>
        <w:t xml:space="preserve"> and </w:t>
      </w:r>
      <w:r w:rsidR="00E5754E" w:rsidRPr="00DC3F0B">
        <w:rPr>
          <w:rFonts w:cs="Arial"/>
          <w:szCs w:val="21"/>
          <w:shd w:val="clear" w:color="auto" w:fill="FFFFFF"/>
          <w:lang w:eastAsia="en-AU"/>
        </w:rPr>
        <w:t xml:space="preserve">consumer </w:t>
      </w:r>
      <w:r w:rsidRPr="00DC3F0B">
        <w:rPr>
          <w:rFonts w:cs="Arial"/>
          <w:szCs w:val="21"/>
          <w:shd w:val="clear" w:color="auto" w:fill="FFFFFF"/>
          <w:lang w:eastAsia="en-AU"/>
        </w:rPr>
        <w:t>journey</w:t>
      </w:r>
      <w:r w:rsidR="00E5754E" w:rsidRPr="00DC3F0B">
        <w:rPr>
          <w:rFonts w:cs="Arial"/>
          <w:szCs w:val="21"/>
          <w:shd w:val="clear" w:color="auto" w:fill="FFFFFF"/>
          <w:lang w:eastAsia="en-AU"/>
        </w:rPr>
        <w:t>, including at transition of care</w:t>
      </w:r>
      <w:r w:rsidRPr="00DC3F0B">
        <w:rPr>
          <w:rFonts w:cs="Arial"/>
          <w:szCs w:val="21"/>
          <w:shd w:val="clear" w:color="auto" w:fill="FFFFFF"/>
          <w:lang w:eastAsia="en-AU"/>
        </w:rPr>
        <w:t xml:space="preserve">. </w:t>
      </w:r>
      <w:r w:rsidR="006C6C20" w:rsidRPr="00DC3F0B">
        <w:rPr>
          <w:rFonts w:cs="Arial"/>
          <w:szCs w:val="21"/>
          <w:shd w:val="clear" w:color="auto" w:fill="FFFFFF"/>
          <w:lang w:eastAsia="en-AU"/>
        </w:rPr>
        <w:t>For medicines</w:t>
      </w:r>
      <w:r w:rsidR="00E5754E" w:rsidRPr="00DC3F0B">
        <w:rPr>
          <w:rFonts w:cs="Arial"/>
          <w:szCs w:val="21"/>
          <w:shd w:val="clear" w:color="auto" w:fill="FFFFFF"/>
          <w:lang w:eastAsia="en-AU"/>
        </w:rPr>
        <w:t xml:space="preserve"> that pose a higher risk</w:t>
      </w:r>
      <w:r w:rsidR="006C6C20" w:rsidRPr="00DC3F0B">
        <w:rPr>
          <w:rFonts w:cs="Arial"/>
          <w:szCs w:val="21"/>
          <w:shd w:val="clear" w:color="auto" w:fill="FFFFFF"/>
          <w:lang w:eastAsia="en-AU"/>
        </w:rPr>
        <w:t>, o</w:t>
      </w:r>
      <w:r w:rsidRPr="00DC3F0B">
        <w:rPr>
          <w:rFonts w:cs="Arial"/>
          <w:szCs w:val="21"/>
          <w:shd w:val="clear" w:color="auto" w:fill="FFFFFF"/>
          <w:lang w:eastAsia="en-AU"/>
        </w:rPr>
        <w:t xml:space="preserve">ngoing quality assurance processes guarantee the highest standards of quality, safety and efficacy </w:t>
      </w:r>
      <w:r w:rsidR="006C6C20" w:rsidRPr="00DC3F0B">
        <w:rPr>
          <w:rFonts w:cs="Arial"/>
          <w:szCs w:val="21"/>
          <w:shd w:val="clear" w:color="auto" w:fill="FFFFFF"/>
          <w:lang w:eastAsia="en-AU"/>
        </w:rPr>
        <w:t xml:space="preserve">are met </w:t>
      </w:r>
      <w:r w:rsidRPr="00DC3F0B">
        <w:rPr>
          <w:rFonts w:cs="Arial"/>
          <w:szCs w:val="21"/>
          <w:shd w:val="clear" w:color="auto" w:fill="FFFFFF"/>
          <w:lang w:eastAsia="en-AU"/>
        </w:rPr>
        <w:t xml:space="preserve">for </w:t>
      </w:r>
      <w:r w:rsidR="00E5754E" w:rsidRPr="00DC3F0B">
        <w:rPr>
          <w:rFonts w:cs="Arial"/>
          <w:szCs w:val="21"/>
          <w:shd w:val="clear" w:color="auto" w:fill="FFFFFF"/>
          <w:lang w:eastAsia="en-AU"/>
        </w:rPr>
        <w:t xml:space="preserve">specific </w:t>
      </w:r>
      <w:r w:rsidR="00681C7D" w:rsidRPr="00DC3F0B">
        <w:rPr>
          <w:rFonts w:cs="Arial"/>
          <w:szCs w:val="21"/>
          <w:shd w:val="clear" w:color="auto" w:fill="FFFFFF"/>
          <w:lang w:eastAsia="en-AU"/>
        </w:rPr>
        <w:t xml:space="preserve">medical </w:t>
      </w:r>
      <w:r w:rsidRPr="00DC3F0B">
        <w:rPr>
          <w:rFonts w:cs="Arial"/>
          <w:szCs w:val="21"/>
          <w:shd w:val="clear" w:color="auto" w:fill="FFFFFF"/>
          <w:lang w:eastAsia="en-AU"/>
        </w:rPr>
        <w:t>conditions or indications.</w:t>
      </w:r>
    </w:p>
    <w:p w14:paraId="048A90BD" w14:textId="46A47F0B" w:rsidR="00C1152C" w:rsidRPr="00DC3F0B" w:rsidRDefault="00C1152C" w:rsidP="00C1152C">
      <w:pPr>
        <w:pStyle w:val="ListNumber2"/>
        <w:numPr>
          <w:ilvl w:val="0"/>
          <w:numId w:val="0"/>
        </w:numPr>
        <w:rPr>
          <w:rFonts w:cs="Arial"/>
          <w:szCs w:val="21"/>
        </w:rPr>
      </w:pPr>
      <w:r w:rsidRPr="00DC3F0B">
        <w:rPr>
          <w:rFonts w:cs="Arial"/>
          <w:szCs w:val="21"/>
          <w:shd w:val="clear" w:color="auto" w:fill="FFFFFF"/>
          <w:lang w:eastAsia="en-AU"/>
        </w:rPr>
        <w:t xml:space="preserve">These processes include assessments both before and after a medicine </w:t>
      </w:r>
      <w:r w:rsidR="00E5754E" w:rsidRPr="00DC3F0B">
        <w:rPr>
          <w:rFonts w:cs="Arial"/>
          <w:szCs w:val="21"/>
          <w:shd w:val="clear" w:color="auto" w:fill="FFFFFF"/>
          <w:lang w:eastAsia="en-AU"/>
        </w:rPr>
        <w:t>is registered</w:t>
      </w:r>
      <w:r w:rsidR="003738CF" w:rsidRPr="00DC3F0B">
        <w:rPr>
          <w:rFonts w:cs="Arial"/>
          <w:szCs w:val="21"/>
          <w:shd w:val="clear" w:color="auto" w:fill="FFFFFF"/>
          <w:lang w:eastAsia="en-AU"/>
        </w:rPr>
        <w:t xml:space="preserve"> with input from </w:t>
      </w:r>
      <w:r w:rsidR="00E5754E" w:rsidRPr="00DC3F0B">
        <w:rPr>
          <w:rFonts w:cs="Arial"/>
          <w:szCs w:val="21"/>
          <w:shd w:val="clear" w:color="auto" w:fill="FFFFFF"/>
          <w:lang w:eastAsia="en-AU"/>
        </w:rPr>
        <w:t xml:space="preserve">individuals, their families and carers </w:t>
      </w:r>
      <w:r w:rsidR="003738CF" w:rsidRPr="00DC3F0B">
        <w:rPr>
          <w:rFonts w:cs="Arial"/>
          <w:szCs w:val="21"/>
          <w:shd w:val="clear" w:color="auto" w:fill="FFFFFF"/>
          <w:lang w:eastAsia="en-AU"/>
        </w:rPr>
        <w:t>and health professionals</w:t>
      </w:r>
      <w:r w:rsidRPr="00DC3F0B">
        <w:rPr>
          <w:rFonts w:cs="Arial"/>
          <w:szCs w:val="21"/>
          <w:shd w:val="clear" w:color="auto" w:fill="FFFFFF"/>
          <w:lang w:eastAsia="en-AU"/>
        </w:rPr>
        <w:t xml:space="preserve">. </w:t>
      </w:r>
      <w:r w:rsidR="00E5754E" w:rsidRPr="00DC3F0B">
        <w:rPr>
          <w:rFonts w:cs="Arial"/>
          <w:szCs w:val="21"/>
          <w:shd w:val="clear" w:color="auto" w:fill="FFFFFF"/>
          <w:lang w:eastAsia="en-AU"/>
        </w:rPr>
        <w:t>T</w:t>
      </w:r>
      <w:r w:rsidRPr="00DC3F0B">
        <w:rPr>
          <w:rFonts w:cs="Arial"/>
          <w:szCs w:val="21"/>
          <w:shd w:val="clear" w:color="auto" w:fill="FFFFFF"/>
          <w:lang w:eastAsia="en-AU"/>
        </w:rPr>
        <w:t xml:space="preserve">he outcomes of these assessments </w:t>
      </w:r>
      <w:r w:rsidR="00E5754E" w:rsidRPr="00DC3F0B">
        <w:rPr>
          <w:rFonts w:cs="Arial"/>
          <w:szCs w:val="21"/>
          <w:shd w:val="clear" w:color="auto" w:fill="FFFFFF"/>
          <w:lang w:eastAsia="en-AU"/>
        </w:rPr>
        <w:t>are generally made</w:t>
      </w:r>
      <w:r w:rsidRPr="00DC3F0B">
        <w:rPr>
          <w:rFonts w:cs="Arial"/>
          <w:szCs w:val="21"/>
          <w:shd w:val="clear" w:color="auto" w:fill="FFFFFF"/>
          <w:lang w:eastAsia="en-AU"/>
        </w:rPr>
        <w:t xml:space="preserve"> available to the public. </w:t>
      </w:r>
      <w:r w:rsidRPr="00DC3F0B">
        <w:rPr>
          <w:rFonts w:cs="Arial"/>
          <w:szCs w:val="21"/>
          <w:lang w:eastAsia="en-AU"/>
        </w:rPr>
        <w:t xml:space="preserve">This promotes transparency and shows how quality, safety and efficacy standards </w:t>
      </w:r>
      <w:r w:rsidR="00E5754E" w:rsidRPr="00DC3F0B">
        <w:rPr>
          <w:rFonts w:cs="Arial"/>
          <w:szCs w:val="21"/>
          <w:lang w:eastAsia="en-AU"/>
        </w:rPr>
        <w:t>are</w:t>
      </w:r>
      <w:r w:rsidRPr="00DC3F0B">
        <w:rPr>
          <w:rFonts w:cs="Arial"/>
          <w:szCs w:val="21"/>
          <w:lang w:eastAsia="en-AU"/>
        </w:rPr>
        <w:t xml:space="preserve"> achieved and maintained.</w:t>
      </w:r>
    </w:p>
    <w:p w14:paraId="52DF5948" w14:textId="2FAA9520" w:rsidR="00C1152C" w:rsidRPr="00DC3F0B" w:rsidRDefault="00C1152C" w:rsidP="00C1152C">
      <w:pPr>
        <w:pStyle w:val="ListNumber2"/>
        <w:numPr>
          <w:ilvl w:val="0"/>
          <w:numId w:val="0"/>
        </w:numPr>
        <w:rPr>
          <w:rFonts w:cs="Arial"/>
          <w:szCs w:val="21"/>
          <w:shd w:val="clear" w:color="auto" w:fill="FFFFFF"/>
          <w:lang w:eastAsia="en-AU"/>
        </w:rPr>
      </w:pPr>
      <w:r w:rsidRPr="00DC3F0B">
        <w:rPr>
          <w:rFonts w:cs="Arial"/>
          <w:szCs w:val="21"/>
          <w:shd w:val="clear" w:color="auto" w:fill="FFFFFF"/>
          <w:lang w:eastAsia="en-AU"/>
        </w:rPr>
        <w:t xml:space="preserve">In protecting the health and safety of the community in their use of medicines, all partners </w:t>
      </w:r>
      <w:r w:rsidR="00445E90" w:rsidRPr="00DC3F0B">
        <w:rPr>
          <w:rFonts w:cs="Arial"/>
          <w:szCs w:val="21"/>
          <w:shd w:val="clear" w:color="auto" w:fill="FFFFFF"/>
          <w:lang w:eastAsia="en-AU"/>
        </w:rPr>
        <w:t xml:space="preserve">must </w:t>
      </w:r>
      <w:r w:rsidRPr="00DC3F0B">
        <w:rPr>
          <w:rFonts w:cs="Arial"/>
          <w:szCs w:val="21"/>
          <w:shd w:val="clear" w:color="auto" w:fill="FFFFFF"/>
          <w:lang w:eastAsia="en-AU"/>
        </w:rPr>
        <w:t>strive to:</w:t>
      </w:r>
    </w:p>
    <w:p w14:paraId="5D7108F4" w14:textId="0A494F5C" w:rsidR="00C1152C" w:rsidRPr="00DC3F0B" w:rsidRDefault="00C1152C" w:rsidP="00C1152C">
      <w:pPr>
        <w:pStyle w:val="ListBullet"/>
        <w:rPr>
          <w:rFonts w:cs="Arial"/>
          <w:szCs w:val="21"/>
        </w:rPr>
      </w:pPr>
      <w:r w:rsidRPr="00DC3F0B">
        <w:rPr>
          <w:rFonts w:cs="Arial"/>
          <w:szCs w:val="21"/>
        </w:rPr>
        <w:t>improve access to up-to-date, easily understood, evidence-based information to help people make informed health care decisions</w:t>
      </w:r>
      <w:r w:rsidR="00E5754E" w:rsidRPr="00DC3F0B">
        <w:rPr>
          <w:rFonts w:cs="Arial"/>
          <w:szCs w:val="21"/>
        </w:rPr>
        <w:t>, including whether to take a medicine or choose other management options</w:t>
      </w:r>
      <w:r w:rsidRPr="00DC3F0B">
        <w:rPr>
          <w:rFonts w:cs="Arial"/>
          <w:szCs w:val="21"/>
        </w:rPr>
        <w:t>.</w:t>
      </w:r>
    </w:p>
    <w:p w14:paraId="669A8309" w14:textId="3E27B515" w:rsidR="00F5604F" w:rsidRPr="00DC3F0B" w:rsidRDefault="00C1152C" w:rsidP="00C1152C">
      <w:pPr>
        <w:pStyle w:val="ListBullet"/>
        <w:rPr>
          <w:rFonts w:cs="Arial"/>
          <w:szCs w:val="21"/>
        </w:rPr>
      </w:pPr>
      <w:r w:rsidRPr="00DC3F0B">
        <w:rPr>
          <w:rFonts w:cs="Arial"/>
          <w:szCs w:val="21"/>
        </w:rPr>
        <w:t xml:space="preserve">build the </w:t>
      </w:r>
      <w:r w:rsidR="00E5754E" w:rsidRPr="00DC3F0B">
        <w:rPr>
          <w:rFonts w:cs="Arial"/>
          <w:szCs w:val="21"/>
        </w:rPr>
        <w:t xml:space="preserve">Australian </w:t>
      </w:r>
      <w:r w:rsidRPr="00DC3F0B">
        <w:rPr>
          <w:rFonts w:cs="Arial"/>
          <w:szCs w:val="21"/>
        </w:rPr>
        <w:t xml:space="preserve">public’s knowledge about medicines regulation, </w:t>
      </w:r>
      <w:r w:rsidR="00E5754E" w:rsidRPr="00DC3F0B">
        <w:rPr>
          <w:rFonts w:cs="Arial"/>
          <w:szCs w:val="21"/>
        </w:rPr>
        <w:t xml:space="preserve">including the expectations and limitations </w:t>
      </w:r>
      <w:r w:rsidR="00E5754E" w:rsidRPr="00D8062C">
        <w:rPr>
          <w:rFonts w:cs="Arial"/>
          <w:szCs w:val="21"/>
        </w:rPr>
        <w:t xml:space="preserve">of medicines regulation. </w:t>
      </w:r>
    </w:p>
    <w:p w14:paraId="547164C3" w14:textId="30336C0F" w:rsidR="00C1152C" w:rsidRPr="00DC3F0B" w:rsidRDefault="00F5604F" w:rsidP="00C1152C">
      <w:pPr>
        <w:pStyle w:val="ListBullet"/>
        <w:rPr>
          <w:rFonts w:cs="Arial"/>
          <w:szCs w:val="21"/>
        </w:rPr>
      </w:pPr>
      <w:r w:rsidRPr="00DC3F0B">
        <w:rPr>
          <w:rFonts w:cs="Arial"/>
          <w:szCs w:val="21"/>
        </w:rPr>
        <w:t xml:space="preserve">facilitate and encourage </w:t>
      </w:r>
      <w:r w:rsidR="00464933" w:rsidRPr="00DC3F0B">
        <w:rPr>
          <w:rFonts w:cs="Arial"/>
          <w:szCs w:val="21"/>
        </w:rPr>
        <w:t>effective</w:t>
      </w:r>
      <w:r w:rsidR="00C1152C" w:rsidRPr="00DC3F0B">
        <w:rPr>
          <w:rFonts w:cs="Arial"/>
          <w:szCs w:val="21"/>
        </w:rPr>
        <w:t xml:space="preserve"> reporting </w:t>
      </w:r>
      <w:r w:rsidR="00464933" w:rsidRPr="00DC3F0B">
        <w:rPr>
          <w:rFonts w:cs="Arial"/>
          <w:szCs w:val="21"/>
        </w:rPr>
        <w:t xml:space="preserve">of </w:t>
      </w:r>
      <w:r w:rsidR="00C1152C" w:rsidRPr="00DC3F0B">
        <w:rPr>
          <w:rFonts w:cs="Arial"/>
          <w:szCs w:val="21"/>
        </w:rPr>
        <w:t>adverse events</w:t>
      </w:r>
      <w:r w:rsidR="00464933" w:rsidRPr="00DC3F0B">
        <w:rPr>
          <w:rFonts w:cs="Arial"/>
          <w:szCs w:val="21"/>
        </w:rPr>
        <w:t xml:space="preserve"> by </w:t>
      </w:r>
      <w:r w:rsidRPr="00DC3F0B">
        <w:rPr>
          <w:rFonts w:cs="Arial"/>
          <w:szCs w:val="21"/>
        </w:rPr>
        <w:t xml:space="preserve">individuals, families </w:t>
      </w:r>
      <w:r w:rsidR="0069627E" w:rsidRPr="00DC3F0B">
        <w:rPr>
          <w:rFonts w:cs="Arial"/>
          <w:szCs w:val="21"/>
        </w:rPr>
        <w:t xml:space="preserve">and </w:t>
      </w:r>
      <w:r w:rsidRPr="00DC3F0B">
        <w:rPr>
          <w:rFonts w:cs="Arial"/>
          <w:szCs w:val="21"/>
        </w:rPr>
        <w:t>carers</w:t>
      </w:r>
      <w:r w:rsidR="001D3900">
        <w:rPr>
          <w:rFonts w:cs="Arial"/>
          <w:szCs w:val="21"/>
        </w:rPr>
        <w:t>,</w:t>
      </w:r>
      <w:r w:rsidRPr="00DC3F0B">
        <w:rPr>
          <w:rFonts w:cs="Arial"/>
          <w:szCs w:val="21"/>
        </w:rPr>
        <w:t xml:space="preserve"> </w:t>
      </w:r>
      <w:r w:rsidR="00464933" w:rsidRPr="00DC3F0B">
        <w:rPr>
          <w:rFonts w:cs="Arial"/>
          <w:szCs w:val="21"/>
        </w:rPr>
        <w:t>and health professionals</w:t>
      </w:r>
      <w:r w:rsidR="00C1152C" w:rsidRPr="00DC3F0B">
        <w:rPr>
          <w:rFonts w:cs="Arial"/>
          <w:szCs w:val="21"/>
        </w:rPr>
        <w:t xml:space="preserve"> to support the </w:t>
      </w:r>
      <w:r w:rsidR="00E75BE3" w:rsidRPr="00DC3F0B">
        <w:rPr>
          <w:rFonts w:cs="Arial"/>
          <w:szCs w:val="21"/>
        </w:rPr>
        <w:t xml:space="preserve">safe and </w:t>
      </w:r>
      <w:r w:rsidR="00C1152C" w:rsidRPr="00DC3F0B">
        <w:rPr>
          <w:rFonts w:cs="Arial"/>
          <w:szCs w:val="21"/>
        </w:rPr>
        <w:t>quality use of medicines.</w:t>
      </w:r>
    </w:p>
    <w:p w14:paraId="1D336ACD" w14:textId="71CD1C1F" w:rsidR="00C1152C" w:rsidRPr="00DC3F0B" w:rsidRDefault="00C1152C" w:rsidP="00C1152C">
      <w:pPr>
        <w:pStyle w:val="ListBullet"/>
        <w:rPr>
          <w:rFonts w:cs="Arial"/>
          <w:szCs w:val="21"/>
        </w:rPr>
      </w:pPr>
      <w:r w:rsidRPr="00DC3F0B">
        <w:rPr>
          <w:rFonts w:cs="Arial"/>
          <w:szCs w:val="21"/>
        </w:rPr>
        <w:t xml:space="preserve">assist in identifying and reporting </w:t>
      </w:r>
      <w:r w:rsidRPr="002D0777">
        <w:rPr>
          <w:rFonts w:cs="Arial"/>
          <w:szCs w:val="21"/>
        </w:rPr>
        <w:t>potential</w:t>
      </w:r>
      <w:r w:rsidR="00CE0906" w:rsidRPr="002D0777">
        <w:rPr>
          <w:rFonts w:cs="Arial"/>
          <w:szCs w:val="21"/>
        </w:rPr>
        <w:t xml:space="preserve"> </w:t>
      </w:r>
      <w:r w:rsidR="00961C99" w:rsidRPr="002D0777">
        <w:rPr>
          <w:rFonts w:cs="Arial"/>
          <w:szCs w:val="21"/>
        </w:rPr>
        <w:t>issues</w:t>
      </w:r>
      <w:r w:rsidRPr="002D0777">
        <w:rPr>
          <w:rFonts w:cs="Arial"/>
          <w:szCs w:val="21"/>
        </w:rPr>
        <w:t xml:space="preserve"> with</w:t>
      </w:r>
      <w:r w:rsidRPr="00DC3F0B">
        <w:rPr>
          <w:rFonts w:cs="Arial"/>
          <w:szCs w:val="21"/>
        </w:rPr>
        <w:t xml:space="preserve"> medicines use</w:t>
      </w:r>
      <w:r w:rsidR="003738CF" w:rsidRPr="00DC3F0B">
        <w:rPr>
          <w:rFonts w:cs="Arial"/>
          <w:szCs w:val="21"/>
        </w:rPr>
        <w:t xml:space="preserve"> or misuse</w:t>
      </w:r>
      <w:r w:rsidRPr="00DC3F0B">
        <w:rPr>
          <w:rFonts w:cs="Arial"/>
          <w:szCs w:val="21"/>
        </w:rPr>
        <w:t>, and quality, safety and efficacy.</w:t>
      </w:r>
    </w:p>
    <w:p w14:paraId="58950BC5" w14:textId="77777777" w:rsidR="00C1152C" w:rsidRPr="00DC3F0B" w:rsidRDefault="00C1152C" w:rsidP="00C1152C">
      <w:pPr>
        <w:pStyle w:val="ListBullet"/>
        <w:rPr>
          <w:rFonts w:cs="Arial"/>
          <w:szCs w:val="21"/>
        </w:rPr>
      </w:pPr>
      <w:r w:rsidRPr="00DC3F0B">
        <w:rPr>
          <w:rFonts w:cs="Arial"/>
          <w:szCs w:val="21"/>
        </w:rPr>
        <w:t>ensure all suppliers, researchers and industry understand and meet their requirements as outlined in relevant codes of conduct and legislation.</w:t>
      </w:r>
    </w:p>
    <w:p w14:paraId="68F1617A" w14:textId="77777777" w:rsidR="00C1152C" w:rsidRPr="00E77C38" w:rsidRDefault="00C1152C" w:rsidP="00C1152C">
      <w:pPr>
        <w:pStyle w:val="Heading2"/>
        <w:rPr>
          <w:shd w:val="clear" w:color="auto" w:fill="FFFFFF"/>
          <w:lang w:eastAsia="en-AU"/>
        </w:rPr>
      </w:pPr>
      <w:r w:rsidRPr="00E77C38">
        <w:rPr>
          <w:shd w:val="clear" w:color="auto" w:fill="FFFFFF"/>
          <w:lang w:eastAsia="en-AU"/>
        </w:rPr>
        <w:t>Effective, timely and risk-proportionate regulation</w:t>
      </w:r>
    </w:p>
    <w:p w14:paraId="0F356827" w14:textId="4AED64E2" w:rsidR="00C1152C" w:rsidRPr="00DC3F0B" w:rsidDel="009C41B6" w:rsidRDefault="00C1152C" w:rsidP="00C1152C">
      <w:pPr>
        <w:pStyle w:val="Paragraphtext"/>
        <w:rPr>
          <w:rFonts w:cs="Arial"/>
          <w:szCs w:val="21"/>
          <w:shd w:val="clear" w:color="auto" w:fill="FFFFFF"/>
          <w:lang w:eastAsia="en-AU"/>
        </w:rPr>
      </w:pPr>
      <w:r w:rsidRPr="00DC3F0B">
        <w:rPr>
          <w:rFonts w:cs="Arial"/>
          <w:szCs w:val="21"/>
          <w:shd w:val="clear" w:color="auto" w:fill="FFFFFF"/>
          <w:lang w:eastAsia="en-AU"/>
        </w:rPr>
        <w:t>Australia’s medicines regulatory system protects the health and safety of the community by being up-to-date, flexible and support</w:t>
      </w:r>
      <w:r w:rsidR="00E75BE3" w:rsidRPr="00DC3F0B">
        <w:rPr>
          <w:rFonts w:cs="Arial"/>
          <w:szCs w:val="21"/>
          <w:shd w:val="clear" w:color="auto" w:fill="FFFFFF"/>
          <w:lang w:eastAsia="en-AU"/>
        </w:rPr>
        <w:t>ing</w:t>
      </w:r>
      <w:r w:rsidRPr="00DC3F0B">
        <w:rPr>
          <w:rFonts w:cs="Arial"/>
          <w:szCs w:val="21"/>
          <w:shd w:val="clear" w:color="auto" w:fill="FFFFFF"/>
          <w:lang w:eastAsia="en-AU"/>
        </w:rPr>
        <w:t xml:space="preserve"> timely</w:t>
      </w:r>
      <w:r w:rsidR="00F5604F" w:rsidRPr="00DC3F0B">
        <w:rPr>
          <w:rFonts w:cs="Arial"/>
          <w:szCs w:val="21"/>
          <w:shd w:val="clear" w:color="auto" w:fill="FFFFFF"/>
          <w:lang w:eastAsia="en-AU"/>
        </w:rPr>
        <w:t xml:space="preserve">, </w:t>
      </w:r>
      <w:r w:rsidR="006C6C20" w:rsidRPr="00DC3F0B">
        <w:rPr>
          <w:rFonts w:cs="Arial"/>
          <w:szCs w:val="21"/>
          <w:shd w:val="clear" w:color="auto" w:fill="FFFFFF"/>
          <w:lang w:eastAsia="en-AU"/>
        </w:rPr>
        <w:t xml:space="preserve">safe </w:t>
      </w:r>
      <w:r w:rsidRPr="00DC3F0B">
        <w:rPr>
          <w:rFonts w:cs="Arial"/>
          <w:szCs w:val="21"/>
          <w:shd w:val="clear" w:color="auto" w:fill="FFFFFF"/>
          <w:lang w:eastAsia="en-AU"/>
        </w:rPr>
        <w:t>access to innovative</w:t>
      </w:r>
      <w:r w:rsidR="00F5604F" w:rsidRPr="00DC3F0B">
        <w:rPr>
          <w:rFonts w:cs="Arial"/>
          <w:szCs w:val="21"/>
          <w:shd w:val="clear" w:color="auto" w:fill="FFFFFF"/>
          <w:lang w:eastAsia="en-AU"/>
        </w:rPr>
        <w:t>, evidence-based</w:t>
      </w:r>
      <w:r w:rsidRPr="00DC3F0B">
        <w:rPr>
          <w:rFonts w:cs="Arial"/>
          <w:szCs w:val="21"/>
          <w:shd w:val="clear" w:color="auto" w:fill="FFFFFF"/>
          <w:lang w:eastAsia="en-AU"/>
        </w:rPr>
        <w:t xml:space="preserve"> medicines and medicines-related services.</w:t>
      </w:r>
    </w:p>
    <w:p w14:paraId="0EE96A0D" w14:textId="1044093F" w:rsidR="00C1152C" w:rsidRPr="00DC3F0B" w:rsidRDefault="00C1152C" w:rsidP="00AD0E92">
      <w:pPr>
        <w:pStyle w:val="Paragraphtext"/>
        <w:keepNext/>
        <w:keepLines/>
        <w:rPr>
          <w:rFonts w:cs="Arial"/>
          <w:szCs w:val="21"/>
          <w:shd w:val="clear" w:color="auto" w:fill="FFFFFF"/>
          <w:lang w:eastAsia="en-AU"/>
        </w:rPr>
      </w:pPr>
      <w:r w:rsidRPr="00DC3F0B">
        <w:rPr>
          <w:rFonts w:cs="Arial"/>
          <w:szCs w:val="21"/>
          <w:shd w:val="clear" w:color="auto" w:fill="FFFFFF"/>
          <w:lang w:eastAsia="en-AU"/>
        </w:rPr>
        <w:lastRenderedPageBreak/>
        <w:t>This can be achieved through:</w:t>
      </w:r>
    </w:p>
    <w:p w14:paraId="3B20B7BC" w14:textId="7875A23A" w:rsidR="00C1152C" w:rsidRPr="00D8062C" w:rsidRDefault="00271CA3" w:rsidP="00C1152C">
      <w:pPr>
        <w:pStyle w:val="ListBullet"/>
        <w:rPr>
          <w:rFonts w:cs="Arial"/>
          <w:szCs w:val="21"/>
          <w:shd w:val="clear" w:color="auto" w:fill="FFFFFF"/>
          <w:lang w:eastAsia="en-AU"/>
        </w:rPr>
      </w:pPr>
      <w:r>
        <w:rPr>
          <w:rFonts w:cs="Arial"/>
          <w:szCs w:val="21"/>
          <w:shd w:val="clear" w:color="auto" w:fill="FFFFFF"/>
          <w:lang w:eastAsia="en-AU"/>
        </w:rPr>
        <w:t>R</w:t>
      </w:r>
      <w:r w:rsidR="00C1152C" w:rsidRPr="00DC3F0B">
        <w:rPr>
          <w:rFonts w:cs="Arial"/>
          <w:szCs w:val="21"/>
          <w:shd w:val="clear" w:color="auto" w:fill="FFFFFF"/>
          <w:lang w:eastAsia="en-AU"/>
        </w:rPr>
        <w:t>ational</w:t>
      </w:r>
      <w:r w:rsidR="00204ABD" w:rsidRPr="00DC3F0B">
        <w:rPr>
          <w:rFonts w:cs="Arial"/>
          <w:szCs w:val="21"/>
          <w:shd w:val="clear" w:color="auto" w:fill="FFFFFF"/>
          <w:lang w:eastAsia="en-AU"/>
        </w:rPr>
        <w:t>, standardised</w:t>
      </w:r>
      <w:r w:rsidR="00C1152C" w:rsidRPr="00D8062C">
        <w:rPr>
          <w:rFonts w:cs="Arial"/>
          <w:szCs w:val="21"/>
          <w:shd w:val="clear" w:color="auto" w:fill="FFFFFF"/>
          <w:lang w:eastAsia="en-AU"/>
        </w:rPr>
        <w:t xml:space="preserve"> and transparent criteria and processes to evaluate </w:t>
      </w:r>
      <w:r w:rsidR="00C1152C" w:rsidRPr="00AA1F16" w:rsidDel="001A3045">
        <w:rPr>
          <w:rFonts w:cs="Arial"/>
          <w:szCs w:val="21"/>
          <w:shd w:val="clear" w:color="auto" w:fill="FFFFFF"/>
          <w:lang w:eastAsia="en-AU"/>
        </w:rPr>
        <w:t xml:space="preserve">and </w:t>
      </w:r>
      <w:r w:rsidR="00204ABD" w:rsidRPr="00DC3F0B">
        <w:rPr>
          <w:rFonts w:cs="Arial"/>
          <w:szCs w:val="21"/>
          <w:shd w:val="clear" w:color="auto" w:fill="FFFFFF"/>
          <w:lang w:eastAsia="en-AU"/>
        </w:rPr>
        <w:t xml:space="preserve">monitor </w:t>
      </w:r>
      <w:r w:rsidR="00C1152C" w:rsidRPr="00DC3F0B">
        <w:rPr>
          <w:rFonts w:cs="Arial"/>
          <w:szCs w:val="21"/>
          <w:shd w:val="clear" w:color="auto" w:fill="FFFFFF"/>
          <w:lang w:eastAsia="en-AU"/>
        </w:rPr>
        <w:t>medicines</w:t>
      </w:r>
      <w:r w:rsidR="00204ABD" w:rsidRPr="00DC3F0B">
        <w:rPr>
          <w:rFonts w:cs="Arial"/>
          <w:szCs w:val="21"/>
          <w:shd w:val="clear" w:color="auto" w:fill="FFFFFF"/>
          <w:lang w:eastAsia="en-AU"/>
        </w:rPr>
        <w:t>.</w:t>
      </w:r>
    </w:p>
    <w:p w14:paraId="71357273" w14:textId="7537C50C" w:rsidR="00C1152C" w:rsidRPr="00DC3F0B" w:rsidRDefault="00271CA3" w:rsidP="00C1152C">
      <w:pPr>
        <w:pStyle w:val="ListBullet"/>
        <w:rPr>
          <w:rFonts w:cs="Arial"/>
          <w:szCs w:val="21"/>
          <w:shd w:val="clear" w:color="auto" w:fill="FFFFFF"/>
          <w:lang w:eastAsia="en-AU"/>
        </w:rPr>
      </w:pPr>
      <w:r>
        <w:rPr>
          <w:rFonts w:cs="Arial"/>
          <w:szCs w:val="21"/>
          <w:shd w:val="clear" w:color="auto" w:fill="FFFFFF"/>
          <w:lang w:eastAsia="en-AU"/>
        </w:rPr>
        <w:t>P</w:t>
      </w:r>
      <w:r w:rsidR="00C1152C" w:rsidRPr="00AA1F16">
        <w:rPr>
          <w:rFonts w:cs="Arial"/>
          <w:szCs w:val="21"/>
          <w:shd w:val="clear" w:color="auto" w:fill="FFFFFF"/>
          <w:lang w:eastAsia="en-AU"/>
        </w:rPr>
        <w:t>ursu</w:t>
      </w:r>
      <w:r w:rsidR="009D5682" w:rsidRPr="00DC3F0B">
        <w:rPr>
          <w:rFonts w:cs="Arial"/>
          <w:szCs w:val="21"/>
          <w:shd w:val="clear" w:color="auto" w:fill="FFFFFF"/>
          <w:lang w:eastAsia="en-AU"/>
        </w:rPr>
        <w:t xml:space="preserve">ing </w:t>
      </w:r>
      <w:r w:rsidR="00C1152C" w:rsidRPr="00DC3F0B">
        <w:rPr>
          <w:rFonts w:cs="Arial"/>
          <w:szCs w:val="21"/>
          <w:shd w:val="clear" w:color="auto" w:fill="FFFFFF"/>
          <w:lang w:eastAsia="en-AU"/>
        </w:rPr>
        <w:t xml:space="preserve">opportunities to collaborate with recognised international regulatory agencies to </w:t>
      </w:r>
      <w:r w:rsidR="00F5604F" w:rsidRPr="00DC3F0B">
        <w:rPr>
          <w:rFonts w:cs="Arial"/>
          <w:szCs w:val="21"/>
          <w:shd w:val="clear" w:color="auto" w:fill="FFFFFF"/>
          <w:lang w:eastAsia="en-AU"/>
        </w:rPr>
        <w:t xml:space="preserve">facilitate a standardised approach, </w:t>
      </w:r>
      <w:r w:rsidR="00C1152C" w:rsidRPr="00DC3F0B">
        <w:rPr>
          <w:rFonts w:cs="Arial"/>
          <w:szCs w:val="21"/>
          <w:lang w:eastAsia="en-AU"/>
        </w:rPr>
        <w:t>reduce</w:t>
      </w:r>
      <w:r w:rsidR="00464933" w:rsidRPr="00DC3F0B">
        <w:rPr>
          <w:rFonts w:cs="Arial"/>
          <w:szCs w:val="21"/>
          <w:lang w:eastAsia="en-AU"/>
        </w:rPr>
        <w:t xml:space="preserve"> unnecessary</w:t>
      </w:r>
      <w:r w:rsidR="00C1152C" w:rsidRPr="00DC3F0B">
        <w:rPr>
          <w:rFonts w:cs="Arial"/>
          <w:szCs w:val="21"/>
          <w:lang w:eastAsia="en-AU"/>
        </w:rPr>
        <w:t xml:space="preserve"> duplication </w:t>
      </w:r>
      <w:r w:rsidR="00C1152C" w:rsidRPr="00DC3F0B">
        <w:rPr>
          <w:rFonts w:cs="Arial"/>
          <w:szCs w:val="21"/>
          <w:shd w:val="clear" w:color="auto" w:fill="FFFFFF"/>
          <w:lang w:eastAsia="en-AU"/>
        </w:rPr>
        <w:t>and facilitate earlier access to medicines for all Australians.</w:t>
      </w:r>
    </w:p>
    <w:p w14:paraId="2A7486BC" w14:textId="51055AA5" w:rsidR="00C1152C" w:rsidRPr="00DC3F0B" w:rsidRDefault="00271CA3" w:rsidP="00C1152C">
      <w:pPr>
        <w:pStyle w:val="ListBullet"/>
        <w:rPr>
          <w:rFonts w:cs="Arial"/>
          <w:szCs w:val="21"/>
          <w:shd w:val="clear" w:color="auto" w:fill="FFFFFF"/>
          <w:lang w:eastAsia="en-AU"/>
        </w:rPr>
      </w:pPr>
      <w:r>
        <w:rPr>
          <w:rFonts w:cs="Arial"/>
          <w:szCs w:val="21"/>
          <w:shd w:val="clear" w:color="auto" w:fill="FFFFFF"/>
          <w:lang w:eastAsia="en-AU"/>
        </w:rPr>
        <w:t>R</w:t>
      </w:r>
      <w:r w:rsidR="00C1152C" w:rsidRPr="00DC3F0B">
        <w:rPr>
          <w:rFonts w:cs="Arial"/>
          <w:szCs w:val="21"/>
          <w:shd w:val="clear" w:color="auto" w:fill="FFFFFF"/>
          <w:lang w:eastAsia="en-AU"/>
        </w:rPr>
        <w:t>egulations that ensure appropriate</w:t>
      </w:r>
      <w:r w:rsidR="009D5682" w:rsidRPr="00DC3F0B">
        <w:rPr>
          <w:rFonts w:cs="Arial"/>
          <w:szCs w:val="21"/>
          <w:shd w:val="clear" w:color="auto" w:fill="FFFFFF"/>
          <w:lang w:eastAsia="en-AU"/>
        </w:rPr>
        <w:t xml:space="preserve"> and ethical</w:t>
      </w:r>
      <w:r w:rsidR="00C1152C" w:rsidRPr="00DC3F0B">
        <w:rPr>
          <w:rFonts w:cs="Arial"/>
          <w:szCs w:val="21"/>
          <w:shd w:val="clear" w:color="auto" w:fill="FFFFFF"/>
          <w:lang w:eastAsia="en-AU"/>
        </w:rPr>
        <w:t xml:space="preserve"> practices are followed in the research, development, </w:t>
      </w:r>
      <w:r w:rsidR="009D5682" w:rsidRPr="00DC3F0B">
        <w:rPr>
          <w:rFonts w:cs="Arial"/>
          <w:szCs w:val="21"/>
          <w:shd w:val="clear" w:color="auto" w:fill="FFFFFF"/>
          <w:lang w:eastAsia="en-AU"/>
        </w:rPr>
        <w:t xml:space="preserve">evaluation, </w:t>
      </w:r>
      <w:r w:rsidR="00F5604F" w:rsidRPr="00DC3F0B">
        <w:rPr>
          <w:rFonts w:cs="Arial"/>
          <w:szCs w:val="21"/>
          <w:shd w:val="clear" w:color="auto" w:fill="FFFFFF"/>
          <w:lang w:eastAsia="en-AU"/>
        </w:rPr>
        <w:t>manufacture</w:t>
      </w:r>
      <w:r w:rsidR="00C1152C" w:rsidRPr="00DC3F0B">
        <w:rPr>
          <w:rFonts w:cs="Arial"/>
          <w:szCs w:val="21"/>
          <w:shd w:val="clear" w:color="auto" w:fill="FFFFFF"/>
          <w:lang w:eastAsia="en-AU"/>
        </w:rPr>
        <w:t>, supply</w:t>
      </w:r>
      <w:r w:rsidR="00F5604F" w:rsidRPr="00DC3F0B">
        <w:rPr>
          <w:rFonts w:cs="Arial"/>
          <w:szCs w:val="21"/>
          <w:shd w:val="clear" w:color="auto" w:fill="FFFFFF"/>
          <w:lang w:eastAsia="en-AU"/>
        </w:rPr>
        <w:t>, storage</w:t>
      </w:r>
      <w:r w:rsidR="00C1152C" w:rsidRPr="00DC3F0B">
        <w:rPr>
          <w:rFonts w:cs="Arial"/>
          <w:szCs w:val="21"/>
          <w:shd w:val="clear" w:color="auto" w:fill="FFFFFF"/>
          <w:lang w:eastAsia="en-AU"/>
        </w:rPr>
        <w:t xml:space="preserve"> and advertising of medicines.</w:t>
      </w:r>
    </w:p>
    <w:p w14:paraId="2652BC8C" w14:textId="41CA6105" w:rsidR="00F5604F" w:rsidRPr="00DC3F0B" w:rsidRDefault="00271CA3" w:rsidP="00C1152C">
      <w:pPr>
        <w:pStyle w:val="ListBullet"/>
        <w:rPr>
          <w:rFonts w:cs="Arial"/>
          <w:szCs w:val="21"/>
          <w:shd w:val="clear" w:color="auto" w:fill="FFFFFF"/>
          <w:lang w:eastAsia="en-AU"/>
        </w:rPr>
      </w:pPr>
      <w:r>
        <w:rPr>
          <w:rFonts w:cs="Arial"/>
          <w:szCs w:val="21"/>
          <w:shd w:val="clear" w:color="auto" w:fill="FFFFFF"/>
          <w:lang w:eastAsia="en-AU"/>
        </w:rPr>
        <w:t>R</w:t>
      </w:r>
      <w:r w:rsidR="0069627E" w:rsidRPr="00DC3F0B">
        <w:rPr>
          <w:rFonts w:cs="Arial"/>
          <w:szCs w:val="21"/>
          <w:shd w:val="clear" w:color="auto" w:fill="FFFFFF"/>
          <w:lang w:eastAsia="en-AU"/>
        </w:rPr>
        <w:t>egulations</w:t>
      </w:r>
      <w:r w:rsidR="00F5604F" w:rsidRPr="00DC3F0B">
        <w:rPr>
          <w:rFonts w:cs="Arial"/>
          <w:szCs w:val="21"/>
          <w:shd w:val="clear" w:color="auto" w:fill="FFFFFF"/>
          <w:lang w:eastAsia="en-AU"/>
        </w:rPr>
        <w:t xml:space="preserve"> to reduce diversion of counterfeit medicines into the Australian supply chain</w:t>
      </w:r>
      <w:r w:rsidR="0069627E" w:rsidRPr="00DC3F0B">
        <w:rPr>
          <w:rFonts w:cs="Arial"/>
          <w:szCs w:val="21"/>
          <w:shd w:val="clear" w:color="auto" w:fill="FFFFFF"/>
          <w:lang w:eastAsia="en-AU"/>
        </w:rPr>
        <w:t>.</w:t>
      </w:r>
    </w:p>
    <w:p w14:paraId="1B98658E" w14:textId="62AC0F95" w:rsidR="0069627E" w:rsidRPr="00DC3F0B" w:rsidRDefault="00271CA3" w:rsidP="00C1152C">
      <w:pPr>
        <w:pStyle w:val="ListBullet"/>
        <w:rPr>
          <w:rFonts w:cs="Arial"/>
          <w:szCs w:val="21"/>
          <w:shd w:val="clear" w:color="auto" w:fill="FFFFFF"/>
          <w:lang w:eastAsia="en-AU"/>
        </w:rPr>
      </w:pPr>
      <w:r>
        <w:rPr>
          <w:rFonts w:cs="Arial"/>
          <w:szCs w:val="21"/>
          <w:shd w:val="clear" w:color="auto" w:fill="FFFFFF"/>
          <w:lang w:eastAsia="en-AU"/>
        </w:rPr>
        <w:t>R</w:t>
      </w:r>
      <w:r w:rsidR="0069627E" w:rsidRPr="00DC3F0B">
        <w:rPr>
          <w:rFonts w:cs="Arial"/>
          <w:szCs w:val="21"/>
          <w:shd w:val="clear" w:color="auto" w:fill="FFFFFF"/>
          <w:lang w:eastAsia="en-AU"/>
        </w:rPr>
        <w:t>egulations and communication to reduce the risks associated with unregulated herbal/supplemental medicinal products.</w:t>
      </w:r>
    </w:p>
    <w:p w14:paraId="5361B5EF" w14:textId="64AEEF47" w:rsidR="00C1152C" w:rsidRPr="00DC3F0B" w:rsidRDefault="00271CA3" w:rsidP="00C1152C">
      <w:pPr>
        <w:pStyle w:val="ListBullet"/>
        <w:rPr>
          <w:rFonts w:eastAsia="Arial" w:cs="Arial"/>
          <w:szCs w:val="21"/>
          <w:shd w:val="clear" w:color="auto" w:fill="FFFFFF"/>
          <w:lang w:eastAsia="en-AU"/>
        </w:rPr>
      </w:pPr>
      <w:r>
        <w:rPr>
          <w:rFonts w:cs="Arial"/>
          <w:szCs w:val="21"/>
          <w:shd w:val="clear" w:color="auto" w:fill="FFFFFF"/>
          <w:lang w:eastAsia="en-AU"/>
        </w:rPr>
        <w:t>C</w:t>
      </w:r>
      <w:r w:rsidR="00C1152C" w:rsidRPr="00DC3F0B">
        <w:rPr>
          <w:rFonts w:cs="Arial"/>
          <w:szCs w:val="21"/>
          <w:shd w:val="clear" w:color="auto" w:fill="FFFFFF"/>
          <w:lang w:eastAsia="en-AU"/>
        </w:rPr>
        <w:t xml:space="preserve">lear and transparent processes </w:t>
      </w:r>
      <w:r w:rsidR="00C1152C" w:rsidRPr="00DC3F0B" w:rsidDel="00A21E4C">
        <w:rPr>
          <w:rFonts w:cs="Arial"/>
          <w:szCs w:val="21"/>
          <w:shd w:val="clear" w:color="auto" w:fill="FFFFFF"/>
          <w:lang w:eastAsia="en-AU"/>
        </w:rPr>
        <w:t>for</w:t>
      </w:r>
      <w:r w:rsidR="00C1152C" w:rsidRPr="00DC3F0B">
        <w:rPr>
          <w:rFonts w:cs="Arial"/>
          <w:szCs w:val="21"/>
          <w:shd w:val="clear" w:color="auto" w:fill="FFFFFF"/>
          <w:lang w:eastAsia="en-AU"/>
        </w:rPr>
        <w:t xml:space="preserve"> responding to regulatory problems or breaches </w:t>
      </w:r>
      <w:r w:rsidR="00C1152C" w:rsidRPr="00DC3F0B" w:rsidDel="00A21E4C">
        <w:rPr>
          <w:rFonts w:cs="Arial"/>
          <w:szCs w:val="21"/>
          <w:shd w:val="clear" w:color="auto" w:fill="FFFFFF"/>
          <w:lang w:eastAsia="en-AU"/>
        </w:rPr>
        <w:t>quickly and proportionate</w:t>
      </w:r>
      <w:r w:rsidR="00C1152C" w:rsidRPr="00DC3F0B">
        <w:rPr>
          <w:rFonts w:cs="Arial"/>
          <w:szCs w:val="21"/>
          <w:shd w:val="clear" w:color="auto" w:fill="FFFFFF"/>
          <w:lang w:eastAsia="en-AU"/>
        </w:rPr>
        <w:t xml:space="preserve">ly, </w:t>
      </w:r>
      <w:r w:rsidR="00C1152C" w:rsidRPr="00DC3F0B">
        <w:rPr>
          <w:rFonts w:cs="Arial"/>
          <w:szCs w:val="21"/>
          <w:lang w:eastAsia="en-AU"/>
        </w:rPr>
        <w:t>including communicating the outcomes to all partners and affected individuals.</w:t>
      </w:r>
    </w:p>
    <w:p w14:paraId="668D7148" w14:textId="7441A5EF" w:rsidR="00C1152C" w:rsidRPr="00DC3F0B" w:rsidRDefault="00271CA3" w:rsidP="00C1152C">
      <w:pPr>
        <w:pStyle w:val="ListBullet"/>
        <w:rPr>
          <w:rFonts w:cs="Arial"/>
          <w:szCs w:val="21"/>
          <w:shd w:val="clear" w:color="auto" w:fill="FFFFFF"/>
          <w:lang w:eastAsia="en-AU"/>
        </w:rPr>
      </w:pPr>
      <w:r>
        <w:rPr>
          <w:rFonts w:cs="Arial"/>
          <w:szCs w:val="21"/>
          <w:shd w:val="clear" w:color="auto" w:fill="FFFFFF"/>
          <w:lang w:eastAsia="en-AU"/>
        </w:rPr>
        <w:t>E</w:t>
      </w:r>
      <w:r w:rsidR="009D5682" w:rsidRPr="00DC3F0B">
        <w:rPr>
          <w:rFonts w:cs="Arial"/>
          <w:szCs w:val="21"/>
          <w:shd w:val="clear" w:color="auto" w:fill="FFFFFF"/>
          <w:lang w:eastAsia="en-AU"/>
        </w:rPr>
        <w:t xml:space="preserve">nsuring </w:t>
      </w:r>
      <w:r w:rsidR="00C1152C" w:rsidRPr="00DC3F0B">
        <w:rPr>
          <w:rFonts w:cs="Arial"/>
          <w:szCs w:val="21"/>
          <w:shd w:val="clear" w:color="auto" w:fill="FFFFFF"/>
          <w:lang w:eastAsia="en-AU"/>
        </w:rPr>
        <w:t>evidence-based, accurate and easily understood medicines</w:t>
      </w:r>
      <w:r w:rsidR="00E75BE3" w:rsidRPr="00DC3F0B">
        <w:rPr>
          <w:rFonts w:cs="Arial"/>
          <w:szCs w:val="21"/>
          <w:shd w:val="clear" w:color="auto" w:fill="FFFFFF"/>
          <w:lang w:eastAsia="en-AU"/>
        </w:rPr>
        <w:t>-related</w:t>
      </w:r>
      <w:r w:rsidR="00C1152C" w:rsidRPr="00DC3F0B">
        <w:rPr>
          <w:rFonts w:cs="Arial"/>
          <w:szCs w:val="21"/>
          <w:shd w:val="clear" w:color="auto" w:fill="FFFFFF"/>
          <w:lang w:eastAsia="en-AU"/>
        </w:rPr>
        <w:t xml:space="preserve"> information</w:t>
      </w:r>
      <w:r w:rsidR="009D5682" w:rsidRPr="00DC3F0B">
        <w:rPr>
          <w:rFonts w:cs="Arial"/>
          <w:szCs w:val="21"/>
          <w:shd w:val="clear" w:color="auto" w:fill="FFFFFF"/>
          <w:lang w:eastAsia="en-AU"/>
        </w:rPr>
        <w:t xml:space="preserve"> is available</w:t>
      </w:r>
      <w:r w:rsidR="00C1152C" w:rsidRPr="00DC3F0B">
        <w:rPr>
          <w:rFonts w:cs="Arial"/>
          <w:szCs w:val="21"/>
          <w:shd w:val="clear" w:color="auto" w:fill="FFFFFF"/>
          <w:lang w:eastAsia="en-AU"/>
        </w:rPr>
        <w:t xml:space="preserve"> </w:t>
      </w:r>
      <w:r w:rsidR="009D5682" w:rsidRPr="00DC3F0B">
        <w:rPr>
          <w:rFonts w:cs="Arial"/>
          <w:szCs w:val="21"/>
          <w:shd w:val="clear" w:color="auto" w:fill="FFFFFF"/>
          <w:lang w:eastAsia="en-AU"/>
        </w:rPr>
        <w:t xml:space="preserve">to </w:t>
      </w:r>
      <w:r w:rsidR="00C1152C" w:rsidRPr="00DC3F0B">
        <w:rPr>
          <w:rFonts w:cs="Arial"/>
          <w:szCs w:val="21"/>
          <w:shd w:val="clear" w:color="auto" w:fill="FFFFFF"/>
          <w:lang w:eastAsia="en-AU"/>
        </w:rPr>
        <w:t>all</w:t>
      </w:r>
      <w:r w:rsidR="0069627E" w:rsidRPr="00DC3F0B">
        <w:rPr>
          <w:rFonts w:cs="Arial"/>
          <w:szCs w:val="21"/>
          <w:shd w:val="clear" w:color="auto" w:fill="FFFFFF"/>
          <w:lang w:eastAsia="en-AU"/>
        </w:rPr>
        <w:t xml:space="preserve"> individuals, families and carers</w:t>
      </w:r>
      <w:r w:rsidR="009D5682" w:rsidRPr="00DC3F0B">
        <w:rPr>
          <w:rFonts w:cs="Arial"/>
          <w:szCs w:val="21"/>
          <w:shd w:val="clear" w:color="auto" w:fill="FFFFFF"/>
          <w:lang w:eastAsia="en-AU"/>
        </w:rPr>
        <w:t xml:space="preserve"> and health professionals</w:t>
      </w:r>
      <w:r w:rsidR="00C1152C" w:rsidRPr="00DC3F0B">
        <w:rPr>
          <w:rFonts w:cs="Arial"/>
          <w:szCs w:val="21"/>
          <w:shd w:val="clear" w:color="auto" w:fill="FFFFFF"/>
          <w:lang w:eastAsia="en-AU"/>
        </w:rPr>
        <w:t>.</w:t>
      </w:r>
    </w:p>
    <w:p w14:paraId="5B3FC0BB" w14:textId="133FA2E6" w:rsidR="00C1152C" w:rsidRPr="00E77C38" w:rsidRDefault="00271CA3" w:rsidP="00C1152C">
      <w:pPr>
        <w:pStyle w:val="ListBullet"/>
        <w:rPr>
          <w:rFonts w:eastAsia="Arial" w:cs="Arial"/>
          <w:szCs w:val="21"/>
        </w:rPr>
      </w:pPr>
      <w:r>
        <w:rPr>
          <w:rFonts w:eastAsia="Arial" w:cs="Arial"/>
          <w:szCs w:val="21"/>
        </w:rPr>
        <w:t>D</w:t>
      </w:r>
      <w:r w:rsidR="009D5682" w:rsidRPr="00E77C38">
        <w:rPr>
          <w:rFonts w:eastAsia="Arial" w:cs="Arial"/>
          <w:szCs w:val="21"/>
        </w:rPr>
        <w:t xml:space="preserve">eveloping </w:t>
      </w:r>
      <w:r w:rsidR="00C1152C" w:rsidRPr="00E77C38">
        <w:rPr>
          <w:rFonts w:eastAsia="Arial" w:cs="Arial"/>
          <w:szCs w:val="21"/>
        </w:rPr>
        <w:t xml:space="preserve">and </w:t>
      </w:r>
      <w:r w:rsidR="009D5682" w:rsidRPr="00E77C38">
        <w:rPr>
          <w:rFonts w:eastAsia="Arial" w:cs="Arial"/>
          <w:szCs w:val="21"/>
        </w:rPr>
        <w:t xml:space="preserve">implementing </w:t>
      </w:r>
      <w:r w:rsidR="00C1152C" w:rsidRPr="00E77C38">
        <w:rPr>
          <w:rFonts w:eastAsia="Arial" w:cs="Arial"/>
          <w:szCs w:val="21"/>
        </w:rPr>
        <w:t xml:space="preserve">flexible and adaptable processes, where appropriate, to respond to high unmet clinical need, </w:t>
      </w:r>
      <w:r w:rsidR="0069627E" w:rsidRPr="00E77C38">
        <w:rPr>
          <w:rFonts w:eastAsia="Arial" w:cs="Arial"/>
          <w:szCs w:val="21"/>
        </w:rPr>
        <w:t xml:space="preserve">medicines </w:t>
      </w:r>
      <w:r w:rsidR="00D06CE9" w:rsidRPr="00E77C38">
        <w:rPr>
          <w:rFonts w:eastAsia="Arial" w:cs="Arial"/>
          <w:szCs w:val="21"/>
        </w:rPr>
        <w:t xml:space="preserve">supply challenges, </w:t>
      </w:r>
      <w:r w:rsidR="00C1152C" w:rsidRPr="00E77C38">
        <w:rPr>
          <w:rFonts w:eastAsia="Arial" w:cs="Arial"/>
          <w:szCs w:val="21"/>
        </w:rPr>
        <w:t xml:space="preserve">public health </w:t>
      </w:r>
      <w:r w:rsidR="00C1152C" w:rsidRPr="00E77C38">
        <w:rPr>
          <w:rFonts w:eastAsia="Arial" w:cs="Arial"/>
          <w:color w:val="auto"/>
          <w:szCs w:val="21"/>
        </w:rPr>
        <w:t>emergencies and natural disasters</w:t>
      </w:r>
      <w:r w:rsidR="00C1152C" w:rsidRPr="00E77C38">
        <w:rPr>
          <w:rFonts w:eastAsia="Arial" w:cs="Arial"/>
          <w:szCs w:val="21"/>
        </w:rPr>
        <w:t>.</w:t>
      </w:r>
    </w:p>
    <w:p w14:paraId="37D19D27" w14:textId="16428C7A" w:rsidR="00C1152C" w:rsidRPr="00AA1F16" w:rsidRDefault="00271CA3" w:rsidP="00C1152C">
      <w:pPr>
        <w:pStyle w:val="ListBullet"/>
        <w:rPr>
          <w:rFonts w:cs="Arial"/>
          <w:szCs w:val="21"/>
          <w:shd w:val="clear" w:color="auto" w:fill="FFFFFF"/>
          <w:lang w:eastAsia="en-AU"/>
        </w:rPr>
      </w:pPr>
      <w:r>
        <w:rPr>
          <w:rFonts w:cs="Arial"/>
          <w:szCs w:val="21"/>
          <w:shd w:val="clear" w:color="auto" w:fill="FFFFFF"/>
          <w:lang w:eastAsia="en-AU"/>
        </w:rPr>
        <w:t>B</w:t>
      </w:r>
      <w:r w:rsidR="009D5682" w:rsidRPr="00DC3F0B">
        <w:rPr>
          <w:rFonts w:cs="Arial"/>
          <w:szCs w:val="21"/>
          <w:shd w:val="clear" w:color="auto" w:fill="FFFFFF"/>
          <w:lang w:eastAsia="en-AU"/>
        </w:rPr>
        <w:t>uilding</w:t>
      </w:r>
      <w:r w:rsidR="00C1152C" w:rsidRPr="00DC3F0B">
        <w:rPr>
          <w:rFonts w:cs="Arial"/>
          <w:szCs w:val="21"/>
          <w:shd w:val="clear" w:color="auto" w:fill="FFFFFF"/>
          <w:lang w:eastAsia="en-AU"/>
        </w:rPr>
        <w:t xml:space="preserve"> positive</w:t>
      </w:r>
      <w:r w:rsidR="009B41F3" w:rsidRPr="00DC3F0B">
        <w:rPr>
          <w:rFonts w:cs="Arial"/>
          <w:szCs w:val="21"/>
          <w:shd w:val="clear" w:color="auto" w:fill="FFFFFF"/>
          <w:lang w:eastAsia="en-AU"/>
        </w:rPr>
        <w:t xml:space="preserve">, </w:t>
      </w:r>
      <w:r w:rsidR="00C1152C" w:rsidRPr="00DC3F0B">
        <w:rPr>
          <w:rFonts w:cs="Arial"/>
          <w:szCs w:val="21"/>
          <w:shd w:val="clear" w:color="auto" w:fill="FFFFFF"/>
          <w:lang w:eastAsia="en-AU"/>
        </w:rPr>
        <w:t>cooperative</w:t>
      </w:r>
      <w:r w:rsidR="009B41F3" w:rsidRPr="00DC3F0B">
        <w:rPr>
          <w:rFonts w:cs="Arial"/>
          <w:szCs w:val="21"/>
          <w:shd w:val="clear" w:color="auto" w:fill="FFFFFF"/>
          <w:lang w:eastAsia="en-AU"/>
        </w:rPr>
        <w:t xml:space="preserve"> and collaborative</w:t>
      </w:r>
      <w:r w:rsidR="00C1152C" w:rsidRPr="00DC3F0B">
        <w:rPr>
          <w:rFonts w:cs="Arial"/>
          <w:szCs w:val="21"/>
          <w:shd w:val="clear" w:color="auto" w:fill="FFFFFF"/>
          <w:lang w:eastAsia="en-AU"/>
        </w:rPr>
        <w:t xml:space="preserve"> relationship</w:t>
      </w:r>
      <w:r w:rsidR="009B41F3" w:rsidRPr="00DC3F0B">
        <w:rPr>
          <w:rFonts w:cs="Arial"/>
          <w:szCs w:val="21"/>
          <w:shd w:val="clear" w:color="auto" w:fill="FFFFFF"/>
          <w:lang w:eastAsia="en-AU"/>
        </w:rPr>
        <w:t>s</w:t>
      </w:r>
      <w:r w:rsidR="00C1152C" w:rsidRPr="00DC3F0B">
        <w:rPr>
          <w:rFonts w:cs="Arial"/>
          <w:szCs w:val="21"/>
          <w:shd w:val="clear" w:color="auto" w:fill="FFFFFF"/>
          <w:lang w:eastAsia="en-AU"/>
        </w:rPr>
        <w:t xml:space="preserve"> between regulators and the medicines industry</w:t>
      </w:r>
      <w:r w:rsidR="005618D4" w:rsidRPr="00DC3F0B">
        <w:rPr>
          <w:rFonts w:cs="Arial"/>
          <w:szCs w:val="21"/>
          <w:shd w:val="clear" w:color="auto" w:fill="FFFFFF"/>
          <w:lang w:eastAsia="en-AU"/>
        </w:rPr>
        <w:t>,</w:t>
      </w:r>
      <w:r w:rsidR="00C1152C" w:rsidRPr="00DC3F0B">
        <w:rPr>
          <w:rFonts w:cs="Arial"/>
          <w:szCs w:val="21"/>
          <w:shd w:val="clear" w:color="auto" w:fill="FFFFFF"/>
          <w:lang w:eastAsia="en-AU"/>
        </w:rPr>
        <w:t xml:space="preserve"> research sector,</w:t>
      </w:r>
      <w:r w:rsidR="005618D4" w:rsidRPr="00DC3F0B">
        <w:rPr>
          <w:rFonts w:cs="Arial"/>
          <w:szCs w:val="21"/>
          <w:shd w:val="clear" w:color="auto" w:fill="FFFFFF"/>
          <w:lang w:eastAsia="en-AU"/>
        </w:rPr>
        <w:t xml:space="preserve"> </w:t>
      </w:r>
      <w:r w:rsidR="0069627E" w:rsidRPr="00DC3F0B">
        <w:rPr>
          <w:rFonts w:cs="Arial"/>
          <w:szCs w:val="21"/>
          <w:shd w:val="clear" w:color="auto" w:fill="FFFFFF"/>
          <w:lang w:eastAsia="en-AU"/>
        </w:rPr>
        <w:t>individuals, families and carers</w:t>
      </w:r>
      <w:r w:rsidR="00C3351B">
        <w:rPr>
          <w:rFonts w:cs="Arial"/>
          <w:szCs w:val="21"/>
          <w:shd w:val="clear" w:color="auto" w:fill="FFFFFF"/>
          <w:lang w:eastAsia="en-AU"/>
        </w:rPr>
        <w:t>,</w:t>
      </w:r>
      <w:r w:rsidR="005618D4" w:rsidRPr="00DC3F0B">
        <w:rPr>
          <w:rFonts w:cs="Arial"/>
          <w:szCs w:val="21"/>
          <w:shd w:val="clear" w:color="auto" w:fill="FFFFFF"/>
          <w:lang w:eastAsia="en-AU"/>
        </w:rPr>
        <w:t xml:space="preserve"> and health professionals,</w:t>
      </w:r>
      <w:r w:rsidR="00C1152C" w:rsidRPr="00DC3F0B">
        <w:rPr>
          <w:rFonts w:cs="Arial"/>
          <w:szCs w:val="21"/>
          <w:shd w:val="clear" w:color="auto" w:fill="FFFFFF"/>
          <w:lang w:eastAsia="en-AU"/>
        </w:rPr>
        <w:t xml:space="preserve"> using effective models for co-regulation where appropriate.</w:t>
      </w:r>
      <w:r w:rsidR="00F76D95" w:rsidRPr="00DC3F0B">
        <w:rPr>
          <w:rFonts w:cs="Arial"/>
          <w:szCs w:val="21"/>
          <w:shd w:val="clear" w:color="auto" w:fill="FFFFFF"/>
          <w:lang w:eastAsia="en-AU"/>
        </w:rPr>
        <w:t xml:space="preserve"> This includes</w:t>
      </w:r>
      <w:r w:rsidR="005B12EF" w:rsidRPr="00DC3F0B">
        <w:rPr>
          <w:rFonts w:cs="Arial"/>
          <w:szCs w:val="21"/>
          <w:shd w:val="clear" w:color="auto" w:fill="FFFFFF"/>
          <w:lang w:eastAsia="en-AU"/>
        </w:rPr>
        <w:t xml:space="preserve"> </w:t>
      </w:r>
      <w:r w:rsidR="00F76D95" w:rsidRPr="00DC3F0B">
        <w:rPr>
          <w:rFonts w:cs="Arial"/>
          <w:szCs w:val="21"/>
          <w:shd w:val="clear" w:color="auto" w:fill="FFFFFF"/>
          <w:lang w:eastAsia="en-AU"/>
        </w:rPr>
        <w:t xml:space="preserve">Commonwealth and state and territory arrangements to protect </w:t>
      </w:r>
      <w:r w:rsidR="00E75BE3" w:rsidRPr="00DC3F0B">
        <w:rPr>
          <w:rFonts w:cs="Arial"/>
          <w:szCs w:val="21"/>
          <w:shd w:val="clear" w:color="auto" w:fill="FFFFFF"/>
          <w:lang w:eastAsia="en-AU"/>
        </w:rPr>
        <w:t>the Australian public</w:t>
      </w:r>
      <w:r w:rsidR="00F76D95" w:rsidRPr="00DC3F0B">
        <w:rPr>
          <w:rFonts w:cs="Arial"/>
          <w:szCs w:val="21"/>
          <w:shd w:val="clear" w:color="auto" w:fill="FFFFFF"/>
          <w:lang w:eastAsia="en-AU"/>
        </w:rPr>
        <w:t xml:space="preserve"> </w:t>
      </w:r>
      <w:r w:rsidR="00F76D95" w:rsidRPr="00D8062C">
        <w:rPr>
          <w:rFonts w:cs="Arial"/>
          <w:szCs w:val="21"/>
          <w:shd w:val="clear" w:color="auto" w:fill="FFFFFF"/>
          <w:lang w:eastAsia="en-AU"/>
        </w:rPr>
        <w:t>from false or misleading advertising of products and services.</w:t>
      </w:r>
    </w:p>
    <w:p w14:paraId="7F86A520" w14:textId="77777777" w:rsidR="00C1152C" w:rsidRPr="00D8062C" w:rsidRDefault="00C1152C" w:rsidP="00C1152C">
      <w:pPr>
        <w:rPr>
          <w:rFonts w:cs="Arial"/>
          <w:bCs/>
          <w:color w:val="3F4A75"/>
          <w:kern w:val="28"/>
          <w:sz w:val="36"/>
          <w:szCs w:val="36"/>
        </w:rPr>
      </w:pPr>
      <w:r w:rsidRPr="00D8062C">
        <w:rPr>
          <w:rFonts w:cs="Arial"/>
        </w:rPr>
        <w:br w:type="page"/>
      </w:r>
    </w:p>
    <w:p w14:paraId="6B79B329" w14:textId="77777777" w:rsidR="00C1152C" w:rsidRPr="00AA1F16" w:rsidRDefault="00C1152C" w:rsidP="00C1152C">
      <w:pPr>
        <w:pStyle w:val="Heading1"/>
      </w:pPr>
      <w:r w:rsidRPr="00AA1F16">
        <w:lastRenderedPageBreak/>
        <w:t>Pillar 3</w:t>
      </w:r>
      <w:r w:rsidRPr="00D8062C">
        <w:t>: Quality use of medicines and medicines safety</w:t>
      </w:r>
    </w:p>
    <w:p w14:paraId="36DB1385" w14:textId="77777777" w:rsidR="00C1152C" w:rsidRPr="00701CAB" w:rsidRDefault="00C1152C" w:rsidP="00C1152C">
      <w:pPr>
        <w:pStyle w:val="PolicyStatement"/>
        <w:rPr>
          <w:rFonts w:cs="Arial"/>
          <w:b/>
          <w:bCs/>
          <w:szCs w:val="21"/>
        </w:rPr>
      </w:pPr>
      <w:r w:rsidRPr="00AA1F16">
        <w:rPr>
          <w:rFonts w:cs="Arial"/>
          <w:b/>
          <w:bCs/>
          <w:szCs w:val="21"/>
        </w:rPr>
        <w:t>Intended outcomes</w:t>
      </w:r>
      <w:r w:rsidRPr="00165D10">
        <w:rPr>
          <w:rFonts w:cs="Arial"/>
          <w:b/>
          <w:bCs/>
          <w:szCs w:val="21"/>
        </w:rPr>
        <w:t>:</w:t>
      </w:r>
    </w:p>
    <w:p w14:paraId="0D88B740" w14:textId="4FC5182F" w:rsidR="00C1152C" w:rsidRPr="00DC3F0B" w:rsidRDefault="00C1152C" w:rsidP="00C1152C">
      <w:pPr>
        <w:pStyle w:val="PolicyStatement"/>
        <w:numPr>
          <w:ilvl w:val="0"/>
          <w:numId w:val="10"/>
        </w:numPr>
        <w:rPr>
          <w:rFonts w:cs="Arial"/>
          <w:b/>
          <w:bCs/>
          <w:szCs w:val="21"/>
        </w:rPr>
      </w:pPr>
      <w:r w:rsidRPr="00AC2E07">
        <w:rPr>
          <w:rFonts w:cs="Arial"/>
          <w:b/>
          <w:bCs/>
          <w:szCs w:val="21"/>
        </w:rPr>
        <w:t xml:space="preserve">Individuals, </w:t>
      </w:r>
      <w:r w:rsidR="00F76D95" w:rsidRPr="00FE618A">
        <w:rPr>
          <w:rFonts w:cs="Arial"/>
          <w:b/>
          <w:bCs/>
          <w:szCs w:val="21"/>
        </w:rPr>
        <w:t xml:space="preserve">their </w:t>
      </w:r>
      <w:r w:rsidR="00E75BE3" w:rsidRPr="00EB54A2">
        <w:rPr>
          <w:rFonts w:cs="Arial"/>
          <w:b/>
          <w:bCs/>
          <w:szCs w:val="21"/>
        </w:rPr>
        <w:t xml:space="preserve">families and/or </w:t>
      </w:r>
      <w:r w:rsidR="00F76D95" w:rsidRPr="00EB54A2">
        <w:rPr>
          <w:rFonts w:cs="Arial"/>
          <w:b/>
          <w:bCs/>
          <w:szCs w:val="21"/>
        </w:rPr>
        <w:t xml:space="preserve">carers </w:t>
      </w:r>
      <w:r w:rsidRPr="00DC3F0B">
        <w:rPr>
          <w:rFonts w:cs="Arial"/>
          <w:b/>
          <w:bCs/>
          <w:szCs w:val="21"/>
        </w:rPr>
        <w:t xml:space="preserve">are empowered to actively participate in shared decision-making in relation to the safe </w:t>
      </w:r>
      <w:r w:rsidR="00E75BE3" w:rsidRPr="00DC3F0B">
        <w:rPr>
          <w:rFonts w:cs="Arial"/>
          <w:b/>
          <w:bCs/>
          <w:szCs w:val="21"/>
        </w:rPr>
        <w:t xml:space="preserve">and quality </w:t>
      </w:r>
      <w:r w:rsidRPr="00DC3F0B">
        <w:rPr>
          <w:rFonts w:cs="Arial"/>
          <w:b/>
          <w:bCs/>
          <w:szCs w:val="21"/>
        </w:rPr>
        <w:t xml:space="preserve">use of medicines and medicines-related services in the prevention, management and treatment of </w:t>
      </w:r>
      <w:r w:rsidR="00BA2A63" w:rsidRPr="00DC3F0B">
        <w:rPr>
          <w:rFonts w:cs="Arial"/>
          <w:b/>
          <w:bCs/>
          <w:szCs w:val="21"/>
        </w:rPr>
        <w:t xml:space="preserve">a </w:t>
      </w:r>
      <w:r w:rsidR="00F76D95" w:rsidRPr="00DC3F0B">
        <w:rPr>
          <w:rFonts w:cs="Arial"/>
          <w:b/>
          <w:bCs/>
          <w:szCs w:val="21"/>
        </w:rPr>
        <w:t>specific</w:t>
      </w:r>
      <w:r w:rsidR="00BA2A63" w:rsidRPr="00DC3F0B">
        <w:rPr>
          <w:rFonts w:cs="Arial"/>
          <w:b/>
          <w:bCs/>
          <w:szCs w:val="21"/>
        </w:rPr>
        <w:t xml:space="preserve"> </w:t>
      </w:r>
      <w:r w:rsidRPr="00DC3F0B">
        <w:rPr>
          <w:rFonts w:cs="Arial"/>
          <w:b/>
          <w:bCs/>
          <w:szCs w:val="21"/>
        </w:rPr>
        <w:t>health</w:t>
      </w:r>
      <w:r w:rsidR="00BA2A63" w:rsidRPr="00DC3F0B">
        <w:rPr>
          <w:rFonts w:cs="Arial"/>
          <w:b/>
          <w:bCs/>
          <w:szCs w:val="21"/>
        </w:rPr>
        <w:t xml:space="preserve"> condition</w:t>
      </w:r>
      <w:r w:rsidR="00F76D95" w:rsidRPr="00DC3F0B">
        <w:rPr>
          <w:rFonts w:cs="Arial"/>
          <w:b/>
          <w:bCs/>
          <w:szCs w:val="21"/>
        </w:rPr>
        <w:t xml:space="preserve"> or indication and for the maintenance of good health</w:t>
      </w:r>
      <w:r w:rsidRPr="00DC3F0B">
        <w:rPr>
          <w:rFonts w:cs="Arial"/>
          <w:b/>
          <w:bCs/>
          <w:szCs w:val="21"/>
        </w:rPr>
        <w:t>.</w:t>
      </w:r>
    </w:p>
    <w:p w14:paraId="50EAD53C" w14:textId="573DA1B5" w:rsidR="00C1152C" w:rsidRPr="00DC3F0B" w:rsidRDefault="00C1152C" w:rsidP="00C1152C">
      <w:pPr>
        <w:pStyle w:val="PolicyStatement"/>
        <w:numPr>
          <w:ilvl w:val="0"/>
          <w:numId w:val="10"/>
        </w:numPr>
        <w:rPr>
          <w:rFonts w:cs="Arial"/>
          <w:b/>
          <w:bCs/>
          <w:szCs w:val="21"/>
        </w:rPr>
      </w:pPr>
      <w:r w:rsidRPr="00DC3F0B">
        <w:rPr>
          <w:rFonts w:cs="Arial"/>
          <w:b/>
          <w:bCs/>
          <w:szCs w:val="21"/>
          <w:lang w:eastAsia="en-AU"/>
        </w:rPr>
        <w:t xml:space="preserve">Adopting a person-centred approach, health professionals commit to, </w:t>
      </w:r>
      <w:r w:rsidRPr="00DC3F0B">
        <w:rPr>
          <w:rFonts w:cs="Arial"/>
          <w:b/>
          <w:bCs/>
          <w:szCs w:val="21"/>
        </w:rPr>
        <w:t>are trained and proactively supported</w:t>
      </w:r>
      <w:r w:rsidRPr="00DC3F0B">
        <w:rPr>
          <w:rFonts w:cs="Arial"/>
          <w:b/>
          <w:bCs/>
          <w:szCs w:val="21"/>
          <w:lang w:eastAsia="en-AU"/>
        </w:rPr>
        <w:t xml:space="preserve"> to implement programs and initiatives to achieve the </w:t>
      </w:r>
      <w:r w:rsidR="00E75BE3" w:rsidRPr="00DC3F0B">
        <w:rPr>
          <w:rFonts w:cs="Arial"/>
          <w:b/>
          <w:bCs/>
          <w:szCs w:val="21"/>
          <w:lang w:eastAsia="en-AU"/>
        </w:rPr>
        <w:t xml:space="preserve">safe and </w:t>
      </w:r>
      <w:r w:rsidRPr="00DC3F0B">
        <w:rPr>
          <w:rFonts w:cs="Arial"/>
          <w:b/>
          <w:bCs/>
          <w:szCs w:val="21"/>
          <w:lang w:eastAsia="en-AU"/>
        </w:rPr>
        <w:t>quality use of medicines.</w:t>
      </w:r>
    </w:p>
    <w:p w14:paraId="0DE8C379" w14:textId="6252884F" w:rsidR="00BA2A63" w:rsidRPr="00DC3F0B" w:rsidRDefault="00BA2A63" w:rsidP="00C1152C">
      <w:pPr>
        <w:pStyle w:val="ListNumber2"/>
        <w:numPr>
          <w:ilvl w:val="0"/>
          <w:numId w:val="0"/>
        </w:numPr>
        <w:rPr>
          <w:rFonts w:cs="Arial"/>
        </w:rPr>
      </w:pPr>
    </w:p>
    <w:p w14:paraId="0A0A8450" w14:textId="1BA78BE0" w:rsidR="00F76D95" w:rsidRPr="00DC3F0B" w:rsidRDefault="00530243" w:rsidP="00F76D95">
      <w:pPr>
        <w:pStyle w:val="ListNumber2"/>
        <w:numPr>
          <w:ilvl w:val="0"/>
          <w:numId w:val="0"/>
        </w:numPr>
        <w:rPr>
          <w:rFonts w:cs="Arial"/>
          <w:szCs w:val="21"/>
        </w:rPr>
      </w:pPr>
      <w:r w:rsidRPr="00DC3F0B">
        <w:rPr>
          <w:rFonts w:cs="Arial"/>
          <w:szCs w:val="21"/>
        </w:rPr>
        <w:t>The Australian Commission on Safety and Quality in Health Care (ACSQHC) leads and coordinates national improvements in the safety and quality of health care to improve value and sustainability in the health system.</w:t>
      </w:r>
      <w:r w:rsidR="00F76D95" w:rsidRPr="00DC3F0B">
        <w:rPr>
          <w:rFonts w:cs="Arial"/>
          <w:szCs w:val="21"/>
        </w:rPr>
        <w:t xml:space="preserve"> </w:t>
      </w:r>
      <w:r w:rsidR="0046438C" w:rsidRPr="00DC3F0B">
        <w:rPr>
          <w:rFonts w:cs="Arial"/>
          <w:szCs w:val="21"/>
        </w:rPr>
        <w:t xml:space="preserve">ACSQHC complements the regulatory role of the TGA to achieve better health outcomes and experiences for all </w:t>
      </w:r>
      <w:bookmarkStart w:id="6" w:name="_Hlk117259907"/>
      <w:r w:rsidR="0046438C" w:rsidRPr="00DC3F0B">
        <w:rPr>
          <w:rFonts w:cs="Arial"/>
          <w:szCs w:val="21"/>
        </w:rPr>
        <w:t>individuals, their carers and/or families</w:t>
      </w:r>
      <w:bookmarkEnd w:id="6"/>
      <w:r w:rsidR="0046438C" w:rsidRPr="00DC3F0B">
        <w:rPr>
          <w:rFonts w:cs="Arial"/>
          <w:szCs w:val="21"/>
        </w:rPr>
        <w:t xml:space="preserve">. </w:t>
      </w:r>
      <w:r w:rsidR="00F76D95" w:rsidRPr="00DC3F0B">
        <w:rPr>
          <w:rFonts w:cs="Arial"/>
          <w:szCs w:val="21"/>
        </w:rPr>
        <w:t xml:space="preserve">This includes initiatives to reduce medication errors and harm from medicines to improve the safe and quality use of medicines in Australia. </w:t>
      </w:r>
    </w:p>
    <w:p w14:paraId="303F4235" w14:textId="4CEA2939" w:rsidR="00C1152C" w:rsidRPr="00DC3F0B" w:rsidRDefault="00C1152C" w:rsidP="00DC3F0B">
      <w:pPr>
        <w:pStyle w:val="ListNumber2"/>
        <w:numPr>
          <w:ilvl w:val="0"/>
          <w:numId w:val="0"/>
        </w:numPr>
        <w:rPr>
          <w:rFonts w:cs="Arial"/>
          <w:szCs w:val="21"/>
        </w:rPr>
      </w:pPr>
      <w:r w:rsidRPr="00DC3F0B">
        <w:rPr>
          <w:rFonts w:cs="Arial"/>
          <w:szCs w:val="21"/>
        </w:rPr>
        <w:t>The quality use of medicines and medicines safety is</w:t>
      </w:r>
      <w:r w:rsidR="00450293" w:rsidRPr="00DC3F0B">
        <w:rPr>
          <w:rFonts w:cs="Arial"/>
          <w:szCs w:val="21"/>
        </w:rPr>
        <w:t xml:space="preserve"> integral to the NMP and is</w:t>
      </w:r>
      <w:r w:rsidRPr="00DC3F0B">
        <w:rPr>
          <w:rFonts w:cs="Arial"/>
          <w:szCs w:val="21"/>
        </w:rPr>
        <w:t xml:space="preserve"> a National Health Priority.</w:t>
      </w:r>
      <w:r w:rsidR="00530243" w:rsidRPr="00DC3F0B">
        <w:rPr>
          <w:rFonts w:cs="Arial"/>
          <w:szCs w:val="21"/>
        </w:rPr>
        <w:t xml:space="preserve"> This includes</w:t>
      </w:r>
      <w:r w:rsidRPr="00DC3F0B">
        <w:rPr>
          <w:rFonts w:cs="Arial"/>
          <w:szCs w:val="21"/>
        </w:rPr>
        <w:t>:</w:t>
      </w:r>
    </w:p>
    <w:p w14:paraId="05DBB6EF" w14:textId="25DE6A63" w:rsidR="00C1152C" w:rsidRPr="00DC3F0B" w:rsidRDefault="00C1152C" w:rsidP="00C1152C">
      <w:pPr>
        <w:pStyle w:val="ListNumber2"/>
        <w:ind w:left="426"/>
        <w:rPr>
          <w:rFonts w:cs="Arial"/>
          <w:szCs w:val="21"/>
        </w:rPr>
      </w:pPr>
      <w:r w:rsidRPr="00DC3F0B">
        <w:rPr>
          <w:rFonts w:cs="Arial"/>
          <w:b/>
          <w:bCs/>
          <w:szCs w:val="21"/>
        </w:rPr>
        <w:t>Selecting treatment options</w:t>
      </w:r>
      <w:r w:rsidRPr="00DC3F0B">
        <w:rPr>
          <w:rFonts w:cs="Arial"/>
          <w:szCs w:val="21"/>
        </w:rPr>
        <w:t xml:space="preserve"> </w:t>
      </w:r>
      <w:r w:rsidRPr="00DC3F0B">
        <w:rPr>
          <w:rFonts w:cs="Arial"/>
          <w:b/>
          <w:bCs/>
          <w:szCs w:val="21"/>
        </w:rPr>
        <w:t>–</w:t>
      </w:r>
      <w:r w:rsidRPr="00DC3F0B">
        <w:rPr>
          <w:rFonts w:cs="Arial"/>
          <w:szCs w:val="21"/>
        </w:rPr>
        <w:t xml:space="preserve"> medicines may be chosen to manage health conditions and treat illnesses</w:t>
      </w:r>
      <w:r w:rsidR="0046438C" w:rsidRPr="00DC3F0B">
        <w:rPr>
          <w:rFonts w:cs="Arial"/>
          <w:szCs w:val="21"/>
        </w:rPr>
        <w:t xml:space="preserve">. </w:t>
      </w:r>
      <w:r w:rsidR="00040EBF" w:rsidRPr="00DC3F0B">
        <w:rPr>
          <w:rFonts w:cs="Arial"/>
          <w:szCs w:val="21"/>
        </w:rPr>
        <w:t>M</w:t>
      </w:r>
      <w:r w:rsidR="0046438C" w:rsidRPr="00DC3F0B">
        <w:rPr>
          <w:rFonts w:cs="Arial"/>
          <w:szCs w:val="21"/>
        </w:rPr>
        <w:t xml:space="preserve">edicines </w:t>
      </w:r>
      <w:r w:rsidR="00445E90" w:rsidRPr="00DC3F0B">
        <w:rPr>
          <w:rFonts w:cs="Arial"/>
          <w:szCs w:val="21"/>
        </w:rPr>
        <w:t xml:space="preserve">must </w:t>
      </w:r>
      <w:r w:rsidR="0046438C" w:rsidRPr="00DC3F0B">
        <w:rPr>
          <w:rFonts w:cs="Arial"/>
          <w:szCs w:val="21"/>
        </w:rPr>
        <w:t>only be chosen where they offer the most appropriate alternative to</w:t>
      </w:r>
      <w:r w:rsidRPr="00DC3F0B">
        <w:rPr>
          <w:rFonts w:cs="Arial"/>
          <w:szCs w:val="21"/>
        </w:rPr>
        <w:t xml:space="preserve"> self-care, prevention </w:t>
      </w:r>
      <w:r w:rsidRPr="00A56CAA">
        <w:rPr>
          <w:rFonts w:cs="Arial"/>
          <w:szCs w:val="21"/>
        </w:rPr>
        <w:t>and other management</w:t>
      </w:r>
      <w:r w:rsidR="001439C3" w:rsidRPr="00A56CAA">
        <w:rPr>
          <w:rFonts w:cs="Arial"/>
          <w:szCs w:val="21"/>
        </w:rPr>
        <w:t xml:space="preserve"> </w:t>
      </w:r>
      <w:r w:rsidR="00450293" w:rsidRPr="00A56CAA">
        <w:rPr>
          <w:rFonts w:cs="Arial"/>
          <w:szCs w:val="21"/>
        </w:rPr>
        <w:t>or</w:t>
      </w:r>
      <w:r w:rsidR="001439C3" w:rsidRPr="00A56CAA">
        <w:rPr>
          <w:rFonts w:cs="Arial"/>
          <w:szCs w:val="21"/>
        </w:rPr>
        <w:t xml:space="preserve"> therapeutic</w:t>
      </w:r>
      <w:r w:rsidRPr="00A56CAA">
        <w:rPr>
          <w:rFonts w:cs="Arial"/>
          <w:szCs w:val="21"/>
        </w:rPr>
        <w:t xml:space="preserve"> options</w:t>
      </w:r>
      <w:r w:rsidR="00596E71" w:rsidRPr="00A56CAA">
        <w:rPr>
          <w:rFonts w:cs="Arial"/>
          <w:szCs w:val="21"/>
        </w:rPr>
        <w:t>, which must be considered and accessible.</w:t>
      </w:r>
    </w:p>
    <w:p w14:paraId="5905B3D5" w14:textId="07F02804" w:rsidR="00C1152C" w:rsidRPr="00DC3F0B" w:rsidRDefault="00C1152C" w:rsidP="00C1152C">
      <w:pPr>
        <w:pStyle w:val="ListNumber2"/>
        <w:ind w:left="426"/>
        <w:rPr>
          <w:rFonts w:cs="Arial"/>
          <w:szCs w:val="21"/>
        </w:rPr>
      </w:pPr>
      <w:r w:rsidRPr="00DC3F0B">
        <w:rPr>
          <w:rFonts w:cs="Arial"/>
          <w:b/>
          <w:bCs/>
          <w:szCs w:val="21"/>
        </w:rPr>
        <w:t xml:space="preserve">Choosing suitable medicines – </w:t>
      </w:r>
      <w:r w:rsidRPr="00DC3F0B">
        <w:rPr>
          <w:rFonts w:cs="Arial"/>
          <w:szCs w:val="21"/>
        </w:rPr>
        <w:t xml:space="preserve">in selecting, prescribing or deprescribing a medicine, the clinical and non-clinical factors, </w:t>
      </w:r>
      <w:r w:rsidR="00AB4EF7" w:rsidRPr="00DC3F0B">
        <w:rPr>
          <w:rFonts w:cs="Arial"/>
          <w:szCs w:val="21"/>
        </w:rPr>
        <w:t xml:space="preserve">individual’s </w:t>
      </w:r>
      <w:r w:rsidRPr="00DC3F0B">
        <w:rPr>
          <w:rFonts w:cs="Arial"/>
          <w:szCs w:val="21"/>
        </w:rPr>
        <w:t>experience</w:t>
      </w:r>
      <w:r w:rsidR="00AB4EF7" w:rsidRPr="00DC3F0B">
        <w:rPr>
          <w:rFonts w:cs="Arial"/>
          <w:szCs w:val="21"/>
        </w:rPr>
        <w:t>, needs,</w:t>
      </w:r>
      <w:r w:rsidRPr="00DC3F0B">
        <w:rPr>
          <w:rFonts w:cs="Arial"/>
          <w:szCs w:val="21"/>
        </w:rPr>
        <w:t xml:space="preserve"> preferences</w:t>
      </w:r>
      <w:r w:rsidR="00AB4EF7" w:rsidRPr="00DC3F0B">
        <w:rPr>
          <w:rFonts w:cs="Arial"/>
          <w:szCs w:val="21"/>
        </w:rPr>
        <w:t xml:space="preserve"> and values</w:t>
      </w:r>
      <w:r w:rsidRPr="00DC3F0B">
        <w:rPr>
          <w:rFonts w:cs="Arial"/>
          <w:szCs w:val="21"/>
        </w:rPr>
        <w:t xml:space="preserve">, potential benefits and harms, and the out-of-pocket cost of access, </w:t>
      </w:r>
      <w:r w:rsidR="00445E90" w:rsidRPr="00DC3F0B">
        <w:rPr>
          <w:rFonts w:cs="Arial"/>
          <w:szCs w:val="21"/>
        </w:rPr>
        <w:t xml:space="preserve">must </w:t>
      </w:r>
      <w:r w:rsidRPr="00DC3F0B">
        <w:rPr>
          <w:rFonts w:cs="Arial"/>
          <w:szCs w:val="21"/>
        </w:rPr>
        <w:t>be considered.</w:t>
      </w:r>
    </w:p>
    <w:p w14:paraId="4AD0D762" w14:textId="233BD78E" w:rsidR="00C1152C" w:rsidRPr="00DC3F0B" w:rsidRDefault="00C1152C" w:rsidP="00C1152C">
      <w:pPr>
        <w:pStyle w:val="ListNumber2"/>
        <w:ind w:left="426"/>
        <w:rPr>
          <w:rFonts w:cs="Arial"/>
          <w:szCs w:val="21"/>
        </w:rPr>
      </w:pPr>
      <w:r w:rsidRPr="00DC3F0B">
        <w:rPr>
          <w:rFonts w:cs="Arial"/>
          <w:b/>
          <w:bCs/>
          <w:szCs w:val="21"/>
        </w:rPr>
        <w:t xml:space="preserve">Using medicines safely and effectively – </w:t>
      </w:r>
      <w:r w:rsidRPr="00DC3F0B">
        <w:rPr>
          <w:rFonts w:cs="Arial"/>
          <w:szCs w:val="21"/>
        </w:rPr>
        <w:t>getting the best possible results means monitoring outcomes,</w:t>
      </w:r>
      <w:r w:rsidR="00BA2A63" w:rsidRPr="00DC3F0B">
        <w:rPr>
          <w:rFonts w:cs="Arial"/>
          <w:szCs w:val="21"/>
        </w:rPr>
        <w:t xml:space="preserve"> </w:t>
      </w:r>
      <w:r w:rsidR="00BC701F" w:rsidRPr="00DC3F0B">
        <w:rPr>
          <w:rFonts w:cs="Arial"/>
          <w:szCs w:val="21"/>
        </w:rPr>
        <w:t>reporting</w:t>
      </w:r>
      <w:r w:rsidR="00BA2A63" w:rsidRPr="00DC3F0B">
        <w:rPr>
          <w:rFonts w:cs="Arial"/>
          <w:szCs w:val="21"/>
        </w:rPr>
        <w:t xml:space="preserve"> adverse e</w:t>
      </w:r>
      <w:r w:rsidR="00FE4B85" w:rsidRPr="00DC3F0B">
        <w:rPr>
          <w:rFonts w:cs="Arial"/>
          <w:szCs w:val="21"/>
        </w:rPr>
        <w:t>vents</w:t>
      </w:r>
      <w:r w:rsidR="00BA2A63" w:rsidRPr="00DC3F0B">
        <w:rPr>
          <w:rFonts w:cs="Arial"/>
          <w:szCs w:val="21"/>
        </w:rPr>
        <w:t>,</w:t>
      </w:r>
      <w:r w:rsidRPr="00DC3F0B">
        <w:rPr>
          <w:rFonts w:cs="Arial"/>
          <w:szCs w:val="21"/>
        </w:rPr>
        <w:t xml:space="preserve"> </w:t>
      </w:r>
      <w:r w:rsidR="00BC701F" w:rsidRPr="00DC3F0B">
        <w:rPr>
          <w:rFonts w:cs="Arial"/>
          <w:szCs w:val="21"/>
        </w:rPr>
        <w:t xml:space="preserve">managing symptoms or side effects, </w:t>
      </w:r>
      <w:r w:rsidRPr="00D8062C">
        <w:rPr>
          <w:rFonts w:cs="Arial"/>
          <w:szCs w:val="21"/>
        </w:rPr>
        <w:t>minimising misuse, overuse and und</w:t>
      </w:r>
      <w:r w:rsidRPr="00AA1F16">
        <w:rPr>
          <w:rFonts w:cs="Arial"/>
          <w:szCs w:val="21"/>
        </w:rPr>
        <w:t xml:space="preserve">eruse, and empowering and supporting </w:t>
      </w:r>
      <w:r w:rsidRPr="00165D10">
        <w:rPr>
          <w:rFonts w:cs="Arial"/>
          <w:szCs w:val="21"/>
        </w:rPr>
        <w:t xml:space="preserve">people </w:t>
      </w:r>
      <w:r w:rsidRPr="00701CAB">
        <w:rPr>
          <w:rFonts w:cs="Arial"/>
          <w:szCs w:val="21"/>
        </w:rPr>
        <w:t xml:space="preserve">to </w:t>
      </w:r>
      <w:r w:rsidRPr="00AC2E07">
        <w:rPr>
          <w:rFonts w:cs="Arial"/>
          <w:szCs w:val="21"/>
        </w:rPr>
        <w:t xml:space="preserve">make decisions to </w:t>
      </w:r>
      <w:r w:rsidRPr="00DC3F0B">
        <w:rPr>
          <w:rFonts w:cs="Arial"/>
          <w:szCs w:val="21"/>
        </w:rPr>
        <w:t>use medicines safely and effectively.</w:t>
      </w:r>
    </w:p>
    <w:p w14:paraId="1496FD1F" w14:textId="4EA15437" w:rsidR="00FE4B85" w:rsidRPr="00DC3F0B" w:rsidRDefault="00FE4B85" w:rsidP="00DC3F0B">
      <w:pPr>
        <w:pStyle w:val="ListNumber2"/>
        <w:numPr>
          <w:ilvl w:val="0"/>
          <w:numId w:val="0"/>
        </w:numPr>
        <w:rPr>
          <w:rFonts w:cs="Arial"/>
          <w:szCs w:val="21"/>
        </w:rPr>
      </w:pPr>
      <w:r w:rsidRPr="00DC3F0B">
        <w:rPr>
          <w:rFonts w:cs="Arial"/>
          <w:szCs w:val="21"/>
        </w:rPr>
        <w:t>Quality use of medicines</w:t>
      </w:r>
      <w:r w:rsidR="00BC701F" w:rsidRPr="00DC3F0B">
        <w:rPr>
          <w:rFonts w:cs="Arial"/>
          <w:szCs w:val="21"/>
        </w:rPr>
        <w:t xml:space="preserve"> and medicines safety</w:t>
      </w:r>
      <w:r w:rsidRPr="00DC3F0B">
        <w:rPr>
          <w:rFonts w:cs="Arial"/>
          <w:szCs w:val="21"/>
        </w:rPr>
        <w:t xml:space="preserve"> includes medicines management. This includes but is not limited to information and decision support tools in clinical decision-making, compliance and safety in medicines distribution and storage systems, targeting known risk areas, work practices such as standardisation, monitoring and risk assessment and using medication safety strategies and tools to create an environment for the best communication of medicine-related information.</w:t>
      </w:r>
    </w:p>
    <w:p w14:paraId="5F4DDE8D" w14:textId="3C2D77B5" w:rsidR="00C1152C" w:rsidRPr="00E77C38" w:rsidRDefault="00C1152C" w:rsidP="006F1E4A">
      <w:pPr>
        <w:pStyle w:val="Heading2"/>
      </w:pPr>
      <w:r w:rsidRPr="00E77C38">
        <w:t xml:space="preserve">Person-centred care and shared decision-making improve health outcomes and the </w:t>
      </w:r>
      <w:r w:rsidR="00BC701F" w:rsidRPr="00E77C38">
        <w:t xml:space="preserve">safe and </w:t>
      </w:r>
      <w:r w:rsidRPr="00E77C38">
        <w:t>quality use of medicines</w:t>
      </w:r>
    </w:p>
    <w:p w14:paraId="4BA96501" w14:textId="2238E4E9" w:rsidR="008903FE" w:rsidRDefault="00C1152C" w:rsidP="00C1152C">
      <w:pPr>
        <w:pStyle w:val="Paragraphtext"/>
        <w:rPr>
          <w:rFonts w:cs="Arial"/>
        </w:rPr>
      </w:pPr>
      <w:r w:rsidRPr="00DC3F0B">
        <w:rPr>
          <w:rFonts w:cs="Arial"/>
        </w:rPr>
        <w:t xml:space="preserve">Person-centred care, including </w:t>
      </w:r>
      <w:r w:rsidR="00FE4B85" w:rsidRPr="00DC3F0B">
        <w:rPr>
          <w:rFonts w:cs="Arial"/>
        </w:rPr>
        <w:t>information that supports</w:t>
      </w:r>
      <w:r w:rsidR="005E57B8" w:rsidRPr="00DC3F0B">
        <w:rPr>
          <w:rFonts w:cs="Arial"/>
        </w:rPr>
        <w:t xml:space="preserve"> </w:t>
      </w:r>
      <w:r w:rsidRPr="00DC3F0B">
        <w:rPr>
          <w:rFonts w:cs="Arial"/>
        </w:rPr>
        <w:t>shared decision-making</w:t>
      </w:r>
      <w:r w:rsidR="00FE4B85" w:rsidRPr="00DC3F0B">
        <w:rPr>
          <w:rFonts w:cs="Arial"/>
        </w:rPr>
        <w:t xml:space="preserve"> and the right to make choices</w:t>
      </w:r>
      <w:r w:rsidRPr="00DC3F0B">
        <w:rPr>
          <w:rFonts w:cs="Arial"/>
        </w:rPr>
        <w:t>, is essential for the quality use of medicines</w:t>
      </w:r>
      <w:r w:rsidR="00BC701F" w:rsidRPr="00DC3F0B">
        <w:rPr>
          <w:rFonts w:cs="Arial"/>
        </w:rPr>
        <w:t xml:space="preserve"> and medicines safety</w:t>
      </w:r>
      <w:r w:rsidRPr="00DC3F0B">
        <w:rPr>
          <w:rFonts w:cs="Arial"/>
        </w:rPr>
        <w:t>. Health literacy</w:t>
      </w:r>
      <w:r w:rsidR="00FE4B85" w:rsidRPr="00DC3F0B">
        <w:rPr>
          <w:rFonts w:cs="Arial"/>
        </w:rPr>
        <w:t>, digital literacy and specifically medicines literacy</w:t>
      </w:r>
      <w:r w:rsidRPr="00DC3F0B">
        <w:rPr>
          <w:rFonts w:cs="Arial"/>
        </w:rPr>
        <w:t xml:space="preserve"> help people to decide, with their health pr</w:t>
      </w:r>
      <w:r w:rsidR="00FE4B85" w:rsidRPr="00DC3F0B">
        <w:rPr>
          <w:rFonts w:cs="Arial"/>
        </w:rPr>
        <w:t>ofessional</w:t>
      </w:r>
      <w:r w:rsidRPr="00DC3F0B">
        <w:rPr>
          <w:rFonts w:cs="Arial"/>
        </w:rPr>
        <w:t>, whether to use a medicine.</w:t>
      </w:r>
    </w:p>
    <w:p w14:paraId="45C5E7A7" w14:textId="77777777" w:rsidR="008903FE" w:rsidRDefault="00FE4B85" w:rsidP="00C1152C">
      <w:pPr>
        <w:pStyle w:val="Paragraphtext"/>
        <w:rPr>
          <w:rFonts w:cs="Arial"/>
        </w:rPr>
      </w:pPr>
      <w:r w:rsidRPr="00DC3F0B">
        <w:rPr>
          <w:rFonts w:cs="Arial"/>
        </w:rPr>
        <w:t>Medicines</w:t>
      </w:r>
      <w:r w:rsidR="00C1152C" w:rsidRPr="00DC3F0B">
        <w:rPr>
          <w:rFonts w:cs="Arial"/>
        </w:rPr>
        <w:t xml:space="preserve"> literacy means people know how to find and use</w:t>
      </w:r>
      <w:r w:rsidRPr="00DC3F0B">
        <w:rPr>
          <w:rFonts w:cs="Arial"/>
        </w:rPr>
        <w:t xml:space="preserve"> medicines</w:t>
      </w:r>
      <w:r w:rsidR="00BC701F" w:rsidRPr="00DC3F0B">
        <w:rPr>
          <w:rFonts w:cs="Arial"/>
        </w:rPr>
        <w:t>-related</w:t>
      </w:r>
      <w:r w:rsidR="00C1152C" w:rsidRPr="00DC3F0B">
        <w:rPr>
          <w:rFonts w:cs="Arial"/>
        </w:rPr>
        <w:t xml:space="preserve"> </w:t>
      </w:r>
      <w:r w:rsidR="00C1152C" w:rsidRPr="00DC3F0B" w:rsidDel="0093431F">
        <w:rPr>
          <w:rFonts w:cs="Arial"/>
        </w:rPr>
        <w:t>informati</w:t>
      </w:r>
      <w:r w:rsidR="00C1152C" w:rsidRPr="00DC3F0B">
        <w:rPr>
          <w:rFonts w:cs="Arial"/>
        </w:rPr>
        <w:t>on that is relevant, accurate and meaningful to them.</w:t>
      </w:r>
    </w:p>
    <w:p w14:paraId="495FA6E8" w14:textId="2F114D0E" w:rsidR="00C1152C" w:rsidRPr="00DC3F0B" w:rsidRDefault="00C1152C" w:rsidP="008903FE">
      <w:pPr>
        <w:pStyle w:val="Paragraphtext"/>
        <w:keepNext/>
        <w:keepLines/>
        <w:rPr>
          <w:rFonts w:cs="Arial"/>
        </w:rPr>
      </w:pPr>
      <w:r w:rsidRPr="00DC3F0B">
        <w:rPr>
          <w:rFonts w:cs="Arial"/>
        </w:rPr>
        <w:lastRenderedPageBreak/>
        <w:t>The NMP partners recognise that this relies on a collaborative effort to:</w:t>
      </w:r>
    </w:p>
    <w:p w14:paraId="169D025D" w14:textId="5E6641DA" w:rsidR="00FE4B85" w:rsidRPr="00DC3F0B" w:rsidRDefault="00441E62" w:rsidP="00441E62">
      <w:pPr>
        <w:pStyle w:val="ListBullet"/>
        <w:rPr>
          <w:rFonts w:cs="Arial"/>
        </w:rPr>
      </w:pPr>
      <w:r w:rsidRPr="00DC3F0B">
        <w:rPr>
          <w:rFonts w:cs="Arial"/>
        </w:rPr>
        <w:t xml:space="preserve">encourage </w:t>
      </w:r>
      <w:r w:rsidR="00FE4B85" w:rsidRPr="00DC3F0B">
        <w:rPr>
          <w:rFonts w:cs="Arial"/>
        </w:rPr>
        <w:t xml:space="preserve">individuals with their families and/or carers </w:t>
      </w:r>
      <w:r w:rsidRPr="00DC3F0B">
        <w:rPr>
          <w:rFonts w:cs="Arial"/>
        </w:rPr>
        <w:t xml:space="preserve">to be active, empowered and informed participants in </w:t>
      </w:r>
      <w:r w:rsidR="00FE4B85" w:rsidRPr="00DC3F0B">
        <w:rPr>
          <w:rFonts w:cs="Arial"/>
        </w:rPr>
        <w:t>shared decision-making.</w:t>
      </w:r>
    </w:p>
    <w:p w14:paraId="57C7C340" w14:textId="00F102CD" w:rsidR="00FE4B85" w:rsidRPr="00DC3F0B" w:rsidRDefault="00FE4B85" w:rsidP="00FE4B85">
      <w:pPr>
        <w:pStyle w:val="ListBullet"/>
        <w:rPr>
          <w:rFonts w:cs="Arial"/>
          <w:szCs w:val="21"/>
        </w:rPr>
      </w:pPr>
      <w:r w:rsidRPr="00DC3F0B">
        <w:rPr>
          <w:rFonts w:cs="Arial"/>
          <w:szCs w:val="21"/>
        </w:rPr>
        <w:t xml:space="preserve">support and empower individuals, their </w:t>
      </w:r>
      <w:r w:rsidR="00BC701F" w:rsidRPr="00DC3F0B">
        <w:rPr>
          <w:rFonts w:cs="Arial"/>
          <w:szCs w:val="21"/>
        </w:rPr>
        <w:t>families and/or carers</w:t>
      </w:r>
      <w:r w:rsidRPr="00DC3F0B">
        <w:rPr>
          <w:rFonts w:cs="Arial"/>
          <w:szCs w:val="21"/>
        </w:rPr>
        <w:t xml:space="preserve"> to attain medicines literacy to allow full participation in decisions around medicines as equal partners with health professionals</w:t>
      </w:r>
      <w:r w:rsidR="00CE06C1">
        <w:rPr>
          <w:rFonts w:cs="Arial"/>
          <w:szCs w:val="21"/>
        </w:rPr>
        <w:t>.</w:t>
      </w:r>
    </w:p>
    <w:p w14:paraId="28A285F9" w14:textId="1F10D17C" w:rsidR="00441E62" w:rsidRPr="00DC3F0B" w:rsidRDefault="00A6118F" w:rsidP="00441E62">
      <w:pPr>
        <w:pStyle w:val="ListBullet"/>
        <w:rPr>
          <w:rFonts w:cs="Arial"/>
          <w:szCs w:val="21"/>
        </w:rPr>
      </w:pPr>
      <w:r w:rsidRPr="00DC3F0B">
        <w:rPr>
          <w:rFonts w:cs="Arial"/>
          <w:szCs w:val="21"/>
        </w:rPr>
        <w:t xml:space="preserve">embrace </w:t>
      </w:r>
      <w:r w:rsidR="00FE4B85" w:rsidRPr="00DC3F0B">
        <w:rPr>
          <w:rFonts w:cs="Arial"/>
          <w:szCs w:val="21"/>
        </w:rPr>
        <w:t xml:space="preserve">wisdom and </w:t>
      </w:r>
      <w:r w:rsidRPr="00DC3F0B">
        <w:rPr>
          <w:rFonts w:cs="Arial"/>
          <w:szCs w:val="21"/>
        </w:rPr>
        <w:t>experience</w:t>
      </w:r>
      <w:r w:rsidR="00FE4B85" w:rsidRPr="00DC3F0B">
        <w:rPr>
          <w:rFonts w:cs="Arial"/>
          <w:szCs w:val="21"/>
        </w:rPr>
        <w:t xml:space="preserve">s of individuals, </w:t>
      </w:r>
      <w:r w:rsidR="00BC701F" w:rsidRPr="00DC3F0B">
        <w:rPr>
          <w:rFonts w:cs="Arial"/>
          <w:szCs w:val="21"/>
        </w:rPr>
        <w:t xml:space="preserve">their </w:t>
      </w:r>
      <w:r w:rsidR="00FE4B85" w:rsidRPr="00DC3F0B">
        <w:rPr>
          <w:rFonts w:cs="Arial"/>
          <w:szCs w:val="21"/>
        </w:rPr>
        <w:t>families and</w:t>
      </w:r>
      <w:r w:rsidR="00BC701F" w:rsidRPr="00DC3F0B">
        <w:rPr>
          <w:rFonts w:cs="Arial"/>
          <w:szCs w:val="21"/>
        </w:rPr>
        <w:t>/or</w:t>
      </w:r>
      <w:r w:rsidR="00FE4B85" w:rsidRPr="00DC3F0B">
        <w:rPr>
          <w:rFonts w:cs="Arial"/>
          <w:szCs w:val="21"/>
        </w:rPr>
        <w:t xml:space="preserve"> carers </w:t>
      </w:r>
      <w:r w:rsidRPr="00DC3F0B">
        <w:rPr>
          <w:rFonts w:cs="Arial"/>
          <w:szCs w:val="21"/>
        </w:rPr>
        <w:t>in a shared decision-making partnership</w:t>
      </w:r>
      <w:r w:rsidR="00FE4B85" w:rsidRPr="00DC3F0B">
        <w:rPr>
          <w:rFonts w:cs="Arial"/>
          <w:szCs w:val="21"/>
        </w:rPr>
        <w:t xml:space="preserve"> with health professionals</w:t>
      </w:r>
      <w:r w:rsidRPr="00DC3F0B">
        <w:rPr>
          <w:rFonts w:cs="Arial"/>
          <w:szCs w:val="21"/>
        </w:rPr>
        <w:t>.</w:t>
      </w:r>
    </w:p>
    <w:p w14:paraId="17B6E15F" w14:textId="390512C4" w:rsidR="00441E62" w:rsidRPr="00DC3F0B" w:rsidRDefault="00441E62" w:rsidP="00441E62">
      <w:pPr>
        <w:pStyle w:val="ListBullet"/>
        <w:rPr>
          <w:rFonts w:cs="Arial"/>
          <w:szCs w:val="21"/>
        </w:rPr>
      </w:pPr>
      <w:r w:rsidRPr="00DC3F0B">
        <w:rPr>
          <w:rFonts w:cs="Arial"/>
          <w:szCs w:val="21"/>
        </w:rPr>
        <w:t>encourage people to ask for and use objective, evidence-based</w:t>
      </w:r>
      <w:r w:rsidR="00FE4B85" w:rsidRPr="00DC3F0B">
        <w:rPr>
          <w:rFonts w:cs="Arial"/>
          <w:szCs w:val="21"/>
        </w:rPr>
        <w:t>, trusted, reliable and good quality</w:t>
      </w:r>
      <w:r w:rsidRPr="00DC3F0B">
        <w:rPr>
          <w:rFonts w:cs="Arial"/>
          <w:szCs w:val="21"/>
        </w:rPr>
        <w:t xml:space="preserve"> information, resources, and services as part of a shared approach to informed decision-making.</w:t>
      </w:r>
    </w:p>
    <w:p w14:paraId="71A35D2F" w14:textId="77777777" w:rsidR="00450293" w:rsidRPr="00DC3F0B" w:rsidRDefault="00450293" w:rsidP="00450293">
      <w:pPr>
        <w:pStyle w:val="ListBullet"/>
        <w:rPr>
          <w:rFonts w:eastAsia="Arial" w:cs="Arial"/>
          <w:szCs w:val="21"/>
        </w:rPr>
      </w:pPr>
      <w:r w:rsidRPr="00DC3F0B">
        <w:rPr>
          <w:rFonts w:cs="Arial"/>
          <w:szCs w:val="21"/>
        </w:rPr>
        <w:t xml:space="preserve">develop the skills and confidence of people to manage their own health and medicines, including when and where to get help, when needed. </w:t>
      </w:r>
    </w:p>
    <w:p w14:paraId="1DF07709" w14:textId="04A0DFBB" w:rsidR="00441E62" w:rsidRPr="00DC3F0B" w:rsidRDefault="00441E62" w:rsidP="00C1152C">
      <w:pPr>
        <w:pStyle w:val="ListBullet"/>
        <w:spacing w:line="259" w:lineRule="auto"/>
        <w:rPr>
          <w:rFonts w:cs="Arial"/>
          <w:szCs w:val="21"/>
        </w:rPr>
      </w:pPr>
      <w:bookmarkStart w:id="7" w:name="_Hlk120691443"/>
      <w:bookmarkStart w:id="8" w:name="_Hlk120691462"/>
      <w:r w:rsidRPr="00DC3F0B">
        <w:rPr>
          <w:rFonts w:cs="Arial"/>
          <w:szCs w:val="21"/>
        </w:rPr>
        <w:t>provide</w:t>
      </w:r>
      <w:r w:rsidR="00FE4B85" w:rsidRPr="00DC3F0B">
        <w:rPr>
          <w:rFonts w:cs="Arial"/>
          <w:szCs w:val="21"/>
        </w:rPr>
        <w:t xml:space="preserve"> individuals, </w:t>
      </w:r>
      <w:r w:rsidR="00BC701F" w:rsidRPr="00DC3F0B">
        <w:rPr>
          <w:rFonts w:cs="Arial"/>
          <w:szCs w:val="21"/>
        </w:rPr>
        <w:t xml:space="preserve">their </w:t>
      </w:r>
      <w:r w:rsidR="00FE4B85" w:rsidRPr="002D0777">
        <w:rPr>
          <w:rFonts w:cs="Arial"/>
          <w:szCs w:val="21"/>
        </w:rPr>
        <w:t>families and</w:t>
      </w:r>
      <w:r w:rsidR="00BC701F" w:rsidRPr="002D0777">
        <w:rPr>
          <w:rFonts w:cs="Arial"/>
          <w:szCs w:val="21"/>
        </w:rPr>
        <w:t>/or</w:t>
      </w:r>
      <w:r w:rsidR="00FE4B85" w:rsidRPr="002D0777">
        <w:rPr>
          <w:rFonts w:cs="Arial"/>
          <w:szCs w:val="21"/>
        </w:rPr>
        <w:t xml:space="preserve"> carers</w:t>
      </w:r>
      <w:r w:rsidRPr="002D0777">
        <w:rPr>
          <w:rFonts w:cs="Arial"/>
          <w:szCs w:val="21"/>
        </w:rPr>
        <w:t xml:space="preserve"> and health professionals with access to </w:t>
      </w:r>
      <w:r w:rsidR="00CE0906" w:rsidRPr="002D0777">
        <w:rPr>
          <w:rFonts w:cs="Arial"/>
          <w:szCs w:val="21"/>
        </w:rPr>
        <w:t xml:space="preserve">clear, consistent, standardised, </w:t>
      </w:r>
      <w:r w:rsidRPr="002D0777">
        <w:rPr>
          <w:rFonts w:cs="Arial"/>
          <w:szCs w:val="21"/>
        </w:rPr>
        <w:t>timely</w:t>
      </w:r>
      <w:r w:rsidRPr="00DC3F0B">
        <w:rPr>
          <w:rFonts w:cs="Arial"/>
          <w:szCs w:val="21"/>
        </w:rPr>
        <w:t xml:space="preserve">, objective, credible, up-to-date information on </w:t>
      </w:r>
      <w:r w:rsidR="00BC701F" w:rsidRPr="00DC3F0B">
        <w:rPr>
          <w:rFonts w:cs="Arial"/>
          <w:szCs w:val="21"/>
        </w:rPr>
        <w:t>medicines</w:t>
      </w:r>
      <w:r w:rsidRPr="00D8062C">
        <w:rPr>
          <w:rFonts w:cs="Arial"/>
          <w:szCs w:val="21"/>
        </w:rPr>
        <w:t xml:space="preserve"> use</w:t>
      </w:r>
      <w:r w:rsidR="00FE4B85" w:rsidRPr="00AA1F16">
        <w:rPr>
          <w:rFonts w:cs="Arial"/>
          <w:szCs w:val="21"/>
        </w:rPr>
        <w:t xml:space="preserve"> appropriate to their needs.</w:t>
      </w:r>
      <w:r w:rsidRPr="00701CAB">
        <w:rPr>
          <w:rFonts w:cs="Arial"/>
          <w:szCs w:val="21"/>
        </w:rPr>
        <w:t xml:space="preserve"> </w:t>
      </w:r>
      <w:r w:rsidR="00BC701F" w:rsidRPr="00AC2E07">
        <w:rPr>
          <w:rFonts w:cs="Arial"/>
          <w:szCs w:val="21"/>
        </w:rPr>
        <w:t>I</w:t>
      </w:r>
      <w:r w:rsidRPr="00FE618A">
        <w:rPr>
          <w:rFonts w:cs="Arial"/>
          <w:szCs w:val="21"/>
        </w:rPr>
        <w:t>ncluding</w:t>
      </w:r>
      <w:r w:rsidR="00BC701F" w:rsidRPr="00EB54A2">
        <w:rPr>
          <w:rFonts w:cs="Arial"/>
          <w:szCs w:val="21"/>
        </w:rPr>
        <w:t xml:space="preserve"> for use</w:t>
      </w:r>
      <w:r w:rsidRPr="00EB54A2">
        <w:rPr>
          <w:rFonts w:cs="Arial"/>
          <w:szCs w:val="21"/>
        </w:rPr>
        <w:t xml:space="preserve"> in particular patient populations, for example, medic</w:t>
      </w:r>
      <w:r w:rsidR="00FE4B85" w:rsidRPr="00EB54A2">
        <w:rPr>
          <w:rFonts w:cs="Arial"/>
          <w:szCs w:val="21"/>
        </w:rPr>
        <w:t>ines</w:t>
      </w:r>
      <w:r w:rsidRPr="00EB54A2">
        <w:rPr>
          <w:rFonts w:cs="Arial"/>
          <w:szCs w:val="21"/>
        </w:rPr>
        <w:t xml:space="preserve"> use</w:t>
      </w:r>
      <w:r w:rsidR="00FE4B85" w:rsidRPr="00DC3F0B">
        <w:rPr>
          <w:rFonts w:cs="Arial"/>
          <w:szCs w:val="21"/>
        </w:rPr>
        <w:t>d</w:t>
      </w:r>
      <w:r w:rsidRPr="00DC3F0B">
        <w:rPr>
          <w:rFonts w:cs="Arial"/>
          <w:szCs w:val="21"/>
        </w:rPr>
        <w:t xml:space="preserve"> during pregnancy and breastfeeding.</w:t>
      </w:r>
    </w:p>
    <w:bookmarkEnd w:id="7"/>
    <w:p w14:paraId="7592EA65" w14:textId="12ADCE10" w:rsidR="00C1152C" w:rsidRPr="00DC3F0B" w:rsidRDefault="00C1152C" w:rsidP="00C1152C">
      <w:pPr>
        <w:pStyle w:val="ListBullet"/>
        <w:spacing w:line="259" w:lineRule="auto"/>
        <w:rPr>
          <w:rFonts w:cs="Arial"/>
          <w:szCs w:val="21"/>
        </w:rPr>
      </w:pPr>
      <w:r w:rsidRPr="00DC3F0B">
        <w:rPr>
          <w:rFonts w:cs="Arial"/>
          <w:szCs w:val="21"/>
        </w:rPr>
        <w:t xml:space="preserve">provide culturally </w:t>
      </w:r>
      <w:r w:rsidR="00B2703F" w:rsidRPr="00DC3F0B">
        <w:rPr>
          <w:rFonts w:cs="Arial"/>
          <w:szCs w:val="21"/>
        </w:rPr>
        <w:t>safe</w:t>
      </w:r>
      <w:r w:rsidRPr="00DC3F0B">
        <w:rPr>
          <w:rFonts w:cs="Arial"/>
          <w:szCs w:val="21"/>
        </w:rPr>
        <w:t>, person-centred services</w:t>
      </w:r>
      <w:r w:rsidR="00AD54EC" w:rsidRPr="00DC3F0B">
        <w:rPr>
          <w:rFonts w:cs="Arial"/>
          <w:szCs w:val="21"/>
        </w:rPr>
        <w:t xml:space="preserve"> </w:t>
      </w:r>
      <w:r w:rsidR="00073CFA">
        <w:rPr>
          <w:rFonts w:cs="Arial"/>
          <w:szCs w:val="21"/>
        </w:rPr>
        <w:t>and</w:t>
      </w:r>
      <w:r w:rsidRPr="00DC3F0B">
        <w:rPr>
          <w:rFonts w:cs="Arial"/>
          <w:szCs w:val="21"/>
        </w:rPr>
        <w:t xml:space="preserve"> support for both face</w:t>
      </w:r>
      <w:r w:rsidR="008B4262">
        <w:rPr>
          <w:rFonts w:cs="Arial"/>
          <w:szCs w:val="21"/>
        </w:rPr>
        <w:t>-</w:t>
      </w:r>
      <w:r w:rsidRPr="00DC3F0B">
        <w:rPr>
          <w:rFonts w:cs="Arial"/>
          <w:szCs w:val="21"/>
        </w:rPr>
        <w:t>to</w:t>
      </w:r>
      <w:r w:rsidR="008B4262">
        <w:rPr>
          <w:rFonts w:cs="Arial"/>
          <w:szCs w:val="21"/>
        </w:rPr>
        <w:t>-</w:t>
      </w:r>
      <w:r w:rsidRPr="00DC3F0B">
        <w:rPr>
          <w:rFonts w:cs="Arial"/>
          <w:szCs w:val="21"/>
        </w:rPr>
        <w:t xml:space="preserve">face and </w:t>
      </w:r>
      <w:r w:rsidR="00BA2A63" w:rsidRPr="00DC3F0B">
        <w:rPr>
          <w:rFonts w:cs="Arial"/>
          <w:szCs w:val="21"/>
        </w:rPr>
        <w:t>non</w:t>
      </w:r>
      <w:r w:rsidR="008B4262">
        <w:rPr>
          <w:rFonts w:cs="Arial"/>
          <w:szCs w:val="21"/>
        </w:rPr>
        <w:t> </w:t>
      </w:r>
      <w:r w:rsidR="00BA2A63" w:rsidRPr="00DC3F0B">
        <w:rPr>
          <w:rFonts w:cs="Arial"/>
          <w:szCs w:val="21"/>
        </w:rPr>
        <w:t>face</w:t>
      </w:r>
      <w:r w:rsidR="008B4262">
        <w:rPr>
          <w:rFonts w:cs="Arial"/>
          <w:szCs w:val="21"/>
        </w:rPr>
        <w:t>-</w:t>
      </w:r>
      <w:r w:rsidR="00BA2A63" w:rsidRPr="00DC3F0B">
        <w:rPr>
          <w:rFonts w:cs="Arial"/>
          <w:szCs w:val="21"/>
        </w:rPr>
        <w:t>to</w:t>
      </w:r>
      <w:r w:rsidR="008B4262">
        <w:rPr>
          <w:rFonts w:cs="Arial"/>
          <w:szCs w:val="21"/>
        </w:rPr>
        <w:t>-</w:t>
      </w:r>
      <w:r w:rsidR="00BA2A63" w:rsidRPr="00DC3F0B">
        <w:rPr>
          <w:rFonts w:cs="Arial"/>
          <w:szCs w:val="21"/>
        </w:rPr>
        <w:t xml:space="preserve">face </w:t>
      </w:r>
      <w:r w:rsidRPr="00DC3F0B">
        <w:rPr>
          <w:rFonts w:cs="Arial"/>
          <w:szCs w:val="21"/>
        </w:rPr>
        <w:t>interactions.</w:t>
      </w:r>
    </w:p>
    <w:bookmarkEnd w:id="8"/>
    <w:p w14:paraId="0B7A9D90" w14:textId="77777777" w:rsidR="00C1152C" w:rsidRPr="00DC3F0B" w:rsidRDefault="00C1152C" w:rsidP="00C1152C">
      <w:pPr>
        <w:pStyle w:val="ListBullet"/>
        <w:rPr>
          <w:rFonts w:eastAsia="Arial" w:cs="Arial"/>
          <w:szCs w:val="21"/>
        </w:rPr>
      </w:pPr>
      <w:r w:rsidRPr="00DC3F0B">
        <w:rPr>
          <w:rFonts w:cs="Arial"/>
          <w:szCs w:val="21"/>
        </w:rPr>
        <w:t>provide prompt, appropriate, targeted and tailored support for people to understand the risks and benefits of medicines and the role of other options to achieve the best health outcomes.</w:t>
      </w:r>
    </w:p>
    <w:p w14:paraId="79FB5ECC" w14:textId="0F142C75" w:rsidR="00C1152C" w:rsidRPr="00DC3F0B" w:rsidRDefault="00C1152C" w:rsidP="00C1152C">
      <w:pPr>
        <w:pStyle w:val="Paragraphtext"/>
        <w:rPr>
          <w:rFonts w:cs="Arial"/>
          <w:szCs w:val="21"/>
        </w:rPr>
      </w:pPr>
      <w:r w:rsidRPr="00DC3F0B">
        <w:rPr>
          <w:rFonts w:cs="Arial"/>
          <w:szCs w:val="21"/>
        </w:rPr>
        <w:t>The NMP recognises that people with low health literacy</w:t>
      </w:r>
      <w:r w:rsidR="00BC701F" w:rsidRPr="00DC3F0B">
        <w:rPr>
          <w:rFonts w:cs="Arial"/>
          <w:szCs w:val="21"/>
        </w:rPr>
        <w:t>,</w:t>
      </w:r>
      <w:r w:rsidR="003549C5" w:rsidRPr="00DC3F0B">
        <w:rPr>
          <w:rFonts w:cs="Arial"/>
          <w:szCs w:val="21"/>
        </w:rPr>
        <w:t xml:space="preserve"> including</w:t>
      </w:r>
      <w:r w:rsidR="00BC701F" w:rsidRPr="00DC3F0B">
        <w:rPr>
          <w:rFonts w:cs="Arial"/>
          <w:szCs w:val="21"/>
        </w:rPr>
        <w:t xml:space="preserve"> low</w:t>
      </w:r>
      <w:r w:rsidR="003549C5" w:rsidRPr="00DC3F0B">
        <w:rPr>
          <w:rFonts w:cs="Arial"/>
          <w:szCs w:val="21"/>
        </w:rPr>
        <w:t xml:space="preserve"> medicines literacy</w:t>
      </w:r>
      <w:r w:rsidR="00BC701F" w:rsidRPr="00DC3F0B">
        <w:rPr>
          <w:rFonts w:cs="Arial"/>
          <w:szCs w:val="21"/>
        </w:rPr>
        <w:t>,</w:t>
      </w:r>
      <w:r w:rsidRPr="00DC3F0B">
        <w:rPr>
          <w:rFonts w:cs="Arial"/>
          <w:szCs w:val="21"/>
        </w:rPr>
        <w:t xml:space="preserve"> are less well equipped to prevent and manage </w:t>
      </w:r>
      <w:r w:rsidR="003549C5" w:rsidRPr="00DC3F0B">
        <w:rPr>
          <w:rFonts w:cs="Arial"/>
          <w:szCs w:val="21"/>
        </w:rPr>
        <w:t xml:space="preserve">illness </w:t>
      </w:r>
      <w:r w:rsidR="00441E62" w:rsidRPr="00DC3F0B">
        <w:rPr>
          <w:rFonts w:cs="Arial"/>
          <w:szCs w:val="21"/>
        </w:rPr>
        <w:t>and maintain good health</w:t>
      </w:r>
      <w:r w:rsidRPr="00DC3F0B">
        <w:rPr>
          <w:rFonts w:cs="Arial"/>
          <w:szCs w:val="21"/>
        </w:rPr>
        <w:t xml:space="preserve">. The </w:t>
      </w:r>
      <w:r w:rsidR="00BC701F" w:rsidRPr="00DC3F0B">
        <w:rPr>
          <w:rFonts w:cs="Arial"/>
          <w:szCs w:val="21"/>
        </w:rPr>
        <w:t xml:space="preserve">safe and </w:t>
      </w:r>
      <w:r w:rsidRPr="00DC3F0B">
        <w:rPr>
          <w:rFonts w:cs="Arial"/>
          <w:szCs w:val="21"/>
        </w:rPr>
        <w:t>quality use of medicines must</w:t>
      </w:r>
      <w:r w:rsidR="003549C5" w:rsidRPr="00DC3F0B">
        <w:rPr>
          <w:rFonts w:cs="Arial"/>
          <w:szCs w:val="21"/>
        </w:rPr>
        <w:t xml:space="preserve"> be available to individuals, their families and carers with diverse language skills and cultural backgrounds. All Australians must be involved</w:t>
      </w:r>
      <w:r w:rsidRPr="00DC3F0B">
        <w:rPr>
          <w:rFonts w:cs="Arial"/>
          <w:szCs w:val="21"/>
        </w:rPr>
        <w:t xml:space="preserve"> in the co-design, implementation and evaluation of </w:t>
      </w:r>
      <w:r w:rsidR="003549C5" w:rsidRPr="00DC3F0B">
        <w:rPr>
          <w:rFonts w:cs="Arial"/>
          <w:szCs w:val="21"/>
        </w:rPr>
        <w:t xml:space="preserve">medicines use </w:t>
      </w:r>
      <w:r w:rsidRPr="00DC3F0B">
        <w:rPr>
          <w:rFonts w:cs="Arial"/>
          <w:szCs w:val="21"/>
        </w:rPr>
        <w:t>and medicines-related services.</w:t>
      </w:r>
    </w:p>
    <w:p w14:paraId="3B70AEDF" w14:textId="0217374B" w:rsidR="00C1152C" w:rsidRPr="00DC3F0B" w:rsidRDefault="00C1152C" w:rsidP="00C1152C">
      <w:pPr>
        <w:pStyle w:val="Paragraphtext"/>
        <w:rPr>
          <w:rFonts w:cs="Arial"/>
          <w:szCs w:val="21"/>
        </w:rPr>
      </w:pPr>
      <w:r w:rsidRPr="00DC3F0B">
        <w:rPr>
          <w:rFonts w:cs="Arial"/>
          <w:szCs w:val="21"/>
        </w:rPr>
        <w:t>All NMP partners recognise that focusing on health</w:t>
      </w:r>
      <w:r w:rsidR="003549C5" w:rsidRPr="00DC3F0B">
        <w:rPr>
          <w:rFonts w:cs="Arial"/>
          <w:szCs w:val="21"/>
        </w:rPr>
        <w:t>, digital and medicines</w:t>
      </w:r>
      <w:r w:rsidRPr="00DC3F0B">
        <w:rPr>
          <w:rFonts w:cs="Arial"/>
          <w:szCs w:val="21"/>
        </w:rPr>
        <w:t xml:space="preserve"> literacy is not limited to supporting the </w:t>
      </w:r>
      <w:r w:rsidR="00BC701F" w:rsidRPr="00DC3F0B">
        <w:rPr>
          <w:rFonts w:cs="Arial"/>
          <w:szCs w:val="21"/>
        </w:rPr>
        <w:t xml:space="preserve">safe and </w:t>
      </w:r>
      <w:r w:rsidRPr="00DC3F0B">
        <w:rPr>
          <w:rFonts w:cs="Arial"/>
          <w:szCs w:val="21"/>
        </w:rPr>
        <w:t xml:space="preserve">quality use of medicines. It contributes to positive outcomes </w:t>
      </w:r>
      <w:r w:rsidR="003549C5" w:rsidRPr="00DC3F0B">
        <w:rPr>
          <w:rFonts w:cs="Arial"/>
          <w:szCs w:val="21"/>
        </w:rPr>
        <w:t>for</w:t>
      </w:r>
      <w:r w:rsidRPr="00DC3F0B">
        <w:rPr>
          <w:rFonts w:cs="Arial"/>
          <w:szCs w:val="21"/>
        </w:rPr>
        <w:t xml:space="preserve"> health system </w:t>
      </w:r>
      <w:r w:rsidR="003549C5" w:rsidRPr="00DC3F0B">
        <w:rPr>
          <w:rFonts w:cs="Arial"/>
          <w:szCs w:val="21"/>
        </w:rPr>
        <w:t>engagement over a</w:t>
      </w:r>
      <w:r w:rsidRPr="00DC3F0B">
        <w:rPr>
          <w:rFonts w:cs="Arial"/>
          <w:szCs w:val="21"/>
        </w:rPr>
        <w:t xml:space="preserve"> lifetime.</w:t>
      </w:r>
    </w:p>
    <w:p w14:paraId="04EF8C0F" w14:textId="72ADF308" w:rsidR="003549C5" w:rsidRPr="00DC3F0B" w:rsidRDefault="003549C5" w:rsidP="00C1152C">
      <w:pPr>
        <w:pStyle w:val="Paragraphtext"/>
        <w:rPr>
          <w:rFonts w:cs="Arial"/>
          <w:i/>
          <w:iCs/>
          <w:szCs w:val="21"/>
        </w:rPr>
      </w:pPr>
      <w:r w:rsidRPr="00DC3F0B">
        <w:rPr>
          <w:rFonts w:cs="Arial"/>
          <w:szCs w:val="21"/>
        </w:rPr>
        <w:t xml:space="preserve">All health </w:t>
      </w:r>
      <w:r w:rsidR="00BC701F" w:rsidRPr="00D8062C">
        <w:rPr>
          <w:rFonts w:cs="Arial"/>
          <w:szCs w:val="21"/>
        </w:rPr>
        <w:t>professionals</w:t>
      </w:r>
      <w:r w:rsidRPr="00AA1F16">
        <w:rPr>
          <w:rFonts w:cs="Arial"/>
          <w:szCs w:val="21"/>
        </w:rPr>
        <w:t xml:space="preserve"> have responsibility for supporting safe and quality use of medicines in interactions with individuals by supporting the up-to-date list of medicines as confirmed by </w:t>
      </w:r>
      <w:bookmarkStart w:id="9" w:name="_Hlk117507256"/>
      <w:r w:rsidRPr="00AA1F16">
        <w:rPr>
          <w:rFonts w:cs="Arial"/>
          <w:szCs w:val="21"/>
        </w:rPr>
        <w:t>the individual, their families and/or carers</w:t>
      </w:r>
      <w:bookmarkEnd w:id="9"/>
      <w:r w:rsidRPr="00AA1F16">
        <w:rPr>
          <w:rFonts w:cs="Arial"/>
          <w:szCs w:val="21"/>
        </w:rPr>
        <w:t>. Any changes to the medicines list as part of shared decision making are</w:t>
      </w:r>
      <w:r w:rsidR="006A219B">
        <w:rPr>
          <w:rFonts w:cs="Arial"/>
          <w:szCs w:val="21"/>
        </w:rPr>
        <w:t xml:space="preserve"> to be</w:t>
      </w:r>
      <w:r w:rsidRPr="00AA1F16">
        <w:rPr>
          <w:rFonts w:cs="Arial"/>
          <w:szCs w:val="21"/>
        </w:rPr>
        <w:t xml:space="preserve"> communicated to the individual, their families and/or carers and with all health </w:t>
      </w:r>
      <w:r w:rsidR="00BC701F" w:rsidRPr="00DC3F0B">
        <w:rPr>
          <w:rFonts w:cs="Arial"/>
          <w:szCs w:val="21"/>
        </w:rPr>
        <w:t>professionals</w:t>
      </w:r>
      <w:r w:rsidRPr="00DC3F0B">
        <w:rPr>
          <w:rFonts w:cs="Arial"/>
          <w:szCs w:val="21"/>
        </w:rPr>
        <w:t xml:space="preserve"> involved in their care.</w:t>
      </w:r>
    </w:p>
    <w:p w14:paraId="6CF1771A" w14:textId="77777777" w:rsidR="00C1152C" w:rsidRPr="00E77C38" w:rsidRDefault="00C1152C" w:rsidP="00C1152C">
      <w:pPr>
        <w:pStyle w:val="Heading2"/>
      </w:pPr>
      <w:r w:rsidRPr="00E77C38">
        <w:t>Promoting the quality use of medicines and medicines safety across the health system</w:t>
      </w:r>
    </w:p>
    <w:p w14:paraId="06731556" w14:textId="75FBD1A3" w:rsidR="00C1152C" w:rsidRPr="00DC3F0B" w:rsidRDefault="00C1152C" w:rsidP="00C1152C">
      <w:pPr>
        <w:pStyle w:val="Paragraphtext"/>
        <w:rPr>
          <w:rFonts w:cs="Arial"/>
          <w:szCs w:val="21"/>
        </w:rPr>
      </w:pPr>
      <w:r w:rsidRPr="00DC3F0B">
        <w:rPr>
          <w:rFonts w:cs="Arial"/>
          <w:szCs w:val="21"/>
        </w:rPr>
        <w:t>Reducing harm and promoting the</w:t>
      </w:r>
      <w:r w:rsidR="003549C5" w:rsidRPr="00DC3F0B">
        <w:rPr>
          <w:rFonts w:cs="Arial"/>
          <w:szCs w:val="21"/>
        </w:rPr>
        <w:t xml:space="preserve"> safe and</w:t>
      </w:r>
      <w:r w:rsidRPr="00DC3F0B">
        <w:rPr>
          <w:rFonts w:cs="Arial"/>
          <w:szCs w:val="21"/>
        </w:rPr>
        <w:t xml:space="preserve"> best possible use of medicines is a continuous process. It requires health professionals to be up</w:t>
      </w:r>
      <w:r w:rsidR="008A75C6">
        <w:rPr>
          <w:rFonts w:cs="Arial"/>
          <w:szCs w:val="21"/>
        </w:rPr>
        <w:t>-</w:t>
      </w:r>
      <w:r w:rsidRPr="00DC3F0B">
        <w:rPr>
          <w:rFonts w:cs="Arial"/>
          <w:szCs w:val="21"/>
        </w:rPr>
        <w:t>to</w:t>
      </w:r>
      <w:r w:rsidR="008A75C6">
        <w:rPr>
          <w:rFonts w:cs="Arial"/>
          <w:szCs w:val="21"/>
        </w:rPr>
        <w:t>-</w:t>
      </w:r>
      <w:r w:rsidRPr="00DC3F0B">
        <w:rPr>
          <w:rFonts w:cs="Arial"/>
          <w:szCs w:val="21"/>
        </w:rPr>
        <w:t xml:space="preserve">date with the development and appropriate use of existing and emerging medicines and health technologies. Medicines – whether prescribed, recommended or self-selected – should only be used when clinically appropriate, in </w:t>
      </w:r>
      <w:r w:rsidR="003549C5" w:rsidRPr="00DC3F0B">
        <w:rPr>
          <w:rFonts w:cs="Arial"/>
          <w:szCs w:val="21"/>
        </w:rPr>
        <w:t>accordance with</w:t>
      </w:r>
      <w:r w:rsidRPr="00DC3F0B">
        <w:rPr>
          <w:rFonts w:cs="Arial"/>
          <w:szCs w:val="21"/>
        </w:rPr>
        <w:t xml:space="preserve"> best practice. Health professionals </w:t>
      </w:r>
      <w:r w:rsidR="00445E90" w:rsidRPr="00DC3F0B">
        <w:rPr>
          <w:rFonts w:cs="Arial"/>
          <w:szCs w:val="21"/>
        </w:rPr>
        <w:t xml:space="preserve">must </w:t>
      </w:r>
      <w:r w:rsidRPr="00DC3F0B">
        <w:rPr>
          <w:rFonts w:cs="Arial"/>
          <w:szCs w:val="21"/>
        </w:rPr>
        <w:t>be trained in person-centred care and informed decision-making to enable discussions on treatment options</w:t>
      </w:r>
      <w:r w:rsidR="003549C5" w:rsidRPr="00DC3F0B">
        <w:rPr>
          <w:rFonts w:cs="Arial"/>
          <w:szCs w:val="21"/>
        </w:rPr>
        <w:t>, including medicines, as part of their care.</w:t>
      </w:r>
    </w:p>
    <w:p w14:paraId="08064582" w14:textId="04992955" w:rsidR="00C1152C" w:rsidRPr="00DC3F0B" w:rsidRDefault="00C1152C" w:rsidP="00C1152C">
      <w:pPr>
        <w:pStyle w:val="Paragraphtext"/>
        <w:rPr>
          <w:rFonts w:cs="Arial"/>
          <w:szCs w:val="21"/>
        </w:rPr>
      </w:pPr>
      <w:r w:rsidRPr="00DC3F0B">
        <w:rPr>
          <w:rFonts w:cs="Arial"/>
          <w:szCs w:val="21"/>
        </w:rPr>
        <w:t xml:space="preserve">Collaborative efforts by all partners to minimise the risk of harm from the </w:t>
      </w:r>
      <w:r w:rsidR="00C4502E" w:rsidRPr="00DC3F0B">
        <w:rPr>
          <w:rFonts w:cs="Arial"/>
          <w:szCs w:val="21"/>
        </w:rPr>
        <w:t xml:space="preserve">use, </w:t>
      </w:r>
      <w:r w:rsidRPr="00DC3F0B">
        <w:rPr>
          <w:rFonts w:cs="Arial"/>
          <w:szCs w:val="21"/>
        </w:rPr>
        <w:t>overuse, underuse and misuse of medicines is crucial. Specific examples include:</w:t>
      </w:r>
    </w:p>
    <w:p w14:paraId="223CC098" w14:textId="0E4604F6" w:rsidR="00C4502E" w:rsidRPr="00DC3F0B" w:rsidRDefault="00C4502E" w:rsidP="00C1152C">
      <w:pPr>
        <w:pStyle w:val="Paragraphtext"/>
        <w:numPr>
          <w:ilvl w:val="0"/>
          <w:numId w:val="21"/>
        </w:numPr>
        <w:rPr>
          <w:rFonts w:cs="Arial"/>
          <w:szCs w:val="21"/>
        </w:rPr>
      </w:pPr>
      <w:r w:rsidRPr="00DC3F0B">
        <w:rPr>
          <w:rFonts w:cs="Arial"/>
          <w:szCs w:val="21"/>
        </w:rPr>
        <w:t>actively monitoring people for early signs and symptoms of medicine harm</w:t>
      </w:r>
      <w:r w:rsidR="00D020D3" w:rsidRPr="00DC3F0B">
        <w:rPr>
          <w:rFonts w:cs="Arial"/>
          <w:szCs w:val="21"/>
        </w:rPr>
        <w:t xml:space="preserve"> or misuse</w:t>
      </w:r>
      <w:r w:rsidRPr="00DC3F0B">
        <w:rPr>
          <w:rFonts w:cs="Arial"/>
          <w:szCs w:val="21"/>
        </w:rPr>
        <w:t>.</w:t>
      </w:r>
    </w:p>
    <w:p w14:paraId="2736A951" w14:textId="30C6E71F" w:rsidR="00C4502E" w:rsidRPr="00D8062C" w:rsidRDefault="00C4502E" w:rsidP="00C1152C">
      <w:pPr>
        <w:pStyle w:val="Paragraphtext"/>
        <w:numPr>
          <w:ilvl w:val="0"/>
          <w:numId w:val="21"/>
        </w:numPr>
        <w:rPr>
          <w:rFonts w:cs="Arial"/>
          <w:szCs w:val="21"/>
        </w:rPr>
      </w:pPr>
      <w:r w:rsidRPr="00DC3F0B">
        <w:rPr>
          <w:rFonts w:cs="Arial"/>
          <w:szCs w:val="21"/>
        </w:rPr>
        <w:t>actively asking people who have started a new medicine about any symptoms</w:t>
      </w:r>
      <w:r w:rsidR="009902C4" w:rsidRPr="00DC3F0B">
        <w:rPr>
          <w:rFonts w:cs="Arial"/>
          <w:szCs w:val="21"/>
        </w:rPr>
        <w:t xml:space="preserve"> or side effects</w:t>
      </w:r>
      <w:r w:rsidRPr="00DC3F0B">
        <w:rPr>
          <w:rFonts w:cs="Arial"/>
          <w:szCs w:val="21"/>
        </w:rPr>
        <w:t xml:space="preserve"> they </w:t>
      </w:r>
      <w:r w:rsidR="00212C30" w:rsidRPr="00DC3F0B">
        <w:rPr>
          <w:rFonts w:cs="Arial"/>
          <w:szCs w:val="21"/>
        </w:rPr>
        <w:t xml:space="preserve">are </w:t>
      </w:r>
      <w:r w:rsidRPr="00DC3F0B">
        <w:rPr>
          <w:rFonts w:cs="Arial"/>
          <w:szCs w:val="21"/>
        </w:rPr>
        <w:t>experienc</w:t>
      </w:r>
      <w:r w:rsidR="00212C30" w:rsidRPr="00DC3F0B">
        <w:rPr>
          <w:rFonts w:cs="Arial"/>
          <w:szCs w:val="21"/>
        </w:rPr>
        <w:t>ing</w:t>
      </w:r>
      <w:r w:rsidRPr="00DC3F0B">
        <w:rPr>
          <w:rFonts w:cs="Arial"/>
          <w:szCs w:val="21"/>
        </w:rPr>
        <w:t>.</w:t>
      </w:r>
    </w:p>
    <w:p w14:paraId="73A547B8" w14:textId="6C4ED462" w:rsidR="00C1152C" w:rsidRPr="00FE618A" w:rsidRDefault="00C1152C" w:rsidP="00C1152C">
      <w:pPr>
        <w:pStyle w:val="Paragraphtext"/>
        <w:numPr>
          <w:ilvl w:val="0"/>
          <w:numId w:val="21"/>
        </w:numPr>
        <w:rPr>
          <w:rFonts w:cs="Arial"/>
          <w:szCs w:val="21"/>
        </w:rPr>
      </w:pPr>
      <w:r w:rsidRPr="00D8062C">
        <w:rPr>
          <w:rFonts w:cs="Arial"/>
          <w:szCs w:val="21"/>
        </w:rPr>
        <w:lastRenderedPageBreak/>
        <w:t xml:space="preserve">appropriate use of </w:t>
      </w:r>
      <w:r w:rsidR="005801CE" w:rsidRPr="00AA1F16">
        <w:rPr>
          <w:rFonts w:cs="Arial"/>
          <w:szCs w:val="21"/>
        </w:rPr>
        <w:t xml:space="preserve">antimicrobials (including </w:t>
      </w:r>
      <w:r w:rsidRPr="00AA1F16">
        <w:rPr>
          <w:rFonts w:cs="Arial"/>
          <w:szCs w:val="21"/>
        </w:rPr>
        <w:t>antibiotics</w:t>
      </w:r>
      <w:r w:rsidR="005801CE" w:rsidRPr="00165D10">
        <w:rPr>
          <w:rFonts w:cs="Arial"/>
          <w:szCs w:val="21"/>
        </w:rPr>
        <w:t>, antivirals, ant</w:t>
      </w:r>
      <w:r w:rsidR="005801CE" w:rsidRPr="00701CAB">
        <w:rPr>
          <w:rFonts w:cs="Arial"/>
          <w:szCs w:val="21"/>
        </w:rPr>
        <w:t>ifungal and antiparasitic agents)</w:t>
      </w:r>
      <w:r w:rsidRPr="00AC2E07">
        <w:rPr>
          <w:rFonts w:cs="Arial"/>
          <w:szCs w:val="21"/>
        </w:rPr>
        <w:t xml:space="preserve"> to reduce antimicrobial resistance.</w:t>
      </w:r>
    </w:p>
    <w:p w14:paraId="26BD403A" w14:textId="77777777" w:rsidR="00C1152C" w:rsidRPr="00DC3F0B" w:rsidRDefault="00C1152C" w:rsidP="00C1152C">
      <w:pPr>
        <w:pStyle w:val="Paragraphtext"/>
        <w:numPr>
          <w:ilvl w:val="0"/>
          <w:numId w:val="21"/>
        </w:numPr>
        <w:rPr>
          <w:rFonts w:cs="Arial"/>
          <w:szCs w:val="21"/>
        </w:rPr>
      </w:pPr>
      <w:r w:rsidRPr="00DC3F0B">
        <w:rPr>
          <w:rFonts w:cs="Arial"/>
          <w:szCs w:val="21"/>
        </w:rPr>
        <w:t>monitoring and responding to inappropriate polypharmacy (the use of multiple drugs).</w:t>
      </w:r>
    </w:p>
    <w:p w14:paraId="4555B794" w14:textId="0CE5D733" w:rsidR="00C1152C" w:rsidRPr="00DC3F0B" w:rsidRDefault="00C1152C" w:rsidP="00C1152C">
      <w:pPr>
        <w:pStyle w:val="Paragraphtext"/>
        <w:numPr>
          <w:ilvl w:val="0"/>
          <w:numId w:val="21"/>
        </w:numPr>
        <w:rPr>
          <w:rFonts w:cs="Arial"/>
          <w:szCs w:val="21"/>
        </w:rPr>
      </w:pPr>
      <w:r w:rsidRPr="00DC3F0B">
        <w:rPr>
          <w:rFonts w:cs="Arial"/>
          <w:szCs w:val="21"/>
        </w:rPr>
        <w:t>deprescribing (</w:t>
      </w:r>
      <w:r w:rsidR="00212C30" w:rsidRPr="00DC3F0B">
        <w:rPr>
          <w:rFonts w:cs="Arial"/>
          <w:szCs w:val="21"/>
        </w:rPr>
        <w:t>ceasing</w:t>
      </w:r>
      <w:r w:rsidRPr="00DC3F0B">
        <w:rPr>
          <w:rFonts w:cs="Arial"/>
          <w:szCs w:val="21"/>
        </w:rPr>
        <w:t>) unnecessary medicines.</w:t>
      </w:r>
    </w:p>
    <w:p w14:paraId="04707FB0" w14:textId="687D7C84" w:rsidR="00C1152C" w:rsidRPr="00DC3F0B" w:rsidRDefault="00C1152C" w:rsidP="00C1152C">
      <w:pPr>
        <w:pStyle w:val="Paragraphtext"/>
        <w:numPr>
          <w:ilvl w:val="0"/>
          <w:numId w:val="21"/>
        </w:numPr>
        <w:rPr>
          <w:rFonts w:cs="Arial"/>
          <w:szCs w:val="21"/>
        </w:rPr>
      </w:pPr>
      <w:r w:rsidRPr="00DC3F0B">
        <w:rPr>
          <w:rFonts w:cs="Arial"/>
          <w:szCs w:val="21"/>
        </w:rPr>
        <w:t>reducing harm from high-risk medicines</w:t>
      </w:r>
      <w:r w:rsidR="00C4502E" w:rsidRPr="00DC3F0B">
        <w:rPr>
          <w:rFonts w:cs="Arial"/>
          <w:szCs w:val="21"/>
        </w:rPr>
        <w:t>.</w:t>
      </w:r>
    </w:p>
    <w:p w14:paraId="6ADF2B06" w14:textId="2807FA4D" w:rsidR="00C1152C" w:rsidRPr="00DC3F0B" w:rsidRDefault="00C1152C" w:rsidP="00C1152C">
      <w:pPr>
        <w:pStyle w:val="Paragraphtext"/>
        <w:numPr>
          <w:ilvl w:val="0"/>
          <w:numId w:val="21"/>
        </w:numPr>
        <w:rPr>
          <w:rFonts w:cs="Arial"/>
          <w:szCs w:val="21"/>
        </w:rPr>
      </w:pPr>
      <w:r w:rsidRPr="00DC3F0B">
        <w:rPr>
          <w:rFonts w:cs="Arial"/>
          <w:szCs w:val="21"/>
        </w:rPr>
        <w:t xml:space="preserve">improving </w:t>
      </w:r>
      <w:r w:rsidR="00212C30" w:rsidRPr="00DC3F0B">
        <w:rPr>
          <w:rFonts w:cs="Arial"/>
          <w:szCs w:val="21"/>
        </w:rPr>
        <w:t xml:space="preserve">the safe and quality use of medicines </w:t>
      </w:r>
      <w:r w:rsidRPr="00DC3F0B">
        <w:rPr>
          <w:rFonts w:cs="Arial"/>
          <w:szCs w:val="21"/>
        </w:rPr>
        <w:t>at transitions of care and in all settings</w:t>
      </w:r>
      <w:r w:rsidR="00450293" w:rsidRPr="00DC3F0B">
        <w:rPr>
          <w:rFonts w:cs="Arial"/>
          <w:szCs w:val="21"/>
        </w:rPr>
        <w:t xml:space="preserve">, including through </w:t>
      </w:r>
      <w:r w:rsidR="00A6118F" w:rsidRPr="00DC3F0B">
        <w:rPr>
          <w:rFonts w:cs="Arial"/>
          <w:szCs w:val="21"/>
        </w:rPr>
        <w:t xml:space="preserve">effective information transfer and </w:t>
      </w:r>
      <w:r w:rsidR="00450293" w:rsidRPr="00DC3F0B">
        <w:rPr>
          <w:rFonts w:cs="Arial"/>
          <w:szCs w:val="21"/>
        </w:rPr>
        <w:t>medic</w:t>
      </w:r>
      <w:r w:rsidR="00212C30" w:rsidRPr="00DC3F0B">
        <w:rPr>
          <w:rFonts w:cs="Arial"/>
          <w:szCs w:val="21"/>
        </w:rPr>
        <w:t xml:space="preserve">ation </w:t>
      </w:r>
      <w:r w:rsidR="00450293" w:rsidRPr="00DC3F0B">
        <w:rPr>
          <w:rFonts w:cs="Arial"/>
          <w:szCs w:val="21"/>
        </w:rPr>
        <w:t>reconciliation</w:t>
      </w:r>
      <w:r w:rsidR="00212C30" w:rsidRPr="00DC3F0B">
        <w:rPr>
          <w:rFonts w:cs="Arial"/>
          <w:szCs w:val="21"/>
        </w:rPr>
        <w:t xml:space="preserve"> and review</w:t>
      </w:r>
      <w:r w:rsidR="00450293" w:rsidRPr="00DC3F0B">
        <w:rPr>
          <w:rFonts w:cs="Arial"/>
          <w:szCs w:val="21"/>
        </w:rPr>
        <w:t xml:space="preserve"> where appropriate.</w:t>
      </w:r>
    </w:p>
    <w:p w14:paraId="0E8265D7" w14:textId="5B280C5F" w:rsidR="00C1152C" w:rsidRPr="00DC3F0B" w:rsidRDefault="00212C30" w:rsidP="00C1152C">
      <w:pPr>
        <w:pStyle w:val="Paragraphtext"/>
        <w:rPr>
          <w:rFonts w:cs="Arial"/>
          <w:szCs w:val="21"/>
        </w:rPr>
      </w:pPr>
      <w:r w:rsidRPr="00DC3F0B">
        <w:rPr>
          <w:rFonts w:cs="Arial"/>
          <w:szCs w:val="21"/>
        </w:rPr>
        <w:t xml:space="preserve">Medicines are an important element of almost every type of care and are the most common form of healthcare intervention. </w:t>
      </w:r>
      <w:r w:rsidR="00C1152C" w:rsidRPr="00DC3F0B">
        <w:rPr>
          <w:rFonts w:cs="Arial"/>
          <w:szCs w:val="21"/>
        </w:rPr>
        <w:t xml:space="preserve">NMP partners recognise that supporting </w:t>
      </w:r>
      <w:r w:rsidRPr="00DC3F0B">
        <w:rPr>
          <w:rFonts w:cs="Arial"/>
          <w:szCs w:val="21"/>
        </w:rPr>
        <w:t>individuals,</w:t>
      </w:r>
      <w:r w:rsidR="009902C4" w:rsidRPr="00DC3F0B">
        <w:rPr>
          <w:rFonts w:cs="Arial"/>
          <w:szCs w:val="21"/>
        </w:rPr>
        <w:t xml:space="preserve"> their</w:t>
      </w:r>
      <w:r w:rsidRPr="00DC3F0B">
        <w:rPr>
          <w:rFonts w:cs="Arial"/>
          <w:szCs w:val="21"/>
        </w:rPr>
        <w:t xml:space="preserve"> families and</w:t>
      </w:r>
      <w:r w:rsidR="009902C4" w:rsidRPr="00DC3F0B">
        <w:rPr>
          <w:rFonts w:cs="Arial"/>
          <w:szCs w:val="21"/>
        </w:rPr>
        <w:t>/or</w:t>
      </w:r>
      <w:r w:rsidRPr="00DC3F0B">
        <w:rPr>
          <w:rFonts w:cs="Arial"/>
          <w:szCs w:val="21"/>
        </w:rPr>
        <w:t xml:space="preserve"> carers and </w:t>
      </w:r>
      <w:r w:rsidR="00C1152C" w:rsidRPr="00DC3F0B">
        <w:rPr>
          <w:rFonts w:cs="Arial"/>
          <w:szCs w:val="21"/>
        </w:rPr>
        <w:t>health professionals and the health system in the</w:t>
      </w:r>
      <w:r w:rsidRPr="00DC3F0B">
        <w:rPr>
          <w:rFonts w:cs="Arial"/>
          <w:szCs w:val="21"/>
        </w:rPr>
        <w:t xml:space="preserve"> safe and</w:t>
      </w:r>
      <w:r w:rsidR="00C1152C" w:rsidRPr="00DC3F0B">
        <w:rPr>
          <w:rFonts w:cs="Arial"/>
          <w:szCs w:val="21"/>
        </w:rPr>
        <w:t xml:space="preserve"> quality use of medicines requires:</w:t>
      </w:r>
    </w:p>
    <w:p w14:paraId="3B89A8DF" w14:textId="105D5A0D" w:rsidR="00C1152C" w:rsidRPr="00DC3F0B" w:rsidRDefault="00C1152C" w:rsidP="00C1152C">
      <w:pPr>
        <w:pStyle w:val="ListNumber2"/>
        <w:rPr>
          <w:rFonts w:cs="Arial"/>
          <w:szCs w:val="21"/>
        </w:rPr>
      </w:pPr>
      <w:r w:rsidRPr="00DC3F0B">
        <w:rPr>
          <w:rFonts w:cs="Arial"/>
          <w:szCs w:val="21"/>
        </w:rPr>
        <w:t>leadership that builds a culture of coordination and collaboration of programs</w:t>
      </w:r>
      <w:r w:rsidR="00212C30" w:rsidRPr="00DC3F0B">
        <w:rPr>
          <w:rFonts w:cs="Arial"/>
          <w:szCs w:val="21"/>
        </w:rPr>
        <w:t>,</w:t>
      </w:r>
      <w:r w:rsidRPr="00DC3F0B">
        <w:rPr>
          <w:rFonts w:cs="Arial"/>
          <w:szCs w:val="21"/>
        </w:rPr>
        <w:t xml:space="preserve"> initiatives </w:t>
      </w:r>
      <w:r w:rsidR="00212C30" w:rsidRPr="00DC3F0B">
        <w:rPr>
          <w:rFonts w:cs="Arial"/>
          <w:szCs w:val="21"/>
        </w:rPr>
        <w:t>and support</w:t>
      </w:r>
      <w:r w:rsidRPr="00DC3F0B">
        <w:rPr>
          <w:rFonts w:cs="Arial"/>
          <w:szCs w:val="21"/>
        </w:rPr>
        <w:t>.</w:t>
      </w:r>
    </w:p>
    <w:p w14:paraId="2B203C98" w14:textId="685466F5" w:rsidR="00C1152C" w:rsidRPr="00E77C38" w:rsidRDefault="00212C30" w:rsidP="00C1152C">
      <w:pPr>
        <w:pStyle w:val="ListNumber2"/>
        <w:rPr>
          <w:rFonts w:eastAsia="Arial" w:cs="Arial"/>
          <w:szCs w:val="21"/>
        </w:rPr>
      </w:pPr>
      <w:r w:rsidRPr="00DC3F0B">
        <w:rPr>
          <w:rFonts w:cs="Arial"/>
          <w:szCs w:val="21"/>
        </w:rPr>
        <w:t xml:space="preserve">guidance including </w:t>
      </w:r>
      <w:r w:rsidR="00C1152C" w:rsidRPr="00DC3F0B">
        <w:rPr>
          <w:rFonts w:cs="Arial"/>
          <w:szCs w:val="21"/>
        </w:rPr>
        <w:t>policies, guidelines, accreditation standards and clinical information systems that guide the</w:t>
      </w:r>
      <w:r w:rsidR="009902C4" w:rsidRPr="00DC3F0B">
        <w:rPr>
          <w:rFonts w:cs="Arial"/>
          <w:szCs w:val="21"/>
        </w:rPr>
        <w:t xml:space="preserve"> safe and</w:t>
      </w:r>
      <w:r w:rsidR="00C1152C" w:rsidRPr="00DC3F0B">
        <w:rPr>
          <w:rFonts w:cs="Arial"/>
          <w:szCs w:val="21"/>
        </w:rPr>
        <w:t xml:space="preserve"> quality use of medicines. This requires increasing the effectiveness and interoperability of digital systems and the use of smart technologies.</w:t>
      </w:r>
    </w:p>
    <w:p w14:paraId="0EC154EF" w14:textId="77777777" w:rsidR="00C1152C" w:rsidRPr="00DC3F0B" w:rsidRDefault="00C1152C" w:rsidP="00C1152C">
      <w:pPr>
        <w:pStyle w:val="ListNumber2"/>
        <w:rPr>
          <w:rFonts w:cs="Arial"/>
          <w:szCs w:val="21"/>
        </w:rPr>
      </w:pPr>
      <w:r w:rsidRPr="00DC3F0B">
        <w:rPr>
          <w:rFonts w:cs="Arial"/>
          <w:szCs w:val="21"/>
        </w:rPr>
        <w:t>education, training and awareness campaigns to support health professionals to safely prescribe, dispense and administer medicines, monitor their effects, deprescribe when necessary, and engage people in decision-making about their use of medicines.</w:t>
      </w:r>
    </w:p>
    <w:p w14:paraId="29E413C4" w14:textId="7AB8493E" w:rsidR="00C1152C" w:rsidRPr="00AA1F16" w:rsidRDefault="00C1152C" w:rsidP="00C1152C">
      <w:pPr>
        <w:pStyle w:val="ListNumber2"/>
        <w:rPr>
          <w:rFonts w:cs="Arial"/>
          <w:szCs w:val="21"/>
        </w:rPr>
      </w:pPr>
      <w:r w:rsidRPr="00DC3F0B">
        <w:rPr>
          <w:rFonts w:cs="Arial"/>
          <w:szCs w:val="21"/>
        </w:rPr>
        <w:t xml:space="preserve">access to </w:t>
      </w:r>
      <w:r w:rsidR="00212C30" w:rsidRPr="00DC3F0B">
        <w:rPr>
          <w:rFonts w:cs="Arial"/>
          <w:szCs w:val="21"/>
        </w:rPr>
        <w:t>up-to-date, evidence-based, trusted, reliable and good quality</w:t>
      </w:r>
      <w:r w:rsidRPr="00DC3F0B">
        <w:rPr>
          <w:rFonts w:cs="Arial"/>
          <w:szCs w:val="21"/>
        </w:rPr>
        <w:t xml:space="preserve"> information relevant to the Australian health system</w:t>
      </w:r>
      <w:r w:rsidR="00212C30" w:rsidRPr="00DC3F0B">
        <w:rPr>
          <w:rFonts w:cs="Arial"/>
          <w:szCs w:val="21"/>
        </w:rPr>
        <w:t xml:space="preserve">. </w:t>
      </w:r>
      <w:r w:rsidR="009902C4" w:rsidRPr="00DC3F0B">
        <w:rPr>
          <w:rFonts w:cs="Arial"/>
          <w:szCs w:val="21"/>
        </w:rPr>
        <w:t>This includes access to medicines-related i</w:t>
      </w:r>
      <w:r w:rsidR="00212C30" w:rsidRPr="00DC3F0B">
        <w:rPr>
          <w:rFonts w:cs="Arial"/>
          <w:szCs w:val="21"/>
        </w:rPr>
        <w:t xml:space="preserve">nformation </w:t>
      </w:r>
      <w:r w:rsidR="009902C4" w:rsidRPr="00DC3F0B">
        <w:rPr>
          <w:rFonts w:cs="Arial"/>
          <w:szCs w:val="21"/>
        </w:rPr>
        <w:t xml:space="preserve">across </w:t>
      </w:r>
      <w:r w:rsidRPr="00DC3F0B">
        <w:rPr>
          <w:rFonts w:cs="Arial"/>
          <w:szCs w:val="21"/>
        </w:rPr>
        <w:t>the full</w:t>
      </w:r>
      <w:r w:rsidR="00212C30" w:rsidRPr="00DC3F0B">
        <w:rPr>
          <w:rFonts w:cs="Arial"/>
          <w:szCs w:val="21"/>
        </w:rPr>
        <w:t xml:space="preserve"> medication management pathway</w:t>
      </w:r>
      <w:r w:rsidRPr="00DC3F0B">
        <w:rPr>
          <w:rFonts w:cs="Arial"/>
          <w:szCs w:val="21"/>
        </w:rPr>
        <w:t xml:space="preserve"> and </w:t>
      </w:r>
      <w:r w:rsidR="009902C4" w:rsidRPr="00DC3F0B">
        <w:rPr>
          <w:rFonts w:cs="Arial"/>
          <w:szCs w:val="21"/>
        </w:rPr>
        <w:t>healthcare</w:t>
      </w:r>
      <w:r w:rsidRPr="00DC3F0B">
        <w:rPr>
          <w:rFonts w:cs="Arial"/>
          <w:szCs w:val="21"/>
        </w:rPr>
        <w:t xml:space="preserve"> journey</w:t>
      </w:r>
      <w:r w:rsidR="009902C4" w:rsidRPr="00DC3F0B">
        <w:rPr>
          <w:rFonts w:cs="Arial"/>
          <w:szCs w:val="21"/>
        </w:rPr>
        <w:t>,</w:t>
      </w:r>
      <w:r w:rsidR="00212C30" w:rsidRPr="00DC3F0B">
        <w:rPr>
          <w:rFonts w:cs="Arial"/>
          <w:szCs w:val="21"/>
        </w:rPr>
        <w:t xml:space="preserve"> and</w:t>
      </w:r>
      <w:r w:rsidRPr="00DC3F0B">
        <w:rPr>
          <w:rFonts w:cs="Arial"/>
          <w:szCs w:val="21"/>
        </w:rPr>
        <w:t xml:space="preserve"> </w:t>
      </w:r>
      <w:r w:rsidR="009902C4" w:rsidRPr="00DC3F0B">
        <w:rPr>
          <w:rFonts w:cs="Arial"/>
          <w:szCs w:val="21"/>
        </w:rPr>
        <w:t xml:space="preserve">which </w:t>
      </w:r>
      <w:r w:rsidRPr="00DC3F0B">
        <w:rPr>
          <w:rFonts w:cs="Arial"/>
          <w:szCs w:val="21"/>
        </w:rPr>
        <w:t>addresses misinformation and the unethical promotion of medicines</w:t>
      </w:r>
      <w:r w:rsidRPr="00D8062C">
        <w:rPr>
          <w:rFonts w:cs="Arial"/>
          <w:szCs w:val="21"/>
        </w:rPr>
        <w:t>.</w:t>
      </w:r>
    </w:p>
    <w:p w14:paraId="2DD70FDC" w14:textId="5803F2A9" w:rsidR="00C1152C" w:rsidRPr="00AC2E07" w:rsidRDefault="00C1152C" w:rsidP="00C1152C">
      <w:pPr>
        <w:pStyle w:val="ListNumber2"/>
        <w:rPr>
          <w:rFonts w:cs="Arial"/>
          <w:szCs w:val="21"/>
        </w:rPr>
      </w:pPr>
      <w:r w:rsidRPr="00AA1F16">
        <w:rPr>
          <w:rFonts w:cs="Arial"/>
          <w:szCs w:val="21"/>
        </w:rPr>
        <w:t>research, evaluation and efficient data collection, to monitor, analyse and report on outcom</w:t>
      </w:r>
      <w:r w:rsidRPr="00701CAB">
        <w:rPr>
          <w:rFonts w:cs="Arial"/>
          <w:szCs w:val="21"/>
        </w:rPr>
        <w:t>es to improve the quality use of medicines and medicines safety.</w:t>
      </w:r>
    </w:p>
    <w:p w14:paraId="2A8118F5" w14:textId="77777777" w:rsidR="00212C30" w:rsidRPr="00E77C38" w:rsidRDefault="00212C30" w:rsidP="00AD0E92">
      <w:pPr>
        <w:pStyle w:val="ListNumber2"/>
        <w:numPr>
          <w:ilvl w:val="0"/>
          <w:numId w:val="0"/>
        </w:numPr>
        <w:ind w:left="644"/>
        <w:rPr>
          <w:rFonts w:eastAsia="Arial" w:cs="Arial"/>
          <w:szCs w:val="21"/>
        </w:rPr>
      </w:pPr>
    </w:p>
    <w:p w14:paraId="2E88339B" w14:textId="77777777" w:rsidR="00C1152C" w:rsidRPr="00DC3F0B" w:rsidRDefault="00C1152C">
      <w:pPr>
        <w:pStyle w:val="ListNumber2"/>
        <w:numPr>
          <w:ilvl w:val="0"/>
          <w:numId w:val="0"/>
        </w:numPr>
        <w:rPr>
          <w:rFonts w:cs="Arial"/>
          <w:bCs/>
          <w:color w:val="3F4A75"/>
          <w:kern w:val="28"/>
          <w:szCs w:val="21"/>
        </w:rPr>
      </w:pPr>
      <w:bookmarkStart w:id="10" w:name="_Hlk87282040"/>
      <w:r w:rsidRPr="00DC3F0B">
        <w:rPr>
          <w:rFonts w:cs="Arial"/>
          <w:szCs w:val="21"/>
        </w:rPr>
        <w:br w:type="page"/>
      </w:r>
    </w:p>
    <w:p w14:paraId="3A307C21" w14:textId="18FA436C" w:rsidR="00C1152C" w:rsidRPr="00E77C38" w:rsidDel="00F80FCD" w:rsidRDefault="00C1152C" w:rsidP="00C1152C">
      <w:pPr>
        <w:pStyle w:val="Heading1"/>
      </w:pPr>
      <w:r w:rsidRPr="00D8062C">
        <w:lastRenderedPageBreak/>
        <w:t xml:space="preserve">Pillar 4: </w:t>
      </w:r>
      <w:r w:rsidR="009E6CF4" w:rsidRPr="00E77C38">
        <w:t>Collaborative</w:t>
      </w:r>
      <w:r w:rsidRPr="00E77C38">
        <w:t>, innovative and sustainable medicines industry and research sectors with the capability, capacity and expertise to respond to current and future health needs</w:t>
      </w:r>
    </w:p>
    <w:bookmarkEnd w:id="10"/>
    <w:p w14:paraId="7116C804" w14:textId="750A1CC8" w:rsidR="00C1152C" w:rsidRPr="00DC3F0B" w:rsidRDefault="00C1152C" w:rsidP="00C1152C">
      <w:pPr>
        <w:pStyle w:val="PolicyStatement"/>
        <w:rPr>
          <w:rFonts w:cs="Arial"/>
          <w:b/>
          <w:bCs/>
          <w:szCs w:val="21"/>
        </w:rPr>
      </w:pPr>
      <w:r w:rsidRPr="00DC3F0B">
        <w:rPr>
          <w:rFonts w:cs="Arial"/>
          <w:b/>
          <w:bCs/>
          <w:szCs w:val="21"/>
        </w:rPr>
        <w:t>Intended outcomes:</w:t>
      </w:r>
    </w:p>
    <w:p w14:paraId="12042CFA" w14:textId="514915E5" w:rsidR="00C1152C" w:rsidRPr="00DC3F0B" w:rsidRDefault="006F5EB2" w:rsidP="00C1152C">
      <w:pPr>
        <w:pStyle w:val="PolicyStatement"/>
        <w:numPr>
          <w:ilvl w:val="0"/>
          <w:numId w:val="16"/>
        </w:numPr>
        <w:spacing w:line="259" w:lineRule="auto"/>
        <w:rPr>
          <w:rFonts w:cs="Arial"/>
          <w:b/>
          <w:bCs/>
          <w:szCs w:val="21"/>
        </w:rPr>
      </w:pPr>
      <w:r w:rsidRPr="00DC3F0B">
        <w:rPr>
          <w:rFonts w:cs="Arial"/>
          <w:b/>
          <w:bCs/>
          <w:szCs w:val="21"/>
        </w:rPr>
        <w:t>Thriving, d</w:t>
      </w:r>
      <w:r w:rsidR="00C1152C" w:rsidRPr="00DC3F0B">
        <w:rPr>
          <w:rFonts w:cs="Arial"/>
          <w:b/>
          <w:bCs/>
          <w:szCs w:val="21"/>
        </w:rPr>
        <w:t>ynamic</w:t>
      </w:r>
      <w:r w:rsidRPr="00DC3F0B">
        <w:rPr>
          <w:rFonts w:cs="Arial"/>
          <w:b/>
          <w:bCs/>
          <w:szCs w:val="21"/>
        </w:rPr>
        <w:t xml:space="preserve"> </w:t>
      </w:r>
      <w:r w:rsidR="007D0FDB" w:rsidRPr="00DC3F0B">
        <w:rPr>
          <w:rFonts w:cs="Arial"/>
          <w:b/>
          <w:bCs/>
          <w:szCs w:val="21"/>
        </w:rPr>
        <w:t>medicines</w:t>
      </w:r>
      <w:r w:rsidR="00C1152C" w:rsidRPr="00DC3F0B">
        <w:rPr>
          <w:rFonts w:cs="Arial"/>
          <w:b/>
          <w:bCs/>
          <w:szCs w:val="21"/>
        </w:rPr>
        <w:t xml:space="preserve"> industry and research sector</w:t>
      </w:r>
      <w:r w:rsidR="00B34FDB" w:rsidRPr="00DC3F0B">
        <w:rPr>
          <w:rFonts w:cs="Arial"/>
          <w:b/>
          <w:bCs/>
          <w:szCs w:val="21"/>
        </w:rPr>
        <w:t>s</w:t>
      </w:r>
      <w:r w:rsidR="00C1152C" w:rsidRPr="00DC3F0B">
        <w:rPr>
          <w:rFonts w:cs="Arial"/>
          <w:b/>
          <w:bCs/>
          <w:szCs w:val="21"/>
        </w:rPr>
        <w:t xml:space="preserve"> </w:t>
      </w:r>
      <w:r w:rsidR="00EE4DDE" w:rsidRPr="00DC3F0B">
        <w:rPr>
          <w:rFonts w:cs="Arial"/>
          <w:b/>
          <w:bCs/>
          <w:szCs w:val="21"/>
        </w:rPr>
        <w:t xml:space="preserve">that </w:t>
      </w:r>
      <w:r w:rsidR="00C1152C" w:rsidRPr="00DC3F0B">
        <w:rPr>
          <w:rFonts w:cs="Arial"/>
          <w:b/>
          <w:bCs/>
          <w:szCs w:val="21"/>
        </w:rPr>
        <w:t xml:space="preserve">are proactively supported </w:t>
      </w:r>
      <w:r w:rsidR="00D31653" w:rsidRPr="00DC3F0B">
        <w:rPr>
          <w:rFonts w:cs="Arial"/>
          <w:b/>
          <w:bCs/>
          <w:szCs w:val="21"/>
        </w:rPr>
        <w:t xml:space="preserve">to </w:t>
      </w:r>
      <w:r w:rsidR="00C1152C" w:rsidRPr="00DC3F0B">
        <w:rPr>
          <w:rFonts w:cs="Arial"/>
          <w:b/>
          <w:bCs/>
          <w:szCs w:val="21"/>
        </w:rPr>
        <w:t>contribut</w:t>
      </w:r>
      <w:r w:rsidR="00D31653" w:rsidRPr="00DC3F0B">
        <w:rPr>
          <w:rFonts w:cs="Arial"/>
          <w:b/>
          <w:bCs/>
          <w:szCs w:val="21"/>
        </w:rPr>
        <w:t>e</w:t>
      </w:r>
      <w:r w:rsidR="00C1152C" w:rsidRPr="00DC3F0B">
        <w:rPr>
          <w:rFonts w:cs="Arial"/>
          <w:b/>
          <w:bCs/>
          <w:szCs w:val="21"/>
        </w:rPr>
        <w:t xml:space="preserve"> </w:t>
      </w:r>
      <w:r w:rsidR="00D31653" w:rsidRPr="00DC3F0B">
        <w:rPr>
          <w:rFonts w:cs="Arial"/>
          <w:b/>
          <w:bCs/>
          <w:szCs w:val="21"/>
        </w:rPr>
        <w:t xml:space="preserve">to </w:t>
      </w:r>
      <w:r w:rsidR="00C1152C" w:rsidRPr="00DC3F0B">
        <w:rPr>
          <w:rFonts w:cs="Arial"/>
          <w:b/>
          <w:bCs/>
          <w:szCs w:val="21"/>
        </w:rPr>
        <w:t xml:space="preserve">meeting current and future health needs in Australia and internationally. The sectors work within a </w:t>
      </w:r>
      <w:r w:rsidR="007552FA" w:rsidRPr="00DC3F0B">
        <w:rPr>
          <w:rFonts w:cs="Arial"/>
          <w:b/>
          <w:bCs/>
          <w:szCs w:val="21"/>
        </w:rPr>
        <w:t>positive</w:t>
      </w:r>
      <w:r w:rsidR="00C1152C" w:rsidRPr="00DC3F0B">
        <w:rPr>
          <w:rFonts w:cs="Arial"/>
          <w:b/>
          <w:bCs/>
          <w:szCs w:val="21"/>
        </w:rPr>
        <w:t xml:space="preserve">, sustainable and responsive </w:t>
      </w:r>
      <w:r w:rsidR="007D0FDB" w:rsidRPr="00DC3F0B">
        <w:rPr>
          <w:rFonts w:cs="Arial"/>
          <w:b/>
          <w:bCs/>
          <w:szCs w:val="21"/>
        </w:rPr>
        <w:t xml:space="preserve">policy </w:t>
      </w:r>
      <w:r w:rsidR="00C1152C" w:rsidRPr="00DC3F0B">
        <w:rPr>
          <w:rFonts w:cs="Arial"/>
          <w:b/>
          <w:bCs/>
          <w:szCs w:val="21"/>
        </w:rPr>
        <w:t xml:space="preserve">environment that delivers and promotes </w:t>
      </w:r>
      <w:r w:rsidR="00E76E0F" w:rsidRPr="00DC3F0B">
        <w:rPr>
          <w:rFonts w:cs="Arial"/>
          <w:b/>
          <w:bCs/>
          <w:szCs w:val="21"/>
        </w:rPr>
        <w:t xml:space="preserve">world-class </w:t>
      </w:r>
      <w:r w:rsidR="00C1152C" w:rsidRPr="00DC3F0B">
        <w:rPr>
          <w:rFonts w:cs="Arial"/>
          <w:b/>
          <w:bCs/>
          <w:szCs w:val="21"/>
        </w:rPr>
        <w:t>innovation</w:t>
      </w:r>
      <w:r w:rsidR="00EE4DDE" w:rsidRPr="00DC3F0B">
        <w:rPr>
          <w:rFonts w:cs="Arial"/>
          <w:b/>
          <w:bCs/>
          <w:szCs w:val="21"/>
        </w:rPr>
        <w:t>,</w:t>
      </w:r>
      <w:r w:rsidR="00C1152C" w:rsidRPr="00DC3F0B">
        <w:rPr>
          <w:rFonts w:cs="Arial"/>
          <w:b/>
          <w:bCs/>
          <w:szCs w:val="21"/>
        </w:rPr>
        <w:t xml:space="preserve"> </w:t>
      </w:r>
      <w:r w:rsidR="003C63AC" w:rsidRPr="00DC3F0B">
        <w:rPr>
          <w:rFonts w:cs="Arial"/>
          <w:b/>
          <w:bCs/>
          <w:szCs w:val="21"/>
        </w:rPr>
        <w:t xml:space="preserve">including </w:t>
      </w:r>
      <w:r w:rsidR="00C1152C" w:rsidRPr="00DC3F0B">
        <w:rPr>
          <w:rFonts w:cs="Arial"/>
          <w:b/>
          <w:bCs/>
          <w:szCs w:val="21"/>
        </w:rPr>
        <w:t>encourag</w:t>
      </w:r>
      <w:r w:rsidR="003C63AC" w:rsidRPr="00DC3F0B">
        <w:rPr>
          <w:rFonts w:cs="Arial"/>
          <w:b/>
          <w:bCs/>
          <w:szCs w:val="21"/>
        </w:rPr>
        <w:t>ing</w:t>
      </w:r>
      <w:r w:rsidR="00C1152C" w:rsidRPr="00DC3F0B">
        <w:rPr>
          <w:rFonts w:cs="Arial"/>
          <w:b/>
          <w:bCs/>
          <w:szCs w:val="21"/>
        </w:rPr>
        <w:t xml:space="preserve"> the development and commercialisation of medicines</w:t>
      </w:r>
      <w:r w:rsidR="007552FA" w:rsidRPr="00DC3F0B">
        <w:rPr>
          <w:rFonts w:cs="Arial"/>
          <w:b/>
          <w:bCs/>
          <w:szCs w:val="21"/>
        </w:rPr>
        <w:t xml:space="preserve">, new </w:t>
      </w:r>
      <w:r w:rsidR="00C1152C" w:rsidRPr="00DC3F0B">
        <w:rPr>
          <w:rFonts w:cs="Arial"/>
          <w:b/>
          <w:bCs/>
          <w:szCs w:val="21"/>
        </w:rPr>
        <w:t>technologies</w:t>
      </w:r>
      <w:r w:rsidR="007552FA" w:rsidRPr="00DC3F0B">
        <w:rPr>
          <w:rFonts w:cs="Arial"/>
          <w:b/>
          <w:bCs/>
          <w:szCs w:val="21"/>
        </w:rPr>
        <w:t xml:space="preserve"> and related services</w:t>
      </w:r>
      <w:r w:rsidR="00C1152C" w:rsidRPr="00DC3F0B">
        <w:rPr>
          <w:rFonts w:cs="Arial"/>
          <w:b/>
          <w:bCs/>
          <w:szCs w:val="21"/>
        </w:rPr>
        <w:t>.</w:t>
      </w:r>
    </w:p>
    <w:p w14:paraId="453E3F79" w14:textId="08BB7DEE" w:rsidR="00C1152C" w:rsidRPr="00AA1F16" w:rsidRDefault="00C1152C" w:rsidP="00C1152C">
      <w:pPr>
        <w:pStyle w:val="PolicyStatement"/>
        <w:numPr>
          <w:ilvl w:val="0"/>
          <w:numId w:val="16"/>
        </w:numPr>
        <w:spacing w:line="259" w:lineRule="auto"/>
        <w:rPr>
          <w:rFonts w:eastAsia="Arial" w:cs="Arial"/>
          <w:b/>
          <w:bCs/>
          <w:szCs w:val="21"/>
        </w:rPr>
      </w:pPr>
      <w:r w:rsidRPr="00DC3F0B">
        <w:rPr>
          <w:rFonts w:cs="Arial"/>
          <w:b/>
          <w:bCs/>
          <w:szCs w:val="21"/>
        </w:rPr>
        <w:t xml:space="preserve">A diverse </w:t>
      </w:r>
      <w:r w:rsidR="007D0FDB" w:rsidRPr="00DC3F0B">
        <w:rPr>
          <w:rFonts w:cs="Arial"/>
          <w:b/>
          <w:bCs/>
          <w:szCs w:val="21"/>
        </w:rPr>
        <w:t xml:space="preserve">medical </w:t>
      </w:r>
      <w:r w:rsidRPr="00DC3F0B">
        <w:rPr>
          <w:rFonts w:cs="Arial"/>
          <w:b/>
          <w:bCs/>
          <w:szCs w:val="21"/>
        </w:rPr>
        <w:t xml:space="preserve">research sector </w:t>
      </w:r>
      <w:r w:rsidR="00EE4DDE" w:rsidRPr="00DC3F0B">
        <w:rPr>
          <w:rFonts w:cs="Arial"/>
          <w:b/>
          <w:bCs/>
          <w:szCs w:val="21"/>
        </w:rPr>
        <w:t xml:space="preserve">that </w:t>
      </w:r>
      <w:r w:rsidRPr="00DC3F0B">
        <w:rPr>
          <w:rFonts w:cs="Arial"/>
          <w:b/>
          <w:bCs/>
          <w:szCs w:val="21"/>
        </w:rPr>
        <w:t>generate</w:t>
      </w:r>
      <w:r w:rsidR="007D0FDB" w:rsidRPr="00DC3F0B">
        <w:rPr>
          <w:rFonts w:cs="Arial"/>
          <w:b/>
          <w:bCs/>
          <w:szCs w:val="21"/>
        </w:rPr>
        <w:t>s</w:t>
      </w:r>
      <w:r w:rsidRPr="00DC3F0B">
        <w:rPr>
          <w:rFonts w:cs="Arial"/>
          <w:b/>
          <w:bCs/>
          <w:szCs w:val="21"/>
        </w:rPr>
        <w:t xml:space="preserve"> high-quality evidence, strategies, systems and processes</w:t>
      </w:r>
      <w:r w:rsidR="00EE4DDE" w:rsidRPr="00DC3F0B">
        <w:rPr>
          <w:rFonts w:cs="Arial"/>
          <w:b/>
          <w:bCs/>
          <w:szCs w:val="21"/>
        </w:rPr>
        <w:t>,</w:t>
      </w:r>
      <w:r w:rsidRPr="00DC3F0B">
        <w:rPr>
          <w:rFonts w:cs="Arial"/>
          <w:b/>
          <w:bCs/>
          <w:szCs w:val="21"/>
        </w:rPr>
        <w:t xml:space="preserve"> </w:t>
      </w:r>
      <w:r w:rsidR="005C28B4">
        <w:rPr>
          <w:rFonts w:cs="Arial"/>
          <w:b/>
          <w:bCs/>
          <w:szCs w:val="21"/>
        </w:rPr>
        <w:t>which support ongoing</w:t>
      </w:r>
      <w:r w:rsidRPr="00DC3F0B">
        <w:rPr>
          <w:rFonts w:cs="Arial"/>
          <w:b/>
          <w:bCs/>
          <w:szCs w:val="21"/>
        </w:rPr>
        <w:t xml:space="preserve"> improve</w:t>
      </w:r>
      <w:r w:rsidR="005C28B4">
        <w:rPr>
          <w:rFonts w:cs="Arial"/>
          <w:b/>
          <w:bCs/>
          <w:szCs w:val="21"/>
        </w:rPr>
        <w:t>ments in</w:t>
      </w:r>
      <w:r w:rsidRPr="00DC3F0B">
        <w:rPr>
          <w:rFonts w:cs="Arial"/>
          <w:b/>
          <w:bCs/>
          <w:szCs w:val="21"/>
        </w:rPr>
        <w:t xml:space="preserve"> the quality use of medicines and medicines safety</w:t>
      </w:r>
      <w:r w:rsidRPr="00D8062C">
        <w:rPr>
          <w:rFonts w:cs="Arial"/>
          <w:b/>
          <w:bCs/>
          <w:szCs w:val="21"/>
        </w:rPr>
        <w:t>.</w:t>
      </w:r>
    </w:p>
    <w:p w14:paraId="0015D7D5" w14:textId="4ECDCA0C" w:rsidR="00C1152C" w:rsidRPr="00AA1F16" w:rsidRDefault="00D31653" w:rsidP="00C1152C">
      <w:pPr>
        <w:pStyle w:val="PolicyStatement"/>
        <w:numPr>
          <w:ilvl w:val="0"/>
          <w:numId w:val="16"/>
        </w:numPr>
        <w:spacing w:line="259" w:lineRule="auto"/>
        <w:rPr>
          <w:rFonts w:cs="Arial"/>
          <w:b/>
          <w:szCs w:val="21"/>
        </w:rPr>
      </w:pPr>
      <w:r w:rsidRPr="00AA1F16">
        <w:rPr>
          <w:rFonts w:cs="Arial"/>
          <w:b/>
          <w:bCs/>
          <w:szCs w:val="21"/>
        </w:rPr>
        <w:t xml:space="preserve">Collaborative, </w:t>
      </w:r>
      <w:r w:rsidR="00C1152C" w:rsidRPr="00DC3F0B">
        <w:rPr>
          <w:rFonts w:cs="Arial"/>
          <w:b/>
          <w:bCs/>
          <w:szCs w:val="21"/>
        </w:rPr>
        <w:t xml:space="preserve">robust, </w:t>
      </w:r>
      <w:r w:rsidR="00FC6273" w:rsidRPr="00DC3F0B">
        <w:rPr>
          <w:rFonts w:cs="Arial"/>
          <w:b/>
          <w:bCs/>
          <w:szCs w:val="21"/>
        </w:rPr>
        <w:t>efficient</w:t>
      </w:r>
      <w:r w:rsidR="00863E32" w:rsidRPr="00DC3F0B">
        <w:rPr>
          <w:rFonts w:cs="Arial"/>
          <w:b/>
          <w:bCs/>
          <w:szCs w:val="21"/>
        </w:rPr>
        <w:t>,</w:t>
      </w:r>
      <w:r w:rsidR="00FC6273" w:rsidRPr="00DC3F0B">
        <w:rPr>
          <w:rFonts w:cs="Arial"/>
          <w:b/>
          <w:bCs/>
          <w:szCs w:val="21"/>
        </w:rPr>
        <w:t xml:space="preserve"> </w:t>
      </w:r>
      <w:r w:rsidR="00C1152C" w:rsidRPr="00DC3F0B">
        <w:rPr>
          <w:rFonts w:cs="Arial"/>
          <w:b/>
          <w:bCs/>
          <w:szCs w:val="21"/>
        </w:rPr>
        <w:t xml:space="preserve">and </w:t>
      </w:r>
      <w:r w:rsidR="00C1152C" w:rsidRPr="00DC3F0B">
        <w:rPr>
          <w:rFonts w:cs="Arial"/>
          <w:b/>
          <w:szCs w:val="21"/>
        </w:rPr>
        <w:t>reliable</w:t>
      </w:r>
      <w:r w:rsidR="00C1152C" w:rsidRPr="00DC3F0B">
        <w:rPr>
          <w:rFonts w:cs="Arial"/>
          <w:b/>
          <w:bCs/>
          <w:szCs w:val="21"/>
        </w:rPr>
        <w:t xml:space="preserve"> supply chain</w:t>
      </w:r>
      <w:r w:rsidRPr="00DC3F0B">
        <w:rPr>
          <w:rFonts w:cs="Arial"/>
          <w:b/>
          <w:bCs/>
          <w:szCs w:val="21"/>
        </w:rPr>
        <w:t>s</w:t>
      </w:r>
      <w:r w:rsidR="00C1152C" w:rsidRPr="00DC3F0B">
        <w:rPr>
          <w:rFonts w:cs="Arial"/>
          <w:b/>
          <w:bCs/>
          <w:szCs w:val="21"/>
        </w:rPr>
        <w:t xml:space="preserve"> </w:t>
      </w:r>
      <w:r w:rsidR="00863E32" w:rsidRPr="00DC3F0B">
        <w:rPr>
          <w:rFonts w:cs="Arial"/>
          <w:b/>
          <w:bCs/>
          <w:szCs w:val="21"/>
        </w:rPr>
        <w:t xml:space="preserve">and </w:t>
      </w:r>
      <w:r w:rsidR="00C1152C" w:rsidRPr="00DC3F0B">
        <w:rPr>
          <w:rFonts w:cs="Arial"/>
          <w:b/>
          <w:bCs/>
          <w:szCs w:val="21"/>
        </w:rPr>
        <w:t>network</w:t>
      </w:r>
      <w:r w:rsidR="00863E32" w:rsidRPr="00DC3F0B">
        <w:rPr>
          <w:rFonts w:cs="Arial"/>
          <w:b/>
          <w:bCs/>
          <w:szCs w:val="21"/>
        </w:rPr>
        <w:t>s</w:t>
      </w:r>
      <w:r w:rsidR="00C1152C" w:rsidRPr="00DC3F0B">
        <w:rPr>
          <w:rFonts w:cs="Arial"/>
          <w:b/>
          <w:bCs/>
          <w:szCs w:val="21"/>
        </w:rPr>
        <w:t xml:space="preserve"> that </w:t>
      </w:r>
      <w:r w:rsidRPr="00DC3F0B">
        <w:rPr>
          <w:rFonts w:cs="Arial"/>
          <w:b/>
          <w:bCs/>
          <w:szCs w:val="21"/>
        </w:rPr>
        <w:t>deliver</w:t>
      </w:r>
      <w:r w:rsidR="00C1152C" w:rsidRPr="00DC3F0B">
        <w:rPr>
          <w:rFonts w:cs="Arial"/>
          <w:b/>
          <w:bCs/>
          <w:szCs w:val="21"/>
        </w:rPr>
        <w:t xml:space="preserve"> equitable</w:t>
      </w:r>
      <w:r w:rsidR="007D0FDB" w:rsidRPr="00DC3F0B">
        <w:rPr>
          <w:rFonts w:cs="Arial"/>
          <w:b/>
          <w:bCs/>
          <w:szCs w:val="21"/>
        </w:rPr>
        <w:t>, timely, affordable and safe access to</w:t>
      </w:r>
      <w:r w:rsidR="00C1152C" w:rsidRPr="00DC3F0B">
        <w:rPr>
          <w:rFonts w:cs="Arial"/>
          <w:b/>
          <w:bCs/>
          <w:szCs w:val="21"/>
        </w:rPr>
        <w:t xml:space="preserve"> medicines </w:t>
      </w:r>
      <w:r w:rsidRPr="00DC3F0B">
        <w:rPr>
          <w:rFonts w:cs="Arial"/>
          <w:b/>
          <w:bCs/>
          <w:szCs w:val="21"/>
        </w:rPr>
        <w:t xml:space="preserve">and </w:t>
      </w:r>
      <w:r w:rsidR="009902C4" w:rsidRPr="00DC3F0B">
        <w:rPr>
          <w:rFonts w:cs="Arial"/>
          <w:b/>
          <w:bCs/>
          <w:szCs w:val="21"/>
        </w:rPr>
        <w:t>medicines-</w:t>
      </w:r>
      <w:r w:rsidRPr="00DC3F0B">
        <w:rPr>
          <w:rFonts w:cs="Arial"/>
          <w:b/>
          <w:bCs/>
          <w:szCs w:val="21"/>
        </w:rPr>
        <w:t xml:space="preserve">related services </w:t>
      </w:r>
      <w:r w:rsidR="00C1152C" w:rsidRPr="00D8062C">
        <w:rPr>
          <w:rFonts w:cs="Arial"/>
          <w:b/>
          <w:bCs/>
          <w:szCs w:val="21"/>
        </w:rPr>
        <w:t>throughout Australia.</w:t>
      </w:r>
    </w:p>
    <w:p w14:paraId="6105B5CF" w14:textId="77777777" w:rsidR="00C1152C" w:rsidRPr="00AA1F16" w:rsidRDefault="00C1152C" w:rsidP="00C1152C">
      <w:pPr>
        <w:pStyle w:val="Paragraphtext"/>
        <w:rPr>
          <w:rFonts w:cs="Arial"/>
          <w:highlight w:val="lightGray"/>
        </w:rPr>
      </w:pPr>
    </w:p>
    <w:p w14:paraId="320C0DD9" w14:textId="41FB722A" w:rsidR="00202F77" w:rsidRPr="00DC3F0B" w:rsidRDefault="00C1152C" w:rsidP="00C1152C">
      <w:pPr>
        <w:pStyle w:val="Paragraphtext"/>
        <w:rPr>
          <w:rFonts w:cs="Arial"/>
        </w:rPr>
      </w:pPr>
      <w:r w:rsidRPr="00165D10">
        <w:rPr>
          <w:rFonts w:cs="Arial"/>
        </w:rPr>
        <w:t>The medicines industry and</w:t>
      </w:r>
      <w:r w:rsidRPr="00701CAB">
        <w:rPr>
          <w:rFonts w:cs="Arial"/>
        </w:rPr>
        <w:t xml:space="preserve"> </w:t>
      </w:r>
      <w:r w:rsidRPr="00AC2E07">
        <w:rPr>
          <w:rFonts w:cs="Arial"/>
        </w:rPr>
        <w:t xml:space="preserve">research </w:t>
      </w:r>
      <w:r w:rsidRPr="00FE618A">
        <w:rPr>
          <w:rFonts w:cs="Arial"/>
        </w:rPr>
        <w:t xml:space="preserve">sectors </w:t>
      </w:r>
      <w:r w:rsidRPr="00DC3F0B">
        <w:rPr>
          <w:rFonts w:cs="Arial"/>
        </w:rPr>
        <w:t xml:space="preserve">contribute </w:t>
      </w:r>
      <w:r w:rsidR="00E76E0F" w:rsidRPr="00DC3F0B">
        <w:rPr>
          <w:rFonts w:cs="Arial"/>
        </w:rPr>
        <w:t xml:space="preserve">significantly </w:t>
      </w:r>
      <w:r w:rsidRPr="00DC3F0B">
        <w:rPr>
          <w:rFonts w:cs="Arial"/>
        </w:rPr>
        <w:t xml:space="preserve">to </w:t>
      </w:r>
      <w:r w:rsidR="00E76E0F" w:rsidRPr="00DC3F0B">
        <w:rPr>
          <w:rFonts w:cs="Arial"/>
        </w:rPr>
        <w:t xml:space="preserve">enhancing </w:t>
      </w:r>
      <w:r w:rsidRPr="00DC3F0B">
        <w:rPr>
          <w:rFonts w:cs="Arial"/>
        </w:rPr>
        <w:t xml:space="preserve">health outcomes and </w:t>
      </w:r>
      <w:r w:rsidR="00E76E0F" w:rsidRPr="00DC3F0B">
        <w:rPr>
          <w:rFonts w:cs="Arial"/>
        </w:rPr>
        <w:t>creating</w:t>
      </w:r>
      <w:r w:rsidRPr="00DC3F0B">
        <w:rPr>
          <w:rFonts w:cs="Arial"/>
        </w:rPr>
        <w:t xml:space="preserve"> social and economic </w:t>
      </w:r>
      <w:r w:rsidR="00E76E0F" w:rsidRPr="00DC3F0B">
        <w:rPr>
          <w:rFonts w:cs="Arial"/>
        </w:rPr>
        <w:t xml:space="preserve">value </w:t>
      </w:r>
      <w:r w:rsidRPr="00DC3F0B">
        <w:rPr>
          <w:rFonts w:cs="Arial"/>
        </w:rPr>
        <w:t xml:space="preserve">in Australia. </w:t>
      </w:r>
      <w:r w:rsidR="00E76E0F" w:rsidRPr="00DC3F0B">
        <w:rPr>
          <w:rFonts w:cs="Arial"/>
        </w:rPr>
        <w:t>Collaborative</w:t>
      </w:r>
      <w:r w:rsidRPr="00DC3F0B">
        <w:rPr>
          <w:rFonts w:cs="Arial"/>
        </w:rPr>
        <w:t xml:space="preserve">, dynamic and sustainable medicines industry and research sectors are critical to </w:t>
      </w:r>
      <w:r w:rsidR="00E76E0F" w:rsidRPr="00DC3F0B">
        <w:rPr>
          <w:rFonts w:cs="Arial"/>
        </w:rPr>
        <w:t xml:space="preserve">ensuring </w:t>
      </w:r>
      <w:r w:rsidRPr="00DC3F0B">
        <w:rPr>
          <w:rFonts w:cs="Arial"/>
        </w:rPr>
        <w:t>all Australians can benefit from</w:t>
      </w:r>
      <w:r w:rsidRPr="00DC3F0B" w:rsidDel="00151C90">
        <w:rPr>
          <w:rFonts w:cs="Arial"/>
        </w:rPr>
        <w:t xml:space="preserve"> </w:t>
      </w:r>
      <w:r w:rsidRPr="00DC3F0B">
        <w:rPr>
          <w:rFonts w:cs="Arial"/>
        </w:rPr>
        <w:t xml:space="preserve">their innovations. </w:t>
      </w:r>
      <w:r w:rsidR="00202F77" w:rsidRPr="00DC3F0B">
        <w:rPr>
          <w:rFonts w:cs="Arial"/>
        </w:rPr>
        <w:t>The supply chains</w:t>
      </w:r>
      <w:r w:rsidR="00863E32" w:rsidRPr="00DC3F0B">
        <w:rPr>
          <w:rFonts w:cs="Arial"/>
        </w:rPr>
        <w:t xml:space="preserve"> and networks </w:t>
      </w:r>
      <w:r w:rsidR="00202F77" w:rsidRPr="00DC3F0B">
        <w:rPr>
          <w:rFonts w:cs="Arial"/>
        </w:rPr>
        <w:t xml:space="preserve">for medicines and devices that are in scope of the NMP include: product sponsors; manufacturers; wholesalers, </w:t>
      </w:r>
      <w:r w:rsidR="00833AC2" w:rsidRPr="00DC3F0B">
        <w:rPr>
          <w:rFonts w:cs="Arial"/>
        </w:rPr>
        <w:t xml:space="preserve">health software providers, </w:t>
      </w:r>
      <w:r w:rsidR="00202F77" w:rsidRPr="00DC3F0B">
        <w:rPr>
          <w:rFonts w:cs="Arial"/>
        </w:rPr>
        <w:t xml:space="preserve">hospitals; community and hospital pharmacies; Aboriginal Health Services; </w:t>
      </w:r>
      <w:r w:rsidR="00DD2FE3" w:rsidRPr="00DC3F0B">
        <w:rPr>
          <w:rFonts w:cs="Arial"/>
        </w:rPr>
        <w:t>residential aged care facilities</w:t>
      </w:r>
      <w:r w:rsidR="00202F77" w:rsidRPr="00DC3F0B">
        <w:rPr>
          <w:rFonts w:cs="Arial"/>
        </w:rPr>
        <w:t>; and all other delivery settings.</w:t>
      </w:r>
    </w:p>
    <w:p w14:paraId="331C9F37" w14:textId="403EA1BD" w:rsidR="00C1152C" w:rsidRPr="00DC3F0B" w:rsidRDefault="00C1152C" w:rsidP="00C1152C">
      <w:pPr>
        <w:pStyle w:val="Paragraphtext"/>
        <w:rPr>
          <w:rFonts w:cs="Arial"/>
        </w:rPr>
      </w:pPr>
      <w:r w:rsidRPr="00DC3F0B">
        <w:rPr>
          <w:rFonts w:cs="Arial"/>
        </w:rPr>
        <w:t>The NMP commits all partners to coordinat</w:t>
      </w:r>
      <w:r w:rsidR="00202F77" w:rsidRPr="00DC3F0B">
        <w:rPr>
          <w:rFonts w:cs="Arial"/>
        </w:rPr>
        <w:t>ing</w:t>
      </w:r>
      <w:r w:rsidRPr="00DC3F0B">
        <w:rPr>
          <w:rFonts w:cs="Arial"/>
        </w:rPr>
        <w:t xml:space="preserve"> and align</w:t>
      </w:r>
      <w:r w:rsidR="00202F77" w:rsidRPr="00DC3F0B">
        <w:rPr>
          <w:rFonts w:cs="Arial"/>
        </w:rPr>
        <w:t>ing</w:t>
      </w:r>
      <w:r w:rsidRPr="00DC3F0B">
        <w:rPr>
          <w:rFonts w:cs="Arial"/>
        </w:rPr>
        <w:t xml:space="preserve"> </w:t>
      </w:r>
      <w:r w:rsidR="00202F77" w:rsidRPr="00DC3F0B">
        <w:rPr>
          <w:rFonts w:cs="Arial"/>
        </w:rPr>
        <w:t xml:space="preserve">service delivery and </w:t>
      </w:r>
      <w:r w:rsidRPr="00DC3F0B">
        <w:rPr>
          <w:rFonts w:cs="Arial"/>
        </w:rPr>
        <w:t>health, research, education and industry policy.</w:t>
      </w:r>
    </w:p>
    <w:p w14:paraId="6C14E05D" w14:textId="62CEA35C" w:rsidR="00C1152C" w:rsidRPr="00E77C38" w:rsidRDefault="00C1152C" w:rsidP="00C1152C">
      <w:pPr>
        <w:pStyle w:val="Heading2"/>
      </w:pPr>
      <w:r w:rsidRPr="00E77C38">
        <w:t xml:space="preserve">A supportive and </w:t>
      </w:r>
      <w:r w:rsidR="009172F8" w:rsidRPr="00E77C38">
        <w:t xml:space="preserve">collaborative medicines </w:t>
      </w:r>
      <w:r w:rsidRPr="00E77C38">
        <w:t>industry and research environment</w:t>
      </w:r>
    </w:p>
    <w:p w14:paraId="77F03263" w14:textId="7D511E71" w:rsidR="00C1152C" w:rsidRPr="00D8062C" w:rsidRDefault="00C1152C" w:rsidP="00C1152C">
      <w:pPr>
        <w:pStyle w:val="Paragraphtext"/>
        <w:rPr>
          <w:rFonts w:eastAsia="Arial" w:cs="Arial"/>
          <w:szCs w:val="21"/>
        </w:rPr>
      </w:pPr>
      <w:r w:rsidRPr="00645011">
        <w:rPr>
          <w:rFonts w:eastAsia="Arial" w:cs="Arial"/>
          <w:szCs w:val="21"/>
        </w:rPr>
        <w:t xml:space="preserve">The medicines industry and research sectors </w:t>
      </w:r>
      <w:r w:rsidR="00445E90" w:rsidRPr="00645011">
        <w:rPr>
          <w:rFonts w:eastAsia="Arial" w:cs="Arial"/>
          <w:szCs w:val="21"/>
        </w:rPr>
        <w:t xml:space="preserve">must </w:t>
      </w:r>
      <w:r w:rsidRPr="00645011">
        <w:rPr>
          <w:rFonts w:eastAsia="Arial" w:cs="Arial"/>
          <w:szCs w:val="21"/>
        </w:rPr>
        <w:t xml:space="preserve">be supported by strategic investment </w:t>
      </w:r>
      <w:r w:rsidR="00961C99" w:rsidRPr="00645011">
        <w:rPr>
          <w:rFonts w:eastAsia="Arial" w:cs="Arial"/>
          <w:szCs w:val="21"/>
        </w:rPr>
        <w:t xml:space="preserve">together with </w:t>
      </w:r>
      <w:r w:rsidRPr="00645011">
        <w:rPr>
          <w:rFonts w:eastAsia="Arial" w:cs="Arial"/>
          <w:szCs w:val="21"/>
        </w:rPr>
        <w:t>effective industry</w:t>
      </w:r>
      <w:r w:rsidR="00961C99" w:rsidRPr="00645011">
        <w:rPr>
          <w:rFonts w:eastAsia="Arial" w:cs="Arial"/>
          <w:szCs w:val="21"/>
        </w:rPr>
        <w:t xml:space="preserve">, </w:t>
      </w:r>
      <w:r w:rsidRPr="00645011">
        <w:rPr>
          <w:rFonts w:eastAsia="Arial" w:cs="Arial"/>
          <w:szCs w:val="21"/>
        </w:rPr>
        <w:t xml:space="preserve">education </w:t>
      </w:r>
      <w:r w:rsidR="00961C99" w:rsidRPr="00645011">
        <w:rPr>
          <w:rFonts w:eastAsia="Arial" w:cs="Arial"/>
          <w:szCs w:val="21"/>
        </w:rPr>
        <w:t xml:space="preserve">and research </w:t>
      </w:r>
      <w:r w:rsidRPr="00645011">
        <w:rPr>
          <w:rFonts w:eastAsia="Arial" w:cs="Arial"/>
          <w:szCs w:val="21"/>
        </w:rPr>
        <w:t>policies</w:t>
      </w:r>
      <w:r w:rsidRPr="00DC3F0B">
        <w:rPr>
          <w:rFonts w:eastAsia="Arial" w:cs="Arial"/>
          <w:szCs w:val="21"/>
        </w:rPr>
        <w:t xml:space="preserve"> of governments, driving strong partnerships between academia, government science organisations, industry, health services and </w:t>
      </w:r>
      <w:r w:rsidR="009902C4" w:rsidRPr="00DC3F0B">
        <w:rPr>
          <w:rFonts w:eastAsia="Arial" w:cs="Arial"/>
          <w:szCs w:val="21"/>
        </w:rPr>
        <w:t>individuals, their families and/or carers</w:t>
      </w:r>
      <w:r w:rsidRPr="00DC3F0B">
        <w:rPr>
          <w:rFonts w:eastAsia="Arial" w:cs="Arial"/>
          <w:szCs w:val="21"/>
        </w:rPr>
        <w:t>. The Australian</w:t>
      </w:r>
      <w:r w:rsidR="00202F77" w:rsidRPr="00DC3F0B">
        <w:rPr>
          <w:rFonts w:eastAsia="Arial" w:cs="Arial"/>
          <w:szCs w:val="21"/>
        </w:rPr>
        <w:t xml:space="preserve"> medicines</w:t>
      </w:r>
      <w:r w:rsidRPr="00DC3F0B">
        <w:rPr>
          <w:rFonts w:eastAsia="Arial" w:cs="Arial"/>
          <w:szCs w:val="21"/>
        </w:rPr>
        <w:t xml:space="preserve"> industry and the research sectors must be able to operate with confidence in a global environment to further enhance international competitiveness.</w:t>
      </w:r>
      <w:r w:rsidR="003E5DC7" w:rsidRPr="00DC3F0B">
        <w:rPr>
          <w:rFonts w:eastAsia="Arial" w:cs="Arial"/>
          <w:szCs w:val="21"/>
        </w:rPr>
        <w:t xml:space="preserve"> Promoting agreed international standards for the protection of intellectual property rights can help underpin trade and investment and enable innovation and creativity.</w:t>
      </w:r>
    </w:p>
    <w:p w14:paraId="54CA01AA" w14:textId="1CD6CFCE" w:rsidR="00C1152C" w:rsidRPr="00DC3F0B" w:rsidRDefault="00C1152C" w:rsidP="00C1152C">
      <w:pPr>
        <w:pStyle w:val="Paragraphtext"/>
        <w:rPr>
          <w:rFonts w:eastAsia="Arial" w:cs="Arial"/>
          <w:szCs w:val="21"/>
        </w:rPr>
      </w:pPr>
      <w:r w:rsidRPr="00AA1F16">
        <w:rPr>
          <w:rFonts w:eastAsia="Arial" w:cs="Arial"/>
          <w:szCs w:val="21"/>
        </w:rPr>
        <w:t xml:space="preserve">All partners should continuously aim to improve and develop </w:t>
      </w:r>
      <w:r w:rsidRPr="00165D10">
        <w:rPr>
          <w:rFonts w:eastAsia="Arial" w:cs="Arial"/>
          <w:szCs w:val="21"/>
        </w:rPr>
        <w:t xml:space="preserve">research </w:t>
      </w:r>
      <w:r w:rsidRPr="00701CAB">
        <w:rPr>
          <w:rFonts w:eastAsia="Arial" w:cs="Arial"/>
          <w:szCs w:val="21"/>
        </w:rPr>
        <w:t xml:space="preserve">knowledge, </w:t>
      </w:r>
      <w:r w:rsidRPr="00AC2E07">
        <w:rPr>
          <w:rFonts w:eastAsia="Arial" w:cs="Arial"/>
          <w:szCs w:val="21"/>
        </w:rPr>
        <w:t xml:space="preserve">capabilities, processes and infrastructure to </w:t>
      </w:r>
      <w:r w:rsidRPr="00DC3F0B">
        <w:rPr>
          <w:rFonts w:eastAsia="Arial" w:cs="Arial"/>
          <w:szCs w:val="21"/>
        </w:rPr>
        <w:t>expan</w:t>
      </w:r>
      <w:r w:rsidR="00D31A5F" w:rsidRPr="00DC3F0B">
        <w:rPr>
          <w:rFonts w:eastAsia="Arial" w:cs="Arial"/>
          <w:szCs w:val="21"/>
        </w:rPr>
        <w:t>d</w:t>
      </w:r>
      <w:r w:rsidRPr="00DC3F0B">
        <w:rPr>
          <w:rFonts w:eastAsia="Arial" w:cs="Arial"/>
          <w:szCs w:val="21"/>
        </w:rPr>
        <w:t xml:space="preserve"> the clinical trials sector in Australia. </w:t>
      </w:r>
    </w:p>
    <w:p w14:paraId="64AEC0C8" w14:textId="3355D787" w:rsidR="00C1152C" w:rsidRPr="00DC3F0B" w:rsidRDefault="00C1152C" w:rsidP="001550BB">
      <w:pPr>
        <w:pStyle w:val="Paragraphtext"/>
        <w:keepLines/>
        <w:rPr>
          <w:rFonts w:eastAsia="Arial" w:cs="Arial"/>
          <w:szCs w:val="21"/>
        </w:rPr>
      </w:pPr>
      <w:r w:rsidRPr="00DC3F0B">
        <w:rPr>
          <w:rFonts w:cs="Arial"/>
          <w:szCs w:val="21"/>
        </w:rPr>
        <w:lastRenderedPageBreak/>
        <w:t>Efficient</w:t>
      </w:r>
      <w:r w:rsidR="003C27F2" w:rsidRPr="00DC3F0B">
        <w:rPr>
          <w:rFonts w:cs="Arial"/>
          <w:szCs w:val="21"/>
        </w:rPr>
        <w:t xml:space="preserve">, </w:t>
      </w:r>
      <w:r w:rsidRPr="00DC3F0B">
        <w:rPr>
          <w:rFonts w:cs="Arial"/>
          <w:szCs w:val="21"/>
        </w:rPr>
        <w:t>effective processes and systems that encourage and support innovation, evaluation and access are required. Regulatory and access processes should be fit-for-purpose and aligned with international best practices, to ensure</w:t>
      </w:r>
      <w:r w:rsidR="00823647" w:rsidRPr="00DC3F0B">
        <w:rPr>
          <w:rFonts w:cs="Arial"/>
          <w:szCs w:val="21"/>
        </w:rPr>
        <w:t xml:space="preserve"> protection of patient safety and</w:t>
      </w:r>
      <w:r w:rsidRPr="00DC3F0B">
        <w:rPr>
          <w:rFonts w:cs="Arial"/>
          <w:szCs w:val="21"/>
        </w:rPr>
        <w:t xml:space="preserve"> robust</w:t>
      </w:r>
      <w:r w:rsidR="00823647" w:rsidRPr="00DC3F0B">
        <w:rPr>
          <w:rFonts w:cs="Arial"/>
          <w:szCs w:val="21"/>
        </w:rPr>
        <w:t xml:space="preserve">, </w:t>
      </w:r>
      <w:r w:rsidRPr="00DC3F0B">
        <w:rPr>
          <w:rFonts w:cs="Arial"/>
          <w:szCs w:val="21"/>
        </w:rPr>
        <w:t>evidence-based outcomes.</w:t>
      </w:r>
    </w:p>
    <w:p w14:paraId="1F269352" w14:textId="0CA63939" w:rsidR="00C1152C" w:rsidRPr="00DC3F0B" w:rsidRDefault="00C1152C" w:rsidP="00C1152C">
      <w:pPr>
        <w:pStyle w:val="Paragraphtext"/>
        <w:rPr>
          <w:rFonts w:cs="Arial"/>
        </w:rPr>
      </w:pPr>
      <w:r w:rsidRPr="00DC3F0B">
        <w:rPr>
          <w:rFonts w:cs="Arial"/>
        </w:rPr>
        <w:t>With the aim of building reliable and integrated supply chain</w:t>
      </w:r>
      <w:r w:rsidR="0070420E" w:rsidRPr="00DC3F0B">
        <w:rPr>
          <w:rFonts w:cs="Arial"/>
        </w:rPr>
        <w:t>s and networks</w:t>
      </w:r>
      <w:r w:rsidRPr="00DC3F0B">
        <w:rPr>
          <w:rFonts w:cs="Arial"/>
        </w:rPr>
        <w:t>, there should be a focus on and commitment to support and encourage the development of advanced manufacturing capabilities for biopharma and medical technologies. This can be achieved by increasing investment in infrastructure and commercialisation, supporting strategic partnerships</w:t>
      </w:r>
      <w:r w:rsidR="00B34FDB" w:rsidRPr="00DC3F0B">
        <w:rPr>
          <w:rFonts w:cs="Arial"/>
        </w:rPr>
        <w:t>, innovation hubs</w:t>
      </w:r>
      <w:r w:rsidRPr="00DC3F0B">
        <w:rPr>
          <w:rFonts w:cs="Arial"/>
        </w:rPr>
        <w:t xml:space="preserve"> and driving the translation of innovative research outcomes. </w:t>
      </w:r>
    </w:p>
    <w:p w14:paraId="25EE8263" w14:textId="77777777" w:rsidR="00C1152C" w:rsidRPr="00DC3F0B" w:rsidRDefault="00C1152C" w:rsidP="00C1152C">
      <w:pPr>
        <w:pStyle w:val="Paragraphtext"/>
        <w:rPr>
          <w:rFonts w:cs="Arial"/>
        </w:rPr>
      </w:pPr>
      <w:r w:rsidRPr="00DC3F0B">
        <w:rPr>
          <w:rFonts w:cs="Arial"/>
        </w:rPr>
        <w:t xml:space="preserve">Effective collaboration between </w:t>
      </w:r>
      <w:r w:rsidRPr="00DC3F0B" w:rsidDel="008B2DF6">
        <w:rPr>
          <w:rFonts w:cs="Arial"/>
        </w:rPr>
        <w:t>g</w:t>
      </w:r>
      <w:r w:rsidRPr="00DC3F0B">
        <w:rPr>
          <w:rFonts w:cs="Arial"/>
        </w:rPr>
        <w:t>overnments, healthcare professionals, industry, researchers and educators are needed so that all Australians</w:t>
      </w:r>
      <w:r w:rsidRPr="00DC3F0B" w:rsidDel="008B2DF6">
        <w:rPr>
          <w:rFonts w:cs="Arial"/>
        </w:rPr>
        <w:t xml:space="preserve"> </w:t>
      </w:r>
      <w:r w:rsidRPr="00DC3F0B">
        <w:rPr>
          <w:rFonts w:cs="Arial"/>
        </w:rPr>
        <w:t>can access medicines that deliver health improvements, and to realise the social and economic benefits that come from innovation.</w:t>
      </w:r>
    </w:p>
    <w:p w14:paraId="4A0CE263" w14:textId="77777777" w:rsidR="00C1152C" w:rsidRPr="00E77C38" w:rsidRDefault="00C1152C" w:rsidP="00C1152C">
      <w:pPr>
        <w:rPr>
          <w:rFonts w:cs="Arial"/>
          <w:bCs/>
          <w:color w:val="3F4A75"/>
          <w:kern w:val="28"/>
          <w:sz w:val="36"/>
          <w:szCs w:val="36"/>
        </w:rPr>
      </w:pPr>
      <w:r w:rsidRPr="00DC3F0B">
        <w:rPr>
          <w:rFonts w:cs="Arial"/>
        </w:rPr>
        <w:br w:type="page"/>
      </w:r>
    </w:p>
    <w:p w14:paraId="6B55C24F" w14:textId="77777777" w:rsidR="00C1152C" w:rsidRPr="00E77C38" w:rsidRDefault="00C1152C" w:rsidP="00C1152C">
      <w:pPr>
        <w:pStyle w:val="Heading1"/>
      </w:pPr>
      <w:r w:rsidRPr="00E77C38">
        <w:lastRenderedPageBreak/>
        <w:t>Partnerships – achieving the NMP’s vision and aim</w:t>
      </w:r>
    </w:p>
    <w:p w14:paraId="540C4271" w14:textId="77777777" w:rsidR="00C1152C" w:rsidRPr="00DC3F0B" w:rsidRDefault="00C1152C" w:rsidP="00C1152C">
      <w:pPr>
        <w:pStyle w:val="Paragraphtext"/>
        <w:rPr>
          <w:rFonts w:cs="Arial"/>
        </w:rPr>
      </w:pPr>
      <w:r w:rsidRPr="00DC3F0B">
        <w:rPr>
          <w:rFonts w:cs="Arial"/>
          <w:color w:val="auto"/>
        </w:rPr>
        <w:t xml:space="preserve">All partners need to play their role in progressing the NMP, in a manner that is respectful of the interrelationships and expertise of other partners. </w:t>
      </w:r>
      <w:r w:rsidRPr="00DC3F0B">
        <w:rPr>
          <w:rFonts w:cs="Arial"/>
        </w:rPr>
        <w:t xml:space="preserve">Conflicts of interest are to be declared by all partners and appropriately managed. </w:t>
      </w:r>
    </w:p>
    <w:p w14:paraId="755DB8B2" w14:textId="77777777" w:rsidR="00C1152C" w:rsidRPr="00E77C38" w:rsidRDefault="00C1152C" w:rsidP="00C1152C">
      <w:pPr>
        <w:pStyle w:val="Paragraphtext"/>
        <w:rPr>
          <w:rFonts w:cs="Arial"/>
        </w:rPr>
      </w:pPr>
      <w:r w:rsidRPr="00E77C38">
        <w:rPr>
          <w:rFonts w:cs="Arial"/>
        </w:rPr>
        <w:t>All partners are encouraged to map out the areas where they can deliver and/or influence the achievement of the NMP’s vision, aim and outcomes.</w:t>
      </w:r>
    </w:p>
    <w:p w14:paraId="27838817" w14:textId="1457BAF1" w:rsidR="00C1152C" w:rsidRPr="00DC3F0B" w:rsidRDefault="00C1152C" w:rsidP="00C1152C">
      <w:pPr>
        <w:pStyle w:val="NormalWeb"/>
        <w:spacing w:before="0" w:beforeAutospacing="0" w:after="0" w:afterAutospacing="0"/>
        <w:rPr>
          <w:rFonts w:ascii="Arial" w:hAnsi="Arial" w:cs="Arial"/>
        </w:rPr>
      </w:pPr>
      <w:r w:rsidRPr="00E77C38">
        <w:rPr>
          <w:rFonts w:ascii="Arial" w:hAnsi="Arial" w:cs="Arial"/>
          <w:sz w:val="21"/>
          <w:szCs w:val="21"/>
        </w:rPr>
        <w:t xml:space="preserve">The role of the Commonwealth, state and territory governments, as well as other partners, is to facilitate, coordinate and monitor the progress towards the attainment of the NMP’s aim </w:t>
      </w:r>
      <w:r w:rsidR="000226CA">
        <w:rPr>
          <w:rFonts w:ascii="Arial" w:hAnsi="Arial" w:cs="Arial"/>
          <w:sz w:val="21"/>
          <w:szCs w:val="21"/>
        </w:rPr>
        <w:t xml:space="preserve">through </w:t>
      </w:r>
      <w:r w:rsidRPr="00E77C38">
        <w:rPr>
          <w:rFonts w:ascii="Arial" w:hAnsi="Arial" w:cs="Arial"/>
          <w:sz w:val="21"/>
          <w:szCs w:val="21"/>
        </w:rPr>
        <w:t>transparent evaluation and reporting mechanisms. This require</w:t>
      </w:r>
      <w:r w:rsidR="00445E90" w:rsidRPr="00E77C38">
        <w:rPr>
          <w:rFonts w:ascii="Arial" w:hAnsi="Arial" w:cs="Arial"/>
          <w:sz w:val="21"/>
          <w:szCs w:val="21"/>
        </w:rPr>
        <w:t>s</w:t>
      </w:r>
      <w:r w:rsidRPr="00E77C38">
        <w:rPr>
          <w:rFonts w:ascii="Arial" w:hAnsi="Arial" w:cs="Arial"/>
          <w:sz w:val="21"/>
          <w:szCs w:val="21"/>
        </w:rPr>
        <w:t xml:space="preserve"> partners to communicate how the principles of the NMP are being actioned in practice and how their actions address, deliver and achieve the outcomes of the NMP’s pillars. This information </w:t>
      </w:r>
      <w:r w:rsidR="00445E90" w:rsidRPr="00E77C38">
        <w:rPr>
          <w:rFonts w:ascii="Arial" w:hAnsi="Arial" w:cs="Arial"/>
          <w:sz w:val="21"/>
          <w:szCs w:val="21"/>
        </w:rPr>
        <w:t xml:space="preserve">is to </w:t>
      </w:r>
      <w:r w:rsidRPr="00E77C38">
        <w:rPr>
          <w:rFonts w:ascii="Arial" w:hAnsi="Arial" w:cs="Arial"/>
          <w:sz w:val="21"/>
          <w:szCs w:val="21"/>
        </w:rPr>
        <w:t>be reported in an easy to understand and meaningful way, be accessible and continually updated through progress reporting.</w:t>
      </w:r>
    </w:p>
    <w:p w14:paraId="7C08A4E8" w14:textId="27A79F86" w:rsidR="00C1152C" w:rsidRPr="00E77C38" w:rsidRDefault="00C1152C" w:rsidP="00C1152C">
      <w:pPr>
        <w:pStyle w:val="Paragraphtext"/>
        <w:rPr>
          <w:rFonts w:eastAsia="Arial" w:cs="Arial"/>
          <w:color w:val="auto"/>
        </w:rPr>
      </w:pPr>
      <w:r w:rsidRPr="00D8062C">
        <w:rPr>
          <w:rFonts w:eastAsia="Arial" w:cs="Arial"/>
          <w:color w:val="auto"/>
        </w:rPr>
        <w:t xml:space="preserve">It is recognised that different partners, or groups of partners, bear responsibility for the intended outcomes of each pillar of the Policy. The supporting activities of other national health strategies </w:t>
      </w:r>
      <w:r w:rsidR="00445E90" w:rsidRPr="00E77C38">
        <w:rPr>
          <w:rFonts w:eastAsia="Arial" w:cs="Arial"/>
          <w:color w:val="auto"/>
        </w:rPr>
        <w:t xml:space="preserve">are to </w:t>
      </w:r>
      <w:r w:rsidRPr="00E77C38">
        <w:rPr>
          <w:rFonts w:eastAsia="Arial" w:cs="Arial"/>
          <w:color w:val="auto"/>
        </w:rPr>
        <w:t>be considered to ensure that the NMP is implemented in a considered, consistent and integrated way.</w:t>
      </w:r>
    </w:p>
    <w:p w14:paraId="72AB4E37" w14:textId="77777777" w:rsidR="00C1152C" w:rsidRPr="00D8062C" w:rsidRDefault="00C1152C" w:rsidP="00C1152C">
      <w:pPr>
        <w:pStyle w:val="Heading2"/>
      </w:pPr>
      <w:r w:rsidRPr="00E77C38">
        <w:t>Making the partnership work</w:t>
      </w:r>
    </w:p>
    <w:p w14:paraId="30E49096" w14:textId="649F9651" w:rsidR="00C1152C" w:rsidRPr="00DC3F0B" w:rsidRDefault="00C1152C" w:rsidP="00C1152C">
      <w:pPr>
        <w:pStyle w:val="Paragraphtext"/>
        <w:spacing w:before="0" w:after="0"/>
        <w:rPr>
          <w:rFonts w:cs="Arial"/>
          <w:szCs w:val="21"/>
        </w:rPr>
      </w:pPr>
      <w:r w:rsidRPr="00D8062C">
        <w:rPr>
          <w:rFonts w:cs="Arial"/>
          <w:szCs w:val="21"/>
          <w:lang w:eastAsia="en-AU"/>
        </w:rPr>
        <w:t xml:space="preserve">To achieve the intended outcomes of the central pillars, </w:t>
      </w:r>
      <w:r w:rsidRPr="00D8062C">
        <w:rPr>
          <w:rFonts w:cs="Arial"/>
          <w:szCs w:val="21"/>
        </w:rPr>
        <w:t xml:space="preserve">all partners, in line with the NMP’s principles, </w:t>
      </w:r>
      <w:r w:rsidR="00445E90" w:rsidRPr="00DC3F0B">
        <w:rPr>
          <w:rFonts w:cs="Arial"/>
          <w:szCs w:val="21"/>
        </w:rPr>
        <w:t xml:space="preserve">must </w:t>
      </w:r>
      <w:r w:rsidRPr="00DC3F0B">
        <w:rPr>
          <w:rFonts w:cs="Arial"/>
          <w:szCs w:val="21"/>
        </w:rPr>
        <w:t>work together collaboratively, cooperatively and be respectful of the expertise of each other.</w:t>
      </w:r>
    </w:p>
    <w:p w14:paraId="4B8BA707" w14:textId="6F64E197" w:rsidR="00C1152C" w:rsidRPr="00DC3F0B" w:rsidRDefault="00C1152C" w:rsidP="00C1152C">
      <w:pPr>
        <w:pStyle w:val="Heading3"/>
        <w:rPr>
          <w:sz w:val="21"/>
          <w:szCs w:val="21"/>
        </w:rPr>
      </w:pPr>
      <w:r w:rsidRPr="00DC3F0B">
        <w:rPr>
          <w:sz w:val="21"/>
          <w:szCs w:val="21"/>
          <w:shd w:val="clear" w:color="auto" w:fill="FFFFFF"/>
          <w:lang w:eastAsia="en-AU"/>
        </w:rPr>
        <w:t xml:space="preserve">Pillar 1 </w:t>
      </w:r>
      <w:r w:rsidR="006351AD" w:rsidRPr="00DC3F0B">
        <w:rPr>
          <w:sz w:val="21"/>
          <w:szCs w:val="21"/>
          <w:shd w:val="clear" w:color="auto" w:fill="FFFFFF"/>
          <w:lang w:eastAsia="en-AU"/>
        </w:rPr>
        <w:t>–</w:t>
      </w:r>
      <w:r w:rsidRPr="00DC3F0B">
        <w:rPr>
          <w:sz w:val="21"/>
          <w:szCs w:val="21"/>
        </w:rPr>
        <w:t xml:space="preserve"> </w:t>
      </w:r>
      <w:r w:rsidR="006351AD" w:rsidRPr="00DC3F0B">
        <w:rPr>
          <w:sz w:val="21"/>
          <w:szCs w:val="21"/>
        </w:rPr>
        <w:t>Equitable, t</w:t>
      </w:r>
      <w:r w:rsidRPr="00DC3F0B">
        <w:rPr>
          <w:sz w:val="21"/>
          <w:szCs w:val="21"/>
        </w:rPr>
        <w:t>imely,</w:t>
      </w:r>
      <w:r w:rsidR="006351AD" w:rsidRPr="00DC3F0B">
        <w:rPr>
          <w:sz w:val="21"/>
          <w:szCs w:val="21"/>
        </w:rPr>
        <w:t xml:space="preserve"> safe</w:t>
      </w:r>
      <w:r w:rsidRPr="00DC3F0B">
        <w:rPr>
          <w:sz w:val="21"/>
          <w:szCs w:val="21"/>
        </w:rPr>
        <w:t xml:space="preserve"> and reliable access to medicines and medicines-related services, at a cost that individuals and the community can afford</w:t>
      </w:r>
    </w:p>
    <w:p w14:paraId="47939DE5" w14:textId="0FF61A19" w:rsidR="00C1152C" w:rsidRPr="00DC3F0B" w:rsidRDefault="00C1152C" w:rsidP="00C1152C">
      <w:pPr>
        <w:pStyle w:val="Paragraphtext"/>
        <w:rPr>
          <w:rFonts w:cs="Arial"/>
          <w:szCs w:val="21"/>
          <w:lang w:eastAsia="en-AU"/>
        </w:rPr>
      </w:pPr>
      <w:r w:rsidRPr="00D8062C">
        <w:rPr>
          <w:rFonts w:cs="Arial"/>
          <w:szCs w:val="21"/>
          <w:lang w:eastAsia="en-AU"/>
        </w:rPr>
        <w:t xml:space="preserve">To achieve the intended outcome of </w:t>
      </w:r>
      <w:r w:rsidR="00D8062C" w:rsidRPr="00AA1F16">
        <w:rPr>
          <w:rFonts w:cs="Arial"/>
          <w:szCs w:val="21"/>
          <w:lang w:eastAsia="en-AU"/>
        </w:rPr>
        <w:t>P</w:t>
      </w:r>
      <w:r w:rsidRPr="00DC3F0B">
        <w:rPr>
          <w:rFonts w:cs="Arial"/>
          <w:szCs w:val="21"/>
          <w:lang w:eastAsia="en-AU"/>
        </w:rPr>
        <w:t>illar 1</w:t>
      </w:r>
      <w:r w:rsidRPr="00DC3F0B">
        <w:rPr>
          <w:rFonts w:cs="Arial"/>
          <w:szCs w:val="21"/>
        </w:rPr>
        <w:t xml:space="preserve">, </w:t>
      </w:r>
      <w:r w:rsidRPr="00DC3F0B">
        <w:rPr>
          <w:rFonts w:cs="Arial"/>
          <w:szCs w:val="21"/>
          <w:lang w:eastAsia="en-AU"/>
        </w:rPr>
        <w:t>the following partners have primary responsibility for ensuring timely, equitable and reliable access to medicines, at a cost that individuals and the community can afford.</w:t>
      </w:r>
    </w:p>
    <w:p w14:paraId="051D38AE" w14:textId="77777777" w:rsidR="00C1152C" w:rsidRPr="00DC3F0B" w:rsidRDefault="00C1152C" w:rsidP="00C1152C">
      <w:pPr>
        <w:pStyle w:val="Paragraphtext"/>
        <w:rPr>
          <w:rFonts w:cs="Arial"/>
          <w:b/>
          <w:bCs/>
          <w:szCs w:val="21"/>
          <w:lang w:eastAsia="en-AU"/>
        </w:rPr>
      </w:pPr>
      <w:r w:rsidRPr="00DC3F0B">
        <w:rPr>
          <w:rFonts w:cs="Arial"/>
          <w:b/>
          <w:bCs/>
          <w:szCs w:val="21"/>
        </w:rPr>
        <w:t>Partners and their broad responsibilities and functions to advance Pillar 1</w:t>
      </w:r>
    </w:p>
    <w:tbl>
      <w:tblPr>
        <w:tblStyle w:val="TableGrid8"/>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83"/>
        <w:gridCol w:w="1712"/>
        <w:gridCol w:w="4615"/>
      </w:tblGrid>
      <w:tr w:rsidR="00C1152C" w:rsidRPr="00E77C38" w14:paraId="6D0F2A1B" w14:textId="77777777" w:rsidTr="001550BB">
        <w:trPr>
          <w:cnfStyle w:val="100000000000" w:firstRow="1" w:lastRow="0" w:firstColumn="0" w:lastColumn="0" w:oddVBand="0" w:evenVBand="0" w:oddHBand="0" w:evenHBand="0" w:firstRowFirstColumn="0" w:firstRowLastColumn="0" w:lastRowFirstColumn="0" w:lastRowLastColumn="0"/>
          <w:cantSplit/>
          <w:tblHeader/>
        </w:trPr>
        <w:tc>
          <w:tcPr>
            <w:tcW w:w="1489" w:type="pct"/>
            <w:shd w:val="clear" w:color="auto" w:fill="009999"/>
          </w:tcPr>
          <w:p w14:paraId="4D14208F" w14:textId="77777777" w:rsidR="00C1152C" w:rsidRPr="00DC3F0B" w:rsidRDefault="00C1152C" w:rsidP="00D879C2">
            <w:pPr>
              <w:rPr>
                <w:rFonts w:cs="Arial"/>
                <w:sz w:val="21"/>
                <w:szCs w:val="21"/>
              </w:rPr>
            </w:pPr>
            <w:r w:rsidRPr="00DC3F0B">
              <w:rPr>
                <w:rFonts w:cs="Arial"/>
                <w:sz w:val="21"/>
                <w:szCs w:val="21"/>
              </w:rPr>
              <w:t>Intended outcome</w:t>
            </w:r>
          </w:p>
        </w:tc>
        <w:tc>
          <w:tcPr>
            <w:tcW w:w="950" w:type="pct"/>
            <w:shd w:val="clear" w:color="auto" w:fill="009999"/>
          </w:tcPr>
          <w:p w14:paraId="1831F461" w14:textId="1677B7B3" w:rsidR="00C1152C" w:rsidRPr="00DC3F0B" w:rsidRDefault="00C1152C" w:rsidP="00D879C2">
            <w:pPr>
              <w:rPr>
                <w:rFonts w:cs="Arial"/>
                <w:sz w:val="21"/>
                <w:szCs w:val="21"/>
              </w:rPr>
            </w:pPr>
            <w:r w:rsidRPr="00DC3F0B">
              <w:rPr>
                <w:rFonts w:cs="Arial"/>
                <w:sz w:val="21"/>
                <w:szCs w:val="21"/>
              </w:rPr>
              <w:t>Partner</w:t>
            </w:r>
          </w:p>
        </w:tc>
        <w:tc>
          <w:tcPr>
            <w:tcW w:w="2562" w:type="pct"/>
            <w:shd w:val="clear" w:color="auto" w:fill="009999"/>
          </w:tcPr>
          <w:p w14:paraId="4F78EC54" w14:textId="77777777" w:rsidR="00C1152C" w:rsidRPr="00DC3F0B" w:rsidRDefault="00C1152C" w:rsidP="00D879C2">
            <w:pPr>
              <w:rPr>
                <w:rFonts w:cs="Arial"/>
                <w:sz w:val="21"/>
                <w:szCs w:val="21"/>
              </w:rPr>
            </w:pPr>
            <w:r w:rsidRPr="00DC3F0B">
              <w:rPr>
                <w:rFonts w:cs="Arial"/>
                <w:sz w:val="21"/>
                <w:szCs w:val="21"/>
              </w:rPr>
              <w:t>Broad responsibilities and functions</w:t>
            </w:r>
          </w:p>
        </w:tc>
      </w:tr>
      <w:tr w:rsidR="001148C4" w:rsidRPr="00E77C38" w14:paraId="2C1F6BF3" w14:textId="77777777" w:rsidTr="001550BB">
        <w:trPr>
          <w:cantSplit/>
        </w:trPr>
        <w:tc>
          <w:tcPr>
            <w:tcW w:w="1489" w:type="pct"/>
          </w:tcPr>
          <w:p w14:paraId="79CF349B" w14:textId="6F53F62A" w:rsidR="001148C4" w:rsidRPr="00DC3F0B" w:rsidRDefault="001148C4" w:rsidP="00D879C2">
            <w:pPr>
              <w:rPr>
                <w:rFonts w:cs="Arial"/>
                <w:b/>
                <w:bCs/>
                <w:sz w:val="21"/>
                <w:szCs w:val="21"/>
              </w:rPr>
            </w:pPr>
            <w:r w:rsidRPr="00D8062C">
              <w:rPr>
                <w:rFonts w:cs="Arial"/>
                <w:b/>
                <w:bCs/>
                <w:sz w:val="21"/>
                <w:szCs w:val="21"/>
              </w:rPr>
              <w:t xml:space="preserve">Medicines and </w:t>
            </w:r>
            <w:r w:rsidRPr="00AA1F16">
              <w:rPr>
                <w:rFonts w:cs="Arial"/>
                <w:b/>
                <w:bCs/>
                <w:sz w:val="21"/>
                <w:szCs w:val="21"/>
              </w:rPr>
              <w:t>medicines-related services are affordable and accessible in an equitable</w:t>
            </w:r>
            <w:r w:rsidRPr="00165D10">
              <w:rPr>
                <w:rFonts w:cs="Arial"/>
                <w:b/>
                <w:bCs/>
                <w:sz w:val="21"/>
                <w:szCs w:val="21"/>
              </w:rPr>
              <w:t>,</w:t>
            </w:r>
            <w:r w:rsidRPr="00DC3F0B">
              <w:rPr>
                <w:rFonts w:cs="Arial"/>
                <w:b/>
                <w:bCs/>
                <w:sz w:val="21"/>
                <w:szCs w:val="21"/>
              </w:rPr>
              <w:t xml:space="preserve"> timely and safe manner, leading to the achievement of the best health, social and economic benefits for all Australians.</w:t>
            </w:r>
          </w:p>
        </w:tc>
        <w:tc>
          <w:tcPr>
            <w:tcW w:w="950" w:type="pct"/>
          </w:tcPr>
          <w:p w14:paraId="1D22269B" w14:textId="0FCA8B8D" w:rsidR="001148C4" w:rsidRPr="00DC3F0B" w:rsidRDefault="001148C4" w:rsidP="00D879C2">
            <w:pPr>
              <w:rPr>
                <w:rFonts w:cs="Arial"/>
                <w:sz w:val="21"/>
                <w:szCs w:val="21"/>
              </w:rPr>
            </w:pPr>
            <w:r w:rsidRPr="00DC3F0B">
              <w:rPr>
                <w:rFonts w:cs="Arial"/>
                <w:sz w:val="21"/>
                <w:szCs w:val="21"/>
              </w:rPr>
              <w:t xml:space="preserve">Consumer </w:t>
            </w:r>
            <w:r>
              <w:rPr>
                <w:rFonts w:cs="Arial"/>
                <w:sz w:val="21"/>
                <w:szCs w:val="21"/>
              </w:rPr>
              <w:t xml:space="preserve">organisations and </w:t>
            </w:r>
            <w:r w:rsidRPr="00DC3F0B">
              <w:rPr>
                <w:rFonts w:cs="Arial"/>
                <w:sz w:val="21"/>
                <w:szCs w:val="21"/>
              </w:rPr>
              <w:t xml:space="preserve">representatives, </w:t>
            </w:r>
            <w:r w:rsidRPr="00E77C38">
              <w:rPr>
                <w:rFonts w:eastAsia="Arial" w:cs="Arial"/>
                <w:color w:val="000000" w:themeColor="text1"/>
                <w:sz w:val="21"/>
                <w:szCs w:val="21"/>
              </w:rPr>
              <w:t>patient advocates, not-for-profits</w:t>
            </w:r>
          </w:p>
        </w:tc>
        <w:tc>
          <w:tcPr>
            <w:tcW w:w="2562" w:type="pct"/>
          </w:tcPr>
          <w:p w14:paraId="422FCB5F" w14:textId="2EAFC4E8" w:rsidR="001148C4" w:rsidRPr="00DC3F0B" w:rsidRDefault="001148C4" w:rsidP="00D879C2">
            <w:pPr>
              <w:rPr>
                <w:rFonts w:cs="Arial"/>
                <w:sz w:val="21"/>
                <w:szCs w:val="21"/>
              </w:rPr>
            </w:pPr>
            <w:r w:rsidRPr="00DC3F0B">
              <w:rPr>
                <w:rFonts w:cs="Arial"/>
                <w:sz w:val="21"/>
                <w:szCs w:val="21"/>
              </w:rPr>
              <w:t xml:space="preserve">Support and advocate for engagement by </w:t>
            </w:r>
            <w:r w:rsidRPr="00DC3F0B">
              <w:rPr>
                <w:rFonts w:eastAsia="Arial" w:cs="Arial"/>
                <w:sz w:val="21"/>
                <w:szCs w:val="21"/>
              </w:rPr>
              <w:t>individuals, their families and/or carers</w:t>
            </w:r>
            <w:r w:rsidRPr="00D8062C">
              <w:rPr>
                <w:rFonts w:cs="Arial"/>
                <w:sz w:val="21"/>
                <w:szCs w:val="21"/>
              </w:rPr>
              <w:t xml:space="preserve"> </w:t>
            </w:r>
            <w:r w:rsidRPr="00DC3F0B">
              <w:rPr>
                <w:rFonts w:cs="Arial"/>
                <w:sz w:val="21"/>
                <w:szCs w:val="21"/>
              </w:rPr>
              <w:t>with participation in the health sector at the individual, service and system levels.</w:t>
            </w:r>
          </w:p>
          <w:p w14:paraId="3E99C4CB" w14:textId="46DB34B5" w:rsidR="001148C4" w:rsidRPr="00DC3F0B" w:rsidRDefault="001148C4" w:rsidP="00D879C2">
            <w:pPr>
              <w:rPr>
                <w:rFonts w:cs="Arial"/>
                <w:sz w:val="21"/>
                <w:szCs w:val="21"/>
              </w:rPr>
            </w:pPr>
            <w:r w:rsidRPr="00DC3F0B">
              <w:rPr>
                <w:rFonts w:cs="Arial"/>
                <w:sz w:val="21"/>
                <w:szCs w:val="21"/>
              </w:rPr>
              <w:t>Support and be involved in the development and distribution of health and evidence-based medicines information for individuals and groups, particularly those who may experience inequity of access or different/additional challenges to accessing medicines.</w:t>
            </w:r>
          </w:p>
        </w:tc>
      </w:tr>
      <w:tr w:rsidR="001148C4" w:rsidRPr="00E77C38" w14:paraId="2758CF27" w14:textId="77777777" w:rsidTr="001550BB">
        <w:trPr>
          <w:cantSplit/>
        </w:trPr>
        <w:tc>
          <w:tcPr>
            <w:tcW w:w="1489" w:type="pct"/>
          </w:tcPr>
          <w:p w14:paraId="4C7D18B3" w14:textId="77777777" w:rsidR="001148C4" w:rsidRPr="00DC3F0B" w:rsidRDefault="001148C4" w:rsidP="00D879C2">
            <w:pPr>
              <w:rPr>
                <w:rFonts w:cs="Arial"/>
                <w:sz w:val="21"/>
                <w:szCs w:val="21"/>
              </w:rPr>
            </w:pPr>
          </w:p>
        </w:tc>
        <w:tc>
          <w:tcPr>
            <w:tcW w:w="950" w:type="pct"/>
          </w:tcPr>
          <w:p w14:paraId="7629798B" w14:textId="4C9B2349" w:rsidR="001148C4" w:rsidRPr="00DC3F0B" w:rsidRDefault="001148C4" w:rsidP="00D879C2">
            <w:pPr>
              <w:rPr>
                <w:rFonts w:cs="Arial"/>
                <w:sz w:val="21"/>
                <w:szCs w:val="21"/>
              </w:rPr>
            </w:pPr>
            <w:r w:rsidRPr="00DC3F0B">
              <w:rPr>
                <w:rFonts w:cs="Arial"/>
                <w:sz w:val="21"/>
                <w:szCs w:val="21"/>
              </w:rPr>
              <w:t>Health professionals</w:t>
            </w:r>
          </w:p>
        </w:tc>
        <w:tc>
          <w:tcPr>
            <w:tcW w:w="2562" w:type="pct"/>
          </w:tcPr>
          <w:p w14:paraId="3028C6A1" w14:textId="76A5736B" w:rsidR="001148C4" w:rsidRPr="00DC3F0B" w:rsidRDefault="001148C4" w:rsidP="00D879C2">
            <w:pPr>
              <w:spacing w:line="259" w:lineRule="auto"/>
              <w:rPr>
                <w:rFonts w:cs="Arial"/>
                <w:sz w:val="21"/>
                <w:szCs w:val="21"/>
              </w:rPr>
            </w:pPr>
            <w:r w:rsidRPr="00DC3F0B">
              <w:rPr>
                <w:rFonts w:cs="Arial"/>
                <w:sz w:val="21"/>
                <w:szCs w:val="21"/>
              </w:rPr>
              <w:t>Consider and discuss treatment options and appropriately recommend, prescribe, dispense or supply medicines and medicines-related services, applying a person-centred approach to help people decide whether to use a medicine, and to promote the quality use of medicines and medicines safety.</w:t>
            </w:r>
          </w:p>
        </w:tc>
      </w:tr>
      <w:tr w:rsidR="001148C4" w:rsidRPr="00E77C38" w14:paraId="58ADC48D" w14:textId="77777777" w:rsidTr="001550BB">
        <w:trPr>
          <w:cantSplit/>
        </w:trPr>
        <w:tc>
          <w:tcPr>
            <w:tcW w:w="1489" w:type="pct"/>
          </w:tcPr>
          <w:p w14:paraId="150FDBA5" w14:textId="77777777" w:rsidR="001148C4" w:rsidRPr="00DC3F0B" w:rsidRDefault="001148C4" w:rsidP="00D879C2">
            <w:pPr>
              <w:rPr>
                <w:rFonts w:cs="Arial"/>
                <w:sz w:val="21"/>
                <w:szCs w:val="21"/>
              </w:rPr>
            </w:pPr>
          </w:p>
        </w:tc>
        <w:tc>
          <w:tcPr>
            <w:tcW w:w="950" w:type="pct"/>
          </w:tcPr>
          <w:p w14:paraId="1C69FF91" w14:textId="3D22742D" w:rsidR="001148C4" w:rsidRPr="00DC3F0B" w:rsidRDefault="001148C4" w:rsidP="00D879C2">
            <w:pPr>
              <w:rPr>
                <w:rFonts w:cs="Arial"/>
                <w:sz w:val="21"/>
                <w:szCs w:val="21"/>
              </w:rPr>
            </w:pPr>
            <w:r w:rsidRPr="00DC3F0B">
              <w:rPr>
                <w:rFonts w:cs="Arial"/>
                <w:sz w:val="21"/>
                <w:szCs w:val="21"/>
              </w:rPr>
              <w:t>Commonwealth government and national agencies</w:t>
            </w:r>
          </w:p>
        </w:tc>
        <w:tc>
          <w:tcPr>
            <w:tcW w:w="2562" w:type="pct"/>
          </w:tcPr>
          <w:p w14:paraId="297E211D" w14:textId="1FA8DA4E" w:rsidR="001148C4" w:rsidRPr="00DC3F0B" w:rsidRDefault="001148C4" w:rsidP="00D879C2">
            <w:pPr>
              <w:rPr>
                <w:rFonts w:cs="Arial"/>
                <w:sz w:val="21"/>
                <w:szCs w:val="21"/>
              </w:rPr>
            </w:pPr>
            <w:r w:rsidRPr="00DC3F0B">
              <w:rPr>
                <w:rFonts w:cs="Arial"/>
                <w:sz w:val="21"/>
                <w:szCs w:val="21"/>
              </w:rPr>
              <w:t>Deliver national health programs and regulatory functions that ensure equitable, timely, affordable, safe and reliable access to medicines and medicines-related services.</w:t>
            </w:r>
          </w:p>
          <w:p w14:paraId="66C91B4B" w14:textId="77777777" w:rsidR="001148C4" w:rsidRPr="00DC3F0B" w:rsidRDefault="001148C4" w:rsidP="00D879C2">
            <w:pPr>
              <w:rPr>
                <w:rFonts w:cs="Arial"/>
                <w:sz w:val="21"/>
                <w:szCs w:val="21"/>
              </w:rPr>
            </w:pPr>
            <w:r w:rsidRPr="00DC3F0B">
              <w:rPr>
                <w:rFonts w:cs="Arial"/>
                <w:sz w:val="21"/>
                <w:szCs w:val="21"/>
              </w:rPr>
              <w:t>Be accountable for proactive engagement and alignment across partner jurisdictions, ensuring the interoperability of systems, policies and procedures.</w:t>
            </w:r>
          </w:p>
          <w:p w14:paraId="4C28EA35" w14:textId="77777777" w:rsidR="001148C4" w:rsidRPr="00DC3F0B" w:rsidRDefault="001148C4" w:rsidP="00D879C2">
            <w:pPr>
              <w:rPr>
                <w:rFonts w:cs="Arial"/>
                <w:sz w:val="21"/>
                <w:szCs w:val="21"/>
              </w:rPr>
            </w:pPr>
            <w:r w:rsidRPr="00DC3F0B">
              <w:rPr>
                <w:rFonts w:cs="Arial"/>
                <w:sz w:val="21"/>
                <w:szCs w:val="21"/>
              </w:rPr>
              <w:t>Support nationally consistent platforms, governance, processes and guidelines for a safe, accessible, active and progressive clinical trial sector.</w:t>
            </w:r>
          </w:p>
        </w:tc>
      </w:tr>
      <w:tr w:rsidR="001148C4" w:rsidRPr="00E77C38" w14:paraId="59A6A8E3" w14:textId="77777777" w:rsidTr="001550BB">
        <w:trPr>
          <w:cantSplit/>
        </w:trPr>
        <w:tc>
          <w:tcPr>
            <w:tcW w:w="1489" w:type="pct"/>
          </w:tcPr>
          <w:p w14:paraId="1D5A3223" w14:textId="77777777" w:rsidR="001148C4" w:rsidRPr="00DC3F0B" w:rsidRDefault="001148C4" w:rsidP="00D879C2">
            <w:pPr>
              <w:rPr>
                <w:rFonts w:cs="Arial"/>
                <w:sz w:val="21"/>
                <w:szCs w:val="21"/>
              </w:rPr>
            </w:pPr>
          </w:p>
        </w:tc>
        <w:tc>
          <w:tcPr>
            <w:tcW w:w="950" w:type="pct"/>
          </w:tcPr>
          <w:p w14:paraId="2842252F" w14:textId="0E889893" w:rsidR="001148C4" w:rsidRPr="00DC3F0B" w:rsidRDefault="001148C4" w:rsidP="00D879C2">
            <w:pPr>
              <w:rPr>
                <w:rFonts w:cs="Arial"/>
                <w:sz w:val="21"/>
                <w:szCs w:val="21"/>
              </w:rPr>
            </w:pPr>
            <w:r w:rsidRPr="00DC3F0B">
              <w:rPr>
                <w:rFonts w:cs="Arial"/>
                <w:sz w:val="21"/>
                <w:szCs w:val="21"/>
              </w:rPr>
              <w:t>State and territory governments and agencies</w:t>
            </w:r>
          </w:p>
        </w:tc>
        <w:tc>
          <w:tcPr>
            <w:tcW w:w="2562" w:type="pct"/>
          </w:tcPr>
          <w:p w14:paraId="0C9945F5" w14:textId="3D0F23FE" w:rsidR="001148C4" w:rsidRPr="00DC3F0B" w:rsidRDefault="001148C4" w:rsidP="00D879C2">
            <w:pPr>
              <w:rPr>
                <w:rFonts w:cs="Arial"/>
                <w:sz w:val="21"/>
                <w:szCs w:val="21"/>
              </w:rPr>
            </w:pPr>
            <w:r w:rsidRPr="00DC3F0B">
              <w:rPr>
                <w:rFonts w:cs="Arial"/>
                <w:sz w:val="21"/>
                <w:szCs w:val="21"/>
              </w:rPr>
              <w:t xml:space="preserve">Deliver safe, reliable access to equitable and affordable medicines through publicly funded services. </w:t>
            </w:r>
          </w:p>
          <w:p w14:paraId="6F1D7F39" w14:textId="77777777" w:rsidR="001148C4" w:rsidRPr="00DC3F0B" w:rsidRDefault="001148C4" w:rsidP="00D879C2">
            <w:pPr>
              <w:rPr>
                <w:rFonts w:cs="Arial"/>
                <w:sz w:val="21"/>
                <w:szCs w:val="21"/>
              </w:rPr>
            </w:pPr>
            <w:r w:rsidRPr="00DC3F0B">
              <w:rPr>
                <w:rFonts w:cs="Arial"/>
                <w:sz w:val="21"/>
                <w:szCs w:val="21"/>
              </w:rPr>
              <w:t xml:space="preserve">Be accountable for proactive engagement and alignment across partner jurisdictions, ensuring interoperability of systems, policies and procedures and clinical trial governance. </w:t>
            </w:r>
          </w:p>
        </w:tc>
      </w:tr>
      <w:tr w:rsidR="001148C4" w:rsidRPr="00E77C38" w14:paraId="2EE8AB33" w14:textId="77777777" w:rsidTr="001550BB">
        <w:trPr>
          <w:cantSplit/>
          <w:trHeight w:val="694"/>
        </w:trPr>
        <w:tc>
          <w:tcPr>
            <w:tcW w:w="1489" w:type="pct"/>
          </w:tcPr>
          <w:p w14:paraId="69A9FDFB" w14:textId="77777777" w:rsidR="001148C4" w:rsidRPr="00DC3F0B" w:rsidRDefault="001148C4" w:rsidP="00D879C2">
            <w:pPr>
              <w:rPr>
                <w:rFonts w:cs="Arial"/>
                <w:sz w:val="21"/>
                <w:szCs w:val="21"/>
              </w:rPr>
            </w:pPr>
          </w:p>
        </w:tc>
        <w:tc>
          <w:tcPr>
            <w:tcW w:w="950" w:type="pct"/>
          </w:tcPr>
          <w:p w14:paraId="39816724" w14:textId="2951FDBF" w:rsidR="001148C4" w:rsidRPr="00DC3F0B" w:rsidRDefault="001148C4" w:rsidP="00D879C2">
            <w:pPr>
              <w:rPr>
                <w:rFonts w:cs="Arial"/>
                <w:sz w:val="21"/>
                <w:szCs w:val="21"/>
              </w:rPr>
            </w:pPr>
            <w:r w:rsidRPr="00DC3F0B">
              <w:rPr>
                <w:rFonts w:cs="Arial"/>
                <w:sz w:val="21"/>
                <w:szCs w:val="21"/>
              </w:rPr>
              <w:t>Medicines industry, including software providers</w:t>
            </w:r>
          </w:p>
        </w:tc>
        <w:tc>
          <w:tcPr>
            <w:tcW w:w="2562" w:type="pct"/>
          </w:tcPr>
          <w:p w14:paraId="3A85AED0" w14:textId="5BC176E9" w:rsidR="001148C4" w:rsidRPr="00DC3F0B" w:rsidRDefault="001148C4" w:rsidP="00D879C2">
            <w:pPr>
              <w:rPr>
                <w:rFonts w:cs="Arial"/>
                <w:sz w:val="21"/>
                <w:szCs w:val="21"/>
              </w:rPr>
            </w:pPr>
            <w:r w:rsidRPr="00DC3F0B">
              <w:rPr>
                <w:rFonts w:cs="Arial"/>
                <w:sz w:val="21"/>
                <w:szCs w:val="21"/>
              </w:rPr>
              <w:t>Research, develop and supply medicines that provide the best health and socioeconomic value to the individual and the community, in an equitable, timely and sustainable way.</w:t>
            </w:r>
          </w:p>
          <w:p w14:paraId="345EAB91" w14:textId="5A493717" w:rsidR="001148C4" w:rsidRPr="00DC3F0B" w:rsidRDefault="001148C4" w:rsidP="00D879C2">
            <w:pPr>
              <w:rPr>
                <w:rFonts w:cs="Arial"/>
                <w:sz w:val="21"/>
                <w:szCs w:val="21"/>
              </w:rPr>
            </w:pPr>
            <w:r w:rsidRPr="00DC3F0B">
              <w:rPr>
                <w:rFonts w:cs="Arial"/>
                <w:sz w:val="21"/>
                <w:szCs w:val="21"/>
              </w:rPr>
              <w:t xml:space="preserve">Provide consistent and standardised medicines-related information to health professionals and </w:t>
            </w:r>
            <w:r w:rsidRPr="00DC3F0B">
              <w:rPr>
                <w:rFonts w:eastAsia="Arial" w:cs="Arial"/>
                <w:sz w:val="21"/>
                <w:szCs w:val="21"/>
              </w:rPr>
              <w:t>individuals, their families and/or carers</w:t>
            </w:r>
            <w:r w:rsidRPr="00DC3F0B">
              <w:rPr>
                <w:rFonts w:cs="Arial"/>
                <w:sz w:val="21"/>
                <w:szCs w:val="21"/>
              </w:rPr>
              <w:t>.</w:t>
            </w:r>
          </w:p>
        </w:tc>
      </w:tr>
      <w:tr w:rsidR="001148C4" w:rsidRPr="00E77C38" w14:paraId="3F4B9781" w14:textId="77777777" w:rsidTr="001550BB">
        <w:trPr>
          <w:cantSplit/>
          <w:trHeight w:val="884"/>
        </w:trPr>
        <w:tc>
          <w:tcPr>
            <w:tcW w:w="1489" w:type="pct"/>
          </w:tcPr>
          <w:p w14:paraId="2EFC8EFB" w14:textId="77777777" w:rsidR="001148C4" w:rsidRPr="00DC3F0B" w:rsidRDefault="001148C4" w:rsidP="00D879C2">
            <w:pPr>
              <w:rPr>
                <w:rFonts w:cs="Arial"/>
                <w:sz w:val="21"/>
                <w:szCs w:val="21"/>
              </w:rPr>
            </w:pPr>
          </w:p>
        </w:tc>
        <w:tc>
          <w:tcPr>
            <w:tcW w:w="950" w:type="pct"/>
          </w:tcPr>
          <w:p w14:paraId="2A0609A7" w14:textId="4DF82CD5" w:rsidR="001148C4" w:rsidRPr="00DC3F0B" w:rsidRDefault="001148C4" w:rsidP="00D879C2">
            <w:pPr>
              <w:rPr>
                <w:rFonts w:cs="Arial"/>
                <w:sz w:val="21"/>
                <w:szCs w:val="21"/>
              </w:rPr>
            </w:pPr>
            <w:r w:rsidRPr="00DC3F0B">
              <w:rPr>
                <w:rFonts w:cs="Arial"/>
                <w:sz w:val="21"/>
                <w:szCs w:val="21"/>
              </w:rPr>
              <w:t xml:space="preserve">Researchers </w:t>
            </w:r>
          </w:p>
        </w:tc>
        <w:tc>
          <w:tcPr>
            <w:tcW w:w="2562" w:type="pct"/>
          </w:tcPr>
          <w:p w14:paraId="44AD16AC" w14:textId="6D8CCF43" w:rsidR="001148C4" w:rsidRPr="00DC3F0B" w:rsidRDefault="001148C4" w:rsidP="00D879C2">
            <w:pPr>
              <w:rPr>
                <w:rFonts w:cs="Arial"/>
                <w:sz w:val="21"/>
                <w:szCs w:val="21"/>
              </w:rPr>
            </w:pPr>
            <w:r w:rsidRPr="00DC3F0B">
              <w:rPr>
                <w:rFonts w:cs="Arial"/>
                <w:sz w:val="21"/>
                <w:szCs w:val="21"/>
              </w:rPr>
              <w:t>Lead research and clinical trials, consistent with national and international guidance, that contribute evidence supporting the safe, timely, equitable and reliable access to medicines and medicines-related services.</w:t>
            </w:r>
          </w:p>
        </w:tc>
      </w:tr>
      <w:tr w:rsidR="001148C4" w:rsidRPr="00E77C38" w14:paraId="1A7766E2" w14:textId="77777777" w:rsidTr="001550BB">
        <w:trPr>
          <w:cantSplit/>
          <w:trHeight w:val="884"/>
        </w:trPr>
        <w:tc>
          <w:tcPr>
            <w:tcW w:w="1489" w:type="pct"/>
          </w:tcPr>
          <w:p w14:paraId="52001398" w14:textId="77777777" w:rsidR="001148C4" w:rsidRPr="00DC3F0B" w:rsidRDefault="001148C4" w:rsidP="00D411C7">
            <w:pPr>
              <w:rPr>
                <w:rFonts w:cs="Arial"/>
                <w:sz w:val="21"/>
                <w:szCs w:val="21"/>
              </w:rPr>
            </w:pPr>
          </w:p>
        </w:tc>
        <w:tc>
          <w:tcPr>
            <w:tcW w:w="950" w:type="pct"/>
          </w:tcPr>
          <w:p w14:paraId="67FC7EFD" w14:textId="29A49A3C" w:rsidR="001148C4" w:rsidRPr="00DC3F0B" w:rsidRDefault="001148C4" w:rsidP="00D411C7">
            <w:pPr>
              <w:rPr>
                <w:rFonts w:cs="Arial"/>
                <w:sz w:val="21"/>
                <w:szCs w:val="21"/>
              </w:rPr>
            </w:pPr>
            <w:r w:rsidRPr="00DC3F0B">
              <w:rPr>
                <w:rFonts w:cs="Arial"/>
                <w:sz w:val="21"/>
                <w:szCs w:val="21"/>
              </w:rPr>
              <w:t>Health educators, including higher education and professional training bodies</w:t>
            </w:r>
          </w:p>
        </w:tc>
        <w:tc>
          <w:tcPr>
            <w:tcW w:w="2562" w:type="pct"/>
          </w:tcPr>
          <w:p w14:paraId="5CA0A8C5" w14:textId="556FC9AF" w:rsidR="001148C4" w:rsidRPr="00DC3F0B" w:rsidRDefault="001148C4" w:rsidP="00237705">
            <w:pPr>
              <w:rPr>
                <w:rFonts w:cs="Arial"/>
                <w:sz w:val="21"/>
                <w:szCs w:val="21"/>
              </w:rPr>
            </w:pPr>
            <w:r w:rsidRPr="00DC3F0B">
              <w:rPr>
                <w:rFonts w:cs="Arial"/>
                <w:sz w:val="21"/>
                <w:szCs w:val="21"/>
              </w:rPr>
              <w:t>Work constructively and transparently with all partners to develop and deliver educational curricular and training programs that support equitable, timely and safe access to medicines and medicines-related services for all Australians.</w:t>
            </w:r>
          </w:p>
        </w:tc>
      </w:tr>
      <w:tr w:rsidR="001148C4" w:rsidRPr="00E77C38" w14:paraId="790A6ED6" w14:textId="77777777" w:rsidTr="001550BB">
        <w:trPr>
          <w:cantSplit/>
          <w:trHeight w:val="581"/>
        </w:trPr>
        <w:tc>
          <w:tcPr>
            <w:tcW w:w="1489" w:type="pct"/>
          </w:tcPr>
          <w:p w14:paraId="71B2B35B" w14:textId="77777777" w:rsidR="001148C4" w:rsidRPr="00DC3F0B" w:rsidRDefault="001148C4" w:rsidP="00D411C7">
            <w:pPr>
              <w:rPr>
                <w:rFonts w:cs="Arial"/>
                <w:sz w:val="21"/>
                <w:szCs w:val="21"/>
              </w:rPr>
            </w:pPr>
          </w:p>
        </w:tc>
        <w:tc>
          <w:tcPr>
            <w:tcW w:w="950" w:type="pct"/>
          </w:tcPr>
          <w:p w14:paraId="6F97A04B" w14:textId="45D35A00" w:rsidR="001148C4" w:rsidRPr="00DC3F0B" w:rsidRDefault="001148C4" w:rsidP="00D411C7">
            <w:pPr>
              <w:rPr>
                <w:rFonts w:cs="Arial"/>
                <w:sz w:val="21"/>
                <w:szCs w:val="21"/>
              </w:rPr>
            </w:pPr>
            <w:r w:rsidRPr="00DC3F0B">
              <w:rPr>
                <w:rFonts w:cs="Arial"/>
                <w:sz w:val="21"/>
                <w:szCs w:val="21"/>
              </w:rPr>
              <w:t>Health professional organisations and other health related entities</w:t>
            </w:r>
          </w:p>
        </w:tc>
        <w:tc>
          <w:tcPr>
            <w:tcW w:w="2562" w:type="pct"/>
          </w:tcPr>
          <w:p w14:paraId="26ED4F5D" w14:textId="52EF0873" w:rsidR="001148C4" w:rsidRPr="00DC3F0B" w:rsidRDefault="001148C4" w:rsidP="00D411C7">
            <w:pPr>
              <w:rPr>
                <w:rFonts w:cs="Arial"/>
                <w:sz w:val="21"/>
                <w:szCs w:val="21"/>
              </w:rPr>
            </w:pPr>
            <w:r w:rsidRPr="00DC3F0B">
              <w:rPr>
                <w:rFonts w:cs="Arial"/>
                <w:sz w:val="21"/>
                <w:szCs w:val="21"/>
              </w:rPr>
              <w:t>Develop and support systems, processes and guidelines, which promote the safe, timely, equitable and reliable access to medicines.</w:t>
            </w:r>
          </w:p>
        </w:tc>
      </w:tr>
      <w:tr w:rsidR="001148C4" w:rsidRPr="00E77C38" w14:paraId="70258CE3" w14:textId="77777777" w:rsidTr="001550BB">
        <w:trPr>
          <w:cantSplit/>
          <w:trHeight w:val="581"/>
        </w:trPr>
        <w:tc>
          <w:tcPr>
            <w:tcW w:w="1489" w:type="pct"/>
          </w:tcPr>
          <w:p w14:paraId="61E6069C" w14:textId="77777777" w:rsidR="001148C4" w:rsidRPr="00DC3F0B" w:rsidRDefault="001148C4" w:rsidP="00D411C7">
            <w:pPr>
              <w:rPr>
                <w:rFonts w:cs="Arial"/>
                <w:sz w:val="21"/>
                <w:szCs w:val="21"/>
              </w:rPr>
            </w:pPr>
          </w:p>
        </w:tc>
        <w:tc>
          <w:tcPr>
            <w:tcW w:w="950" w:type="pct"/>
          </w:tcPr>
          <w:p w14:paraId="50986F41" w14:textId="7E103266" w:rsidR="001148C4" w:rsidRPr="00DC3F0B" w:rsidRDefault="001148C4" w:rsidP="00D411C7">
            <w:pPr>
              <w:rPr>
                <w:rFonts w:cs="Arial"/>
                <w:sz w:val="21"/>
                <w:szCs w:val="21"/>
              </w:rPr>
            </w:pPr>
            <w:r w:rsidRPr="00DC3F0B">
              <w:rPr>
                <w:rFonts w:cs="Arial"/>
                <w:sz w:val="21"/>
                <w:szCs w:val="21"/>
              </w:rPr>
              <w:t>Media</w:t>
            </w:r>
          </w:p>
        </w:tc>
        <w:tc>
          <w:tcPr>
            <w:tcW w:w="2562" w:type="pct"/>
          </w:tcPr>
          <w:p w14:paraId="02F0EFA0" w14:textId="0FC31E95" w:rsidR="001148C4" w:rsidRPr="00DC3F0B" w:rsidRDefault="001148C4" w:rsidP="00D411C7">
            <w:pPr>
              <w:rPr>
                <w:rFonts w:cs="Arial"/>
                <w:sz w:val="21"/>
                <w:szCs w:val="21"/>
              </w:rPr>
            </w:pPr>
            <w:r w:rsidRPr="00DC3F0B">
              <w:rPr>
                <w:rFonts w:cs="Arial"/>
                <w:sz w:val="21"/>
                <w:szCs w:val="21"/>
              </w:rPr>
              <w:t>Report responsibly on issues relating to the safe, timely, equitable, reliable and affordable access to medicines.</w:t>
            </w:r>
          </w:p>
        </w:tc>
      </w:tr>
    </w:tbl>
    <w:p w14:paraId="204AEF98" w14:textId="77777777" w:rsidR="00C1152C" w:rsidRPr="00DC3F0B" w:rsidRDefault="00C1152C" w:rsidP="004F0115">
      <w:pPr>
        <w:pStyle w:val="Heading3"/>
        <w:keepLines/>
        <w:rPr>
          <w:sz w:val="21"/>
          <w:szCs w:val="21"/>
          <w:shd w:val="clear" w:color="auto" w:fill="FFFFFF"/>
          <w:lang w:eastAsia="en-AU"/>
        </w:rPr>
      </w:pPr>
      <w:r w:rsidRPr="00DC3F0B">
        <w:rPr>
          <w:sz w:val="21"/>
          <w:szCs w:val="21"/>
          <w:lang w:eastAsia="en-AU"/>
        </w:rPr>
        <w:lastRenderedPageBreak/>
        <w:t>Pillar 2 -</w:t>
      </w:r>
      <w:r w:rsidRPr="00DC3F0B">
        <w:rPr>
          <w:sz w:val="21"/>
          <w:szCs w:val="21"/>
        </w:rPr>
        <w:t xml:space="preserve"> Medicines meet the required standards of quality, safety and efficacy</w:t>
      </w:r>
    </w:p>
    <w:p w14:paraId="75D66AC4" w14:textId="5B9F2FB0" w:rsidR="00C1152C" w:rsidRPr="00DC3F0B" w:rsidRDefault="00C1152C" w:rsidP="004F0115">
      <w:pPr>
        <w:pStyle w:val="Paragraphtext"/>
        <w:keepNext/>
        <w:keepLines/>
        <w:rPr>
          <w:rFonts w:cs="Arial"/>
          <w:szCs w:val="21"/>
        </w:rPr>
      </w:pPr>
      <w:r w:rsidRPr="00AA1F16">
        <w:rPr>
          <w:rFonts w:cs="Arial"/>
          <w:szCs w:val="21"/>
          <w:lang w:eastAsia="en-AU"/>
        </w:rPr>
        <w:t xml:space="preserve">To achieve the intended outcomes of </w:t>
      </w:r>
      <w:r w:rsidR="00D8062C" w:rsidRPr="00AA1F16">
        <w:rPr>
          <w:rFonts w:cs="Arial"/>
          <w:szCs w:val="21"/>
          <w:lang w:eastAsia="en-AU"/>
        </w:rPr>
        <w:t>P</w:t>
      </w:r>
      <w:r w:rsidRPr="00DC3F0B">
        <w:rPr>
          <w:rFonts w:cs="Arial"/>
          <w:szCs w:val="21"/>
          <w:lang w:eastAsia="en-AU"/>
        </w:rPr>
        <w:t>illar 2, the following partners have primary responsibility for effective medicines registration and scheduling processes.</w:t>
      </w:r>
    </w:p>
    <w:p w14:paraId="3DCAC528" w14:textId="77777777" w:rsidR="00C1152C" w:rsidRPr="00DC3F0B" w:rsidRDefault="00C1152C" w:rsidP="003D5799">
      <w:pPr>
        <w:keepNext/>
        <w:keepLines/>
        <w:spacing w:before="120" w:after="60"/>
        <w:rPr>
          <w:rFonts w:cs="Arial"/>
          <w:b/>
          <w:bCs/>
          <w:sz w:val="21"/>
          <w:szCs w:val="21"/>
          <w:lang w:eastAsia="en-AU"/>
        </w:rPr>
      </w:pPr>
      <w:r w:rsidRPr="00DC3F0B">
        <w:rPr>
          <w:rFonts w:cs="Arial"/>
          <w:b/>
          <w:bCs/>
          <w:sz w:val="21"/>
          <w:szCs w:val="21"/>
        </w:rPr>
        <w:t>Partners and their broad responsibilities and functions to advance Pillar 2</w:t>
      </w:r>
    </w:p>
    <w:tbl>
      <w:tblPr>
        <w:tblStyle w:val="TableGrid8"/>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260"/>
        <w:gridCol w:w="2304"/>
        <w:gridCol w:w="4446"/>
      </w:tblGrid>
      <w:tr w:rsidR="00D8062C" w:rsidRPr="00E77C38" w14:paraId="1862A2FA" w14:textId="77777777" w:rsidTr="001550BB">
        <w:trPr>
          <w:cnfStyle w:val="100000000000" w:firstRow="1" w:lastRow="0" w:firstColumn="0" w:lastColumn="0" w:oddVBand="0" w:evenVBand="0" w:oddHBand="0" w:evenHBand="0" w:firstRowFirstColumn="0" w:firstRowLastColumn="0" w:lastRowFirstColumn="0" w:lastRowLastColumn="0"/>
          <w:tblHeader/>
        </w:trPr>
        <w:tc>
          <w:tcPr>
            <w:tcW w:w="2260" w:type="dxa"/>
            <w:shd w:val="clear" w:color="auto" w:fill="009999"/>
          </w:tcPr>
          <w:p w14:paraId="26FA755C" w14:textId="77777777" w:rsidR="00C1152C" w:rsidRPr="00DC3F0B" w:rsidRDefault="00C1152C" w:rsidP="004F0115">
            <w:pPr>
              <w:keepNext/>
              <w:keepLines/>
              <w:rPr>
                <w:rFonts w:cs="Arial"/>
                <w:sz w:val="21"/>
                <w:szCs w:val="21"/>
              </w:rPr>
            </w:pPr>
            <w:r w:rsidRPr="00DC3F0B">
              <w:rPr>
                <w:rFonts w:cs="Arial"/>
                <w:sz w:val="21"/>
                <w:szCs w:val="21"/>
              </w:rPr>
              <w:t>Intended outcomes</w:t>
            </w:r>
          </w:p>
        </w:tc>
        <w:tc>
          <w:tcPr>
            <w:tcW w:w="2304" w:type="dxa"/>
            <w:shd w:val="clear" w:color="auto" w:fill="009999"/>
          </w:tcPr>
          <w:p w14:paraId="71751E7D" w14:textId="77777777" w:rsidR="00C1152C" w:rsidRPr="00DC3F0B" w:rsidRDefault="00C1152C" w:rsidP="004F0115">
            <w:pPr>
              <w:keepNext/>
              <w:keepLines/>
              <w:rPr>
                <w:rFonts w:cs="Arial"/>
                <w:sz w:val="21"/>
                <w:szCs w:val="21"/>
              </w:rPr>
            </w:pPr>
            <w:r w:rsidRPr="00DC3F0B">
              <w:rPr>
                <w:rFonts w:cs="Arial"/>
                <w:sz w:val="21"/>
                <w:szCs w:val="21"/>
              </w:rPr>
              <w:t>Partner</w:t>
            </w:r>
          </w:p>
        </w:tc>
        <w:tc>
          <w:tcPr>
            <w:tcW w:w="4446" w:type="dxa"/>
            <w:shd w:val="clear" w:color="auto" w:fill="009999"/>
          </w:tcPr>
          <w:p w14:paraId="351F99F9" w14:textId="77777777" w:rsidR="00C1152C" w:rsidRPr="00DC3F0B" w:rsidRDefault="00C1152C" w:rsidP="004F0115">
            <w:pPr>
              <w:keepNext/>
              <w:keepLines/>
              <w:rPr>
                <w:rFonts w:cs="Arial"/>
                <w:sz w:val="21"/>
                <w:szCs w:val="21"/>
              </w:rPr>
            </w:pPr>
            <w:r w:rsidRPr="00DC3F0B">
              <w:rPr>
                <w:rFonts w:cs="Arial"/>
                <w:sz w:val="21"/>
                <w:szCs w:val="21"/>
              </w:rPr>
              <w:t xml:space="preserve">Broad responsibilities and functions </w:t>
            </w:r>
          </w:p>
        </w:tc>
      </w:tr>
      <w:tr w:rsidR="001148C4" w:rsidRPr="00E77C38" w14:paraId="62A8B0D2" w14:textId="77777777" w:rsidTr="001550BB">
        <w:tc>
          <w:tcPr>
            <w:tcW w:w="2260" w:type="dxa"/>
          </w:tcPr>
          <w:p w14:paraId="1B13092B" w14:textId="77777777" w:rsidR="001148C4" w:rsidRPr="00E77C38" w:rsidRDefault="001148C4" w:rsidP="004F0115">
            <w:pPr>
              <w:pStyle w:val="Tablelistbullet"/>
              <w:keepNext/>
              <w:keepLines/>
              <w:numPr>
                <w:ilvl w:val="0"/>
                <w:numId w:val="0"/>
              </w:numPr>
              <w:ind w:left="24"/>
              <w:rPr>
                <w:b/>
                <w:bCs/>
                <w:szCs w:val="21"/>
              </w:rPr>
            </w:pPr>
            <w:r w:rsidRPr="00E77C38">
              <w:rPr>
                <w:b/>
                <w:bCs/>
                <w:szCs w:val="21"/>
              </w:rPr>
              <w:t>Australia’s medicines regulatory processes are efficient, protect health and safety and are trusted by the community.</w:t>
            </w:r>
          </w:p>
          <w:p w14:paraId="445380E0" w14:textId="77777777" w:rsidR="001148C4" w:rsidRPr="00E77C38" w:rsidRDefault="001148C4" w:rsidP="004F0115">
            <w:pPr>
              <w:pStyle w:val="Tablelistbullet"/>
              <w:keepNext/>
              <w:keepLines/>
              <w:numPr>
                <w:ilvl w:val="0"/>
                <w:numId w:val="0"/>
              </w:numPr>
              <w:ind w:left="360"/>
              <w:rPr>
                <w:b/>
                <w:bCs/>
                <w:szCs w:val="21"/>
              </w:rPr>
            </w:pPr>
          </w:p>
          <w:p w14:paraId="5283EB70" w14:textId="77777777" w:rsidR="001148C4" w:rsidRPr="00E77C38" w:rsidRDefault="001148C4" w:rsidP="004F0115">
            <w:pPr>
              <w:pStyle w:val="Tablelistbullet"/>
              <w:keepNext/>
              <w:keepLines/>
              <w:numPr>
                <w:ilvl w:val="0"/>
                <w:numId w:val="0"/>
              </w:numPr>
              <w:ind w:left="24"/>
              <w:rPr>
                <w:b/>
                <w:bCs/>
                <w:szCs w:val="21"/>
              </w:rPr>
            </w:pPr>
            <w:r w:rsidRPr="00E77C38">
              <w:rPr>
                <w:b/>
                <w:bCs/>
                <w:szCs w:val="21"/>
              </w:rPr>
              <w:t xml:space="preserve">Medicines are safe and effective, and their labelling and supporting information is readily available and supports the quality and safe use of medicines. </w:t>
            </w:r>
          </w:p>
          <w:p w14:paraId="29EC0E44" w14:textId="77777777" w:rsidR="001148C4" w:rsidRPr="00DC3F0B" w:rsidRDefault="001148C4" w:rsidP="004F0115">
            <w:pPr>
              <w:pStyle w:val="Tablelistbullet"/>
              <w:keepNext/>
              <w:keepLines/>
              <w:numPr>
                <w:ilvl w:val="0"/>
                <w:numId w:val="0"/>
              </w:numPr>
              <w:ind w:left="18"/>
              <w:rPr>
                <w:rFonts w:eastAsia="Arial"/>
                <w:szCs w:val="21"/>
              </w:rPr>
            </w:pPr>
          </w:p>
        </w:tc>
        <w:tc>
          <w:tcPr>
            <w:tcW w:w="2304" w:type="dxa"/>
          </w:tcPr>
          <w:p w14:paraId="11248BB1" w14:textId="77777777" w:rsidR="001148C4" w:rsidRDefault="001148C4" w:rsidP="004F0115">
            <w:pPr>
              <w:keepNext/>
              <w:keepLines/>
              <w:rPr>
                <w:rFonts w:cs="Arial"/>
                <w:sz w:val="21"/>
                <w:szCs w:val="21"/>
              </w:rPr>
            </w:pPr>
            <w:r w:rsidRPr="00DC3F0B">
              <w:rPr>
                <w:rFonts w:cs="Arial"/>
                <w:sz w:val="21"/>
                <w:szCs w:val="21"/>
              </w:rPr>
              <w:t xml:space="preserve">Consumer </w:t>
            </w:r>
            <w:r>
              <w:rPr>
                <w:rFonts w:cs="Arial"/>
                <w:sz w:val="21"/>
                <w:szCs w:val="21"/>
              </w:rPr>
              <w:t xml:space="preserve">organisations and </w:t>
            </w:r>
            <w:r w:rsidRPr="00DC3F0B">
              <w:rPr>
                <w:rFonts w:cs="Arial"/>
                <w:sz w:val="21"/>
                <w:szCs w:val="21"/>
              </w:rPr>
              <w:t xml:space="preserve">representatives, </w:t>
            </w:r>
            <w:r w:rsidRPr="00E77C38">
              <w:rPr>
                <w:rFonts w:eastAsia="Arial" w:cs="Arial"/>
                <w:color w:val="000000" w:themeColor="text1"/>
                <w:sz w:val="21"/>
                <w:szCs w:val="21"/>
              </w:rPr>
              <w:t>patient advocates, not-for-profits</w:t>
            </w:r>
          </w:p>
          <w:p w14:paraId="73133ABA" w14:textId="77777777" w:rsidR="001148C4" w:rsidRDefault="001148C4" w:rsidP="004F0115">
            <w:pPr>
              <w:keepNext/>
              <w:keepLines/>
              <w:rPr>
                <w:rFonts w:cs="Arial"/>
                <w:sz w:val="21"/>
                <w:szCs w:val="21"/>
              </w:rPr>
            </w:pPr>
          </w:p>
          <w:p w14:paraId="5FEC13BA" w14:textId="5878D3BF" w:rsidR="001148C4" w:rsidRPr="00DC3F0B" w:rsidRDefault="001148C4" w:rsidP="004F0115">
            <w:pPr>
              <w:keepNext/>
              <w:keepLines/>
              <w:rPr>
                <w:rFonts w:cs="Arial"/>
                <w:sz w:val="21"/>
                <w:szCs w:val="21"/>
              </w:rPr>
            </w:pPr>
            <w:r>
              <w:rPr>
                <w:rFonts w:cs="Arial"/>
                <w:sz w:val="21"/>
                <w:szCs w:val="21"/>
              </w:rPr>
              <w:t>I</w:t>
            </w:r>
            <w:r w:rsidRPr="00DC3F0B">
              <w:rPr>
                <w:rFonts w:cs="Arial"/>
                <w:sz w:val="21"/>
                <w:szCs w:val="21"/>
              </w:rPr>
              <w:t>ndividuals, their families and/or carers</w:t>
            </w:r>
          </w:p>
        </w:tc>
        <w:tc>
          <w:tcPr>
            <w:tcW w:w="4446" w:type="dxa"/>
          </w:tcPr>
          <w:p w14:paraId="7EBDBC47" w14:textId="03C18533" w:rsidR="001148C4" w:rsidRPr="00AC2E07" w:rsidRDefault="001148C4" w:rsidP="004F0115">
            <w:pPr>
              <w:keepNext/>
              <w:keepLines/>
              <w:rPr>
                <w:rFonts w:cs="Arial"/>
                <w:sz w:val="21"/>
                <w:szCs w:val="21"/>
              </w:rPr>
            </w:pPr>
            <w:r w:rsidRPr="00DC3F0B">
              <w:rPr>
                <w:rFonts w:cs="Arial"/>
                <w:sz w:val="21"/>
                <w:szCs w:val="21"/>
              </w:rPr>
              <w:t>Promote</w:t>
            </w:r>
            <w:r w:rsidRPr="00165D10">
              <w:rPr>
                <w:rFonts w:cs="Arial"/>
                <w:sz w:val="21"/>
                <w:szCs w:val="21"/>
              </w:rPr>
              <w:t xml:space="preserve"> and facilitate </w:t>
            </w:r>
            <w:r w:rsidRPr="00DC3F0B">
              <w:rPr>
                <w:rFonts w:cs="Arial"/>
                <w:sz w:val="21"/>
                <w:szCs w:val="21"/>
              </w:rPr>
              <w:t xml:space="preserve">involvement of </w:t>
            </w:r>
            <w:r w:rsidRPr="00DC3F0B">
              <w:rPr>
                <w:rFonts w:eastAsia="Arial" w:cs="Arial"/>
                <w:sz w:val="21"/>
                <w:szCs w:val="21"/>
              </w:rPr>
              <w:t>individuals, their families and/or carers</w:t>
            </w:r>
            <w:r w:rsidRPr="00D8062C">
              <w:rPr>
                <w:rFonts w:cs="Arial"/>
                <w:sz w:val="21"/>
                <w:szCs w:val="21"/>
              </w:rPr>
              <w:t xml:space="preserve"> in the approval</w:t>
            </w:r>
            <w:r w:rsidRPr="00AA1F16">
              <w:rPr>
                <w:rFonts w:cs="Arial"/>
                <w:sz w:val="21"/>
                <w:szCs w:val="21"/>
              </w:rPr>
              <w:t xml:space="preserve"> of medicines and the monitoring</w:t>
            </w:r>
            <w:r w:rsidRPr="00165D10">
              <w:rPr>
                <w:rFonts w:cs="Arial"/>
                <w:sz w:val="21"/>
                <w:szCs w:val="21"/>
              </w:rPr>
              <w:t xml:space="preserve"> and reporting</w:t>
            </w:r>
            <w:r w:rsidRPr="00FA6D36">
              <w:rPr>
                <w:rFonts w:cs="Arial"/>
                <w:sz w:val="21"/>
                <w:szCs w:val="21"/>
              </w:rPr>
              <w:t xml:space="preserve"> of adverse events or product quality issues. </w:t>
            </w:r>
          </w:p>
          <w:p w14:paraId="51CDE3CB" w14:textId="386933FE" w:rsidR="001148C4" w:rsidRPr="00DC3F0B" w:rsidRDefault="001148C4" w:rsidP="004F0115">
            <w:pPr>
              <w:keepNext/>
              <w:keepLines/>
              <w:rPr>
                <w:rFonts w:cs="Arial"/>
                <w:sz w:val="21"/>
                <w:szCs w:val="21"/>
              </w:rPr>
            </w:pPr>
            <w:r w:rsidRPr="00DC3F0B">
              <w:rPr>
                <w:rFonts w:cs="Arial"/>
                <w:sz w:val="21"/>
                <w:szCs w:val="21"/>
              </w:rPr>
              <w:t>Engage and promote an understanding of the medicines regulatory system and facilitate consumer involvement into evidence-based medicines information to support the effective, safe and quality use of medicines.</w:t>
            </w:r>
          </w:p>
        </w:tc>
      </w:tr>
      <w:tr w:rsidR="001148C4" w:rsidRPr="00E77C38" w14:paraId="7B4DAB8F" w14:textId="77777777" w:rsidTr="001550BB">
        <w:tc>
          <w:tcPr>
            <w:tcW w:w="2260" w:type="dxa"/>
          </w:tcPr>
          <w:p w14:paraId="7C944C77" w14:textId="77777777" w:rsidR="001148C4" w:rsidRPr="00DC3F0B" w:rsidRDefault="001148C4" w:rsidP="00D879C2">
            <w:pPr>
              <w:rPr>
                <w:rFonts w:cs="Arial"/>
                <w:sz w:val="21"/>
                <w:szCs w:val="21"/>
              </w:rPr>
            </w:pPr>
          </w:p>
        </w:tc>
        <w:tc>
          <w:tcPr>
            <w:tcW w:w="2304" w:type="dxa"/>
          </w:tcPr>
          <w:p w14:paraId="60466BD0" w14:textId="36FC7310" w:rsidR="001148C4" w:rsidRPr="00DC3F0B" w:rsidRDefault="001148C4" w:rsidP="00D879C2">
            <w:pPr>
              <w:rPr>
                <w:rFonts w:cs="Arial"/>
                <w:sz w:val="21"/>
                <w:szCs w:val="21"/>
              </w:rPr>
            </w:pPr>
            <w:r w:rsidRPr="00DC3F0B">
              <w:rPr>
                <w:rFonts w:cs="Arial"/>
                <w:sz w:val="21"/>
                <w:szCs w:val="21"/>
              </w:rPr>
              <w:t>Health professionals</w:t>
            </w:r>
          </w:p>
        </w:tc>
        <w:tc>
          <w:tcPr>
            <w:tcW w:w="4446" w:type="dxa"/>
          </w:tcPr>
          <w:p w14:paraId="08A2EAB3" w14:textId="0DD6F3D9" w:rsidR="001148C4" w:rsidRPr="00DC3F0B" w:rsidRDefault="001148C4" w:rsidP="00D879C2">
            <w:pPr>
              <w:rPr>
                <w:rFonts w:cs="Arial"/>
                <w:sz w:val="21"/>
                <w:szCs w:val="21"/>
              </w:rPr>
            </w:pPr>
            <w:r w:rsidRPr="00DC3F0B">
              <w:rPr>
                <w:rFonts w:cs="Arial"/>
                <w:sz w:val="21"/>
                <w:szCs w:val="21"/>
              </w:rPr>
              <w:t>Prescribe, dispense, supply or administer medicines in line with relevant guidelines, and in consultation with the person taking the medicine, or their families and/or carers.</w:t>
            </w:r>
          </w:p>
          <w:p w14:paraId="6D128A39" w14:textId="0E213E71" w:rsidR="001148C4" w:rsidRPr="00AA1F16" w:rsidRDefault="001148C4" w:rsidP="00D879C2">
            <w:pPr>
              <w:rPr>
                <w:rFonts w:cs="Arial"/>
                <w:sz w:val="21"/>
                <w:szCs w:val="21"/>
              </w:rPr>
            </w:pPr>
            <w:r w:rsidRPr="00DC3F0B">
              <w:rPr>
                <w:rFonts w:cs="Arial"/>
                <w:sz w:val="21"/>
                <w:szCs w:val="21"/>
              </w:rPr>
              <w:t>Commit</w:t>
            </w:r>
            <w:r w:rsidRPr="00E77C38">
              <w:rPr>
                <w:rFonts w:cs="Arial"/>
                <w:sz w:val="21"/>
                <w:szCs w:val="21"/>
              </w:rPr>
              <w:t xml:space="preserve"> to</w:t>
            </w:r>
            <w:r w:rsidRPr="00DC3F0B">
              <w:rPr>
                <w:rFonts w:cs="Arial"/>
                <w:sz w:val="21"/>
                <w:szCs w:val="21"/>
              </w:rPr>
              <w:t xml:space="preserve"> contributing to </w:t>
            </w:r>
            <w:r w:rsidRPr="00D8062C">
              <w:rPr>
                <w:rFonts w:cs="Arial"/>
                <w:sz w:val="21"/>
                <w:szCs w:val="21"/>
              </w:rPr>
              <w:t>coordinated</w:t>
            </w:r>
            <w:r w:rsidRPr="00DC3F0B">
              <w:rPr>
                <w:rFonts w:cs="Arial"/>
                <w:sz w:val="21"/>
                <w:szCs w:val="21"/>
              </w:rPr>
              <w:t xml:space="preserve"> pharmacovigilance programs</w:t>
            </w:r>
            <w:r w:rsidRPr="00D8062C">
              <w:rPr>
                <w:rFonts w:cs="Arial"/>
                <w:sz w:val="21"/>
                <w:szCs w:val="21"/>
              </w:rPr>
              <w:t xml:space="preserve"> including </w:t>
            </w:r>
            <w:r w:rsidRPr="00DC3F0B">
              <w:rPr>
                <w:rFonts w:cs="Arial"/>
                <w:sz w:val="21"/>
                <w:szCs w:val="21"/>
              </w:rPr>
              <w:t xml:space="preserve">by </w:t>
            </w:r>
            <w:r w:rsidRPr="00D8062C">
              <w:rPr>
                <w:rFonts w:cs="Arial"/>
                <w:sz w:val="21"/>
                <w:szCs w:val="21"/>
              </w:rPr>
              <w:t>monitoring and reporting adverse events and medicines safety issues in clinical practice.</w:t>
            </w:r>
          </w:p>
        </w:tc>
      </w:tr>
      <w:tr w:rsidR="001148C4" w:rsidRPr="00E77C38" w14:paraId="7ED122C5" w14:textId="77777777" w:rsidTr="001550BB">
        <w:tc>
          <w:tcPr>
            <w:tcW w:w="2260" w:type="dxa"/>
          </w:tcPr>
          <w:p w14:paraId="6DBB7AB7" w14:textId="77777777" w:rsidR="001148C4" w:rsidRPr="00DC3F0B" w:rsidRDefault="001148C4" w:rsidP="00D879C2">
            <w:pPr>
              <w:rPr>
                <w:rFonts w:cs="Arial"/>
                <w:sz w:val="21"/>
                <w:szCs w:val="21"/>
              </w:rPr>
            </w:pPr>
          </w:p>
        </w:tc>
        <w:tc>
          <w:tcPr>
            <w:tcW w:w="2304" w:type="dxa"/>
          </w:tcPr>
          <w:p w14:paraId="17F3E692" w14:textId="51C2B668" w:rsidR="001148C4" w:rsidRPr="00DC3F0B" w:rsidRDefault="001148C4" w:rsidP="00D879C2">
            <w:pPr>
              <w:rPr>
                <w:rFonts w:cs="Arial"/>
                <w:sz w:val="21"/>
                <w:szCs w:val="21"/>
              </w:rPr>
            </w:pPr>
            <w:r w:rsidRPr="00DC3F0B">
              <w:rPr>
                <w:rFonts w:cs="Arial"/>
                <w:sz w:val="21"/>
                <w:szCs w:val="21"/>
              </w:rPr>
              <w:t>Commonwealth government and national agencies</w:t>
            </w:r>
          </w:p>
          <w:p w14:paraId="12F5C81E" w14:textId="77777777" w:rsidR="001148C4" w:rsidRPr="00DC3F0B" w:rsidRDefault="001148C4" w:rsidP="00D879C2">
            <w:pPr>
              <w:rPr>
                <w:rFonts w:cs="Arial"/>
                <w:sz w:val="21"/>
                <w:szCs w:val="21"/>
              </w:rPr>
            </w:pPr>
          </w:p>
          <w:p w14:paraId="4C5FC2BA" w14:textId="145DB5DF" w:rsidR="001148C4" w:rsidRPr="00DC3F0B" w:rsidRDefault="001148C4" w:rsidP="00D879C2">
            <w:pPr>
              <w:rPr>
                <w:rFonts w:cs="Arial"/>
                <w:sz w:val="21"/>
                <w:szCs w:val="21"/>
              </w:rPr>
            </w:pPr>
            <w:r w:rsidRPr="00DC3F0B">
              <w:rPr>
                <w:rFonts w:cs="Arial"/>
                <w:sz w:val="21"/>
                <w:szCs w:val="21"/>
              </w:rPr>
              <w:t xml:space="preserve">State and </w:t>
            </w:r>
            <w:r w:rsidR="00444D5D">
              <w:rPr>
                <w:rFonts w:cs="Arial"/>
                <w:sz w:val="21"/>
                <w:szCs w:val="21"/>
              </w:rPr>
              <w:t>t</w:t>
            </w:r>
            <w:r w:rsidRPr="00DC3F0B">
              <w:rPr>
                <w:rFonts w:cs="Arial"/>
                <w:sz w:val="21"/>
                <w:szCs w:val="21"/>
              </w:rPr>
              <w:t>erritory governments and agencies</w:t>
            </w:r>
          </w:p>
        </w:tc>
        <w:tc>
          <w:tcPr>
            <w:tcW w:w="4446" w:type="dxa"/>
          </w:tcPr>
          <w:p w14:paraId="10BE4A57" w14:textId="77777777" w:rsidR="001148C4" w:rsidRPr="00AA1F16" w:rsidRDefault="001148C4" w:rsidP="00D879C2">
            <w:pPr>
              <w:rPr>
                <w:rFonts w:cs="Arial"/>
                <w:sz w:val="21"/>
                <w:szCs w:val="21"/>
              </w:rPr>
            </w:pPr>
            <w:r w:rsidRPr="00DC3F0B">
              <w:rPr>
                <w:rFonts w:cs="Arial"/>
                <w:sz w:val="21"/>
                <w:szCs w:val="21"/>
              </w:rPr>
              <w:t xml:space="preserve">Work collaboratively and consistently to achieve best practice, responsive and relevant regulation for the </w:t>
            </w:r>
            <w:r w:rsidRPr="00D8062C">
              <w:rPr>
                <w:rFonts w:cs="Arial"/>
                <w:sz w:val="21"/>
                <w:szCs w:val="21"/>
              </w:rPr>
              <w:t xml:space="preserve">research, development, </w:t>
            </w:r>
            <w:r w:rsidRPr="00AA1F16">
              <w:rPr>
                <w:rFonts w:cs="Arial"/>
                <w:sz w:val="21"/>
                <w:szCs w:val="21"/>
              </w:rPr>
              <w:t xml:space="preserve">production, supply and advertising of medicines. </w:t>
            </w:r>
          </w:p>
          <w:p w14:paraId="6F36AD3D" w14:textId="77777777" w:rsidR="001148C4" w:rsidRPr="00FA6D36" w:rsidRDefault="001148C4" w:rsidP="00D879C2">
            <w:pPr>
              <w:rPr>
                <w:rFonts w:cs="Arial"/>
                <w:sz w:val="21"/>
                <w:szCs w:val="21"/>
              </w:rPr>
            </w:pPr>
            <w:r w:rsidRPr="00AA1F16">
              <w:rPr>
                <w:rFonts w:cs="Arial"/>
                <w:sz w:val="21"/>
                <w:szCs w:val="21"/>
              </w:rPr>
              <w:t>Ensure international relevance and alignment, where appropriate.</w:t>
            </w:r>
          </w:p>
          <w:p w14:paraId="1FA101DC" w14:textId="6562174E" w:rsidR="001148C4" w:rsidRPr="00DC3F0B" w:rsidRDefault="001148C4" w:rsidP="00D879C2">
            <w:pPr>
              <w:rPr>
                <w:rFonts w:cs="Arial"/>
                <w:sz w:val="21"/>
                <w:szCs w:val="21"/>
              </w:rPr>
            </w:pPr>
            <w:r w:rsidRPr="00AC2E07">
              <w:rPr>
                <w:rFonts w:cs="Arial"/>
                <w:sz w:val="21"/>
                <w:szCs w:val="21"/>
              </w:rPr>
              <w:t>Ensure</w:t>
            </w:r>
            <w:r w:rsidRPr="00FE618A">
              <w:rPr>
                <w:rFonts w:cs="Arial"/>
                <w:sz w:val="21"/>
                <w:szCs w:val="21"/>
              </w:rPr>
              <w:t xml:space="preserve"> best practice communication in medicines</w:t>
            </w:r>
            <w:r w:rsidRPr="00DC3F0B">
              <w:rPr>
                <w:rFonts w:cs="Arial"/>
                <w:sz w:val="21"/>
                <w:szCs w:val="21"/>
              </w:rPr>
              <w:t xml:space="preserve">-related information, including labelling, </w:t>
            </w:r>
            <w:r w:rsidR="00F4283A" w:rsidRPr="00DC3F0B">
              <w:rPr>
                <w:rFonts w:cs="Arial"/>
                <w:sz w:val="21"/>
                <w:szCs w:val="21"/>
              </w:rPr>
              <w:t>product information and consumer medicines information</w:t>
            </w:r>
            <w:r w:rsidRPr="00DC3F0B">
              <w:rPr>
                <w:rFonts w:cs="Arial"/>
                <w:sz w:val="21"/>
                <w:szCs w:val="21"/>
              </w:rPr>
              <w:t>.</w:t>
            </w:r>
          </w:p>
        </w:tc>
      </w:tr>
      <w:tr w:rsidR="001148C4" w:rsidRPr="00E77C38" w14:paraId="759442E7" w14:textId="77777777" w:rsidTr="001550BB">
        <w:tc>
          <w:tcPr>
            <w:tcW w:w="2260" w:type="dxa"/>
          </w:tcPr>
          <w:p w14:paraId="382FD534" w14:textId="77777777" w:rsidR="001148C4" w:rsidRPr="00DC3F0B" w:rsidRDefault="001148C4" w:rsidP="00D879C2">
            <w:pPr>
              <w:rPr>
                <w:rFonts w:cs="Arial"/>
                <w:sz w:val="21"/>
                <w:szCs w:val="21"/>
              </w:rPr>
            </w:pPr>
          </w:p>
        </w:tc>
        <w:tc>
          <w:tcPr>
            <w:tcW w:w="2304" w:type="dxa"/>
          </w:tcPr>
          <w:p w14:paraId="1E130CA0" w14:textId="43CEEA7F" w:rsidR="001148C4" w:rsidRPr="00DC3F0B" w:rsidRDefault="001148C4" w:rsidP="00D879C2">
            <w:pPr>
              <w:rPr>
                <w:rFonts w:cs="Arial"/>
                <w:sz w:val="21"/>
                <w:szCs w:val="21"/>
              </w:rPr>
            </w:pPr>
            <w:r w:rsidRPr="00DC3F0B">
              <w:rPr>
                <w:rFonts w:cs="Arial"/>
                <w:sz w:val="21"/>
                <w:szCs w:val="21"/>
              </w:rPr>
              <w:t xml:space="preserve">Researchers and </w:t>
            </w:r>
            <w:r>
              <w:rPr>
                <w:rFonts w:cs="Arial"/>
                <w:sz w:val="21"/>
                <w:szCs w:val="21"/>
              </w:rPr>
              <w:t xml:space="preserve">medicines </w:t>
            </w:r>
            <w:r w:rsidRPr="00DC3F0B">
              <w:rPr>
                <w:rFonts w:cs="Arial"/>
                <w:sz w:val="21"/>
                <w:szCs w:val="21"/>
              </w:rPr>
              <w:t>industry, including software providers</w:t>
            </w:r>
          </w:p>
        </w:tc>
        <w:tc>
          <w:tcPr>
            <w:tcW w:w="4446" w:type="dxa"/>
          </w:tcPr>
          <w:p w14:paraId="5BD81CB5" w14:textId="77777777" w:rsidR="001148C4" w:rsidRPr="00DC3F0B" w:rsidRDefault="001148C4" w:rsidP="00D879C2">
            <w:pPr>
              <w:rPr>
                <w:rFonts w:cs="Arial"/>
                <w:sz w:val="21"/>
                <w:szCs w:val="21"/>
              </w:rPr>
            </w:pPr>
            <w:r w:rsidRPr="00DC3F0B">
              <w:rPr>
                <w:rFonts w:cs="Arial"/>
                <w:sz w:val="21"/>
                <w:szCs w:val="21"/>
              </w:rPr>
              <w:t>Adhere to relevant research and development, manufacturing and regulatory standards, including post-marketing safety monitoring and reporting.</w:t>
            </w:r>
          </w:p>
          <w:p w14:paraId="0CD229A4" w14:textId="09120710" w:rsidR="001148C4" w:rsidRPr="00D8062C" w:rsidRDefault="001148C4" w:rsidP="00D879C2">
            <w:pPr>
              <w:rPr>
                <w:rFonts w:cs="Arial"/>
                <w:sz w:val="21"/>
                <w:szCs w:val="21"/>
              </w:rPr>
            </w:pPr>
            <w:r w:rsidRPr="00DC3F0B">
              <w:rPr>
                <w:rFonts w:cs="Arial"/>
                <w:sz w:val="21"/>
                <w:szCs w:val="21"/>
              </w:rPr>
              <w:t xml:space="preserve">Ensure appropriate language in the development and review of easy-to-understand, accurate, consistent and standardised medicines-related information for </w:t>
            </w:r>
            <w:r w:rsidRPr="00DC3F0B">
              <w:rPr>
                <w:rFonts w:eastAsia="Arial" w:cs="Arial"/>
                <w:sz w:val="21"/>
                <w:szCs w:val="21"/>
              </w:rPr>
              <w:t>individuals, their families and/or carers</w:t>
            </w:r>
            <w:r w:rsidRPr="00DC3F0B">
              <w:rPr>
                <w:rFonts w:cs="Arial"/>
                <w:sz w:val="21"/>
                <w:szCs w:val="21"/>
              </w:rPr>
              <w:t xml:space="preserve"> and health professionals</w:t>
            </w:r>
            <w:r w:rsidRPr="00D8062C">
              <w:rPr>
                <w:rFonts w:cs="Arial"/>
                <w:sz w:val="21"/>
                <w:szCs w:val="21"/>
              </w:rPr>
              <w:t>.</w:t>
            </w:r>
          </w:p>
        </w:tc>
      </w:tr>
      <w:tr w:rsidR="001148C4" w:rsidRPr="00E77C38" w14:paraId="4C890CA2" w14:textId="77777777" w:rsidTr="001550BB">
        <w:tc>
          <w:tcPr>
            <w:tcW w:w="2260" w:type="dxa"/>
          </w:tcPr>
          <w:p w14:paraId="53D79F50" w14:textId="77777777" w:rsidR="001148C4" w:rsidRPr="00DC3F0B" w:rsidRDefault="001148C4" w:rsidP="00D879C2">
            <w:pPr>
              <w:rPr>
                <w:rFonts w:cs="Arial"/>
                <w:sz w:val="21"/>
                <w:szCs w:val="21"/>
              </w:rPr>
            </w:pPr>
          </w:p>
        </w:tc>
        <w:tc>
          <w:tcPr>
            <w:tcW w:w="2304" w:type="dxa"/>
          </w:tcPr>
          <w:p w14:paraId="1207A299" w14:textId="77777777" w:rsidR="001148C4" w:rsidRPr="00DC3F0B" w:rsidRDefault="001148C4" w:rsidP="00D879C2">
            <w:pPr>
              <w:rPr>
                <w:rFonts w:cs="Arial"/>
                <w:sz w:val="21"/>
                <w:szCs w:val="21"/>
              </w:rPr>
            </w:pPr>
            <w:r w:rsidRPr="00DC3F0B">
              <w:rPr>
                <w:rFonts w:cs="Arial"/>
                <w:sz w:val="21"/>
                <w:szCs w:val="21"/>
              </w:rPr>
              <w:t xml:space="preserve">Professional </w:t>
            </w:r>
          </w:p>
          <w:p w14:paraId="49F57596" w14:textId="77777777" w:rsidR="001148C4" w:rsidRPr="00D8062C" w:rsidRDefault="001148C4" w:rsidP="00D879C2">
            <w:pPr>
              <w:rPr>
                <w:rFonts w:cs="Arial"/>
                <w:sz w:val="21"/>
                <w:szCs w:val="21"/>
              </w:rPr>
            </w:pPr>
            <w:r w:rsidRPr="00DC3F0B">
              <w:rPr>
                <w:rFonts w:cs="Arial"/>
                <w:sz w:val="21"/>
                <w:szCs w:val="21"/>
              </w:rPr>
              <w:t>organisations</w:t>
            </w:r>
            <w:r w:rsidRPr="00DC3F0B">
              <w:rPr>
                <w:rFonts w:cs="Arial"/>
                <w:sz w:val="21"/>
                <w:szCs w:val="21"/>
              </w:rPr>
              <w:tab/>
            </w:r>
          </w:p>
        </w:tc>
        <w:tc>
          <w:tcPr>
            <w:tcW w:w="4446" w:type="dxa"/>
          </w:tcPr>
          <w:p w14:paraId="68ACE98F" w14:textId="5662A30E" w:rsidR="001148C4" w:rsidRPr="00AA1F16" w:rsidRDefault="001148C4" w:rsidP="00D879C2">
            <w:pPr>
              <w:rPr>
                <w:rFonts w:cs="Arial"/>
                <w:sz w:val="21"/>
                <w:szCs w:val="21"/>
              </w:rPr>
            </w:pPr>
            <w:r w:rsidRPr="00D8062C">
              <w:rPr>
                <w:rFonts w:cs="Arial"/>
                <w:sz w:val="21"/>
                <w:szCs w:val="21"/>
              </w:rPr>
              <w:t>Promote best practice in reporting adverse e</w:t>
            </w:r>
            <w:r w:rsidRPr="00AA1F16">
              <w:rPr>
                <w:rFonts w:cs="Arial"/>
                <w:sz w:val="21"/>
                <w:szCs w:val="21"/>
              </w:rPr>
              <w:t>vents or other medicines</w:t>
            </w:r>
            <w:r w:rsidR="001012FF">
              <w:rPr>
                <w:rFonts w:cs="Arial"/>
                <w:sz w:val="21"/>
                <w:szCs w:val="21"/>
              </w:rPr>
              <w:t>-</w:t>
            </w:r>
            <w:r w:rsidRPr="00AA1F16">
              <w:rPr>
                <w:rFonts w:cs="Arial"/>
                <w:sz w:val="21"/>
                <w:szCs w:val="21"/>
              </w:rPr>
              <w:t>related issues to appropriate authorities.</w:t>
            </w:r>
          </w:p>
        </w:tc>
      </w:tr>
      <w:tr w:rsidR="001148C4" w:rsidRPr="00E77C38" w14:paraId="22A87170" w14:textId="77777777" w:rsidTr="001550BB">
        <w:tc>
          <w:tcPr>
            <w:tcW w:w="2260" w:type="dxa"/>
          </w:tcPr>
          <w:p w14:paraId="40B67C17" w14:textId="77777777" w:rsidR="001148C4" w:rsidRPr="00DC3F0B" w:rsidRDefault="001148C4" w:rsidP="00D879C2">
            <w:pPr>
              <w:rPr>
                <w:rFonts w:cs="Arial"/>
                <w:sz w:val="21"/>
                <w:szCs w:val="21"/>
              </w:rPr>
            </w:pPr>
          </w:p>
        </w:tc>
        <w:tc>
          <w:tcPr>
            <w:tcW w:w="2304" w:type="dxa"/>
          </w:tcPr>
          <w:p w14:paraId="33C36502" w14:textId="56378A0F" w:rsidR="001148C4" w:rsidRPr="00D8062C" w:rsidRDefault="001148C4" w:rsidP="00D879C2">
            <w:pPr>
              <w:rPr>
                <w:rFonts w:cs="Arial"/>
                <w:sz w:val="21"/>
                <w:szCs w:val="21"/>
              </w:rPr>
            </w:pPr>
            <w:r w:rsidRPr="00E77C38">
              <w:rPr>
                <w:rFonts w:cs="Arial"/>
                <w:sz w:val="21"/>
                <w:szCs w:val="21"/>
              </w:rPr>
              <w:t>Health educators, including higher education and professional training bodies</w:t>
            </w:r>
            <w:r w:rsidRPr="00D8062C">
              <w:rPr>
                <w:rFonts w:cs="Arial"/>
                <w:sz w:val="21"/>
                <w:szCs w:val="21"/>
              </w:rPr>
              <w:tab/>
            </w:r>
          </w:p>
        </w:tc>
        <w:tc>
          <w:tcPr>
            <w:tcW w:w="4446" w:type="dxa"/>
          </w:tcPr>
          <w:p w14:paraId="6A06D1B8" w14:textId="2BB85357" w:rsidR="001148C4" w:rsidRPr="00E77C38" w:rsidRDefault="001148C4" w:rsidP="00D879C2">
            <w:pPr>
              <w:rPr>
                <w:rFonts w:cs="Arial"/>
                <w:sz w:val="21"/>
                <w:szCs w:val="21"/>
              </w:rPr>
            </w:pPr>
            <w:r w:rsidRPr="00D8062C">
              <w:rPr>
                <w:rFonts w:cs="Arial"/>
                <w:sz w:val="21"/>
                <w:szCs w:val="21"/>
              </w:rPr>
              <w:t>D</w:t>
            </w:r>
            <w:r w:rsidRPr="00AA1F16">
              <w:rPr>
                <w:rFonts w:cs="Arial"/>
                <w:sz w:val="21"/>
                <w:szCs w:val="21"/>
              </w:rPr>
              <w:t>evelop and deliver training modules on the regulatory function, processes, operation and the role of partners in supporting data collection on the safety, quality and efficacy of medicines.</w:t>
            </w:r>
          </w:p>
        </w:tc>
      </w:tr>
      <w:tr w:rsidR="001148C4" w:rsidRPr="00E77C38" w14:paraId="52659F8A" w14:textId="77777777" w:rsidTr="001550BB">
        <w:tc>
          <w:tcPr>
            <w:tcW w:w="2260" w:type="dxa"/>
          </w:tcPr>
          <w:p w14:paraId="33149740" w14:textId="77777777" w:rsidR="001148C4" w:rsidRPr="00DC3F0B" w:rsidRDefault="001148C4" w:rsidP="00D879C2">
            <w:pPr>
              <w:rPr>
                <w:rFonts w:cs="Arial"/>
                <w:sz w:val="21"/>
                <w:szCs w:val="21"/>
              </w:rPr>
            </w:pPr>
          </w:p>
        </w:tc>
        <w:tc>
          <w:tcPr>
            <w:tcW w:w="2304" w:type="dxa"/>
          </w:tcPr>
          <w:p w14:paraId="37FB499E" w14:textId="17C6C523" w:rsidR="001148C4" w:rsidRPr="00DC3F0B" w:rsidRDefault="001148C4" w:rsidP="00D879C2">
            <w:pPr>
              <w:rPr>
                <w:rFonts w:cs="Arial"/>
                <w:sz w:val="21"/>
                <w:szCs w:val="21"/>
              </w:rPr>
            </w:pPr>
            <w:r w:rsidRPr="00E77C38">
              <w:rPr>
                <w:rFonts w:cs="Arial"/>
                <w:sz w:val="21"/>
                <w:szCs w:val="21"/>
              </w:rPr>
              <w:t>Media</w:t>
            </w:r>
          </w:p>
        </w:tc>
        <w:tc>
          <w:tcPr>
            <w:tcW w:w="4446" w:type="dxa"/>
          </w:tcPr>
          <w:p w14:paraId="3E44044C" w14:textId="00FB157C" w:rsidR="001148C4" w:rsidRPr="00DC3F0B" w:rsidRDefault="001148C4" w:rsidP="00D879C2">
            <w:pPr>
              <w:rPr>
                <w:rFonts w:cs="Arial"/>
                <w:sz w:val="21"/>
                <w:szCs w:val="21"/>
              </w:rPr>
            </w:pPr>
            <w:r w:rsidRPr="00E77C38">
              <w:rPr>
                <w:rFonts w:cs="Arial"/>
                <w:sz w:val="21"/>
                <w:szCs w:val="21"/>
              </w:rPr>
              <w:t>Responsibly and accurately inform the public about product safety and quality issues.</w:t>
            </w:r>
          </w:p>
        </w:tc>
      </w:tr>
    </w:tbl>
    <w:p w14:paraId="1FA6595C" w14:textId="77777777" w:rsidR="00C1152C" w:rsidRPr="00DC3F0B" w:rsidRDefault="00C1152C" w:rsidP="00C1152C">
      <w:pPr>
        <w:pStyle w:val="Heading3"/>
        <w:rPr>
          <w:sz w:val="21"/>
          <w:szCs w:val="21"/>
          <w:shd w:val="clear" w:color="auto" w:fill="FFFFFF"/>
          <w:lang w:eastAsia="en-AU"/>
        </w:rPr>
      </w:pPr>
      <w:r w:rsidRPr="00DC3F0B">
        <w:rPr>
          <w:sz w:val="21"/>
          <w:szCs w:val="21"/>
          <w:lang w:eastAsia="en-AU"/>
        </w:rPr>
        <w:t xml:space="preserve">Pillar 3 - </w:t>
      </w:r>
      <w:r w:rsidRPr="00DC3F0B">
        <w:rPr>
          <w:sz w:val="21"/>
          <w:szCs w:val="21"/>
        </w:rPr>
        <w:t>Quality use of medicines and medicines safety</w:t>
      </w:r>
    </w:p>
    <w:p w14:paraId="4BBEEB4C" w14:textId="6800B4CB" w:rsidR="00C1152C" w:rsidRPr="00DC3F0B" w:rsidRDefault="00C1152C" w:rsidP="00C1152C">
      <w:pPr>
        <w:pStyle w:val="Paragraphtext"/>
        <w:rPr>
          <w:rFonts w:cs="Arial"/>
          <w:szCs w:val="21"/>
          <w:lang w:eastAsia="en-AU"/>
        </w:rPr>
      </w:pPr>
      <w:r w:rsidRPr="00AA1F16">
        <w:rPr>
          <w:rFonts w:cs="Arial"/>
          <w:szCs w:val="21"/>
          <w:lang w:eastAsia="en-AU"/>
        </w:rPr>
        <w:t xml:space="preserve">To achieve the intended outcomes of </w:t>
      </w:r>
      <w:r w:rsidR="00D8062C" w:rsidRPr="00AA1F16">
        <w:rPr>
          <w:rFonts w:cs="Arial"/>
          <w:szCs w:val="21"/>
          <w:lang w:eastAsia="en-AU"/>
        </w:rPr>
        <w:t>P</w:t>
      </w:r>
      <w:r w:rsidRPr="00DC3F0B">
        <w:rPr>
          <w:rFonts w:cs="Arial"/>
          <w:szCs w:val="21"/>
          <w:lang w:eastAsia="en-AU"/>
        </w:rPr>
        <w:t>illar 3,</w:t>
      </w:r>
      <w:r w:rsidRPr="00DC3F0B">
        <w:rPr>
          <w:rFonts w:cs="Arial"/>
          <w:szCs w:val="21"/>
        </w:rPr>
        <w:t xml:space="preserve"> </w:t>
      </w:r>
      <w:r w:rsidRPr="00DC3F0B">
        <w:rPr>
          <w:rFonts w:cs="Arial"/>
          <w:szCs w:val="21"/>
          <w:lang w:eastAsia="en-AU"/>
        </w:rPr>
        <w:t xml:space="preserve">the following partners have primary responsibility </w:t>
      </w:r>
      <w:r w:rsidRPr="00DC3F0B">
        <w:rPr>
          <w:rFonts w:cs="Arial"/>
          <w:szCs w:val="21"/>
        </w:rPr>
        <w:t xml:space="preserve">for achieving </w:t>
      </w:r>
      <w:r w:rsidRPr="00DC3F0B">
        <w:rPr>
          <w:rFonts w:cs="Arial"/>
          <w:szCs w:val="21"/>
          <w:lang w:eastAsia="en-AU"/>
        </w:rPr>
        <w:t xml:space="preserve">the quality use of medicines and medicines safety. </w:t>
      </w:r>
    </w:p>
    <w:p w14:paraId="7655AA62" w14:textId="77777777" w:rsidR="00C1152C" w:rsidRPr="00DC3F0B" w:rsidRDefault="00C1152C" w:rsidP="00C1152C">
      <w:pPr>
        <w:pStyle w:val="Paragraphtext"/>
        <w:keepNext/>
        <w:rPr>
          <w:rFonts w:cs="Arial"/>
          <w:b/>
          <w:bCs/>
          <w:szCs w:val="21"/>
          <w:lang w:eastAsia="en-AU"/>
        </w:rPr>
      </w:pPr>
      <w:r w:rsidRPr="00DC3F0B">
        <w:rPr>
          <w:rFonts w:cs="Arial"/>
          <w:b/>
          <w:bCs/>
          <w:szCs w:val="21"/>
          <w:lang w:eastAsia="en-AU"/>
        </w:rPr>
        <w:t>Partners and their broad responsibilities and functions to advance Pillar 3</w:t>
      </w:r>
    </w:p>
    <w:tbl>
      <w:tblPr>
        <w:tblStyle w:val="TableGrid8"/>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260"/>
        <w:gridCol w:w="2126"/>
        <w:gridCol w:w="4624"/>
      </w:tblGrid>
      <w:tr w:rsidR="00AA1F16" w:rsidRPr="00E77C38" w14:paraId="0EE7C839" w14:textId="77777777" w:rsidTr="000226CA">
        <w:trPr>
          <w:cnfStyle w:val="100000000000" w:firstRow="1" w:lastRow="0" w:firstColumn="0" w:lastColumn="0" w:oddVBand="0" w:evenVBand="0" w:oddHBand="0" w:evenHBand="0" w:firstRowFirstColumn="0" w:firstRowLastColumn="0" w:lastRowFirstColumn="0" w:lastRowLastColumn="0"/>
          <w:tblHeader/>
        </w:trPr>
        <w:tc>
          <w:tcPr>
            <w:tcW w:w="1254" w:type="pct"/>
            <w:shd w:val="clear" w:color="auto" w:fill="009999"/>
          </w:tcPr>
          <w:p w14:paraId="4F766165" w14:textId="77777777" w:rsidR="00C1152C" w:rsidRPr="00DC3F0B" w:rsidRDefault="00C1152C" w:rsidP="00D879C2">
            <w:pPr>
              <w:rPr>
                <w:rFonts w:cs="Arial"/>
                <w:sz w:val="21"/>
                <w:szCs w:val="21"/>
              </w:rPr>
            </w:pPr>
            <w:r w:rsidRPr="00DC3F0B">
              <w:rPr>
                <w:rFonts w:cs="Arial"/>
                <w:sz w:val="21"/>
                <w:szCs w:val="21"/>
              </w:rPr>
              <w:t>Intended outcomes</w:t>
            </w:r>
          </w:p>
        </w:tc>
        <w:tc>
          <w:tcPr>
            <w:tcW w:w="1180" w:type="pct"/>
            <w:shd w:val="clear" w:color="auto" w:fill="009999"/>
          </w:tcPr>
          <w:p w14:paraId="0B8339D5" w14:textId="77777777" w:rsidR="00C1152C" w:rsidRPr="00DC3F0B" w:rsidRDefault="00C1152C" w:rsidP="00D879C2">
            <w:pPr>
              <w:rPr>
                <w:rFonts w:cs="Arial"/>
                <w:sz w:val="21"/>
                <w:szCs w:val="21"/>
              </w:rPr>
            </w:pPr>
            <w:r w:rsidRPr="00DC3F0B">
              <w:rPr>
                <w:rFonts w:cs="Arial"/>
                <w:sz w:val="21"/>
                <w:szCs w:val="21"/>
              </w:rPr>
              <w:t>Partner</w:t>
            </w:r>
          </w:p>
        </w:tc>
        <w:tc>
          <w:tcPr>
            <w:tcW w:w="2566" w:type="pct"/>
            <w:shd w:val="clear" w:color="auto" w:fill="009999"/>
          </w:tcPr>
          <w:p w14:paraId="444E6790" w14:textId="77777777" w:rsidR="00C1152C" w:rsidRPr="00DC3F0B" w:rsidRDefault="00C1152C" w:rsidP="00D879C2">
            <w:pPr>
              <w:rPr>
                <w:rFonts w:cs="Arial"/>
                <w:sz w:val="21"/>
                <w:szCs w:val="21"/>
              </w:rPr>
            </w:pPr>
            <w:r w:rsidRPr="00DC3F0B">
              <w:rPr>
                <w:rFonts w:cs="Arial"/>
                <w:sz w:val="21"/>
                <w:szCs w:val="21"/>
              </w:rPr>
              <w:t>Broad responsibilities and functions</w:t>
            </w:r>
          </w:p>
        </w:tc>
      </w:tr>
      <w:tr w:rsidR="001148C4" w:rsidRPr="00E77C38" w14:paraId="41249A5A" w14:textId="77777777" w:rsidTr="000226CA">
        <w:tc>
          <w:tcPr>
            <w:tcW w:w="1254" w:type="pct"/>
          </w:tcPr>
          <w:p w14:paraId="6CF8DC11" w14:textId="54E2BE6E" w:rsidR="001148C4" w:rsidRPr="00DC3F0B" w:rsidRDefault="001148C4" w:rsidP="00D879C2">
            <w:pPr>
              <w:rPr>
                <w:rFonts w:cs="Arial"/>
                <w:b/>
                <w:bCs/>
                <w:sz w:val="21"/>
                <w:szCs w:val="21"/>
              </w:rPr>
            </w:pPr>
            <w:r w:rsidRPr="00E77C38">
              <w:rPr>
                <w:rFonts w:cs="Arial"/>
                <w:b/>
                <w:bCs/>
                <w:sz w:val="21"/>
                <w:szCs w:val="21"/>
              </w:rPr>
              <w:t xml:space="preserve">Individuals, their families and/or carers </w:t>
            </w:r>
            <w:r w:rsidRPr="00DC3F0B">
              <w:rPr>
                <w:rFonts w:cs="Arial"/>
                <w:b/>
                <w:bCs/>
                <w:sz w:val="21"/>
                <w:szCs w:val="21"/>
              </w:rPr>
              <w:t>are empowered to actively participate in shared decision-making in relation to the quality and safe use of medicines and medicines-related services in the prevention, management and treatment of a specific health condition or indication and for the maintenance of good health.</w:t>
            </w:r>
          </w:p>
          <w:p w14:paraId="221F5C35" w14:textId="77777777" w:rsidR="001148C4" w:rsidRPr="00DC3F0B" w:rsidRDefault="001148C4" w:rsidP="00D879C2">
            <w:pPr>
              <w:rPr>
                <w:rFonts w:cs="Arial"/>
                <w:b/>
                <w:bCs/>
                <w:sz w:val="21"/>
                <w:szCs w:val="21"/>
              </w:rPr>
            </w:pPr>
          </w:p>
          <w:p w14:paraId="2821239D" w14:textId="1FB5A284" w:rsidR="001148C4" w:rsidRPr="00DC3F0B" w:rsidRDefault="001148C4" w:rsidP="00D879C2">
            <w:pPr>
              <w:rPr>
                <w:rFonts w:cs="Arial"/>
                <w:sz w:val="21"/>
                <w:szCs w:val="21"/>
              </w:rPr>
            </w:pPr>
            <w:r w:rsidRPr="00DC3F0B">
              <w:rPr>
                <w:rFonts w:cs="Arial"/>
                <w:b/>
                <w:bCs/>
                <w:sz w:val="21"/>
                <w:szCs w:val="21"/>
              </w:rPr>
              <w:t>Adopting a person-centred approach, health professionals commit to, are trained and proactively supported to implement programs and initiatives to achieve the safe and quality use of medicines.</w:t>
            </w:r>
          </w:p>
        </w:tc>
        <w:tc>
          <w:tcPr>
            <w:tcW w:w="1180" w:type="pct"/>
          </w:tcPr>
          <w:p w14:paraId="1A600705" w14:textId="16285CB3" w:rsidR="001148C4" w:rsidRPr="00DC3F0B" w:rsidRDefault="001148C4" w:rsidP="00D879C2">
            <w:pPr>
              <w:rPr>
                <w:rFonts w:cs="Arial"/>
                <w:sz w:val="21"/>
                <w:szCs w:val="21"/>
              </w:rPr>
            </w:pPr>
            <w:r w:rsidRPr="00DC3F0B">
              <w:rPr>
                <w:rFonts w:cs="Arial"/>
                <w:sz w:val="21"/>
                <w:szCs w:val="21"/>
              </w:rPr>
              <w:t xml:space="preserve">Individuals, their families and/or carers </w:t>
            </w:r>
          </w:p>
        </w:tc>
        <w:tc>
          <w:tcPr>
            <w:tcW w:w="2566" w:type="pct"/>
          </w:tcPr>
          <w:p w14:paraId="01773A78" w14:textId="04AB5C36" w:rsidR="001148C4" w:rsidRPr="00DC3F0B" w:rsidRDefault="001148C4" w:rsidP="00D879C2">
            <w:pPr>
              <w:rPr>
                <w:rFonts w:cs="Arial"/>
                <w:sz w:val="21"/>
                <w:szCs w:val="21"/>
              </w:rPr>
            </w:pPr>
            <w:r w:rsidRPr="00DC3F0B">
              <w:rPr>
                <w:rFonts w:cs="Arial"/>
                <w:sz w:val="21"/>
                <w:szCs w:val="21"/>
              </w:rPr>
              <w:t>Engage actively with the safe and quality use of medicines as part of a suite of treatment options</w:t>
            </w:r>
            <w:r w:rsidR="000226CA">
              <w:rPr>
                <w:rFonts w:cs="Arial"/>
                <w:sz w:val="21"/>
                <w:szCs w:val="21"/>
              </w:rPr>
              <w:t>.</w:t>
            </w:r>
          </w:p>
          <w:p w14:paraId="70F9FB24" w14:textId="19493A6B" w:rsidR="001148C4" w:rsidRPr="00DC3F0B" w:rsidRDefault="001148C4" w:rsidP="00D879C2">
            <w:pPr>
              <w:rPr>
                <w:rFonts w:cs="Arial"/>
                <w:sz w:val="21"/>
                <w:szCs w:val="21"/>
              </w:rPr>
            </w:pPr>
            <w:r w:rsidRPr="00DC3F0B">
              <w:rPr>
                <w:rFonts w:cs="Arial"/>
                <w:sz w:val="21"/>
                <w:szCs w:val="21"/>
              </w:rPr>
              <w:t xml:space="preserve">With support from relevant partners, build the knowledge and understanding of medicines, including the benefits and risks for the </w:t>
            </w:r>
            <w:r>
              <w:rPr>
                <w:rFonts w:cs="Arial"/>
                <w:sz w:val="21"/>
                <w:szCs w:val="21"/>
              </w:rPr>
              <w:t>effective</w:t>
            </w:r>
            <w:r w:rsidRPr="00AA1F16">
              <w:rPr>
                <w:rFonts w:cs="Arial"/>
                <w:sz w:val="21"/>
                <w:szCs w:val="21"/>
              </w:rPr>
              <w:t xml:space="preserve">, safe and </w:t>
            </w:r>
            <w:r w:rsidRPr="00165D10">
              <w:rPr>
                <w:rFonts w:cs="Arial"/>
                <w:sz w:val="21"/>
                <w:szCs w:val="21"/>
              </w:rPr>
              <w:t>quality</w:t>
            </w:r>
            <w:r w:rsidRPr="00DC3F0B">
              <w:rPr>
                <w:rFonts w:cs="Arial"/>
                <w:sz w:val="21"/>
                <w:szCs w:val="21"/>
              </w:rPr>
              <w:t xml:space="preserve"> use of medicines. This includes considering the use of digital enablers where appropriate.</w:t>
            </w:r>
          </w:p>
        </w:tc>
      </w:tr>
      <w:tr w:rsidR="001148C4" w:rsidRPr="00E77C38" w14:paraId="0CBE7A72" w14:textId="77777777" w:rsidTr="000226CA">
        <w:tc>
          <w:tcPr>
            <w:tcW w:w="1254" w:type="pct"/>
          </w:tcPr>
          <w:p w14:paraId="3442355B" w14:textId="77777777" w:rsidR="001148C4" w:rsidRPr="00DC3F0B" w:rsidRDefault="001148C4" w:rsidP="00D879C2">
            <w:pPr>
              <w:rPr>
                <w:rFonts w:cs="Arial"/>
                <w:sz w:val="21"/>
                <w:szCs w:val="21"/>
              </w:rPr>
            </w:pPr>
          </w:p>
        </w:tc>
        <w:tc>
          <w:tcPr>
            <w:tcW w:w="1180" w:type="pct"/>
          </w:tcPr>
          <w:p w14:paraId="6B05A28C" w14:textId="49BE06B5" w:rsidR="001148C4" w:rsidRPr="00DC3F0B" w:rsidRDefault="001148C4" w:rsidP="00D879C2">
            <w:pPr>
              <w:rPr>
                <w:rFonts w:cs="Arial"/>
                <w:sz w:val="21"/>
                <w:szCs w:val="21"/>
              </w:rPr>
            </w:pPr>
            <w:r w:rsidRPr="00DC3F0B">
              <w:rPr>
                <w:rFonts w:cs="Arial"/>
                <w:sz w:val="21"/>
                <w:szCs w:val="21"/>
              </w:rPr>
              <w:t xml:space="preserve">Consumer </w:t>
            </w:r>
            <w:r>
              <w:rPr>
                <w:rFonts w:cs="Arial"/>
                <w:sz w:val="21"/>
                <w:szCs w:val="21"/>
              </w:rPr>
              <w:t xml:space="preserve">organisations and </w:t>
            </w:r>
            <w:r w:rsidRPr="00DC3F0B">
              <w:rPr>
                <w:rFonts w:cs="Arial"/>
                <w:sz w:val="21"/>
                <w:szCs w:val="21"/>
              </w:rPr>
              <w:t xml:space="preserve">representatives, </w:t>
            </w:r>
            <w:r w:rsidRPr="00E77C38">
              <w:rPr>
                <w:rFonts w:eastAsia="Arial" w:cs="Arial"/>
                <w:color w:val="000000" w:themeColor="text1"/>
                <w:sz w:val="21"/>
                <w:szCs w:val="21"/>
              </w:rPr>
              <w:t>patient advocates, not-for-profits</w:t>
            </w:r>
          </w:p>
        </w:tc>
        <w:tc>
          <w:tcPr>
            <w:tcW w:w="2566" w:type="pct"/>
          </w:tcPr>
          <w:p w14:paraId="5239C16E" w14:textId="2198A949" w:rsidR="001148C4" w:rsidRPr="00DC3F0B" w:rsidRDefault="001148C4" w:rsidP="00D879C2">
            <w:pPr>
              <w:rPr>
                <w:rFonts w:cs="Arial"/>
                <w:sz w:val="21"/>
                <w:szCs w:val="21"/>
              </w:rPr>
            </w:pPr>
            <w:r w:rsidRPr="00DC3F0B">
              <w:rPr>
                <w:rFonts w:cs="Arial"/>
                <w:sz w:val="21"/>
                <w:szCs w:val="21"/>
              </w:rPr>
              <w:t xml:space="preserve">Promote and build health, digital and </w:t>
            </w:r>
            <w:r>
              <w:rPr>
                <w:rFonts w:cs="Arial"/>
                <w:sz w:val="21"/>
                <w:szCs w:val="21"/>
              </w:rPr>
              <w:t>medicines</w:t>
            </w:r>
            <w:r w:rsidRPr="00165D10">
              <w:rPr>
                <w:rFonts w:cs="Arial"/>
                <w:sz w:val="21"/>
                <w:szCs w:val="21"/>
              </w:rPr>
              <w:t xml:space="preserve"> literacy</w:t>
            </w:r>
            <w:r w:rsidRPr="00DC3F0B">
              <w:rPr>
                <w:rFonts w:cs="Arial"/>
                <w:sz w:val="21"/>
                <w:szCs w:val="21"/>
              </w:rPr>
              <w:t xml:space="preserve"> among the Australian community, to help people participate in shared decision-making about medicines. This includes increasing the ability of people to find </w:t>
            </w:r>
            <w:r w:rsidRPr="00DC3F0B">
              <w:rPr>
                <w:rFonts w:cs="Arial"/>
                <w:sz w:val="21"/>
                <w:szCs w:val="21"/>
              </w:rPr>
              <w:lastRenderedPageBreak/>
              <w:t>and understand evidence-based medicines-related information about the risks and benefits of medicines, and ensuring this information is accessible and appropriate to the needs of the individual.</w:t>
            </w:r>
          </w:p>
        </w:tc>
      </w:tr>
      <w:tr w:rsidR="001148C4" w:rsidRPr="00E77C38" w14:paraId="2597DA5F" w14:textId="77777777" w:rsidTr="000226CA">
        <w:tc>
          <w:tcPr>
            <w:tcW w:w="1254" w:type="pct"/>
          </w:tcPr>
          <w:p w14:paraId="026C26F5" w14:textId="77777777" w:rsidR="001148C4" w:rsidRPr="00DC3F0B" w:rsidRDefault="001148C4" w:rsidP="00D879C2">
            <w:pPr>
              <w:rPr>
                <w:rFonts w:cs="Arial"/>
                <w:sz w:val="21"/>
                <w:szCs w:val="21"/>
              </w:rPr>
            </w:pPr>
          </w:p>
        </w:tc>
        <w:tc>
          <w:tcPr>
            <w:tcW w:w="1180" w:type="pct"/>
          </w:tcPr>
          <w:p w14:paraId="0A1F39AF" w14:textId="78A318F4" w:rsidR="001148C4" w:rsidRPr="00DC3F0B" w:rsidRDefault="001148C4" w:rsidP="00D879C2">
            <w:pPr>
              <w:rPr>
                <w:rFonts w:cs="Arial"/>
                <w:sz w:val="21"/>
                <w:szCs w:val="21"/>
              </w:rPr>
            </w:pPr>
            <w:r w:rsidRPr="00DC3F0B">
              <w:rPr>
                <w:rFonts w:cs="Arial"/>
                <w:sz w:val="21"/>
                <w:szCs w:val="21"/>
              </w:rPr>
              <w:t xml:space="preserve">Health professionals </w:t>
            </w:r>
          </w:p>
        </w:tc>
        <w:tc>
          <w:tcPr>
            <w:tcW w:w="2566" w:type="pct"/>
          </w:tcPr>
          <w:p w14:paraId="26DAAD7B" w14:textId="240134C4" w:rsidR="001148C4" w:rsidRPr="00AA1F16" w:rsidRDefault="001148C4" w:rsidP="0083417A">
            <w:pPr>
              <w:rPr>
                <w:rFonts w:cs="Arial"/>
                <w:sz w:val="21"/>
                <w:szCs w:val="21"/>
              </w:rPr>
            </w:pPr>
            <w:r w:rsidRPr="00DC3F0B">
              <w:rPr>
                <w:rFonts w:cs="Arial"/>
                <w:sz w:val="21"/>
                <w:szCs w:val="21"/>
              </w:rPr>
              <w:t xml:space="preserve">Adopt and implement programs and initiatives to achieve the safe and quality use of medicines into clinical practice, including </w:t>
            </w:r>
            <w:bookmarkStart w:id="11" w:name="_Hlk120275367"/>
            <w:r w:rsidRPr="00DC3F0B">
              <w:rPr>
                <w:rFonts w:cs="Arial"/>
                <w:sz w:val="21"/>
                <w:szCs w:val="21"/>
              </w:rPr>
              <w:t>identifying the up-to-date list of medicines with the individual, their families and/or carers at every stage of care including at transition of care. This may include the best possible medication history and a commitment to reduce inappropriate polypharmacy</w:t>
            </w:r>
            <w:r w:rsidRPr="00AA1F16">
              <w:rPr>
                <w:rFonts w:cs="Arial"/>
                <w:sz w:val="21"/>
                <w:szCs w:val="21"/>
              </w:rPr>
              <w:t>.</w:t>
            </w:r>
            <w:bookmarkEnd w:id="11"/>
          </w:p>
          <w:p w14:paraId="6AF49649" w14:textId="6D36EF5F" w:rsidR="001148C4" w:rsidRPr="00AA1F16" w:rsidRDefault="001148C4" w:rsidP="00D879C2">
            <w:pPr>
              <w:rPr>
                <w:rFonts w:cs="Arial"/>
                <w:sz w:val="21"/>
                <w:szCs w:val="21"/>
              </w:rPr>
            </w:pPr>
          </w:p>
          <w:p w14:paraId="443669B1" w14:textId="77777777" w:rsidR="001148C4" w:rsidRPr="004734E7" w:rsidRDefault="001148C4" w:rsidP="00D879C2">
            <w:pPr>
              <w:rPr>
                <w:rFonts w:cs="Arial"/>
                <w:sz w:val="21"/>
                <w:szCs w:val="21"/>
              </w:rPr>
            </w:pPr>
            <w:r w:rsidRPr="004734E7">
              <w:rPr>
                <w:rFonts w:cs="Arial"/>
                <w:sz w:val="21"/>
                <w:szCs w:val="21"/>
              </w:rPr>
              <w:t>Ensure the safe collection and appropriate disposal of expired or unwanted medicines.</w:t>
            </w:r>
          </w:p>
          <w:p w14:paraId="76818DAE" w14:textId="6F89FC88" w:rsidR="001148C4" w:rsidRPr="00AA1F16" w:rsidRDefault="001148C4" w:rsidP="00D879C2">
            <w:pPr>
              <w:rPr>
                <w:rFonts w:cs="Arial"/>
                <w:sz w:val="21"/>
                <w:szCs w:val="21"/>
              </w:rPr>
            </w:pPr>
            <w:r w:rsidRPr="004734E7">
              <w:rPr>
                <w:rFonts w:cs="Arial"/>
                <w:sz w:val="21"/>
                <w:szCs w:val="21"/>
              </w:rPr>
              <w:t>P</w:t>
            </w:r>
            <w:r w:rsidRPr="00AC2E07">
              <w:rPr>
                <w:rFonts w:cs="Arial"/>
                <w:sz w:val="21"/>
                <w:szCs w:val="21"/>
              </w:rPr>
              <w:t>romote public</w:t>
            </w:r>
            <w:r w:rsidRPr="00FE618A">
              <w:rPr>
                <w:rFonts w:cs="Arial"/>
                <w:sz w:val="21"/>
                <w:szCs w:val="21"/>
              </w:rPr>
              <w:t xml:space="preserve"> </w:t>
            </w:r>
            <w:r w:rsidRPr="00EB54A2">
              <w:rPr>
                <w:rFonts w:cs="Arial"/>
                <w:sz w:val="21"/>
                <w:szCs w:val="21"/>
              </w:rPr>
              <w:t xml:space="preserve">awareness around issues associated with medicines including safe and secure </w:t>
            </w:r>
            <w:r w:rsidRPr="00E77C38">
              <w:rPr>
                <w:rFonts w:cs="Arial"/>
                <w:sz w:val="21"/>
                <w:szCs w:val="21"/>
              </w:rPr>
              <w:t>disposal</w:t>
            </w:r>
            <w:r w:rsidRPr="00DC3F0B">
              <w:rPr>
                <w:rFonts w:cs="Arial"/>
                <w:sz w:val="21"/>
                <w:szCs w:val="21"/>
              </w:rPr>
              <w:t xml:space="preserve"> which minimises impact on the environment.</w:t>
            </w:r>
          </w:p>
          <w:p w14:paraId="63253901" w14:textId="58E5EFFA" w:rsidR="001148C4" w:rsidRPr="00DC3F0B" w:rsidRDefault="001148C4" w:rsidP="00D879C2">
            <w:pPr>
              <w:rPr>
                <w:rFonts w:cs="Arial"/>
                <w:sz w:val="21"/>
                <w:szCs w:val="21"/>
              </w:rPr>
            </w:pPr>
            <w:r w:rsidRPr="00AA1F16">
              <w:rPr>
                <w:rFonts w:cs="Arial"/>
                <w:sz w:val="21"/>
                <w:szCs w:val="21"/>
              </w:rPr>
              <w:t>Communicate the risk</w:t>
            </w:r>
            <w:r w:rsidRPr="00165D10">
              <w:rPr>
                <w:rFonts w:cs="Arial"/>
                <w:sz w:val="21"/>
                <w:szCs w:val="21"/>
              </w:rPr>
              <w:t>s</w:t>
            </w:r>
            <w:r w:rsidRPr="004734E7">
              <w:rPr>
                <w:rFonts w:cs="Arial"/>
                <w:sz w:val="21"/>
                <w:szCs w:val="21"/>
              </w:rPr>
              <w:t xml:space="preserve"> and benefits of medicines to enable consumers to make informed </w:t>
            </w:r>
            <w:r w:rsidRPr="00AC2E07">
              <w:rPr>
                <w:rFonts w:cs="Arial"/>
                <w:sz w:val="21"/>
                <w:szCs w:val="21"/>
              </w:rPr>
              <w:t>decision</w:t>
            </w:r>
            <w:r w:rsidRPr="00FE618A">
              <w:rPr>
                <w:rFonts w:cs="Arial"/>
                <w:sz w:val="21"/>
                <w:szCs w:val="21"/>
              </w:rPr>
              <w:t xml:space="preserve">s about their medicines and build their health </w:t>
            </w:r>
            <w:r w:rsidRPr="00E77C38">
              <w:rPr>
                <w:rFonts w:cs="Arial"/>
                <w:sz w:val="21"/>
                <w:szCs w:val="21"/>
              </w:rPr>
              <w:t xml:space="preserve">and medicines </w:t>
            </w:r>
            <w:r w:rsidRPr="00DC3F0B">
              <w:rPr>
                <w:rFonts w:cs="Arial"/>
                <w:sz w:val="21"/>
                <w:szCs w:val="21"/>
              </w:rPr>
              <w:t>literacy.</w:t>
            </w:r>
          </w:p>
          <w:p w14:paraId="2608D1AD" w14:textId="1BA9D256" w:rsidR="001148C4" w:rsidRPr="00DC3F0B" w:rsidRDefault="001148C4" w:rsidP="00D879C2">
            <w:pPr>
              <w:rPr>
                <w:rFonts w:cs="Arial"/>
                <w:sz w:val="21"/>
                <w:szCs w:val="21"/>
              </w:rPr>
            </w:pPr>
            <w:r w:rsidRPr="00DC3F0B">
              <w:rPr>
                <w:rFonts w:cs="Arial"/>
                <w:sz w:val="21"/>
                <w:szCs w:val="21"/>
              </w:rPr>
              <w:t>Ensure effective and respectful communication of information to support the safe and quality use of medicines.</w:t>
            </w:r>
          </w:p>
          <w:p w14:paraId="3B60AC6B" w14:textId="16A989BD" w:rsidR="001148C4" w:rsidRPr="00DC3F0B" w:rsidRDefault="001148C4" w:rsidP="00D879C2">
            <w:pPr>
              <w:rPr>
                <w:rFonts w:cs="Arial"/>
                <w:sz w:val="21"/>
                <w:szCs w:val="21"/>
              </w:rPr>
            </w:pPr>
            <w:r w:rsidRPr="00DC3F0B">
              <w:rPr>
                <w:rFonts w:cs="Arial"/>
                <w:sz w:val="21"/>
                <w:szCs w:val="21"/>
              </w:rPr>
              <w:t xml:space="preserve">Ensure informed consent before sharing any health-related information. </w:t>
            </w:r>
          </w:p>
          <w:p w14:paraId="06C36528" w14:textId="43EA707D" w:rsidR="001148C4" w:rsidRPr="00DC3F0B" w:rsidRDefault="001148C4" w:rsidP="00D879C2">
            <w:pPr>
              <w:rPr>
                <w:rFonts w:cs="Arial"/>
                <w:sz w:val="21"/>
                <w:szCs w:val="21"/>
              </w:rPr>
            </w:pPr>
            <w:r w:rsidRPr="00DC3F0B">
              <w:rPr>
                <w:rFonts w:cs="Arial"/>
                <w:sz w:val="21"/>
                <w:szCs w:val="21"/>
              </w:rPr>
              <w:t xml:space="preserve">Maintain compliance with up-to-date best practice guidance on the prescribing, dispensing, supply, administration and deprescribing of medicines. </w:t>
            </w:r>
          </w:p>
          <w:p w14:paraId="110C72AC" w14:textId="77777777" w:rsidR="001148C4" w:rsidRPr="00DC3F0B" w:rsidRDefault="001148C4" w:rsidP="00D879C2">
            <w:pPr>
              <w:rPr>
                <w:rFonts w:cs="Arial"/>
                <w:sz w:val="21"/>
                <w:szCs w:val="21"/>
              </w:rPr>
            </w:pPr>
            <w:r w:rsidRPr="00DC3F0B">
              <w:rPr>
                <w:rFonts w:cs="Arial"/>
                <w:sz w:val="21"/>
                <w:szCs w:val="21"/>
              </w:rPr>
              <w:t>Optimise the use of digital technologies in clinical practice to support the quality use of medicines and medicines safety.</w:t>
            </w:r>
          </w:p>
        </w:tc>
      </w:tr>
      <w:tr w:rsidR="001148C4" w:rsidRPr="00E77C38" w14:paraId="2761B54E" w14:textId="77777777" w:rsidTr="000226CA">
        <w:tc>
          <w:tcPr>
            <w:tcW w:w="1254" w:type="pct"/>
          </w:tcPr>
          <w:p w14:paraId="4DA13698" w14:textId="77777777" w:rsidR="001148C4" w:rsidRPr="00DC3F0B" w:rsidRDefault="001148C4" w:rsidP="00D879C2">
            <w:pPr>
              <w:rPr>
                <w:rFonts w:cs="Arial"/>
                <w:sz w:val="21"/>
                <w:szCs w:val="21"/>
              </w:rPr>
            </w:pPr>
          </w:p>
        </w:tc>
        <w:tc>
          <w:tcPr>
            <w:tcW w:w="1180" w:type="pct"/>
          </w:tcPr>
          <w:p w14:paraId="3CB83505" w14:textId="77777777" w:rsidR="001148C4" w:rsidRPr="00DC3F0B" w:rsidRDefault="001148C4" w:rsidP="00D879C2">
            <w:pPr>
              <w:rPr>
                <w:rFonts w:cs="Arial"/>
                <w:sz w:val="21"/>
                <w:szCs w:val="21"/>
              </w:rPr>
            </w:pPr>
            <w:r w:rsidRPr="00DC3F0B">
              <w:rPr>
                <w:rFonts w:cs="Arial"/>
                <w:sz w:val="21"/>
                <w:szCs w:val="21"/>
              </w:rPr>
              <w:t>Health professional organisations</w:t>
            </w:r>
          </w:p>
        </w:tc>
        <w:tc>
          <w:tcPr>
            <w:tcW w:w="2566" w:type="pct"/>
          </w:tcPr>
          <w:p w14:paraId="01D6C574" w14:textId="3BA7B633" w:rsidR="001148C4" w:rsidRPr="00DC3F0B" w:rsidDel="00BD101C" w:rsidRDefault="001148C4" w:rsidP="00D879C2">
            <w:pPr>
              <w:rPr>
                <w:rFonts w:cs="Arial"/>
                <w:sz w:val="21"/>
                <w:szCs w:val="21"/>
              </w:rPr>
            </w:pPr>
            <w:r w:rsidRPr="00DC3F0B">
              <w:rPr>
                <w:rFonts w:cs="Arial"/>
                <w:sz w:val="21"/>
                <w:szCs w:val="21"/>
              </w:rPr>
              <w:t>Support health pr</w:t>
            </w:r>
            <w:r>
              <w:rPr>
                <w:rFonts w:cs="Arial"/>
                <w:sz w:val="21"/>
                <w:szCs w:val="21"/>
              </w:rPr>
              <w:t>ofessionals</w:t>
            </w:r>
            <w:r w:rsidRPr="00DC3F0B">
              <w:rPr>
                <w:rFonts w:cs="Arial"/>
                <w:sz w:val="21"/>
                <w:szCs w:val="21"/>
              </w:rPr>
              <w:t xml:space="preserve"> </w:t>
            </w:r>
            <w:r w:rsidRPr="00AA1F16">
              <w:rPr>
                <w:rFonts w:cs="Arial"/>
                <w:sz w:val="21"/>
                <w:szCs w:val="21"/>
              </w:rPr>
              <w:t xml:space="preserve">in adopting and implementing the </w:t>
            </w:r>
            <w:r w:rsidRPr="00165D10">
              <w:rPr>
                <w:rFonts w:cs="Arial"/>
                <w:sz w:val="21"/>
                <w:szCs w:val="21"/>
              </w:rPr>
              <w:t xml:space="preserve">systems, programs and initiatives to achieve the </w:t>
            </w:r>
            <w:r w:rsidRPr="004734E7">
              <w:rPr>
                <w:rFonts w:cs="Arial"/>
                <w:sz w:val="21"/>
                <w:szCs w:val="21"/>
              </w:rPr>
              <w:t>safe and quality use of medicines</w:t>
            </w:r>
            <w:r w:rsidRPr="00DC3F0B">
              <w:rPr>
                <w:rFonts w:cs="Arial"/>
                <w:sz w:val="21"/>
                <w:szCs w:val="21"/>
              </w:rPr>
              <w:t>.</w:t>
            </w:r>
          </w:p>
        </w:tc>
      </w:tr>
      <w:tr w:rsidR="001148C4" w:rsidRPr="00E77C38" w14:paraId="556CC872" w14:textId="77777777" w:rsidTr="000226CA">
        <w:tc>
          <w:tcPr>
            <w:tcW w:w="1254" w:type="pct"/>
          </w:tcPr>
          <w:p w14:paraId="6A7533B9" w14:textId="77777777" w:rsidR="001148C4" w:rsidRPr="00DC3F0B" w:rsidRDefault="001148C4" w:rsidP="00D879C2">
            <w:pPr>
              <w:rPr>
                <w:rFonts w:cs="Arial"/>
                <w:sz w:val="21"/>
                <w:szCs w:val="21"/>
              </w:rPr>
            </w:pPr>
          </w:p>
        </w:tc>
        <w:tc>
          <w:tcPr>
            <w:tcW w:w="1180" w:type="pct"/>
          </w:tcPr>
          <w:p w14:paraId="6E4227E9" w14:textId="77777777" w:rsidR="001148C4" w:rsidRPr="00DC3F0B" w:rsidRDefault="001148C4" w:rsidP="00D879C2">
            <w:pPr>
              <w:rPr>
                <w:rFonts w:cs="Arial"/>
                <w:sz w:val="21"/>
                <w:szCs w:val="21"/>
              </w:rPr>
            </w:pPr>
            <w:r w:rsidRPr="00DC3F0B">
              <w:rPr>
                <w:rFonts w:cs="Arial"/>
                <w:sz w:val="21"/>
                <w:szCs w:val="21"/>
              </w:rPr>
              <w:t>Commonwealth government and national agencies</w:t>
            </w:r>
          </w:p>
          <w:p w14:paraId="16C59D58" w14:textId="77777777" w:rsidR="001148C4" w:rsidRPr="00DC3F0B" w:rsidRDefault="001148C4" w:rsidP="00D879C2">
            <w:pPr>
              <w:rPr>
                <w:rFonts w:cs="Arial"/>
                <w:sz w:val="21"/>
                <w:szCs w:val="21"/>
              </w:rPr>
            </w:pPr>
          </w:p>
          <w:p w14:paraId="2D4E2E81" w14:textId="796B0729" w:rsidR="001148C4" w:rsidRPr="00DC3F0B" w:rsidRDefault="001148C4" w:rsidP="00D879C2">
            <w:pPr>
              <w:rPr>
                <w:rFonts w:cs="Arial"/>
                <w:sz w:val="21"/>
                <w:szCs w:val="21"/>
              </w:rPr>
            </w:pPr>
            <w:r w:rsidRPr="00DC3F0B">
              <w:rPr>
                <w:rFonts w:cs="Arial"/>
                <w:sz w:val="21"/>
                <w:szCs w:val="21"/>
              </w:rPr>
              <w:t>State and territory governments and agencies</w:t>
            </w:r>
          </w:p>
        </w:tc>
        <w:tc>
          <w:tcPr>
            <w:tcW w:w="2566" w:type="pct"/>
          </w:tcPr>
          <w:p w14:paraId="0E31F10C" w14:textId="5A9F81DD" w:rsidR="001148C4" w:rsidRPr="00DC3F0B" w:rsidRDefault="001148C4" w:rsidP="00D879C2">
            <w:pPr>
              <w:rPr>
                <w:rFonts w:cs="Arial"/>
                <w:sz w:val="21"/>
                <w:szCs w:val="21"/>
              </w:rPr>
            </w:pPr>
            <w:r w:rsidRPr="00DC3F0B">
              <w:rPr>
                <w:rFonts w:cs="Arial"/>
                <w:sz w:val="21"/>
                <w:szCs w:val="21"/>
              </w:rPr>
              <w:t>Coordinate and fund appropriate, medically informed programs, processes, structures and clinical environments to achieve the safe and quality use of medicines including raising awareness among the public and health professionals.</w:t>
            </w:r>
          </w:p>
          <w:p w14:paraId="2B5ACCBA" w14:textId="573E70BF" w:rsidR="001148C4" w:rsidRPr="00DC3F0B" w:rsidRDefault="001148C4" w:rsidP="00D879C2">
            <w:pPr>
              <w:rPr>
                <w:rFonts w:cs="Arial"/>
                <w:sz w:val="21"/>
                <w:szCs w:val="21"/>
              </w:rPr>
            </w:pPr>
            <w:r w:rsidRPr="00DC3F0B">
              <w:rPr>
                <w:rFonts w:cs="Arial"/>
                <w:sz w:val="21"/>
                <w:szCs w:val="21"/>
              </w:rPr>
              <w:t>Provide leadership and overall strategic direction on quality improvements relating to the safe and quality use of medicines</w:t>
            </w:r>
          </w:p>
        </w:tc>
      </w:tr>
      <w:tr w:rsidR="001148C4" w:rsidRPr="00E77C38" w14:paraId="2AF303BB" w14:textId="77777777" w:rsidTr="000226CA">
        <w:tc>
          <w:tcPr>
            <w:tcW w:w="1254" w:type="pct"/>
          </w:tcPr>
          <w:p w14:paraId="2984B2F8" w14:textId="77777777" w:rsidR="001148C4" w:rsidRPr="00E77C38" w:rsidRDefault="001148C4" w:rsidP="00D879C2">
            <w:pPr>
              <w:rPr>
                <w:rFonts w:cs="Arial"/>
                <w:sz w:val="21"/>
                <w:szCs w:val="21"/>
              </w:rPr>
            </w:pPr>
          </w:p>
        </w:tc>
        <w:tc>
          <w:tcPr>
            <w:tcW w:w="1180" w:type="pct"/>
          </w:tcPr>
          <w:p w14:paraId="58179B57" w14:textId="04A7A540" w:rsidR="001148C4" w:rsidRDefault="001148C4" w:rsidP="00017CCF">
            <w:pPr>
              <w:rPr>
                <w:rFonts w:cs="Arial"/>
                <w:sz w:val="21"/>
                <w:szCs w:val="21"/>
              </w:rPr>
            </w:pPr>
            <w:r>
              <w:rPr>
                <w:rFonts w:cs="Arial"/>
                <w:sz w:val="21"/>
                <w:szCs w:val="21"/>
              </w:rPr>
              <w:t>Researchers and academics</w:t>
            </w:r>
          </w:p>
          <w:p w14:paraId="62D2AD1B" w14:textId="77777777" w:rsidR="001148C4" w:rsidRPr="00017CCF" w:rsidRDefault="001148C4" w:rsidP="00D879C2">
            <w:pPr>
              <w:rPr>
                <w:rFonts w:cs="Arial"/>
                <w:sz w:val="21"/>
                <w:szCs w:val="21"/>
              </w:rPr>
            </w:pPr>
          </w:p>
        </w:tc>
        <w:tc>
          <w:tcPr>
            <w:tcW w:w="2566" w:type="pct"/>
          </w:tcPr>
          <w:p w14:paraId="4747DCEB" w14:textId="6B96CFF8" w:rsidR="001148C4" w:rsidRPr="00017CCF" w:rsidRDefault="001148C4" w:rsidP="00D879C2">
            <w:pPr>
              <w:rPr>
                <w:rFonts w:cs="Arial"/>
                <w:sz w:val="21"/>
                <w:szCs w:val="21"/>
              </w:rPr>
            </w:pPr>
            <w:bookmarkStart w:id="12" w:name="_Hlk120275412"/>
            <w:r>
              <w:rPr>
                <w:rFonts w:cs="Arial"/>
                <w:sz w:val="21"/>
                <w:szCs w:val="21"/>
              </w:rPr>
              <w:t>R</w:t>
            </w:r>
            <w:r w:rsidRPr="00017CCF">
              <w:rPr>
                <w:rFonts w:cs="Arial"/>
                <w:sz w:val="21"/>
                <w:szCs w:val="21"/>
              </w:rPr>
              <w:t xml:space="preserve">esearch, </w:t>
            </w:r>
            <w:r>
              <w:rPr>
                <w:rFonts w:cs="Arial"/>
                <w:sz w:val="21"/>
                <w:szCs w:val="21"/>
              </w:rPr>
              <w:t xml:space="preserve">trial, </w:t>
            </w:r>
            <w:r w:rsidRPr="00017CCF">
              <w:rPr>
                <w:rFonts w:cs="Arial"/>
                <w:sz w:val="21"/>
                <w:szCs w:val="21"/>
              </w:rPr>
              <w:t>evaluat</w:t>
            </w:r>
            <w:r>
              <w:rPr>
                <w:rFonts w:cs="Arial"/>
                <w:sz w:val="21"/>
                <w:szCs w:val="21"/>
              </w:rPr>
              <w:t>e</w:t>
            </w:r>
            <w:r w:rsidRPr="00017CCF">
              <w:rPr>
                <w:rFonts w:cs="Arial"/>
                <w:sz w:val="21"/>
                <w:szCs w:val="21"/>
              </w:rPr>
              <w:t xml:space="preserve"> and report on outcomes</w:t>
            </w:r>
            <w:r>
              <w:rPr>
                <w:rFonts w:cs="Arial"/>
                <w:sz w:val="21"/>
                <w:szCs w:val="21"/>
              </w:rPr>
              <w:t xml:space="preserve">, including in collaboration with other partners, </w:t>
            </w:r>
            <w:r w:rsidRPr="00017CCF">
              <w:rPr>
                <w:rFonts w:cs="Arial"/>
                <w:sz w:val="21"/>
                <w:szCs w:val="21"/>
              </w:rPr>
              <w:t xml:space="preserve">to </w:t>
            </w:r>
            <w:r>
              <w:rPr>
                <w:rFonts w:cs="Arial"/>
                <w:sz w:val="21"/>
                <w:szCs w:val="21"/>
              </w:rPr>
              <w:t xml:space="preserve">support </w:t>
            </w:r>
            <w:r w:rsidRPr="00017CCF">
              <w:rPr>
                <w:rFonts w:cs="Arial"/>
                <w:sz w:val="21"/>
                <w:szCs w:val="21"/>
              </w:rPr>
              <w:t>th</w:t>
            </w:r>
            <w:r>
              <w:rPr>
                <w:rFonts w:cs="Arial"/>
                <w:sz w:val="21"/>
                <w:szCs w:val="21"/>
              </w:rPr>
              <w:t>e safe and</w:t>
            </w:r>
            <w:r w:rsidRPr="00017CCF">
              <w:rPr>
                <w:rFonts w:cs="Arial"/>
                <w:sz w:val="21"/>
                <w:szCs w:val="21"/>
              </w:rPr>
              <w:t xml:space="preserve"> quality use of medicines</w:t>
            </w:r>
            <w:r>
              <w:rPr>
                <w:rFonts w:cs="Arial"/>
                <w:sz w:val="21"/>
                <w:szCs w:val="21"/>
              </w:rPr>
              <w:t>.</w:t>
            </w:r>
            <w:bookmarkEnd w:id="12"/>
          </w:p>
        </w:tc>
      </w:tr>
      <w:tr w:rsidR="001148C4" w:rsidRPr="00E77C38" w14:paraId="29198367" w14:textId="77777777" w:rsidTr="000226CA">
        <w:tc>
          <w:tcPr>
            <w:tcW w:w="1254" w:type="pct"/>
          </w:tcPr>
          <w:p w14:paraId="4952A531" w14:textId="77777777" w:rsidR="001148C4" w:rsidRPr="00DC3F0B" w:rsidRDefault="001148C4" w:rsidP="00D879C2">
            <w:pPr>
              <w:rPr>
                <w:rFonts w:cs="Arial"/>
                <w:sz w:val="21"/>
                <w:szCs w:val="21"/>
              </w:rPr>
            </w:pPr>
          </w:p>
        </w:tc>
        <w:tc>
          <w:tcPr>
            <w:tcW w:w="1180" w:type="pct"/>
          </w:tcPr>
          <w:p w14:paraId="0298123C" w14:textId="465D8ABF" w:rsidR="001148C4" w:rsidRPr="004734E7" w:rsidRDefault="001148C4" w:rsidP="00D879C2">
            <w:pPr>
              <w:rPr>
                <w:rFonts w:cs="Arial"/>
                <w:sz w:val="21"/>
                <w:szCs w:val="21"/>
              </w:rPr>
            </w:pPr>
            <w:r>
              <w:rPr>
                <w:rFonts w:cs="Arial"/>
                <w:sz w:val="21"/>
                <w:szCs w:val="21"/>
              </w:rPr>
              <w:t>Medicines i</w:t>
            </w:r>
            <w:r w:rsidRPr="004734E7">
              <w:rPr>
                <w:rFonts w:cs="Arial"/>
                <w:sz w:val="21"/>
                <w:szCs w:val="21"/>
              </w:rPr>
              <w:t>ndustry, including software providers</w:t>
            </w:r>
          </w:p>
        </w:tc>
        <w:tc>
          <w:tcPr>
            <w:tcW w:w="2566" w:type="pct"/>
          </w:tcPr>
          <w:p w14:paraId="1F003B93" w14:textId="0DA0AE69" w:rsidR="001148C4" w:rsidRPr="004734E7" w:rsidRDefault="001148C4" w:rsidP="00D879C2">
            <w:pPr>
              <w:rPr>
                <w:rFonts w:cs="Arial"/>
                <w:sz w:val="21"/>
                <w:szCs w:val="21"/>
              </w:rPr>
            </w:pPr>
            <w:r w:rsidRPr="004734E7">
              <w:rPr>
                <w:rFonts w:cs="Arial"/>
                <w:sz w:val="21"/>
                <w:szCs w:val="21"/>
              </w:rPr>
              <w:t xml:space="preserve">Promote the safe and quality use of medicines across all stages including research, </w:t>
            </w:r>
            <w:r>
              <w:rPr>
                <w:rFonts w:cs="Arial"/>
                <w:sz w:val="21"/>
                <w:szCs w:val="21"/>
              </w:rPr>
              <w:t xml:space="preserve">evaluation, </w:t>
            </w:r>
            <w:r w:rsidRPr="004734E7">
              <w:rPr>
                <w:rFonts w:cs="Arial"/>
                <w:sz w:val="21"/>
                <w:szCs w:val="21"/>
              </w:rPr>
              <w:t>development, manufacture and supply.</w:t>
            </w:r>
          </w:p>
          <w:p w14:paraId="42E4E9E8" w14:textId="08B3C7A5" w:rsidR="001148C4" w:rsidRPr="00DC3F0B" w:rsidRDefault="001148C4" w:rsidP="00D879C2">
            <w:pPr>
              <w:rPr>
                <w:rFonts w:cs="Arial"/>
                <w:sz w:val="21"/>
                <w:szCs w:val="21"/>
              </w:rPr>
            </w:pPr>
            <w:r w:rsidRPr="004734E7">
              <w:rPr>
                <w:rFonts w:cs="Arial"/>
                <w:sz w:val="21"/>
                <w:szCs w:val="21"/>
              </w:rPr>
              <w:t>E</w:t>
            </w:r>
            <w:r w:rsidRPr="00017CCF" w:rsidDel="001E7D0D">
              <w:rPr>
                <w:rFonts w:cs="Arial"/>
                <w:sz w:val="21"/>
                <w:szCs w:val="21"/>
              </w:rPr>
              <w:t>nsure evidence-based,</w:t>
            </w:r>
            <w:r w:rsidRPr="009B29DE">
              <w:rPr>
                <w:rFonts w:cs="Arial"/>
                <w:sz w:val="21"/>
                <w:szCs w:val="21"/>
              </w:rPr>
              <w:t xml:space="preserve"> up</w:t>
            </w:r>
            <w:r w:rsidRPr="00FA6D36">
              <w:rPr>
                <w:rFonts w:cs="Arial"/>
                <w:sz w:val="21"/>
                <w:szCs w:val="21"/>
              </w:rPr>
              <w:t>-</w:t>
            </w:r>
            <w:r w:rsidRPr="00DC3F0B">
              <w:rPr>
                <w:rFonts w:cs="Arial"/>
                <w:sz w:val="21"/>
                <w:szCs w:val="21"/>
              </w:rPr>
              <w:t>to-date, accurate, consistent, standardised,</w:t>
            </w:r>
            <w:r w:rsidRPr="00DC3F0B" w:rsidDel="001E7D0D">
              <w:rPr>
                <w:rFonts w:cs="Arial"/>
                <w:sz w:val="21"/>
                <w:szCs w:val="21"/>
              </w:rPr>
              <w:t xml:space="preserve"> balanced</w:t>
            </w:r>
            <w:r w:rsidRPr="00DC3F0B">
              <w:rPr>
                <w:rFonts w:cs="Arial"/>
                <w:sz w:val="21"/>
                <w:szCs w:val="21"/>
              </w:rPr>
              <w:t>,</w:t>
            </w:r>
            <w:r w:rsidRPr="00DC3F0B" w:rsidDel="001E7D0D">
              <w:rPr>
                <w:rFonts w:cs="Arial"/>
                <w:sz w:val="21"/>
                <w:szCs w:val="21"/>
              </w:rPr>
              <w:t xml:space="preserve"> and </w:t>
            </w:r>
            <w:r w:rsidRPr="00DC3F0B">
              <w:rPr>
                <w:rFonts w:cs="Arial"/>
                <w:sz w:val="21"/>
                <w:szCs w:val="21"/>
              </w:rPr>
              <w:t xml:space="preserve">easy to understand medicines-related </w:t>
            </w:r>
            <w:r w:rsidRPr="00DC3F0B" w:rsidDel="001E7D0D">
              <w:rPr>
                <w:rFonts w:cs="Arial"/>
                <w:sz w:val="21"/>
                <w:szCs w:val="21"/>
              </w:rPr>
              <w:t xml:space="preserve">information is </w:t>
            </w:r>
            <w:r w:rsidRPr="00DC3F0B">
              <w:rPr>
                <w:rFonts w:cs="Arial"/>
                <w:sz w:val="21"/>
                <w:szCs w:val="21"/>
              </w:rPr>
              <w:t>available for</w:t>
            </w:r>
            <w:r w:rsidRPr="00DC3F0B" w:rsidDel="001E7D0D">
              <w:rPr>
                <w:rFonts w:cs="Arial"/>
                <w:sz w:val="21"/>
                <w:szCs w:val="21"/>
              </w:rPr>
              <w:t xml:space="preserve"> health pr</w:t>
            </w:r>
            <w:r w:rsidRPr="00DC3F0B">
              <w:rPr>
                <w:rFonts w:cs="Arial"/>
                <w:sz w:val="21"/>
                <w:szCs w:val="21"/>
              </w:rPr>
              <w:t>ofessionals</w:t>
            </w:r>
            <w:r w:rsidRPr="00DC3F0B" w:rsidDel="001E7D0D">
              <w:rPr>
                <w:rFonts w:cs="Arial"/>
                <w:sz w:val="21"/>
                <w:szCs w:val="21"/>
              </w:rPr>
              <w:t xml:space="preserve"> and </w:t>
            </w:r>
            <w:r w:rsidRPr="00DC3F0B">
              <w:rPr>
                <w:rFonts w:cs="Arial"/>
                <w:sz w:val="21"/>
                <w:szCs w:val="21"/>
              </w:rPr>
              <w:t>individuals, their families and/or carers.</w:t>
            </w:r>
          </w:p>
          <w:p w14:paraId="66FA3D96" w14:textId="2F357F39" w:rsidR="001148C4" w:rsidRPr="00DC3F0B" w:rsidRDefault="001148C4" w:rsidP="00D879C2">
            <w:pPr>
              <w:rPr>
                <w:rFonts w:cs="Arial"/>
                <w:sz w:val="21"/>
                <w:szCs w:val="21"/>
              </w:rPr>
            </w:pPr>
          </w:p>
        </w:tc>
      </w:tr>
      <w:tr w:rsidR="001148C4" w:rsidRPr="00E77C38" w14:paraId="5594F90E" w14:textId="77777777" w:rsidTr="000226CA">
        <w:trPr>
          <w:trHeight w:val="1222"/>
        </w:trPr>
        <w:tc>
          <w:tcPr>
            <w:tcW w:w="1254" w:type="pct"/>
          </w:tcPr>
          <w:p w14:paraId="52D2CD13" w14:textId="77777777" w:rsidR="001148C4" w:rsidRPr="00DC3F0B" w:rsidRDefault="001148C4" w:rsidP="00D879C2">
            <w:pPr>
              <w:rPr>
                <w:rFonts w:cs="Arial"/>
                <w:sz w:val="21"/>
                <w:szCs w:val="21"/>
              </w:rPr>
            </w:pPr>
          </w:p>
        </w:tc>
        <w:tc>
          <w:tcPr>
            <w:tcW w:w="1180" w:type="pct"/>
          </w:tcPr>
          <w:p w14:paraId="7C1236C1" w14:textId="77777777" w:rsidR="001148C4" w:rsidRPr="00DC3F0B" w:rsidRDefault="001148C4" w:rsidP="00D879C2">
            <w:pPr>
              <w:rPr>
                <w:rFonts w:cs="Arial"/>
                <w:sz w:val="21"/>
                <w:szCs w:val="21"/>
              </w:rPr>
            </w:pPr>
            <w:r w:rsidRPr="00DC3F0B">
              <w:rPr>
                <w:rFonts w:cs="Arial"/>
                <w:sz w:val="21"/>
                <w:szCs w:val="21"/>
              </w:rPr>
              <w:t>Health educators, including higher education and professional training bodies</w:t>
            </w:r>
          </w:p>
        </w:tc>
        <w:tc>
          <w:tcPr>
            <w:tcW w:w="2566" w:type="pct"/>
          </w:tcPr>
          <w:p w14:paraId="61CB76AF" w14:textId="4408C10E" w:rsidR="001148C4" w:rsidRPr="00DC3F0B" w:rsidRDefault="001148C4" w:rsidP="00D879C2">
            <w:pPr>
              <w:rPr>
                <w:rFonts w:cs="Arial"/>
                <w:sz w:val="21"/>
                <w:szCs w:val="21"/>
              </w:rPr>
            </w:pPr>
            <w:r w:rsidRPr="00DC3F0B">
              <w:rPr>
                <w:rFonts w:cs="Arial"/>
                <w:sz w:val="21"/>
                <w:szCs w:val="21"/>
              </w:rPr>
              <w:t>Ensure that educational curricula, including undergraduate, postgraduate and continuing professional development program</w:t>
            </w:r>
            <w:r w:rsidR="00671D16">
              <w:rPr>
                <w:rFonts w:cs="Arial"/>
                <w:sz w:val="21"/>
                <w:szCs w:val="21"/>
              </w:rPr>
              <w:t>s</w:t>
            </w:r>
            <w:r w:rsidRPr="00DC3F0B">
              <w:rPr>
                <w:rFonts w:cs="Arial"/>
                <w:sz w:val="21"/>
                <w:szCs w:val="21"/>
              </w:rPr>
              <w:t>, promote the quality use of medicines and medicines safety through a person-centred approach and shared decision-making.</w:t>
            </w:r>
          </w:p>
        </w:tc>
      </w:tr>
      <w:tr w:rsidR="001148C4" w:rsidRPr="00E77C38" w14:paraId="5253F498" w14:textId="77777777" w:rsidTr="000226CA">
        <w:tc>
          <w:tcPr>
            <w:tcW w:w="1254" w:type="pct"/>
          </w:tcPr>
          <w:p w14:paraId="4F2373FD" w14:textId="77777777" w:rsidR="001148C4" w:rsidRPr="00DC3F0B" w:rsidRDefault="001148C4" w:rsidP="00D879C2">
            <w:pPr>
              <w:rPr>
                <w:rFonts w:cs="Arial"/>
                <w:sz w:val="21"/>
                <w:szCs w:val="21"/>
              </w:rPr>
            </w:pPr>
          </w:p>
        </w:tc>
        <w:tc>
          <w:tcPr>
            <w:tcW w:w="1180" w:type="pct"/>
          </w:tcPr>
          <w:p w14:paraId="1E258BF3" w14:textId="77777777" w:rsidR="001148C4" w:rsidRPr="00DC3F0B" w:rsidRDefault="001148C4" w:rsidP="00D879C2">
            <w:pPr>
              <w:rPr>
                <w:rFonts w:cs="Arial"/>
                <w:sz w:val="21"/>
                <w:szCs w:val="21"/>
              </w:rPr>
            </w:pPr>
            <w:r w:rsidRPr="00DC3F0B">
              <w:rPr>
                <w:rFonts w:cs="Arial"/>
                <w:sz w:val="21"/>
                <w:szCs w:val="21"/>
              </w:rPr>
              <w:t>Media</w:t>
            </w:r>
          </w:p>
        </w:tc>
        <w:tc>
          <w:tcPr>
            <w:tcW w:w="2566" w:type="pct"/>
          </w:tcPr>
          <w:p w14:paraId="2176B75B" w14:textId="77777777" w:rsidR="001148C4" w:rsidRPr="00DC3F0B" w:rsidRDefault="001148C4" w:rsidP="00D879C2">
            <w:pPr>
              <w:rPr>
                <w:rFonts w:cs="Arial"/>
                <w:sz w:val="21"/>
                <w:szCs w:val="21"/>
              </w:rPr>
            </w:pPr>
            <w:r w:rsidRPr="00DC3F0B">
              <w:rPr>
                <w:rFonts w:cs="Arial"/>
                <w:sz w:val="21"/>
                <w:szCs w:val="21"/>
              </w:rPr>
              <w:t>Responsibly report on medicines and issues associated with their use.</w:t>
            </w:r>
          </w:p>
          <w:p w14:paraId="6264DBDF" w14:textId="77777777" w:rsidR="001148C4" w:rsidRPr="00DC3F0B" w:rsidRDefault="001148C4" w:rsidP="00D879C2">
            <w:pPr>
              <w:rPr>
                <w:rFonts w:cs="Arial"/>
                <w:sz w:val="21"/>
                <w:szCs w:val="21"/>
              </w:rPr>
            </w:pPr>
            <w:r w:rsidRPr="00DC3F0B">
              <w:rPr>
                <w:rFonts w:cs="Arial"/>
                <w:sz w:val="21"/>
                <w:szCs w:val="21"/>
              </w:rPr>
              <w:t>Monitor and manage digital platforms to protect individuals against harm from online disinformation and misinformation on medicines and medicines-related services.</w:t>
            </w:r>
          </w:p>
        </w:tc>
      </w:tr>
    </w:tbl>
    <w:p w14:paraId="79DB4B59" w14:textId="77777777" w:rsidR="00C1152C" w:rsidRPr="00D8062C" w:rsidRDefault="00C1152C" w:rsidP="00C1152C">
      <w:pPr>
        <w:pStyle w:val="Heading3"/>
        <w:rPr>
          <w:lang w:eastAsia="en-AU"/>
        </w:rPr>
      </w:pPr>
    </w:p>
    <w:p w14:paraId="6CE69741" w14:textId="77777777" w:rsidR="00C1152C" w:rsidRPr="00D8062C" w:rsidRDefault="00C1152C" w:rsidP="00C1152C">
      <w:pPr>
        <w:rPr>
          <w:rFonts w:cs="Arial"/>
          <w:b/>
          <w:bCs/>
          <w:color w:val="358189"/>
          <w:szCs w:val="26"/>
          <w:lang w:eastAsia="en-AU"/>
        </w:rPr>
      </w:pPr>
      <w:r w:rsidRPr="00D8062C">
        <w:rPr>
          <w:rFonts w:cs="Arial"/>
          <w:lang w:eastAsia="en-AU"/>
        </w:rPr>
        <w:br w:type="page"/>
      </w:r>
    </w:p>
    <w:p w14:paraId="6545979D" w14:textId="0EB929C1" w:rsidR="00C1152C" w:rsidRPr="00DC3F0B" w:rsidRDefault="00C1152C" w:rsidP="00C1152C">
      <w:pPr>
        <w:pStyle w:val="Heading3"/>
        <w:rPr>
          <w:sz w:val="21"/>
          <w:szCs w:val="21"/>
          <w:shd w:val="clear" w:color="auto" w:fill="FFFFFF"/>
          <w:lang w:eastAsia="en-AU"/>
        </w:rPr>
      </w:pPr>
      <w:r w:rsidRPr="00DC3F0B">
        <w:rPr>
          <w:sz w:val="21"/>
          <w:szCs w:val="21"/>
          <w:lang w:eastAsia="en-AU"/>
        </w:rPr>
        <w:lastRenderedPageBreak/>
        <w:t xml:space="preserve">Pillar 4 - </w:t>
      </w:r>
      <w:r w:rsidR="00B34FDB" w:rsidRPr="00DC3F0B">
        <w:rPr>
          <w:sz w:val="21"/>
          <w:szCs w:val="21"/>
        </w:rPr>
        <w:t>Collaborative</w:t>
      </w:r>
      <w:r w:rsidRPr="00DC3F0B">
        <w:rPr>
          <w:sz w:val="21"/>
          <w:szCs w:val="21"/>
        </w:rPr>
        <w:t>, innovative and sustainable medicines industry and research sectors with the capability, capacity and expertise to respond to current and future health needs</w:t>
      </w:r>
    </w:p>
    <w:p w14:paraId="39D65DBE" w14:textId="7EB67B37" w:rsidR="00C1152C" w:rsidRPr="00DC3F0B" w:rsidRDefault="00C1152C" w:rsidP="00C1152C">
      <w:pPr>
        <w:pStyle w:val="Paragraphtext"/>
        <w:rPr>
          <w:rFonts w:cs="Arial"/>
          <w:szCs w:val="21"/>
          <w:lang w:eastAsia="en-AU"/>
        </w:rPr>
      </w:pPr>
      <w:r w:rsidRPr="00AA1F16">
        <w:rPr>
          <w:rFonts w:cs="Arial"/>
          <w:szCs w:val="21"/>
          <w:lang w:eastAsia="en-AU"/>
        </w:rPr>
        <w:t xml:space="preserve">To achieve the intended outcome of </w:t>
      </w:r>
      <w:r w:rsidR="00D8062C" w:rsidRPr="00AA1F16">
        <w:rPr>
          <w:rFonts w:cs="Arial"/>
          <w:szCs w:val="21"/>
          <w:lang w:eastAsia="en-AU"/>
        </w:rPr>
        <w:t>P</w:t>
      </w:r>
      <w:r w:rsidRPr="00DC3F0B">
        <w:rPr>
          <w:rFonts w:cs="Arial"/>
          <w:szCs w:val="21"/>
          <w:lang w:eastAsia="en-AU"/>
        </w:rPr>
        <w:t>illar 4,</w:t>
      </w:r>
      <w:r w:rsidRPr="00DC3F0B">
        <w:rPr>
          <w:rFonts w:cs="Arial"/>
          <w:szCs w:val="21"/>
        </w:rPr>
        <w:t xml:space="preserve"> </w:t>
      </w:r>
      <w:r w:rsidRPr="00DC3F0B">
        <w:rPr>
          <w:rFonts w:cs="Arial"/>
          <w:szCs w:val="21"/>
          <w:lang w:eastAsia="en-AU"/>
        </w:rPr>
        <w:t xml:space="preserve">the following partners have primary responsibility </w:t>
      </w:r>
      <w:r w:rsidRPr="00DC3F0B">
        <w:rPr>
          <w:rFonts w:cs="Arial"/>
          <w:szCs w:val="21"/>
        </w:rPr>
        <w:t>for promoting responsive, innovative and sustainable medicines industry and research sectors.</w:t>
      </w:r>
    </w:p>
    <w:p w14:paraId="6FD71797" w14:textId="77777777" w:rsidR="00C1152C" w:rsidRPr="00DC3F0B" w:rsidRDefault="00C1152C" w:rsidP="00C1152C">
      <w:pPr>
        <w:pStyle w:val="Paragraphtext"/>
        <w:rPr>
          <w:rFonts w:cs="Arial"/>
          <w:b/>
          <w:szCs w:val="21"/>
        </w:rPr>
      </w:pPr>
      <w:r w:rsidRPr="00DC3F0B">
        <w:rPr>
          <w:rFonts w:cs="Arial"/>
          <w:b/>
          <w:bCs/>
          <w:szCs w:val="21"/>
          <w:lang w:eastAsia="en-AU"/>
        </w:rPr>
        <w:t>Partners, and their broad responsibilities and functions to advance Pillar 4</w:t>
      </w:r>
    </w:p>
    <w:tbl>
      <w:tblPr>
        <w:tblStyle w:val="TableGrid8"/>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8"/>
        <w:gridCol w:w="1734"/>
        <w:gridCol w:w="4608"/>
      </w:tblGrid>
      <w:tr w:rsidR="00872F2C" w:rsidRPr="00E77C38" w14:paraId="11BE6EFD" w14:textId="77777777" w:rsidTr="000226CA">
        <w:trPr>
          <w:cnfStyle w:val="100000000000" w:firstRow="1" w:lastRow="0" w:firstColumn="0" w:lastColumn="0" w:oddVBand="0" w:evenVBand="0" w:oddHBand="0" w:evenHBand="0" w:firstRowFirstColumn="0" w:firstRowLastColumn="0" w:lastRowFirstColumn="0" w:lastRowLastColumn="0"/>
          <w:tblHeader/>
        </w:trPr>
        <w:tc>
          <w:tcPr>
            <w:tcW w:w="1481" w:type="pct"/>
            <w:shd w:val="clear" w:color="auto" w:fill="009999"/>
          </w:tcPr>
          <w:p w14:paraId="29B0E655" w14:textId="77777777" w:rsidR="00C1152C" w:rsidRPr="00DC3F0B" w:rsidRDefault="00C1152C" w:rsidP="00D879C2">
            <w:pPr>
              <w:rPr>
                <w:rFonts w:cs="Arial"/>
                <w:sz w:val="21"/>
                <w:szCs w:val="21"/>
              </w:rPr>
            </w:pPr>
            <w:r w:rsidRPr="00DC3F0B">
              <w:rPr>
                <w:rFonts w:cs="Arial"/>
                <w:sz w:val="21"/>
                <w:szCs w:val="21"/>
              </w:rPr>
              <w:t xml:space="preserve">Intended outcomes </w:t>
            </w:r>
          </w:p>
        </w:tc>
        <w:tc>
          <w:tcPr>
            <w:tcW w:w="962" w:type="pct"/>
            <w:shd w:val="clear" w:color="auto" w:fill="009999"/>
          </w:tcPr>
          <w:p w14:paraId="028102B4" w14:textId="77777777" w:rsidR="00C1152C" w:rsidRPr="00DC3F0B" w:rsidRDefault="00C1152C" w:rsidP="00D879C2">
            <w:pPr>
              <w:rPr>
                <w:rFonts w:cs="Arial"/>
                <w:sz w:val="21"/>
                <w:szCs w:val="21"/>
              </w:rPr>
            </w:pPr>
            <w:r w:rsidRPr="00DC3F0B">
              <w:rPr>
                <w:rFonts w:cs="Arial"/>
                <w:sz w:val="21"/>
                <w:szCs w:val="21"/>
              </w:rPr>
              <w:t>Partner</w:t>
            </w:r>
          </w:p>
        </w:tc>
        <w:tc>
          <w:tcPr>
            <w:tcW w:w="2557" w:type="pct"/>
            <w:shd w:val="clear" w:color="auto" w:fill="009999"/>
          </w:tcPr>
          <w:p w14:paraId="2A51733B" w14:textId="77777777" w:rsidR="00C1152C" w:rsidRPr="00DC3F0B" w:rsidRDefault="00C1152C" w:rsidP="00D879C2">
            <w:pPr>
              <w:rPr>
                <w:rFonts w:cs="Arial"/>
                <w:sz w:val="21"/>
                <w:szCs w:val="21"/>
              </w:rPr>
            </w:pPr>
            <w:r w:rsidRPr="00DC3F0B">
              <w:rPr>
                <w:rFonts w:cs="Arial"/>
                <w:sz w:val="21"/>
                <w:szCs w:val="21"/>
              </w:rPr>
              <w:t>Broad responsibilities and functions</w:t>
            </w:r>
          </w:p>
        </w:tc>
      </w:tr>
      <w:tr w:rsidR="001148C4" w:rsidRPr="00E77C38" w14:paraId="67342ABC" w14:textId="77777777" w:rsidTr="000226CA">
        <w:trPr>
          <w:trHeight w:val="65"/>
        </w:trPr>
        <w:tc>
          <w:tcPr>
            <w:tcW w:w="1481" w:type="pct"/>
          </w:tcPr>
          <w:p w14:paraId="51B48E24" w14:textId="5B68F93A" w:rsidR="001148C4" w:rsidRPr="00DC3F0B" w:rsidRDefault="001148C4" w:rsidP="00D879C2">
            <w:pPr>
              <w:pStyle w:val="Tablelistbullet"/>
              <w:ind w:left="18"/>
              <w:rPr>
                <w:b/>
                <w:bCs/>
                <w:szCs w:val="21"/>
              </w:rPr>
            </w:pPr>
            <w:r w:rsidRPr="00E77C38">
              <w:rPr>
                <w:b/>
                <w:bCs/>
                <w:szCs w:val="21"/>
              </w:rPr>
              <w:t xml:space="preserve">Thriving, </w:t>
            </w:r>
            <w:r w:rsidRPr="00DC3F0B">
              <w:rPr>
                <w:b/>
                <w:bCs/>
                <w:szCs w:val="21"/>
              </w:rPr>
              <w:t>dynamic medicines industry and research sectors that are proactively supported to contribute to meeting current and future health needs in Australia and internationally. The sectors work within a positive, sustainable and responsive policy environment that delivers and promotes world-class innovation, including encouraging the development and commercialisation of medicines, new technologies and related services.</w:t>
            </w:r>
          </w:p>
          <w:p w14:paraId="16BDD7B1" w14:textId="77777777" w:rsidR="001148C4" w:rsidRPr="00DC3F0B" w:rsidRDefault="001148C4" w:rsidP="00D879C2">
            <w:pPr>
              <w:pStyle w:val="Tablelistbullet"/>
              <w:ind w:left="18"/>
              <w:rPr>
                <w:b/>
                <w:bCs/>
                <w:szCs w:val="21"/>
              </w:rPr>
            </w:pPr>
          </w:p>
          <w:p w14:paraId="0C086843" w14:textId="018C812E" w:rsidR="001148C4" w:rsidRPr="00D8062C" w:rsidRDefault="001148C4" w:rsidP="00D879C2">
            <w:pPr>
              <w:pStyle w:val="Tablelistbullet"/>
              <w:ind w:left="18"/>
              <w:rPr>
                <w:b/>
                <w:bCs/>
                <w:szCs w:val="21"/>
              </w:rPr>
            </w:pPr>
            <w:r w:rsidRPr="00DC3F0B">
              <w:rPr>
                <w:b/>
                <w:bCs/>
                <w:szCs w:val="21"/>
              </w:rPr>
              <w:t xml:space="preserve">A diverse medical research sector that generates high-quality evidence, strategies, systems and processes, </w:t>
            </w:r>
            <w:r>
              <w:rPr>
                <w:b/>
                <w:bCs/>
                <w:szCs w:val="21"/>
              </w:rPr>
              <w:t>which support ongoing</w:t>
            </w:r>
            <w:r w:rsidRPr="00DC3F0B">
              <w:rPr>
                <w:b/>
                <w:bCs/>
                <w:szCs w:val="21"/>
              </w:rPr>
              <w:t xml:space="preserve"> improve</w:t>
            </w:r>
            <w:r>
              <w:rPr>
                <w:b/>
                <w:bCs/>
                <w:szCs w:val="21"/>
              </w:rPr>
              <w:t>ments in</w:t>
            </w:r>
            <w:r w:rsidRPr="00DC3F0B">
              <w:rPr>
                <w:b/>
                <w:bCs/>
                <w:szCs w:val="21"/>
              </w:rPr>
              <w:t xml:space="preserve"> the quality use of medicines and medicines safety</w:t>
            </w:r>
            <w:r w:rsidRPr="00D8062C">
              <w:rPr>
                <w:b/>
                <w:bCs/>
                <w:szCs w:val="21"/>
              </w:rPr>
              <w:t>.</w:t>
            </w:r>
          </w:p>
          <w:p w14:paraId="39948657" w14:textId="77777777" w:rsidR="001148C4" w:rsidRPr="00D8062C" w:rsidRDefault="001148C4" w:rsidP="00D879C2">
            <w:pPr>
              <w:pStyle w:val="Tablelistbullet"/>
              <w:numPr>
                <w:ilvl w:val="0"/>
                <w:numId w:val="0"/>
              </w:numPr>
              <w:ind w:left="720" w:hanging="360"/>
              <w:rPr>
                <w:b/>
                <w:bCs/>
                <w:szCs w:val="21"/>
              </w:rPr>
            </w:pPr>
          </w:p>
          <w:p w14:paraId="11F293B2" w14:textId="76DAFAC7" w:rsidR="001148C4" w:rsidRPr="00AA1F16" w:rsidRDefault="001148C4" w:rsidP="00D879C2">
            <w:pPr>
              <w:pStyle w:val="Tablelistbullet"/>
              <w:numPr>
                <w:ilvl w:val="0"/>
                <w:numId w:val="0"/>
              </w:numPr>
              <w:ind w:left="18"/>
              <w:rPr>
                <w:b/>
                <w:bCs/>
                <w:szCs w:val="21"/>
              </w:rPr>
            </w:pPr>
            <w:r w:rsidRPr="00D8062C">
              <w:rPr>
                <w:b/>
                <w:bCs/>
                <w:szCs w:val="21"/>
              </w:rPr>
              <w:t xml:space="preserve">Collaborative, </w:t>
            </w:r>
            <w:r w:rsidRPr="00AA1F16">
              <w:rPr>
                <w:b/>
                <w:bCs/>
                <w:szCs w:val="21"/>
              </w:rPr>
              <w:t xml:space="preserve">robust, </w:t>
            </w:r>
            <w:r w:rsidRPr="00DC3F0B">
              <w:rPr>
                <w:b/>
                <w:bCs/>
                <w:szCs w:val="21"/>
              </w:rPr>
              <w:t xml:space="preserve">efficient and reliable supply chains and networks that deliver equitable, timely, affordable and safe access to medicines and medicines-related </w:t>
            </w:r>
            <w:r w:rsidRPr="00D8062C">
              <w:rPr>
                <w:b/>
                <w:bCs/>
                <w:szCs w:val="21"/>
              </w:rPr>
              <w:t>services throughout Australia.</w:t>
            </w:r>
          </w:p>
        </w:tc>
        <w:tc>
          <w:tcPr>
            <w:tcW w:w="962" w:type="pct"/>
          </w:tcPr>
          <w:p w14:paraId="2218D035" w14:textId="49D38C5E" w:rsidR="001148C4" w:rsidRPr="00DC3F0B" w:rsidRDefault="001148C4" w:rsidP="00D879C2">
            <w:pPr>
              <w:rPr>
                <w:rFonts w:cs="Arial"/>
                <w:sz w:val="21"/>
                <w:szCs w:val="21"/>
              </w:rPr>
            </w:pPr>
            <w:r w:rsidRPr="00AA1F16">
              <w:rPr>
                <w:rFonts w:cs="Arial"/>
                <w:sz w:val="21"/>
                <w:szCs w:val="21"/>
              </w:rPr>
              <w:t xml:space="preserve">Medicines </w:t>
            </w:r>
            <w:r w:rsidRPr="00DC3F0B">
              <w:rPr>
                <w:rFonts w:cs="Arial"/>
                <w:sz w:val="21"/>
                <w:szCs w:val="21"/>
              </w:rPr>
              <w:t xml:space="preserve">industry, including software providers and innovation hubs </w:t>
            </w:r>
          </w:p>
        </w:tc>
        <w:tc>
          <w:tcPr>
            <w:tcW w:w="2557" w:type="pct"/>
          </w:tcPr>
          <w:p w14:paraId="2CF8521A" w14:textId="53BCD787" w:rsidR="001148C4" w:rsidRPr="00DC3F0B" w:rsidRDefault="001148C4" w:rsidP="00D879C2">
            <w:pPr>
              <w:rPr>
                <w:rFonts w:cs="Arial"/>
                <w:sz w:val="21"/>
                <w:szCs w:val="21"/>
              </w:rPr>
            </w:pPr>
            <w:r w:rsidRPr="00DC3F0B">
              <w:rPr>
                <w:rFonts w:cs="Arial"/>
                <w:sz w:val="21"/>
                <w:szCs w:val="21"/>
              </w:rPr>
              <w:t>Research, develop, commercialise, manufacture and supply medicines according to international best practice processes and procedures, to ensure that medicines meet appropriate quality, safety and efficacy standards.</w:t>
            </w:r>
          </w:p>
          <w:p w14:paraId="4D7288E9" w14:textId="0BC48C18" w:rsidR="001148C4" w:rsidRPr="00DC3F0B" w:rsidRDefault="001148C4" w:rsidP="00D879C2">
            <w:pPr>
              <w:rPr>
                <w:rFonts w:cs="Arial"/>
                <w:sz w:val="21"/>
                <w:szCs w:val="21"/>
              </w:rPr>
            </w:pPr>
            <w:r w:rsidRPr="00DC3F0B">
              <w:rPr>
                <w:rFonts w:cs="Arial"/>
                <w:sz w:val="21"/>
                <w:szCs w:val="21"/>
              </w:rPr>
              <w:t xml:space="preserve">Engage in collaboration with all partners to ensure that the processes for medicines discovery, development, evaluation and access are safe, timely, efficient, transparent and they meet the health needs of all Australians. </w:t>
            </w:r>
          </w:p>
          <w:p w14:paraId="3DFB27D7" w14:textId="77777777" w:rsidR="001148C4" w:rsidRPr="00DC3F0B" w:rsidRDefault="001148C4" w:rsidP="00D879C2">
            <w:pPr>
              <w:rPr>
                <w:rFonts w:cs="Arial"/>
                <w:sz w:val="21"/>
                <w:szCs w:val="21"/>
              </w:rPr>
            </w:pPr>
            <w:r w:rsidRPr="00DC3F0B">
              <w:rPr>
                <w:rFonts w:cs="Arial"/>
                <w:sz w:val="21"/>
                <w:szCs w:val="21"/>
              </w:rPr>
              <w:t>Ensure a reliable supply and distribution network of medicines for all Australians, irrespective of needs or location.</w:t>
            </w:r>
          </w:p>
        </w:tc>
      </w:tr>
      <w:tr w:rsidR="001148C4" w:rsidRPr="00E77C38" w14:paraId="6AE776A6" w14:textId="77777777" w:rsidTr="000226CA">
        <w:trPr>
          <w:trHeight w:val="1229"/>
        </w:trPr>
        <w:tc>
          <w:tcPr>
            <w:tcW w:w="1481" w:type="pct"/>
          </w:tcPr>
          <w:p w14:paraId="57586103" w14:textId="77777777" w:rsidR="001148C4" w:rsidRPr="00DC3F0B" w:rsidRDefault="001148C4" w:rsidP="00D879C2">
            <w:pPr>
              <w:rPr>
                <w:rFonts w:cs="Arial"/>
                <w:sz w:val="21"/>
                <w:szCs w:val="21"/>
              </w:rPr>
            </w:pPr>
          </w:p>
        </w:tc>
        <w:tc>
          <w:tcPr>
            <w:tcW w:w="962" w:type="pct"/>
          </w:tcPr>
          <w:p w14:paraId="748E8D73" w14:textId="1ACB580C" w:rsidR="001148C4" w:rsidRPr="00DC3F0B" w:rsidRDefault="001148C4" w:rsidP="00D879C2">
            <w:pPr>
              <w:rPr>
                <w:rFonts w:cs="Arial"/>
                <w:sz w:val="21"/>
                <w:szCs w:val="21"/>
              </w:rPr>
            </w:pPr>
            <w:r w:rsidRPr="00DC3F0B">
              <w:rPr>
                <w:rFonts w:cs="Arial"/>
                <w:sz w:val="21"/>
                <w:szCs w:val="21"/>
              </w:rPr>
              <w:t>Researchers and academics</w:t>
            </w:r>
          </w:p>
        </w:tc>
        <w:tc>
          <w:tcPr>
            <w:tcW w:w="2557" w:type="pct"/>
          </w:tcPr>
          <w:p w14:paraId="1BD55B0F" w14:textId="77777777" w:rsidR="001148C4" w:rsidRPr="00DC3F0B" w:rsidRDefault="001148C4" w:rsidP="00D879C2">
            <w:pPr>
              <w:rPr>
                <w:rFonts w:cs="Arial"/>
                <w:sz w:val="21"/>
                <w:szCs w:val="21"/>
              </w:rPr>
            </w:pPr>
            <w:r w:rsidRPr="00DC3F0B">
              <w:rPr>
                <w:rFonts w:cs="Arial"/>
                <w:sz w:val="21"/>
                <w:szCs w:val="21"/>
              </w:rPr>
              <w:t>Research and develop medicines according to international best practice processes and procedures which ensure that medicines meet appropriate quality, safety and efficacy standards.</w:t>
            </w:r>
          </w:p>
          <w:p w14:paraId="6312FFAD" w14:textId="0EA526AB" w:rsidR="001148C4" w:rsidRPr="00DC3F0B" w:rsidDel="00A6702A" w:rsidRDefault="001148C4" w:rsidP="00D879C2">
            <w:pPr>
              <w:rPr>
                <w:rFonts w:cs="Arial"/>
                <w:sz w:val="21"/>
                <w:szCs w:val="21"/>
              </w:rPr>
            </w:pPr>
            <w:r w:rsidRPr="00D8062C">
              <w:rPr>
                <w:rFonts w:cs="Arial"/>
                <w:sz w:val="21"/>
                <w:szCs w:val="21"/>
              </w:rPr>
              <w:t>In collaboration with individuals, their families and/or carers</w:t>
            </w:r>
            <w:r w:rsidRPr="00DC3F0B">
              <w:rPr>
                <w:rFonts w:cs="Arial"/>
                <w:sz w:val="21"/>
                <w:szCs w:val="21"/>
              </w:rPr>
              <w:t>, research and generate evidence to ensure the quality use of medicines and medicines safety.</w:t>
            </w:r>
          </w:p>
        </w:tc>
      </w:tr>
      <w:tr w:rsidR="001148C4" w:rsidRPr="00E77C38" w14:paraId="5AEEE074" w14:textId="77777777" w:rsidTr="000226CA">
        <w:tc>
          <w:tcPr>
            <w:tcW w:w="1481" w:type="pct"/>
          </w:tcPr>
          <w:p w14:paraId="4CBFA03C" w14:textId="77777777" w:rsidR="001148C4" w:rsidRPr="00DC3F0B" w:rsidRDefault="001148C4" w:rsidP="00D879C2">
            <w:pPr>
              <w:rPr>
                <w:rFonts w:cs="Arial"/>
                <w:sz w:val="21"/>
                <w:szCs w:val="21"/>
              </w:rPr>
            </w:pPr>
          </w:p>
        </w:tc>
        <w:tc>
          <w:tcPr>
            <w:tcW w:w="962" w:type="pct"/>
          </w:tcPr>
          <w:p w14:paraId="684837E4" w14:textId="77777777" w:rsidR="001148C4" w:rsidRPr="00DC3F0B" w:rsidRDefault="001148C4" w:rsidP="00D879C2">
            <w:pPr>
              <w:rPr>
                <w:rFonts w:cs="Arial"/>
                <w:sz w:val="21"/>
                <w:szCs w:val="21"/>
              </w:rPr>
            </w:pPr>
            <w:r w:rsidRPr="00DC3F0B">
              <w:rPr>
                <w:rFonts w:cs="Arial"/>
                <w:sz w:val="21"/>
                <w:szCs w:val="21"/>
              </w:rPr>
              <w:t>Commonwealth government and national agencies</w:t>
            </w:r>
          </w:p>
          <w:p w14:paraId="3548796F" w14:textId="77777777" w:rsidR="001148C4" w:rsidRPr="00DC3F0B" w:rsidRDefault="001148C4" w:rsidP="00D879C2">
            <w:pPr>
              <w:rPr>
                <w:rFonts w:cs="Arial"/>
                <w:sz w:val="21"/>
                <w:szCs w:val="21"/>
              </w:rPr>
            </w:pPr>
          </w:p>
          <w:p w14:paraId="6E730738" w14:textId="0BB34FA7" w:rsidR="001148C4" w:rsidRPr="00DC3F0B" w:rsidRDefault="001148C4" w:rsidP="00D879C2">
            <w:pPr>
              <w:rPr>
                <w:rFonts w:cs="Arial"/>
                <w:sz w:val="21"/>
                <w:szCs w:val="21"/>
              </w:rPr>
            </w:pPr>
            <w:r w:rsidRPr="00DC3F0B">
              <w:rPr>
                <w:rFonts w:cs="Arial"/>
                <w:sz w:val="21"/>
                <w:szCs w:val="21"/>
              </w:rPr>
              <w:t xml:space="preserve">State and </w:t>
            </w:r>
            <w:r w:rsidR="008C2849">
              <w:rPr>
                <w:rFonts w:cs="Arial"/>
                <w:sz w:val="21"/>
                <w:szCs w:val="21"/>
              </w:rPr>
              <w:t>t</w:t>
            </w:r>
            <w:r w:rsidRPr="00DC3F0B">
              <w:rPr>
                <w:rFonts w:cs="Arial"/>
                <w:sz w:val="21"/>
                <w:szCs w:val="21"/>
              </w:rPr>
              <w:t xml:space="preserve">erritory governments and agencies </w:t>
            </w:r>
          </w:p>
        </w:tc>
        <w:tc>
          <w:tcPr>
            <w:tcW w:w="2557" w:type="pct"/>
          </w:tcPr>
          <w:p w14:paraId="382397FA" w14:textId="1E1ACF8B" w:rsidR="001148C4" w:rsidRDefault="001148C4" w:rsidP="00D879C2">
            <w:pPr>
              <w:rPr>
                <w:rFonts w:cs="Arial"/>
                <w:sz w:val="21"/>
                <w:szCs w:val="21"/>
              </w:rPr>
            </w:pPr>
            <w:r w:rsidRPr="00DC3F0B">
              <w:rPr>
                <w:rFonts w:cs="Arial"/>
                <w:sz w:val="21"/>
                <w:szCs w:val="21"/>
              </w:rPr>
              <w:t>Create a positive</w:t>
            </w:r>
            <w:r>
              <w:rPr>
                <w:rFonts w:cs="Arial"/>
                <w:sz w:val="21"/>
                <w:szCs w:val="21"/>
              </w:rPr>
              <w:t>, aligned</w:t>
            </w:r>
            <w:r w:rsidRPr="00701CAB">
              <w:rPr>
                <w:rFonts w:cs="Arial"/>
                <w:sz w:val="21"/>
                <w:szCs w:val="21"/>
              </w:rPr>
              <w:t xml:space="preserve"> and stable policy and funding environment that encourages the growth of research </w:t>
            </w:r>
            <w:r w:rsidRPr="00AC2E07">
              <w:rPr>
                <w:rFonts w:cs="Arial"/>
                <w:sz w:val="21"/>
                <w:szCs w:val="21"/>
              </w:rPr>
              <w:t xml:space="preserve">on </w:t>
            </w:r>
            <w:r w:rsidRPr="00DC3F0B">
              <w:rPr>
                <w:rFonts w:cs="Arial"/>
                <w:sz w:val="21"/>
                <w:szCs w:val="21"/>
              </w:rPr>
              <w:t>medicines and medicines-related services.</w:t>
            </w:r>
          </w:p>
          <w:p w14:paraId="4DE8DEFD" w14:textId="2A4F8216" w:rsidR="001148C4" w:rsidRPr="00DC3F0B" w:rsidRDefault="001148C4" w:rsidP="00D879C2">
            <w:pPr>
              <w:rPr>
                <w:rFonts w:cs="Arial"/>
                <w:sz w:val="21"/>
                <w:szCs w:val="21"/>
              </w:rPr>
            </w:pPr>
            <w:r w:rsidRPr="00FA6D36">
              <w:rPr>
                <w:rFonts w:cs="Arial"/>
                <w:sz w:val="21"/>
                <w:szCs w:val="21"/>
              </w:rPr>
              <w:t>Ensure a positive</w:t>
            </w:r>
            <w:r>
              <w:rPr>
                <w:rFonts w:cs="Arial"/>
                <w:sz w:val="21"/>
                <w:szCs w:val="21"/>
              </w:rPr>
              <w:t>, aligned</w:t>
            </w:r>
            <w:r w:rsidRPr="00FA6D36">
              <w:rPr>
                <w:rFonts w:cs="Arial"/>
                <w:sz w:val="21"/>
                <w:szCs w:val="21"/>
              </w:rPr>
              <w:t xml:space="preserve"> and stable policy, funding and regulatory environment that encourages</w:t>
            </w:r>
            <w:r w:rsidRPr="00701CAB">
              <w:rPr>
                <w:rFonts w:cs="Arial"/>
                <w:sz w:val="21"/>
                <w:szCs w:val="21"/>
              </w:rPr>
              <w:t xml:space="preserve"> the growth of</w:t>
            </w:r>
            <w:r w:rsidRPr="00AC2E07">
              <w:rPr>
                <w:rFonts w:cs="Arial"/>
                <w:sz w:val="21"/>
                <w:szCs w:val="21"/>
              </w:rPr>
              <w:t xml:space="preserve"> industry for the manufacture, di</w:t>
            </w:r>
            <w:r w:rsidRPr="00DC3F0B">
              <w:rPr>
                <w:rFonts w:cs="Arial"/>
                <w:sz w:val="21"/>
                <w:szCs w:val="21"/>
              </w:rPr>
              <w:t>stribution and supply of high-quality medicines domestically and globally.</w:t>
            </w:r>
          </w:p>
          <w:p w14:paraId="79BF5C42" w14:textId="77777777" w:rsidR="001148C4" w:rsidRPr="00DC3F0B" w:rsidRDefault="001148C4" w:rsidP="00D879C2">
            <w:pPr>
              <w:rPr>
                <w:rFonts w:cs="Arial"/>
                <w:sz w:val="21"/>
                <w:szCs w:val="21"/>
              </w:rPr>
            </w:pPr>
            <w:r w:rsidRPr="00DC3F0B">
              <w:rPr>
                <w:rFonts w:cs="Arial"/>
                <w:sz w:val="21"/>
                <w:szCs w:val="21"/>
              </w:rPr>
              <w:t>Provide consistent and responsive frameworks for medicines and medicines-related services, and their distribution.</w:t>
            </w:r>
          </w:p>
          <w:p w14:paraId="3D4353B3" w14:textId="714E57EE" w:rsidR="001148C4" w:rsidRPr="00DC3F0B" w:rsidRDefault="001148C4" w:rsidP="00D879C2">
            <w:pPr>
              <w:rPr>
                <w:rFonts w:cs="Arial"/>
                <w:sz w:val="21"/>
                <w:szCs w:val="21"/>
              </w:rPr>
            </w:pPr>
            <w:r w:rsidRPr="00DC3F0B">
              <w:rPr>
                <w:rFonts w:cs="Arial"/>
                <w:sz w:val="21"/>
                <w:szCs w:val="21"/>
              </w:rPr>
              <w:t>Facilitate an expanding clinical trials environment</w:t>
            </w:r>
            <w:r w:rsidR="008221F0">
              <w:rPr>
                <w:rFonts w:cs="Arial"/>
                <w:sz w:val="21"/>
                <w:szCs w:val="21"/>
              </w:rPr>
              <w:t>,</w:t>
            </w:r>
            <w:r w:rsidRPr="00DC3F0B">
              <w:rPr>
                <w:rFonts w:cs="Arial"/>
                <w:sz w:val="21"/>
                <w:szCs w:val="21"/>
              </w:rPr>
              <w:t xml:space="preserve"> through </w:t>
            </w:r>
            <w:r>
              <w:rPr>
                <w:rFonts w:cs="Arial"/>
                <w:sz w:val="21"/>
                <w:szCs w:val="21"/>
              </w:rPr>
              <w:t>harmonised</w:t>
            </w:r>
            <w:r w:rsidRPr="00FA6D36">
              <w:rPr>
                <w:rFonts w:cs="Arial"/>
                <w:sz w:val="21"/>
                <w:szCs w:val="21"/>
              </w:rPr>
              <w:t>, consistent and supportive policies</w:t>
            </w:r>
            <w:r w:rsidR="008221F0">
              <w:rPr>
                <w:rFonts w:cs="Arial"/>
                <w:sz w:val="21"/>
                <w:szCs w:val="21"/>
              </w:rPr>
              <w:t>,</w:t>
            </w:r>
            <w:r w:rsidRPr="00FA6D36">
              <w:rPr>
                <w:rFonts w:cs="Arial"/>
                <w:sz w:val="21"/>
                <w:szCs w:val="21"/>
              </w:rPr>
              <w:t xml:space="preserve"> that encourage</w:t>
            </w:r>
            <w:r w:rsidR="008221F0">
              <w:rPr>
                <w:rFonts w:cs="Arial"/>
                <w:sz w:val="21"/>
                <w:szCs w:val="21"/>
              </w:rPr>
              <w:t>s</w:t>
            </w:r>
            <w:r w:rsidRPr="00FA6D36">
              <w:rPr>
                <w:rFonts w:cs="Arial"/>
                <w:sz w:val="21"/>
                <w:szCs w:val="21"/>
              </w:rPr>
              <w:t xml:space="preserve"> </w:t>
            </w:r>
            <w:r w:rsidRPr="00DC3F0B">
              <w:rPr>
                <w:rFonts w:cs="Arial"/>
                <w:sz w:val="21"/>
                <w:szCs w:val="21"/>
              </w:rPr>
              <w:t>participation by individuals, their families and/or carers.</w:t>
            </w:r>
          </w:p>
        </w:tc>
      </w:tr>
      <w:tr w:rsidR="001148C4" w:rsidRPr="00E77C38" w14:paraId="520D09CF" w14:textId="77777777" w:rsidTr="000226CA">
        <w:tc>
          <w:tcPr>
            <w:tcW w:w="1481" w:type="pct"/>
          </w:tcPr>
          <w:p w14:paraId="1925A799" w14:textId="77777777" w:rsidR="001148C4" w:rsidRPr="00DC3F0B" w:rsidRDefault="001148C4" w:rsidP="00D879C2">
            <w:pPr>
              <w:rPr>
                <w:rFonts w:cs="Arial"/>
                <w:sz w:val="21"/>
                <w:szCs w:val="21"/>
              </w:rPr>
            </w:pPr>
          </w:p>
        </w:tc>
        <w:tc>
          <w:tcPr>
            <w:tcW w:w="962" w:type="pct"/>
          </w:tcPr>
          <w:p w14:paraId="549B49CF" w14:textId="3B0D13FC" w:rsidR="001148C4" w:rsidRPr="00DC3F0B" w:rsidRDefault="001148C4" w:rsidP="00D879C2">
            <w:pPr>
              <w:rPr>
                <w:rFonts w:cs="Arial"/>
                <w:sz w:val="21"/>
                <w:szCs w:val="21"/>
              </w:rPr>
            </w:pPr>
            <w:r w:rsidRPr="00DC3F0B">
              <w:rPr>
                <w:rFonts w:cs="Arial"/>
                <w:sz w:val="21"/>
                <w:szCs w:val="21"/>
              </w:rPr>
              <w:t>Health professionals</w:t>
            </w:r>
            <w:r w:rsidR="00EB3927">
              <w:rPr>
                <w:rFonts w:cs="Arial"/>
                <w:sz w:val="21"/>
                <w:szCs w:val="21"/>
              </w:rPr>
              <w:t xml:space="preserve"> and</w:t>
            </w:r>
            <w:r w:rsidRPr="00DC3F0B">
              <w:rPr>
                <w:rFonts w:cs="Arial"/>
                <w:sz w:val="21"/>
                <w:szCs w:val="21"/>
              </w:rPr>
              <w:t xml:space="preserve"> health professional organisations</w:t>
            </w:r>
          </w:p>
          <w:p w14:paraId="10207C56" w14:textId="77777777" w:rsidR="001148C4" w:rsidRDefault="001148C4" w:rsidP="00D879C2">
            <w:pPr>
              <w:rPr>
                <w:rFonts w:cs="Arial"/>
                <w:sz w:val="21"/>
                <w:szCs w:val="21"/>
              </w:rPr>
            </w:pPr>
          </w:p>
          <w:p w14:paraId="646B7100" w14:textId="3941325F" w:rsidR="001148C4" w:rsidRPr="00DC3F0B" w:rsidRDefault="001148C4" w:rsidP="00D879C2">
            <w:pPr>
              <w:rPr>
                <w:rFonts w:cs="Arial"/>
                <w:sz w:val="21"/>
                <w:szCs w:val="21"/>
              </w:rPr>
            </w:pPr>
            <w:r>
              <w:rPr>
                <w:rFonts w:cs="Arial"/>
                <w:sz w:val="21"/>
                <w:szCs w:val="21"/>
              </w:rPr>
              <w:t>C</w:t>
            </w:r>
            <w:r w:rsidRPr="00DC3F0B">
              <w:rPr>
                <w:rFonts w:cs="Arial"/>
                <w:sz w:val="21"/>
                <w:szCs w:val="21"/>
              </w:rPr>
              <w:t>onsumer organisations</w:t>
            </w:r>
            <w:r>
              <w:rPr>
                <w:rFonts w:cs="Arial"/>
                <w:sz w:val="21"/>
                <w:szCs w:val="21"/>
              </w:rPr>
              <w:t xml:space="preserve"> and representatives </w:t>
            </w:r>
          </w:p>
        </w:tc>
        <w:tc>
          <w:tcPr>
            <w:tcW w:w="2557" w:type="pct"/>
          </w:tcPr>
          <w:p w14:paraId="08DAEEEF" w14:textId="05E6E503" w:rsidR="001148C4" w:rsidRPr="00EB54A2" w:rsidRDefault="001148C4" w:rsidP="00D879C2">
            <w:pPr>
              <w:rPr>
                <w:rFonts w:cs="Arial"/>
                <w:sz w:val="21"/>
                <w:szCs w:val="21"/>
              </w:rPr>
            </w:pPr>
            <w:r w:rsidRPr="00DC3F0B">
              <w:rPr>
                <w:rFonts w:cs="Arial"/>
                <w:sz w:val="21"/>
                <w:szCs w:val="21"/>
              </w:rPr>
              <w:t xml:space="preserve">Work </w:t>
            </w:r>
            <w:r>
              <w:rPr>
                <w:rFonts w:cs="Arial"/>
                <w:sz w:val="21"/>
                <w:szCs w:val="21"/>
              </w:rPr>
              <w:t xml:space="preserve">collaboratively, </w:t>
            </w:r>
            <w:r w:rsidRPr="00701CAB">
              <w:rPr>
                <w:rFonts w:cs="Arial"/>
                <w:sz w:val="21"/>
                <w:szCs w:val="21"/>
              </w:rPr>
              <w:t xml:space="preserve">constructively and transparently with </w:t>
            </w:r>
            <w:r w:rsidRPr="00AC2E07">
              <w:rPr>
                <w:rFonts w:cs="Arial"/>
                <w:sz w:val="21"/>
                <w:szCs w:val="21"/>
              </w:rPr>
              <w:t xml:space="preserve">governments, </w:t>
            </w:r>
            <w:r w:rsidRPr="00FE618A">
              <w:rPr>
                <w:rFonts w:cs="Arial"/>
                <w:sz w:val="21"/>
                <w:szCs w:val="21"/>
              </w:rPr>
              <w:t>industry,</w:t>
            </w:r>
            <w:r w:rsidRPr="00EB54A2">
              <w:rPr>
                <w:rFonts w:cs="Arial"/>
                <w:sz w:val="21"/>
                <w:szCs w:val="21"/>
              </w:rPr>
              <w:t xml:space="preserve"> researchers </w:t>
            </w:r>
            <w:r w:rsidRPr="00DC3F0B">
              <w:rPr>
                <w:rFonts w:cs="Arial"/>
                <w:sz w:val="21"/>
                <w:szCs w:val="21"/>
              </w:rPr>
              <w:t>and individuals, their families and/or carers in the co-design</w:t>
            </w:r>
            <w:r>
              <w:rPr>
                <w:rFonts w:cs="Arial"/>
                <w:sz w:val="21"/>
                <w:szCs w:val="21"/>
              </w:rPr>
              <w:t>,</w:t>
            </w:r>
            <w:r w:rsidRPr="00701CAB">
              <w:rPr>
                <w:rFonts w:cs="Arial"/>
                <w:sz w:val="21"/>
                <w:szCs w:val="21"/>
              </w:rPr>
              <w:t xml:space="preserve"> development</w:t>
            </w:r>
            <w:r>
              <w:rPr>
                <w:rFonts w:cs="Arial"/>
                <w:sz w:val="21"/>
                <w:szCs w:val="21"/>
              </w:rPr>
              <w:t>,</w:t>
            </w:r>
            <w:r w:rsidRPr="00701CAB">
              <w:rPr>
                <w:rFonts w:cs="Arial"/>
                <w:sz w:val="21"/>
                <w:szCs w:val="21"/>
              </w:rPr>
              <w:t xml:space="preserve"> implementation and evaluation of </w:t>
            </w:r>
            <w:r w:rsidRPr="00AC2E07">
              <w:rPr>
                <w:rFonts w:cs="Arial"/>
                <w:sz w:val="21"/>
                <w:szCs w:val="21"/>
              </w:rPr>
              <w:t xml:space="preserve">medicines and </w:t>
            </w:r>
            <w:r w:rsidRPr="00FE618A">
              <w:rPr>
                <w:rFonts w:cs="Arial"/>
                <w:sz w:val="21"/>
                <w:szCs w:val="21"/>
              </w:rPr>
              <w:t>medicines-related services.</w:t>
            </w:r>
          </w:p>
        </w:tc>
      </w:tr>
      <w:tr w:rsidR="001148C4" w:rsidRPr="00E77C38" w14:paraId="59CFC7F1" w14:textId="77777777" w:rsidTr="000226CA">
        <w:tc>
          <w:tcPr>
            <w:tcW w:w="1481" w:type="pct"/>
          </w:tcPr>
          <w:p w14:paraId="593E32DF" w14:textId="77777777" w:rsidR="001148C4" w:rsidRPr="00DC3F0B" w:rsidRDefault="001148C4" w:rsidP="00D879C2">
            <w:pPr>
              <w:rPr>
                <w:rFonts w:cs="Arial"/>
                <w:sz w:val="21"/>
                <w:szCs w:val="21"/>
              </w:rPr>
            </w:pPr>
          </w:p>
        </w:tc>
        <w:tc>
          <w:tcPr>
            <w:tcW w:w="962" w:type="pct"/>
          </w:tcPr>
          <w:p w14:paraId="42328BB3" w14:textId="77777777" w:rsidR="001148C4" w:rsidRPr="00DC3F0B" w:rsidRDefault="001148C4" w:rsidP="00D879C2">
            <w:pPr>
              <w:rPr>
                <w:rFonts w:cs="Arial"/>
                <w:sz w:val="21"/>
                <w:szCs w:val="21"/>
              </w:rPr>
            </w:pPr>
            <w:r w:rsidRPr="00DC3F0B">
              <w:rPr>
                <w:rFonts w:cs="Arial"/>
                <w:sz w:val="21"/>
                <w:szCs w:val="21"/>
              </w:rPr>
              <w:t>Health educators, including higher education and professional training bodies</w:t>
            </w:r>
          </w:p>
        </w:tc>
        <w:tc>
          <w:tcPr>
            <w:tcW w:w="2557" w:type="pct"/>
          </w:tcPr>
          <w:p w14:paraId="28262114" w14:textId="77777777" w:rsidR="001148C4" w:rsidRPr="00DC3F0B" w:rsidRDefault="001148C4" w:rsidP="00D879C2">
            <w:pPr>
              <w:rPr>
                <w:rFonts w:cs="Arial"/>
                <w:sz w:val="21"/>
                <w:szCs w:val="21"/>
              </w:rPr>
            </w:pPr>
            <w:r w:rsidRPr="00D8062C">
              <w:rPr>
                <w:rFonts w:cs="Arial"/>
                <w:sz w:val="21"/>
                <w:szCs w:val="21"/>
              </w:rPr>
              <w:t xml:space="preserve">Develop and deliver training programs to facilitate a capable and </w:t>
            </w:r>
            <w:r w:rsidRPr="00AA1F16">
              <w:rPr>
                <w:rFonts w:cs="Arial"/>
                <w:sz w:val="21"/>
                <w:szCs w:val="21"/>
              </w:rPr>
              <w:t>trained workforce to achieve the intended outcomes of th</w:t>
            </w:r>
            <w:r w:rsidRPr="00165D10">
              <w:rPr>
                <w:rFonts w:cs="Arial"/>
                <w:sz w:val="21"/>
                <w:szCs w:val="21"/>
              </w:rPr>
              <w:t>is pillar.</w:t>
            </w:r>
          </w:p>
        </w:tc>
      </w:tr>
      <w:tr w:rsidR="001148C4" w:rsidRPr="00E77C38" w14:paraId="2A31E842" w14:textId="77777777" w:rsidTr="000226CA">
        <w:tc>
          <w:tcPr>
            <w:tcW w:w="1481" w:type="pct"/>
          </w:tcPr>
          <w:p w14:paraId="4189DBDA" w14:textId="77777777" w:rsidR="001148C4" w:rsidRPr="00DC3F0B" w:rsidRDefault="001148C4" w:rsidP="00D879C2">
            <w:pPr>
              <w:rPr>
                <w:rFonts w:cs="Arial"/>
                <w:sz w:val="21"/>
                <w:szCs w:val="21"/>
              </w:rPr>
            </w:pPr>
          </w:p>
        </w:tc>
        <w:tc>
          <w:tcPr>
            <w:tcW w:w="962" w:type="pct"/>
          </w:tcPr>
          <w:p w14:paraId="60C41CB9" w14:textId="60B5AC87" w:rsidR="001148C4" w:rsidRPr="00DC3F0B" w:rsidRDefault="001148C4" w:rsidP="00D879C2">
            <w:pPr>
              <w:rPr>
                <w:rFonts w:cs="Arial"/>
                <w:sz w:val="21"/>
                <w:szCs w:val="21"/>
              </w:rPr>
            </w:pPr>
            <w:r w:rsidRPr="00DC3F0B">
              <w:rPr>
                <w:rFonts w:cs="Arial"/>
                <w:sz w:val="21"/>
                <w:szCs w:val="21"/>
              </w:rPr>
              <w:t>Media</w:t>
            </w:r>
          </w:p>
        </w:tc>
        <w:tc>
          <w:tcPr>
            <w:tcW w:w="2557" w:type="pct"/>
          </w:tcPr>
          <w:p w14:paraId="3CE3E9CE" w14:textId="24BB61CC" w:rsidR="001148C4" w:rsidRPr="00DC3F0B" w:rsidRDefault="001148C4" w:rsidP="00CA1045">
            <w:pPr>
              <w:rPr>
                <w:rFonts w:cs="Arial"/>
                <w:sz w:val="21"/>
                <w:szCs w:val="21"/>
              </w:rPr>
            </w:pPr>
            <w:bookmarkStart w:id="13" w:name="_Hlk120278930"/>
            <w:r w:rsidRPr="00DC3F0B">
              <w:rPr>
                <w:rFonts w:cs="Arial"/>
                <w:sz w:val="21"/>
                <w:szCs w:val="21"/>
              </w:rPr>
              <w:t>Responsibly and accurately inform the public about new medicines, technologies and related services.</w:t>
            </w:r>
          </w:p>
          <w:p w14:paraId="5E8EDFF0" w14:textId="0E8D495F" w:rsidR="001148C4" w:rsidRPr="00DC3F0B" w:rsidRDefault="001148C4" w:rsidP="008B5810">
            <w:pPr>
              <w:rPr>
                <w:rFonts w:cs="Arial"/>
                <w:sz w:val="21"/>
                <w:szCs w:val="21"/>
              </w:rPr>
            </w:pPr>
            <w:r w:rsidRPr="00DC3F0B">
              <w:rPr>
                <w:rFonts w:cs="Arial"/>
                <w:sz w:val="21"/>
                <w:szCs w:val="21"/>
              </w:rPr>
              <w:t>Monitor and manage digital platforms to protect individuals against harm from online disinformation and misinformation on medicines and medicines-related services.</w:t>
            </w:r>
            <w:bookmarkEnd w:id="13"/>
          </w:p>
        </w:tc>
      </w:tr>
    </w:tbl>
    <w:p w14:paraId="133653ED" w14:textId="4DEBDA8F" w:rsidR="00C1152C" w:rsidRPr="00D8062C" w:rsidRDefault="00C1152C" w:rsidP="00DC3F0B">
      <w:pPr>
        <w:pStyle w:val="Heading2"/>
      </w:pPr>
      <w:r w:rsidRPr="00E77C38">
        <w:rPr>
          <w:color w:val="000000" w:themeColor="text1"/>
          <w:sz w:val="21"/>
          <w:szCs w:val="21"/>
        </w:rPr>
        <w:br w:type="page"/>
      </w:r>
      <w:r w:rsidRPr="00EB54A2">
        <w:lastRenderedPageBreak/>
        <w:t>Governance</w:t>
      </w:r>
    </w:p>
    <w:p w14:paraId="241716F9" w14:textId="07FD08B3" w:rsidR="00142D60" w:rsidRPr="004F0115" w:rsidRDefault="00C1152C" w:rsidP="004F0115">
      <w:pPr>
        <w:pStyle w:val="Paragraphtext"/>
        <w:rPr>
          <w:rFonts w:eastAsia="Arial" w:cs="Arial"/>
          <w:color w:val="auto"/>
        </w:rPr>
      </w:pPr>
      <w:r w:rsidRPr="004F0115">
        <w:rPr>
          <w:rFonts w:eastAsia="Arial" w:cs="Arial"/>
          <w:color w:val="auto"/>
        </w:rPr>
        <w:t xml:space="preserve">The NMP is intended to guide and focus the efforts of all partners to encourage greater dialogue, collaboration and cooperation in achieving the vision and aim of the Policy. </w:t>
      </w:r>
      <w:r w:rsidR="00142D60" w:rsidRPr="004F0115">
        <w:rPr>
          <w:rFonts w:eastAsia="Arial" w:cs="Arial"/>
          <w:color w:val="auto"/>
        </w:rPr>
        <w:t>It is intended to be a living document</w:t>
      </w:r>
      <w:r w:rsidR="00A32592" w:rsidRPr="004F0115">
        <w:rPr>
          <w:rFonts w:eastAsia="Arial" w:cs="Arial"/>
          <w:color w:val="auto"/>
        </w:rPr>
        <w:t>, which</w:t>
      </w:r>
      <w:r w:rsidR="00142D60" w:rsidRPr="004F0115">
        <w:rPr>
          <w:rFonts w:eastAsia="Arial" w:cs="Arial"/>
          <w:color w:val="auto"/>
        </w:rPr>
        <w:t xml:space="preserve"> is regularly reviewed </w:t>
      </w:r>
      <w:r w:rsidR="00A32592" w:rsidRPr="004F0115">
        <w:rPr>
          <w:rFonts w:eastAsia="Arial" w:cs="Arial"/>
          <w:color w:val="auto"/>
        </w:rPr>
        <w:t xml:space="preserve">and updated </w:t>
      </w:r>
      <w:r w:rsidR="00142D60" w:rsidRPr="004F0115">
        <w:rPr>
          <w:rFonts w:eastAsia="Arial" w:cs="Arial"/>
          <w:color w:val="auto"/>
        </w:rPr>
        <w:t>every five years</w:t>
      </w:r>
      <w:r w:rsidR="00A32592" w:rsidRPr="004F0115">
        <w:rPr>
          <w:rFonts w:eastAsia="Arial" w:cs="Arial"/>
          <w:color w:val="auto"/>
        </w:rPr>
        <w:t xml:space="preserve"> or </w:t>
      </w:r>
      <w:r w:rsidR="00032615" w:rsidRPr="004F0115">
        <w:rPr>
          <w:rFonts w:eastAsia="Arial" w:cs="Arial"/>
          <w:color w:val="auto"/>
        </w:rPr>
        <w:t xml:space="preserve">when </w:t>
      </w:r>
      <w:r w:rsidR="00A32592" w:rsidRPr="004F0115">
        <w:rPr>
          <w:rFonts w:eastAsia="Arial" w:cs="Arial"/>
          <w:color w:val="auto"/>
        </w:rPr>
        <w:t xml:space="preserve">material changes </w:t>
      </w:r>
      <w:r w:rsidR="00032615" w:rsidRPr="004F0115">
        <w:rPr>
          <w:rFonts w:eastAsia="Arial" w:cs="Arial"/>
          <w:color w:val="auto"/>
        </w:rPr>
        <w:t>are</w:t>
      </w:r>
      <w:r w:rsidR="00A32592" w:rsidRPr="004F0115">
        <w:rPr>
          <w:rFonts w:eastAsia="Arial" w:cs="Arial"/>
          <w:color w:val="auto"/>
        </w:rPr>
        <w:t xml:space="preserve"> necessary. The Commonwealth may initiate amendments to the NMP</w:t>
      </w:r>
      <w:r w:rsidR="00AA5080" w:rsidRPr="004F0115">
        <w:rPr>
          <w:rFonts w:eastAsia="Arial" w:cs="Arial"/>
          <w:color w:val="auto"/>
        </w:rPr>
        <w:t xml:space="preserve"> </w:t>
      </w:r>
      <w:r w:rsidR="00A32592" w:rsidRPr="004F0115">
        <w:rPr>
          <w:rFonts w:eastAsia="Arial" w:cs="Arial"/>
          <w:color w:val="auto"/>
        </w:rPr>
        <w:t xml:space="preserve">at any time and consult on </w:t>
      </w:r>
      <w:r w:rsidR="00032615" w:rsidRPr="004F0115">
        <w:rPr>
          <w:rFonts w:eastAsia="Arial" w:cs="Arial"/>
          <w:color w:val="auto"/>
        </w:rPr>
        <w:t>proposed</w:t>
      </w:r>
      <w:r w:rsidR="00BC5FF0" w:rsidRPr="004F0115">
        <w:rPr>
          <w:rFonts w:eastAsia="Arial" w:cs="Arial"/>
          <w:color w:val="auto"/>
        </w:rPr>
        <w:t xml:space="preserve"> amendments</w:t>
      </w:r>
      <w:r w:rsidR="00142D60" w:rsidRPr="004F0115">
        <w:rPr>
          <w:rFonts w:eastAsia="Arial" w:cs="Arial"/>
          <w:color w:val="auto"/>
        </w:rPr>
        <w:t xml:space="preserve">. </w:t>
      </w:r>
    </w:p>
    <w:p w14:paraId="0647F701" w14:textId="1DE6CD5C" w:rsidR="00C1152C" w:rsidRPr="004F0115" w:rsidRDefault="00142D60" w:rsidP="004F0115">
      <w:pPr>
        <w:pStyle w:val="Paragraphtext"/>
        <w:rPr>
          <w:rFonts w:eastAsia="Arial" w:cs="Arial"/>
          <w:color w:val="auto"/>
        </w:rPr>
      </w:pPr>
      <w:r w:rsidRPr="004F0115">
        <w:rPr>
          <w:rFonts w:eastAsia="Arial" w:cs="Arial"/>
          <w:color w:val="auto"/>
        </w:rPr>
        <w:t>T</w:t>
      </w:r>
      <w:r w:rsidR="00C1152C" w:rsidRPr="004F0115">
        <w:rPr>
          <w:rFonts w:eastAsia="Arial" w:cs="Arial"/>
          <w:color w:val="auto"/>
        </w:rPr>
        <w:t>he Commonwealth</w:t>
      </w:r>
      <w:r w:rsidRPr="004F0115">
        <w:rPr>
          <w:rFonts w:eastAsia="Arial" w:cs="Arial"/>
          <w:color w:val="auto"/>
        </w:rPr>
        <w:t>’s role</w:t>
      </w:r>
      <w:r w:rsidR="00C1152C" w:rsidRPr="004F0115">
        <w:rPr>
          <w:rFonts w:eastAsia="Arial" w:cs="Arial"/>
          <w:color w:val="auto"/>
        </w:rPr>
        <w:t xml:space="preserve"> is to lead and encourage collaboration between partners toward shared goals, </w:t>
      </w:r>
      <w:r w:rsidR="009E5DF7">
        <w:rPr>
          <w:rFonts w:eastAsia="Arial" w:cs="Arial"/>
          <w:color w:val="auto"/>
        </w:rPr>
        <w:t xml:space="preserve">and </w:t>
      </w:r>
      <w:r w:rsidR="00C1152C" w:rsidRPr="004F0115">
        <w:rPr>
          <w:rFonts w:eastAsia="Arial" w:cs="Arial"/>
          <w:color w:val="auto"/>
        </w:rPr>
        <w:t>promote transparency in relation to accountability, reporting and communication. This includes facilitati</w:t>
      </w:r>
      <w:r w:rsidRPr="004F0115">
        <w:rPr>
          <w:rFonts w:eastAsia="Arial" w:cs="Arial"/>
          <w:color w:val="auto"/>
        </w:rPr>
        <w:t xml:space="preserve">ng </w:t>
      </w:r>
      <w:r w:rsidR="00C1152C" w:rsidRPr="004F0115">
        <w:rPr>
          <w:rFonts w:eastAsia="Arial" w:cs="Arial"/>
          <w:color w:val="auto"/>
        </w:rPr>
        <w:t>collaborative action on problems that cannot be solved by any one partner.</w:t>
      </w:r>
    </w:p>
    <w:p w14:paraId="1666BEC9" w14:textId="4945AE12" w:rsidR="00AA5080" w:rsidRPr="004F0115" w:rsidRDefault="00AA5080" w:rsidP="004F0115">
      <w:pPr>
        <w:pStyle w:val="Paragraphtext"/>
        <w:rPr>
          <w:rFonts w:eastAsia="Arial" w:cs="Arial"/>
          <w:color w:val="auto"/>
        </w:rPr>
      </w:pPr>
      <w:r w:rsidRPr="004F0115">
        <w:rPr>
          <w:rFonts w:eastAsia="Arial" w:cs="Arial"/>
          <w:color w:val="auto"/>
        </w:rPr>
        <w:t>Flexible</w:t>
      </w:r>
      <w:r w:rsidR="00650C3E" w:rsidRPr="004F0115">
        <w:rPr>
          <w:rFonts w:eastAsia="Arial" w:cs="Arial"/>
          <w:color w:val="auto"/>
        </w:rPr>
        <w:t>, responsive</w:t>
      </w:r>
      <w:r w:rsidRPr="004F0115">
        <w:rPr>
          <w:rFonts w:eastAsia="Arial" w:cs="Arial"/>
          <w:color w:val="auto"/>
        </w:rPr>
        <w:t xml:space="preserve"> mechanisms that support effective, collaborative action and timely application of the efforts and expertise of relevant partners in setting shared priorities are vital to the </w:t>
      </w:r>
      <w:r w:rsidR="00AC2E07" w:rsidRPr="004F0115">
        <w:rPr>
          <w:rFonts w:eastAsia="Arial" w:cs="Arial"/>
          <w:color w:val="auto"/>
        </w:rPr>
        <w:t>NMP</w:t>
      </w:r>
      <w:r w:rsidRPr="004F0115">
        <w:rPr>
          <w:rFonts w:eastAsia="Arial" w:cs="Arial"/>
          <w:color w:val="auto"/>
        </w:rPr>
        <w:t>’s success. Leadership is required at national, state and territory, partner</w:t>
      </w:r>
      <w:r w:rsidR="00BC5FF0" w:rsidRPr="004F0115">
        <w:rPr>
          <w:rFonts w:eastAsia="Arial" w:cs="Arial"/>
          <w:color w:val="auto"/>
        </w:rPr>
        <w:t xml:space="preserve"> organisations</w:t>
      </w:r>
      <w:r w:rsidRPr="004F0115">
        <w:rPr>
          <w:rFonts w:eastAsia="Arial" w:cs="Arial"/>
          <w:color w:val="auto"/>
        </w:rPr>
        <w:t xml:space="preserve"> and individual program levels to monitor and report on achievements against the central pillars, how the NMP’s principles have been put into action</w:t>
      </w:r>
      <w:r w:rsidR="006417E5" w:rsidRPr="004F0115">
        <w:rPr>
          <w:rFonts w:eastAsia="Arial" w:cs="Arial"/>
          <w:color w:val="auto"/>
        </w:rPr>
        <w:t>,</w:t>
      </w:r>
      <w:r w:rsidRPr="004F0115">
        <w:rPr>
          <w:rFonts w:eastAsia="Arial" w:cs="Arial"/>
          <w:color w:val="auto"/>
        </w:rPr>
        <w:t xml:space="preserve"> and the overall impact of the NMP.</w:t>
      </w:r>
    </w:p>
    <w:p w14:paraId="3D717689" w14:textId="1133B6EB" w:rsidR="00650C3E" w:rsidRPr="004F0115" w:rsidRDefault="00C536FF" w:rsidP="004F0115">
      <w:pPr>
        <w:pStyle w:val="Paragraphtext"/>
        <w:rPr>
          <w:rFonts w:eastAsia="Arial" w:cs="Arial"/>
          <w:color w:val="auto"/>
        </w:rPr>
      </w:pPr>
      <w:r w:rsidRPr="004F0115">
        <w:rPr>
          <w:rFonts w:eastAsia="Arial" w:cs="Arial"/>
          <w:color w:val="auto"/>
        </w:rPr>
        <w:t>E</w:t>
      </w:r>
      <w:r w:rsidR="00B72A87" w:rsidRPr="004F0115">
        <w:rPr>
          <w:rFonts w:eastAsia="Arial" w:cs="Arial"/>
          <w:color w:val="auto"/>
        </w:rPr>
        <w:t xml:space="preserve">xisting governance structures </w:t>
      </w:r>
      <w:r w:rsidR="00865655" w:rsidRPr="004F0115">
        <w:rPr>
          <w:rFonts w:eastAsia="Arial" w:cs="Arial"/>
          <w:color w:val="auto"/>
        </w:rPr>
        <w:t>may be</w:t>
      </w:r>
      <w:r w:rsidRPr="004F0115">
        <w:rPr>
          <w:rFonts w:eastAsia="Arial" w:cs="Arial"/>
          <w:color w:val="auto"/>
        </w:rPr>
        <w:t xml:space="preserve"> used </w:t>
      </w:r>
      <w:r w:rsidR="00DF3F0B" w:rsidRPr="004F0115">
        <w:rPr>
          <w:rFonts w:eastAsia="Arial" w:cs="Arial"/>
          <w:color w:val="auto"/>
        </w:rPr>
        <w:t>where</w:t>
      </w:r>
      <w:r w:rsidR="00B72A87" w:rsidRPr="004F0115">
        <w:rPr>
          <w:rFonts w:eastAsia="Arial" w:cs="Arial"/>
          <w:color w:val="auto"/>
        </w:rPr>
        <w:t xml:space="preserve"> appropriate</w:t>
      </w:r>
      <w:r w:rsidR="00865655" w:rsidRPr="004F0115">
        <w:rPr>
          <w:rFonts w:eastAsia="Arial" w:cs="Arial"/>
          <w:color w:val="auto"/>
        </w:rPr>
        <w:t xml:space="preserve"> and efficient, </w:t>
      </w:r>
      <w:bookmarkStart w:id="14" w:name="_Hlk120281076"/>
      <w:r w:rsidR="00531F40" w:rsidRPr="004F0115">
        <w:rPr>
          <w:rFonts w:eastAsia="Arial" w:cs="Arial"/>
          <w:color w:val="auto"/>
        </w:rPr>
        <w:t xml:space="preserve">such as </w:t>
      </w:r>
      <w:r w:rsidR="00865655" w:rsidRPr="004F0115">
        <w:rPr>
          <w:rFonts w:eastAsia="Arial" w:cs="Arial"/>
          <w:color w:val="auto"/>
        </w:rPr>
        <w:t>t</w:t>
      </w:r>
      <w:r w:rsidR="00481814" w:rsidRPr="004F0115">
        <w:rPr>
          <w:rFonts w:eastAsia="Arial" w:cs="Arial"/>
          <w:color w:val="auto"/>
        </w:rPr>
        <w:t>he Health Ministers’ Meeting and Health Chief Executives Forum (or equivalent</w:t>
      </w:r>
      <w:r w:rsidR="007D0C91" w:rsidRPr="004F0115">
        <w:rPr>
          <w:rFonts w:eastAsia="Arial" w:cs="Arial"/>
          <w:color w:val="auto"/>
        </w:rPr>
        <w:t>s</w:t>
      </w:r>
      <w:r w:rsidR="00481814" w:rsidRPr="004F0115">
        <w:rPr>
          <w:rFonts w:eastAsia="Arial" w:cs="Arial"/>
          <w:color w:val="auto"/>
        </w:rPr>
        <w:t>)</w:t>
      </w:r>
      <w:r w:rsidR="00650C3E" w:rsidRPr="004F0115">
        <w:rPr>
          <w:rFonts w:eastAsia="Arial" w:cs="Arial"/>
          <w:color w:val="auto"/>
        </w:rPr>
        <w:t xml:space="preserve">, which </w:t>
      </w:r>
      <w:r w:rsidR="00865655" w:rsidRPr="004F0115">
        <w:rPr>
          <w:rFonts w:eastAsia="Arial" w:cs="Arial"/>
          <w:color w:val="auto"/>
        </w:rPr>
        <w:t>have oversight of national health priorities including the quality use of medicines and medicines safety</w:t>
      </w:r>
      <w:r w:rsidR="00481814" w:rsidRPr="004F0115">
        <w:rPr>
          <w:rFonts w:eastAsia="Arial" w:cs="Arial"/>
          <w:color w:val="auto"/>
        </w:rPr>
        <w:t>.</w:t>
      </w:r>
      <w:bookmarkEnd w:id="14"/>
    </w:p>
    <w:p w14:paraId="11DB9AB0" w14:textId="68DAEE54" w:rsidR="00C1152C" w:rsidRPr="004F0115" w:rsidRDefault="00DF3F0B" w:rsidP="004F0115">
      <w:pPr>
        <w:pStyle w:val="Paragraphtext"/>
        <w:rPr>
          <w:rFonts w:eastAsia="Arial" w:cs="Arial"/>
          <w:color w:val="auto"/>
        </w:rPr>
      </w:pPr>
      <w:r w:rsidRPr="004F0115">
        <w:rPr>
          <w:rFonts w:eastAsia="Arial" w:cs="Arial"/>
          <w:color w:val="auto"/>
        </w:rPr>
        <w:t>Other g</w:t>
      </w:r>
      <w:r w:rsidR="00C1152C" w:rsidRPr="004F0115">
        <w:rPr>
          <w:rFonts w:eastAsia="Arial" w:cs="Arial"/>
          <w:color w:val="auto"/>
        </w:rPr>
        <w:t xml:space="preserve">overnance structures, including specific committees and working groups, may be established </w:t>
      </w:r>
      <w:r w:rsidRPr="004F0115">
        <w:rPr>
          <w:rFonts w:eastAsia="Arial" w:cs="Arial"/>
          <w:color w:val="auto"/>
        </w:rPr>
        <w:t xml:space="preserve">or have terms of reference amended </w:t>
      </w:r>
      <w:r w:rsidR="00C1152C" w:rsidRPr="004F0115">
        <w:rPr>
          <w:rFonts w:eastAsia="Arial" w:cs="Arial"/>
          <w:color w:val="auto"/>
        </w:rPr>
        <w:t>to support the policies, strategies, programs and initiatives aligned with the NMP. These governance structures must adhere to the NMP’s principles and prioritise their commitment to person-centred care by including diverse representation</w:t>
      </w:r>
      <w:r w:rsidR="00032615" w:rsidRPr="004F0115">
        <w:rPr>
          <w:rFonts w:eastAsia="Arial" w:cs="Arial"/>
          <w:color w:val="auto"/>
        </w:rPr>
        <w:t xml:space="preserve"> of </w:t>
      </w:r>
      <w:r w:rsidR="006A219B" w:rsidRPr="004F0115">
        <w:rPr>
          <w:rFonts w:eastAsia="Arial" w:cs="Arial"/>
          <w:color w:val="auto"/>
        </w:rPr>
        <w:t xml:space="preserve">consumer organisations, </w:t>
      </w:r>
      <w:r w:rsidR="00032615" w:rsidRPr="004F0115">
        <w:rPr>
          <w:rFonts w:eastAsia="Arial" w:cs="Arial"/>
          <w:color w:val="auto"/>
        </w:rPr>
        <w:t>individuals, their families and/or carers</w:t>
      </w:r>
      <w:r w:rsidR="00C1152C" w:rsidRPr="004F0115">
        <w:rPr>
          <w:rFonts w:eastAsia="Arial" w:cs="Arial"/>
          <w:color w:val="auto"/>
        </w:rPr>
        <w:t xml:space="preserve"> at all levels of governance.</w:t>
      </w:r>
    </w:p>
    <w:p w14:paraId="30CA03B1" w14:textId="77777777" w:rsidR="00C1152C" w:rsidRPr="00E77C38" w:rsidRDefault="00C1152C" w:rsidP="003833D4">
      <w:pPr>
        <w:pStyle w:val="Heading2"/>
      </w:pPr>
      <w:r w:rsidRPr="00E77C38">
        <w:t>Implementation</w:t>
      </w:r>
    </w:p>
    <w:p w14:paraId="4EFCD68F" w14:textId="5FFD8A43" w:rsidR="00505EDF" w:rsidRPr="004F0115" w:rsidRDefault="00C1152C" w:rsidP="004F0115">
      <w:pPr>
        <w:pStyle w:val="Paragraphtext"/>
        <w:rPr>
          <w:rFonts w:cs="Arial"/>
          <w:szCs w:val="21"/>
        </w:rPr>
      </w:pPr>
      <w:r w:rsidRPr="004F0115">
        <w:rPr>
          <w:rFonts w:cs="Arial"/>
          <w:szCs w:val="21"/>
        </w:rPr>
        <w:t xml:space="preserve">Australia’s NMP functions as a coordinating framework that sets out </w:t>
      </w:r>
      <w:r w:rsidR="00505EDF" w:rsidRPr="004F0115">
        <w:rPr>
          <w:rFonts w:cs="Arial"/>
          <w:szCs w:val="21"/>
        </w:rPr>
        <w:t>a vision and common aim,</w:t>
      </w:r>
      <w:r w:rsidRPr="004F0115">
        <w:rPr>
          <w:rFonts w:cs="Arial"/>
          <w:szCs w:val="21"/>
        </w:rPr>
        <w:t xml:space="preserve"> central pillars and intended outcomes for all partners to work towards. As no single partner can be completely responsible for achieving the </w:t>
      </w:r>
      <w:r w:rsidR="00505EDF" w:rsidRPr="004F0115">
        <w:rPr>
          <w:rFonts w:cs="Arial"/>
          <w:szCs w:val="21"/>
        </w:rPr>
        <w:t>NM</w:t>
      </w:r>
      <w:r w:rsidRPr="004F0115">
        <w:rPr>
          <w:rFonts w:cs="Arial"/>
          <w:szCs w:val="21"/>
        </w:rPr>
        <w:t>P’s aim, its implementation is a collective responsibility appropriately defined and documented at the program level by each partner.</w:t>
      </w:r>
    </w:p>
    <w:p w14:paraId="1493F202" w14:textId="35295E30" w:rsidR="001267BE" w:rsidRPr="004F0115" w:rsidRDefault="00C1152C" w:rsidP="004F0115">
      <w:pPr>
        <w:pStyle w:val="Paragraphtext"/>
        <w:rPr>
          <w:rFonts w:cs="Arial"/>
          <w:szCs w:val="21"/>
        </w:rPr>
      </w:pPr>
      <w:r w:rsidRPr="00645011">
        <w:rPr>
          <w:rFonts w:cs="Arial"/>
          <w:szCs w:val="21"/>
        </w:rPr>
        <w:t xml:space="preserve">The </w:t>
      </w:r>
      <w:r w:rsidR="00F836A4" w:rsidRPr="00645011">
        <w:rPr>
          <w:rFonts w:cs="Arial"/>
          <w:szCs w:val="21"/>
        </w:rPr>
        <w:t xml:space="preserve">Commonwealth’s </w:t>
      </w:r>
      <w:r w:rsidRPr="00645011">
        <w:rPr>
          <w:rFonts w:cs="Arial"/>
          <w:szCs w:val="21"/>
        </w:rPr>
        <w:t xml:space="preserve">role </w:t>
      </w:r>
      <w:r w:rsidR="003B2BD2" w:rsidRPr="00645011">
        <w:rPr>
          <w:rFonts w:cs="Arial"/>
          <w:szCs w:val="21"/>
        </w:rPr>
        <w:t>is</w:t>
      </w:r>
      <w:r w:rsidRPr="00645011">
        <w:rPr>
          <w:rFonts w:cs="Arial"/>
          <w:szCs w:val="21"/>
        </w:rPr>
        <w:t xml:space="preserve"> to </w:t>
      </w:r>
      <w:r w:rsidR="00C536FF" w:rsidRPr="00645011">
        <w:rPr>
          <w:rFonts w:cs="Arial"/>
          <w:szCs w:val="21"/>
        </w:rPr>
        <w:t xml:space="preserve">lead, </w:t>
      </w:r>
      <w:r w:rsidRPr="00645011">
        <w:rPr>
          <w:rFonts w:cs="Arial"/>
          <w:szCs w:val="21"/>
        </w:rPr>
        <w:t>facilitate, coordinate and monitor the identification, engagement and commitment of partners in achieving the NMP’s aim, within agreed and transparent reporting structures</w:t>
      </w:r>
      <w:r w:rsidR="006D67FD" w:rsidRPr="00645011">
        <w:rPr>
          <w:rFonts w:cs="Arial"/>
          <w:szCs w:val="21"/>
        </w:rPr>
        <w:t xml:space="preserve"> </w:t>
      </w:r>
      <w:r w:rsidR="00505EDF" w:rsidRPr="00645011">
        <w:rPr>
          <w:rFonts w:cs="Arial"/>
          <w:szCs w:val="21"/>
        </w:rPr>
        <w:t xml:space="preserve">where </w:t>
      </w:r>
      <w:r w:rsidR="006D67FD" w:rsidRPr="00645011">
        <w:rPr>
          <w:rFonts w:cs="Arial"/>
          <w:szCs w:val="21"/>
        </w:rPr>
        <w:t>appropriate</w:t>
      </w:r>
      <w:r w:rsidRPr="00645011">
        <w:rPr>
          <w:rFonts w:cs="Arial"/>
          <w:szCs w:val="21"/>
        </w:rPr>
        <w:t>.</w:t>
      </w:r>
      <w:r w:rsidR="00C43A49" w:rsidRPr="00645011">
        <w:rPr>
          <w:rFonts w:cs="Arial"/>
          <w:szCs w:val="21"/>
        </w:rPr>
        <w:t xml:space="preserve"> </w:t>
      </w:r>
      <w:bookmarkStart w:id="15" w:name="_Hlk120281762"/>
      <w:r w:rsidR="00C43A49" w:rsidRPr="00645011">
        <w:rPr>
          <w:rFonts w:cs="Arial"/>
          <w:szCs w:val="21"/>
        </w:rPr>
        <w:t xml:space="preserve">The Commonwealth </w:t>
      </w:r>
      <w:r w:rsidR="00853902" w:rsidRPr="00645011">
        <w:rPr>
          <w:rFonts w:cs="Arial"/>
          <w:szCs w:val="21"/>
        </w:rPr>
        <w:t xml:space="preserve">is </w:t>
      </w:r>
      <w:r w:rsidR="00C43A49" w:rsidRPr="00645011">
        <w:rPr>
          <w:rFonts w:cs="Arial"/>
          <w:szCs w:val="21"/>
        </w:rPr>
        <w:t>accountable for ensur</w:t>
      </w:r>
      <w:r w:rsidR="00853902" w:rsidRPr="00645011">
        <w:rPr>
          <w:rFonts w:cs="Arial"/>
          <w:szCs w:val="21"/>
        </w:rPr>
        <w:t>ing policy</w:t>
      </w:r>
      <w:r w:rsidR="00C43A49" w:rsidRPr="00645011">
        <w:rPr>
          <w:rFonts w:cs="Arial"/>
          <w:szCs w:val="21"/>
        </w:rPr>
        <w:t xml:space="preserve"> </w:t>
      </w:r>
      <w:r w:rsidR="00C43A49" w:rsidRPr="004F0115">
        <w:rPr>
          <w:rFonts w:cs="Arial"/>
          <w:szCs w:val="21"/>
        </w:rPr>
        <w:t xml:space="preserve">alignment with key areas of </w:t>
      </w:r>
      <w:r w:rsidR="00853902" w:rsidRPr="004F0115">
        <w:rPr>
          <w:rFonts w:cs="Arial"/>
          <w:szCs w:val="21"/>
        </w:rPr>
        <w:t xml:space="preserve">national </w:t>
      </w:r>
      <w:r w:rsidR="00C43A49" w:rsidRPr="004F0115">
        <w:rPr>
          <w:rFonts w:cs="Arial"/>
          <w:szCs w:val="21"/>
        </w:rPr>
        <w:t>health</w:t>
      </w:r>
      <w:r w:rsidR="00E56FEF" w:rsidRPr="004F0115">
        <w:rPr>
          <w:rFonts w:cs="Arial"/>
          <w:szCs w:val="21"/>
        </w:rPr>
        <w:t>, social and economic</w:t>
      </w:r>
      <w:r w:rsidR="00C43A49" w:rsidRPr="004F0115">
        <w:rPr>
          <w:rFonts w:cs="Arial"/>
          <w:szCs w:val="21"/>
        </w:rPr>
        <w:t xml:space="preserve"> reform and driving action across </w:t>
      </w:r>
      <w:r w:rsidR="00853902" w:rsidRPr="004F0115">
        <w:rPr>
          <w:rFonts w:cs="Arial"/>
          <w:szCs w:val="21"/>
        </w:rPr>
        <w:t xml:space="preserve">Ministerial </w:t>
      </w:r>
      <w:r w:rsidR="00C43A49" w:rsidRPr="004F0115">
        <w:rPr>
          <w:rFonts w:cs="Arial"/>
          <w:szCs w:val="21"/>
        </w:rPr>
        <w:t>portfolios and levels of government.</w:t>
      </w:r>
      <w:bookmarkEnd w:id="15"/>
    </w:p>
    <w:p w14:paraId="40DCF202" w14:textId="20DE4AD7" w:rsidR="00C1152C" w:rsidRPr="004F0115" w:rsidRDefault="00C1152C" w:rsidP="004F0115">
      <w:pPr>
        <w:pStyle w:val="Paragraphtext"/>
        <w:rPr>
          <w:rFonts w:cs="Arial"/>
          <w:szCs w:val="21"/>
        </w:rPr>
      </w:pPr>
      <w:r w:rsidRPr="004F0115">
        <w:rPr>
          <w:rFonts w:cs="Arial"/>
          <w:szCs w:val="21"/>
        </w:rPr>
        <w:t xml:space="preserve">Each partner should </w:t>
      </w:r>
      <w:r w:rsidR="00EB54A2" w:rsidRPr="004F0115">
        <w:rPr>
          <w:rFonts w:cs="Arial"/>
          <w:szCs w:val="21"/>
        </w:rPr>
        <w:t xml:space="preserve">link and </w:t>
      </w:r>
      <w:r w:rsidRPr="004F0115">
        <w:rPr>
          <w:rFonts w:cs="Arial"/>
          <w:szCs w:val="21"/>
        </w:rPr>
        <w:t>communicate their actions connect</w:t>
      </w:r>
      <w:r w:rsidR="00961C99" w:rsidRPr="004F0115">
        <w:rPr>
          <w:rFonts w:cs="Arial"/>
          <w:szCs w:val="21"/>
        </w:rPr>
        <w:t>ed</w:t>
      </w:r>
      <w:r w:rsidRPr="004F0115">
        <w:rPr>
          <w:rFonts w:cs="Arial"/>
          <w:szCs w:val="21"/>
        </w:rPr>
        <w:t xml:space="preserve"> to the central pillars and the implementation of the NMP’s principles, to support the collective understanding of what is being done to achieve the Policy’s aim and the intended outcomes. The development of policies, </w:t>
      </w:r>
      <w:r w:rsidR="00C43A49" w:rsidRPr="004F0115">
        <w:rPr>
          <w:rFonts w:cs="Arial"/>
          <w:szCs w:val="21"/>
        </w:rPr>
        <w:t xml:space="preserve">strategies, </w:t>
      </w:r>
      <w:r w:rsidRPr="004F0115">
        <w:rPr>
          <w:rFonts w:cs="Arial"/>
          <w:szCs w:val="21"/>
        </w:rPr>
        <w:t xml:space="preserve">services, programs and initiatives involving medicines </w:t>
      </w:r>
      <w:r w:rsidR="00853902" w:rsidRPr="004F0115">
        <w:rPr>
          <w:rFonts w:cs="Arial"/>
          <w:szCs w:val="21"/>
        </w:rPr>
        <w:t>and medicines</w:t>
      </w:r>
      <w:r w:rsidR="001012FF">
        <w:rPr>
          <w:rFonts w:cs="Arial"/>
          <w:szCs w:val="21"/>
        </w:rPr>
        <w:t>-</w:t>
      </w:r>
      <w:r w:rsidR="00853902" w:rsidRPr="004F0115">
        <w:rPr>
          <w:rFonts w:cs="Arial"/>
          <w:szCs w:val="21"/>
        </w:rPr>
        <w:t xml:space="preserve">related services </w:t>
      </w:r>
      <w:r w:rsidR="003B0073">
        <w:rPr>
          <w:rFonts w:cs="Arial"/>
          <w:szCs w:val="21"/>
        </w:rPr>
        <w:t>is</w:t>
      </w:r>
      <w:r w:rsidR="00445E90" w:rsidRPr="004F0115">
        <w:rPr>
          <w:rFonts w:cs="Arial"/>
          <w:szCs w:val="21"/>
        </w:rPr>
        <w:t xml:space="preserve"> to </w:t>
      </w:r>
      <w:r w:rsidRPr="004F0115">
        <w:rPr>
          <w:rFonts w:cs="Arial"/>
          <w:szCs w:val="21"/>
        </w:rPr>
        <w:t>include a requirement to identify whether they are consistent with the pillars and principles of the NMP.</w:t>
      </w:r>
    </w:p>
    <w:p w14:paraId="0EF19FF7" w14:textId="369A494F" w:rsidR="007F3823" w:rsidRPr="00E77C38" w:rsidRDefault="007F3823" w:rsidP="004F0115">
      <w:pPr>
        <w:pStyle w:val="Paragraphtext"/>
        <w:rPr>
          <w:szCs w:val="21"/>
        </w:rPr>
      </w:pPr>
      <w:r w:rsidRPr="004F0115">
        <w:rPr>
          <w:rFonts w:cs="Arial"/>
          <w:szCs w:val="21"/>
        </w:rPr>
        <w:t xml:space="preserve">For the Commonwealth, </w:t>
      </w:r>
      <w:r w:rsidR="00E31785" w:rsidRPr="004F0115">
        <w:rPr>
          <w:rFonts w:cs="Arial"/>
          <w:szCs w:val="21"/>
        </w:rPr>
        <w:t xml:space="preserve">implementation actions </w:t>
      </w:r>
      <w:r w:rsidRPr="004F0115">
        <w:rPr>
          <w:rFonts w:cs="Arial"/>
          <w:szCs w:val="21"/>
        </w:rPr>
        <w:t xml:space="preserve">include: </w:t>
      </w:r>
    </w:p>
    <w:p w14:paraId="66926F90" w14:textId="77777777" w:rsidR="007F3823" w:rsidRPr="00DC3F0B" w:rsidRDefault="007F3823" w:rsidP="007F3823">
      <w:pPr>
        <w:pStyle w:val="ListNumber2"/>
        <w:rPr>
          <w:rFonts w:cs="Arial"/>
          <w:szCs w:val="21"/>
        </w:rPr>
      </w:pPr>
      <w:r w:rsidRPr="00DC3F0B">
        <w:rPr>
          <w:rFonts w:cs="Arial"/>
          <w:szCs w:val="21"/>
        </w:rPr>
        <w:t>considering appropriate mechanisms and processes to ensure the participation of all partners, including diverse consumer partners, and to enhance transparency and accountability in overseeing the implementation, evaluation and communication of the NMP.</w:t>
      </w:r>
    </w:p>
    <w:p w14:paraId="1ACEE74B" w14:textId="77777777" w:rsidR="007F3823" w:rsidRPr="00DC3F0B" w:rsidRDefault="007F3823" w:rsidP="007F3823">
      <w:pPr>
        <w:pStyle w:val="ListNumber2"/>
        <w:rPr>
          <w:rFonts w:cs="Arial"/>
          <w:szCs w:val="21"/>
        </w:rPr>
      </w:pPr>
      <w:r w:rsidRPr="00DC3F0B">
        <w:rPr>
          <w:rFonts w:cs="Arial"/>
          <w:szCs w:val="21"/>
        </w:rPr>
        <w:t>working with the states and territories to pursue consistency across jurisdictions on issues relating to medicines and medicines-related services, including ensuring interoperability of systems, policies and procedures and clinical trial governance.</w:t>
      </w:r>
    </w:p>
    <w:p w14:paraId="0E8BE504" w14:textId="5F72A228" w:rsidR="007F3823" w:rsidRPr="00DC3F0B" w:rsidRDefault="007F3823" w:rsidP="000226CA">
      <w:pPr>
        <w:pStyle w:val="ListNumber2"/>
        <w:keepLines/>
        <w:ind w:left="641" w:hanging="357"/>
        <w:rPr>
          <w:rFonts w:cs="Arial"/>
          <w:szCs w:val="21"/>
        </w:rPr>
      </w:pPr>
      <w:r w:rsidRPr="00DC3F0B">
        <w:rPr>
          <w:rFonts w:cs="Arial"/>
          <w:szCs w:val="21"/>
        </w:rPr>
        <w:lastRenderedPageBreak/>
        <w:t xml:space="preserve">collaborating with the states and territories to continue </w:t>
      </w:r>
      <w:r w:rsidR="00100E83" w:rsidRPr="00DC3F0B">
        <w:rPr>
          <w:rFonts w:cs="Arial"/>
          <w:szCs w:val="21"/>
        </w:rPr>
        <w:t>investment</w:t>
      </w:r>
      <w:r w:rsidRPr="00DC3F0B">
        <w:rPr>
          <w:rFonts w:cs="Arial"/>
          <w:szCs w:val="21"/>
        </w:rPr>
        <w:t xml:space="preserve"> in programs and initiatives to achieve the </w:t>
      </w:r>
      <w:r w:rsidR="00100E83" w:rsidRPr="00DC3F0B">
        <w:rPr>
          <w:rFonts w:cs="Arial"/>
          <w:szCs w:val="21"/>
        </w:rPr>
        <w:t xml:space="preserve">safe and </w:t>
      </w:r>
      <w:r w:rsidRPr="00DC3F0B">
        <w:rPr>
          <w:rFonts w:cs="Arial"/>
          <w:szCs w:val="21"/>
        </w:rPr>
        <w:t xml:space="preserve">quality use of medicines for </w:t>
      </w:r>
      <w:r w:rsidR="00100E83" w:rsidRPr="00DC3F0B">
        <w:rPr>
          <w:rFonts w:cs="Arial"/>
          <w:szCs w:val="21"/>
        </w:rPr>
        <w:t>individuals, their families and/or carers</w:t>
      </w:r>
      <w:r w:rsidRPr="00DC3F0B">
        <w:rPr>
          <w:rFonts w:cs="Arial"/>
          <w:szCs w:val="21"/>
        </w:rPr>
        <w:t>, and training programs for health professionals to deliver these programs and initiatives.</w:t>
      </w:r>
    </w:p>
    <w:p w14:paraId="4C98DBB1" w14:textId="05C9F31A" w:rsidR="007F3823" w:rsidRDefault="007F3823" w:rsidP="00C1152C">
      <w:pPr>
        <w:pStyle w:val="ListNumber2"/>
        <w:rPr>
          <w:rFonts w:cs="Arial"/>
          <w:szCs w:val="21"/>
        </w:rPr>
      </w:pPr>
      <w:r w:rsidRPr="00DC3F0B">
        <w:rPr>
          <w:rFonts w:cs="Arial"/>
          <w:szCs w:val="21"/>
        </w:rPr>
        <w:t>ensuring appropriate horizon scanning mechanisms are in place to identify and act proactively on the opportunity of future scientific and technological innovation.</w:t>
      </w:r>
    </w:p>
    <w:p w14:paraId="7D6BDA04" w14:textId="2BEB0F3A" w:rsidR="00F836A4" w:rsidRPr="00E77C38" w:rsidRDefault="007F3823" w:rsidP="000226CA">
      <w:pPr>
        <w:pStyle w:val="Paragraphtext"/>
        <w:rPr>
          <w:szCs w:val="21"/>
        </w:rPr>
      </w:pPr>
      <w:r w:rsidRPr="00E77C38">
        <w:rPr>
          <w:szCs w:val="21"/>
        </w:rPr>
        <w:t xml:space="preserve">For </w:t>
      </w:r>
      <w:r w:rsidR="007F01F3" w:rsidRPr="00E77C38">
        <w:rPr>
          <w:szCs w:val="21"/>
        </w:rPr>
        <w:t>e</w:t>
      </w:r>
      <w:r w:rsidR="00F836A4" w:rsidRPr="00E77C38">
        <w:rPr>
          <w:szCs w:val="21"/>
        </w:rPr>
        <w:t>ach partner</w:t>
      </w:r>
      <w:r w:rsidR="00E31785" w:rsidRPr="00E77C38">
        <w:rPr>
          <w:szCs w:val="21"/>
        </w:rPr>
        <w:t xml:space="preserve"> </w:t>
      </w:r>
      <w:r w:rsidR="00FE534A" w:rsidRPr="00E77C38">
        <w:rPr>
          <w:szCs w:val="21"/>
        </w:rPr>
        <w:t>accountable</w:t>
      </w:r>
      <w:r w:rsidR="00E31785" w:rsidRPr="00E77C38">
        <w:rPr>
          <w:szCs w:val="21"/>
        </w:rPr>
        <w:t xml:space="preserve"> and </w:t>
      </w:r>
      <w:r w:rsidR="00FE534A" w:rsidRPr="00E77C38">
        <w:rPr>
          <w:szCs w:val="21"/>
        </w:rPr>
        <w:t>responsible</w:t>
      </w:r>
      <w:r w:rsidR="00E31785" w:rsidRPr="00E77C38">
        <w:rPr>
          <w:szCs w:val="21"/>
        </w:rPr>
        <w:t xml:space="preserve"> for processes and systems that support the delivery of the NMP, implementation actions </w:t>
      </w:r>
      <w:r w:rsidR="00F836A4" w:rsidRPr="00E77C38">
        <w:rPr>
          <w:szCs w:val="21"/>
        </w:rPr>
        <w:t>should</w:t>
      </w:r>
      <w:r w:rsidR="007F01F3" w:rsidRPr="00E77C38">
        <w:rPr>
          <w:szCs w:val="21"/>
        </w:rPr>
        <w:t xml:space="preserve"> include</w:t>
      </w:r>
      <w:r w:rsidR="00F836A4" w:rsidRPr="00E77C38">
        <w:rPr>
          <w:szCs w:val="21"/>
        </w:rPr>
        <w:t>:</w:t>
      </w:r>
    </w:p>
    <w:p w14:paraId="1354FB29" w14:textId="70550E84" w:rsidR="007F3823" w:rsidRPr="00DC3F0B" w:rsidRDefault="00F836A4" w:rsidP="003833D4">
      <w:pPr>
        <w:pStyle w:val="ListNumber2"/>
        <w:rPr>
          <w:rFonts w:cs="Arial"/>
          <w:szCs w:val="21"/>
        </w:rPr>
      </w:pPr>
      <w:r w:rsidRPr="00DC3F0B">
        <w:rPr>
          <w:rFonts w:cs="Arial"/>
          <w:szCs w:val="21"/>
        </w:rPr>
        <w:t>review</w:t>
      </w:r>
      <w:r w:rsidR="007F01F3" w:rsidRPr="00DC3F0B">
        <w:rPr>
          <w:rFonts w:cs="Arial"/>
          <w:szCs w:val="21"/>
        </w:rPr>
        <w:t>ing</w:t>
      </w:r>
      <w:r w:rsidR="00955ACF" w:rsidRPr="00DC3F0B">
        <w:rPr>
          <w:rFonts w:cs="Arial"/>
          <w:szCs w:val="21"/>
        </w:rPr>
        <w:t xml:space="preserve">, </w:t>
      </w:r>
      <w:r w:rsidRPr="00DC3F0B">
        <w:rPr>
          <w:rFonts w:cs="Arial"/>
          <w:szCs w:val="21"/>
        </w:rPr>
        <w:t>document</w:t>
      </w:r>
      <w:r w:rsidR="007F01F3" w:rsidRPr="00DC3F0B">
        <w:rPr>
          <w:rFonts w:cs="Arial"/>
          <w:szCs w:val="21"/>
        </w:rPr>
        <w:t>ing</w:t>
      </w:r>
      <w:r w:rsidRPr="00DC3F0B">
        <w:rPr>
          <w:rFonts w:cs="Arial"/>
          <w:szCs w:val="21"/>
        </w:rPr>
        <w:t xml:space="preserve"> </w:t>
      </w:r>
      <w:r w:rsidR="00955ACF" w:rsidRPr="00DC3F0B">
        <w:rPr>
          <w:rFonts w:cs="Arial"/>
          <w:szCs w:val="21"/>
        </w:rPr>
        <w:t>and monitor</w:t>
      </w:r>
      <w:r w:rsidR="007F01F3" w:rsidRPr="00DC3F0B">
        <w:rPr>
          <w:rFonts w:cs="Arial"/>
          <w:szCs w:val="21"/>
        </w:rPr>
        <w:t>ing</w:t>
      </w:r>
      <w:r w:rsidR="00955ACF" w:rsidRPr="00DC3F0B">
        <w:rPr>
          <w:rFonts w:cs="Arial"/>
          <w:szCs w:val="21"/>
        </w:rPr>
        <w:t xml:space="preserve"> </w:t>
      </w:r>
      <w:r w:rsidRPr="00DC3F0B">
        <w:rPr>
          <w:rFonts w:cs="Arial"/>
          <w:szCs w:val="21"/>
        </w:rPr>
        <w:t xml:space="preserve">their related policies, strategies, programs, initiatives and outcome measures to ensure consistency with the NMP’s </w:t>
      </w:r>
      <w:r w:rsidR="00853902" w:rsidRPr="00DC3F0B">
        <w:rPr>
          <w:rFonts w:cs="Arial"/>
          <w:szCs w:val="21"/>
        </w:rPr>
        <w:t>a</w:t>
      </w:r>
      <w:r w:rsidRPr="00DC3F0B">
        <w:rPr>
          <w:rFonts w:cs="Arial"/>
          <w:szCs w:val="21"/>
        </w:rPr>
        <w:t>im,</w:t>
      </w:r>
      <w:r w:rsidR="00853902" w:rsidRPr="00DC3F0B">
        <w:rPr>
          <w:rFonts w:cs="Arial"/>
          <w:szCs w:val="21"/>
        </w:rPr>
        <w:t xml:space="preserve"> principles,</w:t>
      </w:r>
      <w:r w:rsidRPr="00DC3F0B">
        <w:rPr>
          <w:rFonts w:cs="Arial"/>
          <w:szCs w:val="21"/>
        </w:rPr>
        <w:t xml:space="preserve"> </w:t>
      </w:r>
      <w:r w:rsidR="00853902" w:rsidRPr="00DC3F0B">
        <w:rPr>
          <w:rFonts w:cs="Arial"/>
          <w:szCs w:val="21"/>
        </w:rPr>
        <w:t>c</w:t>
      </w:r>
      <w:r w:rsidRPr="00DC3F0B">
        <w:rPr>
          <w:rFonts w:cs="Arial"/>
          <w:szCs w:val="21"/>
        </w:rPr>
        <w:t xml:space="preserve">entral </w:t>
      </w:r>
      <w:r w:rsidR="00853902" w:rsidRPr="00DC3F0B">
        <w:rPr>
          <w:rFonts w:cs="Arial"/>
          <w:szCs w:val="21"/>
        </w:rPr>
        <w:t>p</w:t>
      </w:r>
      <w:r w:rsidRPr="00DC3F0B">
        <w:rPr>
          <w:rFonts w:cs="Arial"/>
          <w:szCs w:val="21"/>
        </w:rPr>
        <w:t xml:space="preserve">illars, </w:t>
      </w:r>
      <w:r w:rsidR="00100E83" w:rsidRPr="00DC3F0B">
        <w:rPr>
          <w:rFonts w:cs="Arial"/>
          <w:szCs w:val="21"/>
        </w:rPr>
        <w:t xml:space="preserve">and </w:t>
      </w:r>
      <w:r w:rsidRPr="00DC3F0B">
        <w:rPr>
          <w:rFonts w:cs="Arial"/>
          <w:szCs w:val="21"/>
        </w:rPr>
        <w:t>intended outcomes.</w:t>
      </w:r>
      <w:r w:rsidR="00955ACF" w:rsidRPr="00DC3F0B">
        <w:rPr>
          <w:rFonts w:cs="Arial"/>
          <w:szCs w:val="21"/>
        </w:rPr>
        <w:t xml:space="preserve"> This includes identifying and addressing any gaps or areas of misalignment with the NMP.</w:t>
      </w:r>
    </w:p>
    <w:p w14:paraId="1B73B2F4" w14:textId="4E424964" w:rsidR="00F836A4" w:rsidRPr="00DC3F0B" w:rsidRDefault="008E2E66" w:rsidP="003833D4">
      <w:pPr>
        <w:pStyle w:val="ListNumber2"/>
        <w:rPr>
          <w:rFonts w:cs="Arial"/>
          <w:szCs w:val="21"/>
        </w:rPr>
      </w:pPr>
      <w:r w:rsidRPr="00DC3F0B">
        <w:rPr>
          <w:rFonts w:cs="Arial"/>
          <w:szCs w:val="21"/>
        </w:rPr>
        <w:t>invest</w:t>
      </w:r>
      <w:r w:rsidR="007F01F3" w:rsidRPr="00DC3F0B">
        <w:rPr>
          <w:rFonts w:cs="Arial"/>
          <w:szCs w:val="21"/>
        </w:rPr>
        <w:t xml:space="preserve">ing </w:t>
      </w:r>
      <w:r w:rsidRPr="00DC3F0B">
        <w:rPr>
          <w:rFonts w:cs="Arial"/>
          <w:szCs w:val="21"/>
        </w:rPr>
        <w:t xml:space="preserve">in training </w:t>
      </w:r>
      <w:r w:rsidR="007F01F3" w:rsidRPr="00DC3F0B">
        <w:rPr>
          <w:rFonts w:cs="Arial"/>
          <w:szCs w:val="21"/>
        </w:rPr>
        <w:t xml:space="preserve">and education programs </w:t>
      </w:r>
      <w:r w:rsidRPr="00DC3F0B">
        <w:rPr>
          <w:rFonts w:cs="Arial"/>
          <w:szCs w:val="21"/>
        </w:rPr>
        <w:t xml:space="preserve">to deliver culturally </w:t>
      </w:r>
      <w:r w:rsidR="00AA1F16">
        <w:rPr>
          <w:rFonts w:cs="Arial"/>
          <w:szCs w:val="21"/>
        </w:rPr>
        <w:t xml:space="preserve">safe </w:t>
      </w:r>
      <w:r w:rsidRPr="00AA1F16">
        <w:rPr>
          <w:rFonts w:cs="Arial"/>
          <w:szCs w:val="21"/>
        </w:rPr>
        <w:t xml:space="preserve">person-centred care and shared decision-making, particularly for </w:t>
      </w:r>
      <w:r w:rsidR="0082247F" w:rsidRPr="00DC3F0B">
        <w:rPr>
          <w:rFonts w:cs="Arial"/>
          <w:szCs w:val="21"/>
        </w:rPr>
        <w:t xml:space="preserve">vulnerable </w:t>
      </w:r>
      <w:r w:rsidRPr="00DC3F0B">
        <w:rPr>
          <w:rFonts w:cs="Arial"/>
          <w:szCs w:val="21"/>
        </w:rPr>
        <w:t>population</w:t>
      </w:r>
      <w:r w:rsidR="0082247F" w:rsidRPr="00DC3F0B">
        <w:rPr>
          <w:rFonts w:cs="Arial"/>
          <w:szCs w:val="21"/>
        </w:rPr>
        <w:t xml:space="preserve"> groups</w:t>
      </w:r>
      <w:r w:rsidR="007F01F3" w:rsidRPr="00DC3F0B">
        <w:rPr>
          <w:rFonts w:cs="Arial"/>
          <w:szCs w:val="21"/>
        </w:rPr>
        <w:t>.</w:t>
      </w:r>
    </w:p>
    <w:p w14:paraId="07F25FFD" w14:textId="41364FAF" w:rsidR="00650C3E" w:rsidRPr="00AA1F16" w:rsidRDefault="008E2E66" w:rsidP="003833D4">
      <w:pPr>
        <w:pStyle w:val="ListNumber2"/>
        <w:rPr>
          <w:rFonts w:cs="Arial"/>
          <w:szCs w:val="21"/>
        </w:rPr>
      </w:pPr>
      <w:r w:rsidRPr="00DC3F0B">
        <w:rPr>
          <w:rFonts w:cs="Arial"/>
          <w:szCs w:val="21"/>
        </w:rPr>
        <w:t>invest</w:t>
      </w:r>
      <w:r w:rsidR="007F01F3" w:rsidRPr="00DC3F0B">
        <w:rPr>
          <w:rFonts w:cs="Arial"/>
          <w:szCs w:val="21"/>
        </w:rPr>
        <w:t>ing</w:t>
      </w:r>
      <w:r w:rsidR="00E31785" w:rsidRPr="00DC3F0B">
        <w:rPr>
          <w:rFonts w:cs="Arial"/>
          <w:szCs w:val="21"/>
        </w:rPr>
        <w:t xml:space="preserve"> </w:t>
      </w:r>
      <w:r w:rsidRPr="00DC3F0B">
        <w:rPr>
          <w:rFonts w:cs="Arial"/>
          <w:szCs w:val="21"/>
        </w:rPr>
        <w:t>in co-design and develop</w:t>
      </w:r>
      <w:r w:rsidR="00AA1F16">
        <w:rPr>
          <w:rFonts w:cs="Arial"/>
          <w:szCs w:val="21"/>
        </w:rPr>
        <w:t xml:space="preserve">ing </w:t>
      </w:r>
      <w:r w:rsidR="00AA1F16" w:rsidRPr="000501EC">
        <w:rPr>
          <w:rFonts w:cs="Arial"/>
          <w:szCs w:val="21"/>
        </w:rPr>
        <w:t xml:space="preserve">specific programs </w:t>
      </w:r>
      <w:r w:rsidR="00AA1F16">
        <w:rPr>
          <w:rFonts w:cs="Arial"/>
          <w:szCs w:val="21"/>
        </w:rPr>
        <w:t>and</w:t>
      </w:r>
      <w:r w:rsidR="00AA1F16" w:rsidRPr="000501EC">
        <w:rPr>
          <w:rFonts w:cs="Arial"/>
          <w:szCs w:val="21"/>
        </w:rPr>
        <w:t xml:space="preserve"> </w:t>
      </w:r>
      <w:r w:rsidR="00AA1F16">
        <w:rPr>
          <w:rFonts w:cs="Arial"/>
          <w:szCs w:val="21"/>
        </w:rPr>
        <w:t>initiatives</w:t>
      </w:r>
      <w:r w:rsidR="00AA1F16" w:rsidRPr="00AA1F16">
        <w:rPr>
          <w:rFonts w:cs="Arial"/>
          <w:szCs w:val="21"/>
        </w:rPr>
        <w:t xml:space="preserve"> </w:t>
      </w:r>
      <w:r w:rsidRPr="00AA1F16">
        <w:rPr>
          <w:rFonts w:cs="Arial"/>
          <w:szCs w:val="21"/>
        </w:rPr>
        <w:t xml:space="preserve">with </w:t>
      </w:r>
      <w:r w:rsidR="00100E83" w:rsidRPr="00AA1F16">
        <w:rPr>
          <w:rFonts w:cs="Arial"/>
          <w:szCs w:val="21"/>
        </w:rPr>
        <w:t xml:space="preserve">input from individuals, their families and carers. This includes promoting and building health, digital and medicines literacy, with a focus on culturally </w:t>
      </w:r>
      <w:r w:rsidR="00AA1F16">
        <w:rPr>
          <w:rFonts w:cs="Arial"/>
          <w:szCs w:val="21"/>
        </w:rPr>
        <w:t>safe</w:t>
      </w:r>
      <w:r w:rsidR="00100E83" w:rsidRPr="00AA1F16">
        <w:rPr>
          <w:rFonts w:cs="Arial"/>
          <w:szCs w:val="21"/>
        </w:rPr>
        <w:t xml:space="preserve"> medicines-related information, </w:t>
      </w:r>
      <w:r w:rsidRPr="00DC3F0B">
        <w:rPr>
          <w:rFonts w:cs="Arial"/>
          <w:szCs w:val="21"/>
        </w:rPr>
        <w:t>to help people participate in shared decision-making.</w:t>
      </w:r>
    </w:p>
    <w:p w14:paraId="773D06D2" w14:textId="77777777" w:rsidR="00C1152C" w:rsidRPr="00D8062C" w:rsidRDefault="00C1152C" w:rsidP="00C1152C">
      <w:pPr>
        <w:pStyle w:val="Heading1"/>
        <w:rPr>
          <w:iCs/>
          <w:color w:val="358189"/>
          <w:kern w:val="0"/>
          <w:sz w:val="32"/>
          <w:szCs w:val="28"/>
        </w:rPr>
      </w:pPr>
      <w:r w:rsidRPr="00D8062C">
        <w:rPr>
          <w:iCs/>
          <w:color w:val="358189"/>
          <w:kern w:val="0"/>
          <w:sz w:val="32"/>
          <w:szCs w:val="28"/>
        </w:rPr>
        <w:t>Evaluation</w:t>
      </w:r>
    </w:p>
    <w:p w14:paraId="7B3BAD28" w14:textId="039E9098" w:rsidR="00C1152C" w:rsidRPr="004F0115" w:rsidRDefault="00C1152C" w:rsidP="004F0115">
      <w:pPr>
        <w:pStyle w:val="Paragraphtext"/>
        <w:rPr>
          <w:rFonts w:eastAsia="Arial" w:cs="Arial"/>
          <w:color w:val="auto"/>
        </w:rPr>
      </w:pPr>
      <w:r w:rsidRPr="004F0115">
        <w:rPr>
          <w:rFonts w:eastAsia="Arial" w:cs="Arial"/>
          <w:color w:val="auto"/>
        </w:rPr>
        <w:t xml:space="preserve">Australia’s NMP describes the intended outcomes that partners </w:t>
      </w:r>
      <w:r w:rsidR="00445E90" w:rsidRPr="004F0115">
        <w:rPr>
          <w:rFonts w:eastAsia="Arial" w:cs="Arial"/>
          <w:color w:val="auto"/>
        </w:rPr>
        <w:t xml:space="preserve">must </w:t>
      </w:r>
      <w:r w:rsidRPr="004F0115">
        <w:rPr>
          <w:rFonts w:eastAsia="Arial" w:cs="Arial"/>
          <w:color w:val="auto"/>
        </w:rPr>
        <w:t xml:space="preserve">collectively strive to achieve. The monitoring and evaluation of the collective progress towards the intended outcomes </w:t>
      </w:r>
      <w:r w:rsidR="00445E90" w:rsidRPr="004F0115">
        <w:rPr>
          <w:rFonts w:eastAsia="Arial" w:cs="Arial"/>
          <w:color w:val="auto"/>
        </w:rPr>
        <w:t xml:space="preserve">can </w:t>
      </w:r>
      <w:r w:rsidRPr="004F0115">
        <w:rPr>
          <w:rFonts w:eastAsia="Arial" w:cs="Arial"/>
          <w:color w:val="auto"/>
        </w:rPr>
        <w:t xml:space="preserve">demonstrate the impact of the NMP and allow for the identification of emerging priorities. </w:t>
      </w:r>
    </w:p>
    <w:p w14:paraId="407BBD96" w14:textId="1F579D9B" w:rsidR="00E31785" w:rsidRPr="004F0115" w:rsidRDefault="00C1152C" w:rsidP="004F0115">
      <w:pPr>
        <w:pStyle w:val="Paragraphtext"/>
        <w:rPr>
          <w:rFonts w:eastAsia="Arial" w:cs="Arial"/>
          <w:color w:val="auto"/>
        </w:rPr>
      </w:pPr>
      <w:r w:rsidRPr="004F0115">
        <w:rPr>
          <w:rFonts w:eastAsia="Arial" w:cs="Arial"/>
          <w:color w:val="auto"/>
        </w:rPr>
        <w:t xml:space="preserve">Consistent with the </w:t>
      </w:r>
      <w:r w:rsidR="00E56FEF" w:rsidRPr="004F0115">
        <w:rPr>
          <w:rFonts w:eastAsia="Arial" w:cs="Arial"/>
          <w:color w:val="auto"/>
        </w:rPr>
        <w:t>NM</w:t>
      </w:r>
      <w:r w:rsidRPr="004F0115">
        <w:rPr>
          <w:rFonts w:eastAsia="Arial" w:cs="Arial"/>
          <w:color w:val="auto"/>
        </w:rPr>
        <w:t xml:space="preserve">P’s principle of </w:t>
      </w:r>
      <w:r w:rsidR="00CF1588" w:rsidRPr="004F0115">
        <w:rPr>
          <w:rFonts w:eastAsia="Arial" w:cs="Arial"/>
          <w:color w:val="auto"/>
        </w:rPr>
        <w:t xml:space="preserve">accountability and </w:t>
      </w:r>
      <w:r w:rsidRPr="004F0115">
        <w:rPr>
          <w:rFonts w:eastAsia="Arial" w:cs="Arial"/>
          <w:color w:val="auto"/>
        </w:rPr>
        <w:t xml:space="preserve">transparency, each partner is obliged to make publicly available the results of monitoring and evaluation associated with their NMP aligned programs and initiatives. This information </w:t>
      </w:r>
      <w:r w:rsidR="00445E90" w:rsidRPr="004F0115">
        <w:rPr>
          <w:rFonts w:eastAsia="Arial" w:cs="Arial"/>
          <w:color w:val="auto"/>
        </w:rPr>
        <w:t xml:space="preserve">must </w:t>
      </w:r>
      <w:r w:rsidRPr="004F0115">
        <w:rPr>
          <w:rFonts w:eastAsia="Arial" w:cs="Arial"/>
          <w:color w:val="auto"/>
        </w:rPr>
        <w:t>be accessible and understood to ensure there is shared understanding of NMP partners</w:t>
      </w:r>
      <w:r w:rsidR="00445E90" w:rsidRPr="004F0115">
        <w:rPr>
          <w:rFonts w:eastAsia="Arial" w:cs="Arial"/>
          <w:color w:val="auto"/>
        </w:rPr>
        <w:t>.</w:t>
      </w:r>
      <w:r w:rsidRPr="004F0115">
        <w:rPr>
          <w:rFonts w:eastAsia="Arial" w:cs="Arial"/>
          <w:color w:val="auto"/>
        </w:rPr>
        <w:t xml:space="preserve"> </w:t>
      </w:r>
      <w:r w:rsidR="00445E90" w:rsidRPr="004F0115">
        <w:rPr>
          <w:rFonts w:eastAsia="Arial" w:cs="Arial"/>
          <w:color w:val="auto"/>
        </w:rPr>
        <w:t xml:space="preserve">The </w:t>
      </w:r>
      <w:r w:rsidRPr="004F0115">
        <w:rPr>
          <w:rFonts w:eastAsia="Arial" w:cs="Arial"/>
          <w:color w:val="auto"/>
        </w:rPr>
        <w:t>sharing of information and learnings support</w:t>
      </w:r>
      <w:r w:rsidR="00AB53DC" w:rsidRPr="004F0115">
        <w:rPr>
          <w:rFonts w:eastAsia="Arial" w:cs="Arial"/>
          <w:color w:val="auto"/>
        </w:rPr>
        <w:t>s</w:t>
      </w:r>
      <w:r w:rsidRPr="004F0115">
        <w:rPr>
          <w:rFonts w:eastAsia="Arial" w:cs="Arial"/>
          <w:color w:val="auto"/>
        </w:rPr>
        <w:t xml:space="preserve"> a collaborative and respectful approach to progressing the NMP. </w:t>
      </w:r>
    </w:p>
    <w:p w14:paraId="3077AE41" w14:textId="63CFC72A" w:rsidR="00E31785" w:rsidRPr="004F0115" w:rsidRDefault="00E31785" w:rsidP="004F0115">
      <w:pPr>
        <w:pStyle w:val="Paragraphtext"/>
        <w:rPr>
          <w:rFonts w:eastAsia="Arial" w:cs="Arial"/>
          <w:color w:val="auto"/>
        </w:rPr>
      </w:pPr>
      <w:bookmarkStart w:id="16" w:name="_Hlk120285743"/>
      <w:r w:rsidRPr="004F0115">
        <w:rPr>
          <w:rFonts w:eastAsia="Arial" w:cs="Arial"/>
          <w:color w:val="auto"/>
        </w:rPr>
        <w:t>All partners responsible for policies, strategies, programs and initiatives aligned with the NMP should regularly evaluate each element to ensure they are contributing optimally to the aim of the NMP.</w:t>
      </w:r>
      <w:r w:rsidR="00433212" w:rsidRPr="004F0115">
        <w:rPr>
          <w:rFonts w:eastAsia="Arial" w:cs="Arial"/>
          <w:color w:val="auto"/>
        </w:rPr>
        <w:t xml:space="preserve"> T</w:t>
      </w:r>
      <w:r w:rsidRPr="004F0115">
        <w:rPr>
          <w:rFonts w:eastAsia="Arial" w:cs="Arial"/>
          <w:color w:val="auto"/>
        </w:rPr>
        <w:t>he Commonwealth</w:t>
      </w:r>
      <w:r w:rsidR="00433212" w:rsidRPr="004F0115">
        <w:rPr>
          <w:rFonts w:eastAsia="Arial" w:cs="Arial"/>
          <w:color w:val="auto"/>
        </w:rPr>
        <w:t xml:space="preserve"> </w:t>
      </w:r>
      <w:r w:rsidR="00AB53DC" w:rsidRPr="004F0115">
        <w:rPr>
          <w:rFonts w:eastAsia="Arial" w:cs="Arial"/>
          <w:color w:val="auto"/>
        </w:rPr>
        <w:t>is</w:t>
      </w:r>
      <w:r w:rsidR="00433212" w:rsidRPr="004F0115">
        <w:rPr>
          <w:rFonts w:eastAsia="Arial" w:cs="Arial"/>
          <w:color w:val="auto"/>
        </w:rPr>
        <w:t xml:space="preserve"> also</w:t>
      </w:r>
      <w:r w:rsidR="00AB53DC" w:rsidRPr="004F0115">
        <w:rPr>
          <w:rFonts w:eastAsia="Arial" w:cs="Arial"/>
          <w:color w:val="auto"/>
        </w:rPr>
        <w:t xml:space="preserve"> responsible for</w:t>
      </w:r>
      <w:r w:rsidR="00433212" w:rsidRPr="004F0115">
        <w:rPr>
          <w:rFonts w:eastAsia="Arial" w:cs="Arial"/>
          <w:color w:val="auto"/>
        </w:rPr>
        <w:t xml:space="preserve"> </w:t>
      </w:r>
      <w:r w:rsidRPr="004F0115">
        <w:rPr>
          <w:rFonts w:eastAsia="Arial" w:cs="Arial"/>
          <w:color w:val="auto"/>
        </w:rPr>
        <w:t>develop</w:t>
      </w:r>
      <w:r w:rsidR="00AB53DC" w:rsidRPr="004F0115">
        <w:rPr>
          <w:rFonts w:eastAsia="Arial" w:cs="Arial"/>
          <w:color w:val="auto"/>
        </w:rPr>
        <w:t>ing</w:t>
      </w:r>
      <w:r w:rsidR="00CC66F7" w:rsidRPr="004F0115">
        <w:rPr>
          <w:rFonts w:eastAsia="Arial" w:cs="Arial"/>
          <w:color w:val="auto"/>
        </w:rPr>
        <w:t xml:space="preserve"> </w:t>
      </w:r>
      <w:r w:rsidR="00AB53DC" w:rsidRPr="004F0115">
        <w:rPr>
          <w:rFonts w:eastAsia="Arial" w:cs="Arial"/>
          <w:color w:val="auto"/>
        </w:rPr>
        <w:t>and maintaining</w:t>
      </w:r>
      <w:r w:rsidRPr="004F0115">
        <w:rPr>
          <w:rFonts w:eastAsia="Arial" w:cs="Arial"/>
          <w:color w:val="auto"/>
        </w:rPr>
        <w:t xml:space="preserve"> </w:t>
      </w:r>
      <w:r w:rsidR="00433212" w:rsidRPr="004F0115">
        <w:rPr>
          <w:rFonts w:eastAsia="Arial" w:cs="Arial"/>
          <w:color w:val="auto"/>
        </w:rPr>
        <w:t xml:space="preserve">a set of </w:t>
      </w:r>
      <w:r w:rsidRPr="004F0115">
        <w:rPr>
          <w:rFonts w:eastAsia="Arial" w:cs="Arial"/>
          <w:color w:val="auto"/>
        </w:rPr>
        <w:t>national indicators</w:t>
      </w:r>
      <w:r w:rsidR="00E764F4" w:rsidRPr="004F0115">
        <w:rPr>
          <w:rFonts w:eastAsia="Arial" w:cs="Arial"/>
          <w:color w:val="auto"/>
        </w:rPr>
        <w:t xml:space="preserve"> to measure progress</w:t>
      </w:r>
      <w:r w:rsidR="00433212" w:rsidRPr="004F0115">
        <w:rPr>
          <w:rFonts w:eastAsia="Arial" w:cs="Arial"/>
          <w:color w:val="auto"/>
        </w:rPr>
        <w:t xml:space="preserve"> against the intended outcomes</w:t>
      </w:r>
      <w:r w:rsidR="00C17D68" w:rsidRPr="004F0115">
        <w:rPr>
          <w:rFonts w:eastAsia="Arial" w:cs="Arial"/>
          <w:color w:val="auto"/>
        </w:rPr>
        <w:t xml:space="preserve"> of the NMP’s pillars</w:t>
      </w:r>
      <w:r w:rsidRPr="004F0115">
        <w:rPr>
          <w:rFonts w:eastAsia="Arial" w:cs="Arial"/>
          <w:color w:val="auto"/>
        </w:rPr>
        <w:t>.</w:t>
      </w:r>
    </w:p>
    <w:bookmarkEnd w:id="16"/>
    <w:p w14:paraId="3B6ED5F0" w14:textId="08E32960" w:rsidR="00C1152C" w:rsidRPr="004F0115" w:rsidRDefault="00C1152C" w:rsidP="004F0115">
      <w:pPr>
        <w:pStyle w:val="Paragraphtext"/>
        <w:rPr>
          <w:rFonts w:eastAsia="Arial" w:cs="Arial"/>
          <w:color w:val="auto"/>
        </w:rPr>
      </w:pPr>
      <w:r w:rsidRPr="000226CA">
        <w:rPr>
          <w:rFonts w:eastAsia="Arial" w:cs="Arial"/>
          <w:i/>
          <w:iCs/>
          <w:color w:val="auto"/>
        </w:rPr>
        <w:t>Figure 3</w:t>
      </w:r>
      <w:r w:rsidRPr="004F0115">
        <w:rPr>
          <w:rFonts w:eastAsia="Arial" w:cs="Arial"/>
          <w:color w:val="auto"/>
        </w:rPr>
        <w:t xml:space="preserve"> </w:t>
      </w:r>
      <w:r w:rsidR="00433212" w:rsidRPr="004F0115">
        <w:rPr>
          <w:rFonts w:eastAsia="Arial" w:cs="Arial"/>
          <w:color w:val="auto"/>
        </w:rPr>
        <w:t xml:space="preserve">provides </w:t>
      </w:r>
      <w:r w:rsidRPr="004F0115">
        <w:rPr>
          <w:rFonts w:eastAsia="Arial" w:cs="Arial"/>
          <w:color w:val="auto"/>
        </w:rPr>
        <w:t xml:space="preserve">guidance on evaluation for partners to use when reporting their progress in achieving the </w:t>
      </w:r>
      <w:r w:rsidR="00433212" w:rsidRPr="004F0115">
        <w:rPr>
          <w:rFonts w:eastAsia="Arial" w:cs="Arial"/>
          <w:color w:val="auto"/>
        </w:rPr>
        <w:t xml:space="preserve">intended </w:t>
      </w:r>
      <w:r w:rsidRPr="004F0115">
        <w:rPr>
          <w:rFonts w:eastAsia="Arial" w:cs="Arial"/>
          <w:color w:val="auto"/>
        </w:rPr>
        <w:t>outcomes of the NMP’s pillars.</w:t>
      </w:r>
    </w:p>
    <w:p w14:paraId="26121C26" w14:textId="77777777" w:rsidR="00C1152C" w:rsidRPr="00AA1F16" w:rsidRDefault="00C1152C" w:rsidP="00C1152C">
      <w:pPr>
        <w:rPr>
          <w:rFonts w:cs="Arial"/>
          <w:b/>
          <w:bCs/>
          <w:color w:val="000000" w:themeColor="text1"/>
          <w:sz w:val="21"/>
          <w:szCs w:val="21"/>
        </w:rPr>
      </w:pPr>
      <w:r w:rsidRPr="00DC3F0B">
        <w:rPr>
          <w:rFonts w:cs="Arial"/>
          <w:b/>
          <w:bCs/>
          <w:sz w:val="21"/>
          <w:szCs w:val="21"/>
        </w:rPr>
        <w:br w:type="page"/>
      </w:r>
    </w:p>
    <w:p w14:paraId="1FCEADFB" w14:textId="19C3A380" w:rsidR="00C1152C" w:rsidRDefault="00C1152C" w:rsidP="00C1152C">
      <w:pPr>
        <w:pStyle w:val="Paragraphtext"/>
        <w:rPr>
          <w:rFonts w:cs="Arial"/>
          <w:b/>
          <w:bCs/>
          <w:szCs w:val="21"/>
        </w:rPr>
      </w:pPr>
      <w:r w:rsidRPr="00AA1F16">
        <w:rPr>
          <w:rFonts w:cs="Arial"/>
          <w:b/>
          <w:bCs/>
          <w:szCs w:val="21"/>
        </w:rPr>
        <w:lastRenderedPageBreak/>
        <w:t>Figure 3 – Guidance for an evaluation strategy aligned to the NMP</w:t>
      </w:r>
    </w:p>
    <w:p w14:paraId="01641A54" w14:textId="7852BE29" w:rsidR="001F3BB9" w:rsidRDefault="001F3BB9" w:rsidP="00C1152C">
      <w:pPr>
        <w:pStyle w:val="Paragraphtext"/>
        <w:rPr>
          <w:rFonts w:cs="Arial"/>
          <w:b/>
          <w:bCs/>
          <w:szCs w:val="21"/>
        </w:rPr>
      </w:pPr>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A0" w:firstRow="1" w:lastRow="0" w:firstColumn="1" w:lastColumn="0" w:noHBand="0" w:noVBand="1"/>
      </w:tblPr>
      <w:tblGrid>
        <w:gridCol w:w="3261"/>
        <w:gridCol w:w="5755"/>
      </w:tblGrid>
      <w:tr w:rsidR="0096462F" w:rsidRPr="00C95F02" w14:paraId="20A8D347" w14:textId="77777777" w:rsidTr="00DD033C">
        <w:trPr>
          <w:trHeight w:val="2019"/>
        </w:trPr>
        <w:tc>
          <w:tcPr>
            <w:tcW w:w="3261" w:type="dxa"/>
            <w:shd w:val="clear" w:color="auto" w:fill="24B2BB"/>
          </w:tcPr>
          <w:p w14:paraId="50145E21" w14:textId="77777777" w:rsidR="0096462F" w:rsidRPr="005C1963" w:rsidRDefault="0096462F" w:rsidP="00DD033C">
            <w:pPr>
              <w:pStyle w:val="Paragraphtext"/>
              <w:spacing w:before="240" w:after="0"/>
              <w:ind w:left="170" w:right="170"/>
              <w:rPr>
                <w:rFonts w:cs="Arial"/>
                <w:b/>
                <w:bCs/>
                <w:color w:val="123A6F"/>
                <w:szCs w:val="21"/>
              </w:rPr>
            </w:pPr>
            <w:r>
              <w:rPr>
                <w:rFonts w:cs="Arial"/>
                <w:b/>
                <w:bCs/>
                <w:color w:val="123A6F"/>
                <w:szCs w:val="21"/>
              </w:rPr>
              <w:t>What q</w:t>
            </w:r>
            <w:r w:rsidRPr="005C1963">
              <w:rPr>
                <w:rFonts w:cs="Arial"/>
                <w:b/>
                <w:bCs/>
                <w:color w:val="123A6F"/>
                <w:szCs w:val="21"/>
              </w:rPr>
              <w:t>uestion</w:t>
            </w:r>
            <w:r>
              <w:rPr>
                <w:rFonts w:cs="Arial"/>
                <w:b/>
                <w:bCs/>
                <w:color w:val="123A6F"/>
                <w:szCs w:val="21"/>
              </w:rPr>
              <w:t>s</w:t>
            </w:r>
            <w:r>
              <w:rPr>
                <w:rFonts w:cs="Arial"/>
                <w:b/>
                <w:bCs/>
                <w:color w:val="123A6F"/>
                <w:szCs w:val="21"/>
              </w:rPr>
              <w:br/>
              <w:t>will be asked?</w:t>
            </w:r>
          </w:p>
        </w:tc>
        <w:tc>
          <w:tcPr>
            <w:tcW w:w="5755" w:type="dxa"/>
            <w:shd w:val="clear" w:color="auto" w:fill="DAF0F2"/>
          </w:tcPr>
          <w:p w14:paraId="386BE637" w14:textId="77777777" w:rsidR="0096462F" w:rsidRPr="00C95F02" w:rsidRDefault="0096462F" w:rsidP="00DD033C">
            <w:pPr>
              <w:pStyle w:val="bulletsblue"/>
              <w:spacing w:before="240"/>
            </w:pPr>
            <w:r w:rsidRPr="00C95F02">
              <w:t xml:space="preserve">How have the NMP’s principles been addressed in </w:t>
            </w:r>
            <w:r>
              <w:br/>
            </w:r>
            <w:r w:rsidRPr="00C95F02">
              <w:t>the development and implementation of related policies, strategies, programs and initiatives?</w:t>
            </w:r>
          </w:p>
          <w:p w14:paraId="1E6B97BC" w14:textId="77777777" w:rsidR="0096462F" w:rsidRPr="00C95F02" w:rsidRDefault="0096462F" w:rsidP="00DD033C">
            <w:pPr>
              <w:pStyle w:val="bulletsblue"/>
              <w:spacing w:before="240"/>
            </w:pPr>
            <w:r w:rsidRPr="00C95F02">
              <w:t>Has this contributed towards achievement of the intended outcomes of the NMP’s pillars?</w:t>
            </w:r>
          </w:p>
        </w:tc>
      </w:tr>
      <w:tr w:rsidR="0096462F" w14:paraId="3B1003C6" w14:textId="77777777" w:rsidTr="00DD033C">
        <w:trPr>
          <w:trHeight w:val="657"/>
        </w:trPr>
        <w:tc>
          <w:tcPr>
            <w:tcW w:w="3261" w:type="dxa"/>
            <w:shd w:val="clear" w:color="auto" w:fill="24B2BB"/>
          </w:tcPr>
          <w:p w14:paraId="07BE0551" w14:textId="77777777" w:rsidR="0096462F" w:rsidRPr="005C1963" w:rsidRDefault="0096462F" w:rsidP="00DD033C">
            <w:pPr>
              <w:pStyle w:val="Paragraphtext"/>
              <w:spacing w:before="200" w:after="0"/>
              <w:ind w:left="170" w:right="170"/>
              <w:rPr>
                <w:rFonts w:cs="Arial"/>
                <w:b/>
                <w:bCs/>
                <w:color w:val="123A6F"/>
                <w:szCs w:val="21"/>
              </w:rPr>
            </w:pPr>
            <w:r w:rsidRPr="005C1963">
              <w:rPr>
                <w:rFonts w:cs="Arial"/>
                <w:b/>
                <w:bCs/>
                <w:color w:val="123A6F"/>
                <w:szCs w:val="21"/>
              </w:rPr>
              <w:t xml:space="preserve">What </w:t>
            </w:r>
            <w:r>
              <w:rPr>
                <w:rFonts w:cs="Arial"/>
                <w:b/>
                <w:bCs/>
                <w:color w:val="123A6F"/>
                <w:szCs w:val="21"/>
              </w:rPr>
              <w:t xml:space="preserve">will be </w:t>
            </w:r>
            <w:r w:rsidRPr="005C1963">
              <w:rPr>
                <w:rFonts w:cs="Arial"/>
                <w:b/>
                <w:bCs/>
                <w:color w:val="123A6F"/>
                <w:szCs w:val="21"/>
              </w:rPr>
              <w:t>evaluate</w:t>
            </w:r>
            <w:r>
              <w:rPr>
                <w:rFonts w:cs="Arial"/>
                <w:b/>
                <w:bCs/>
                <w:color w:val="123A6F"/>
                <w:szCs w:val="21"/>
              </w:rPr>
              <w:t>d?</w:t>
            </w:r>
          </w:p>
        </w:tc>
        <w:tc>
          <w:tcPr>
            <w:tcW w:w="5755" w:type="dxa"/>
            <w:shd w:val="clear" w:color="auto" w:fill="DAF0F2"/>
          </w:tcPr>
          <w:p w14:paraId="1FDEA295" w14:textId="77777777" w:rsidR="0096462F" w:rsidRPr="005C1963" w:rsidRDefault="0096462F" w:rsidP="00DD033C">
            <w:pPr>
              <w:pStyle w:val="Paragraphtext"/>
              <w:spacing w:before="200" w:after="0"/>
              <w:ind w:left="170" w:right="170"/>
              <w:rPr>
                <w:color w:val="123A6F"/>
              </w:rPr>
            </w:pPr>
            <w:r w:rsidRPr="005C1963">
              <w:rPr>
                <w:color w:val="123A6F"/>
              </w:rPr>
              <w:t>Policies, strategies, programs and initiatives</w:t>
            </w:r>
          </w:p>
        </w:tc>
      </w:tr>
      <w:tr w:rsidR="0096462F" w14:paraId="7C6D9829" w14:textId="77777777" w:rsidTr="00DD033C">
        <w:trPr>
          <w:trHeight w:val="953"/>
        </w:trPr>
        <w:tc>
          <w:tcPr>
            <w:tcW w:w="3261" w:type="dxa"/>
            <w:shd w:val="clear" w:color="auto" w:fill="24B2BB"/>
          </w:tcPr>
          <w:p w14:paraId="706D8E01" w14:textId="77777777" w:rsidR="0096462F" w:rsidRPr="005C1963" w:rsidRDefault="0096462F" w:rsidP="00DD033C">
            <w:pPr>
              <w:pStyle w:val="Paragraphtext"/>
              <w:spacing w:before="200" w:after="0"/>
              <w:ind w:left="170" w:right="170"/>
              <w:rPr>
                <w:rFonts w:cs="Arial"/>
                <w:b/>
                <w:bCs/>
                <w:color w:val="123A6F"/>
                <w:szCs w:val="21"/>
              </w:rPr>
            </w:pPr>
            <w:r w:rsidRPr="005C1963">
              <w:rPr>
                <w:rFonts w:cs="Arial"/>
                <w:b/>
                <w:bCs/>
                <w:color w:val="123A6F"/>
                <w:szCs w:val="21"/>
              </w:rPr>
              <w:t xml:space="preserve">How </w:t>
            </w:r>
            <w:r>
              <w:rPr>
                <w:rFonts w:cs="Arial"/>
                <w:b/>
                <w:bCs/>
                <w:color w:val="123A6F"/>
                <w:szCs w:val="21"/>
              </w:rPr>
              <w:t xml:space="preserve">will progress </w:t>
            </w:r>
            <w:r>
              <w:rPr>
                <w:rFonts w:cs="Arial"/>
                <w:b/>
                <w:bCs/>
                <w:color w:val="123A6F"/>
                <w:szCs w:val="21"/>
              </w:rPr>
              <w:br/>
              <w:t>be measured?</w:t>
            </w:r>
          </w:p>
        </w:tc>
        <w:tc>
          <w:tcPr>
            <w:tcW w:w="5755" w:type="dxa"/>
            <w:shd w:val="clear" w:color="auto" w:fill="DAF0F2"/>
          </w:tcPr>
          <w:p w14:paraId="35EDBCB7" w14:textId="77777777" w:rsidR="0096462F" w:rsidRPr="005C1963" w:rsidRDefault="0096462F" w:rsidP="00DD033C">
            <w:pPr>
              <w:pStyle w:val="Paragraphtext"/>
              <w:spacing w:before="200" w:after="0"/>
              <w:ind w:left="170" w:right="170"/>
              <w:rPr>
                <w:color w:val="123A6F"/>
              </w:rPr>
            </w:pPr>
            <w:r w:rsidRPr="005C1963">
              <w:rPr>
                <w:color w:val="123A6F"/>
              </w:rPr>
              <w:t>Indicators</w:t>
            </w:r>
            <w:r>
              <w:rPr>
                <w:color w:val="123A6F"/>
              </w:rPr>
              <w:t xml:space="preserve"> -</w:t>
            </w:r>
            <w:r>
              <w:rPr>
                <w:color w:val="123A6F"/>
              </w:rPr>
              <w:br/>
              <w:t>National and program-level criteria</w:t>
            </w:r>
          </w:p>
        </w:tc>
      </w:tr>
      <w:tr w:rsidR="0096462F" w14:paraId="51779704" w14:textId="77777777" w:rsidTr="00DD033C">
        <w:trPr>
          <w:trHeight w:val="1357"/>
        </w:trPr>
        <w:tc>
          <w:tcPr>
            <w:tcW w:w="3261" w:type="dxa"/>
            <w:shd w:val="clear" w:color="auto" w:fill="24B2BB"/>
          </w:tcPr>
          <w:p w14:paraId="13735B60" w14:textId="77777777" w:rsidR="0096462F" w:rsidRPr="005C1963" w:rsidRDefault="0096462F" w:rsidP="00DD033C">
            <w:pPr>
              <w:pStyle w:val="Paragraphtext"/>
              <w:spacing w:before="320" w:after="0"/>
              <w:ind w:left="170" w:right="170"/>
              <w:rPr>
                <w:rFonts w:cs="Arial"/>
                <w:b/>
                <w:bCs/>
                <w:color w:val="123A6F"/>
                <w:szCs w:val="21"/>
              </w:rPr>
            </w:pPr>
            <w:r w:rsidRPr="005C1963">
              <w:rPr>
                <w:rFonts w:cs="Arial"/>
                <w:b/>
                <w:bCs/>
                <w:color w:val="123A6F"/>
                <w:szCs w:val="21"/>
              </w:rPr>
              <w:t>Who will be responsible</w:t>
            </w:r>
            <w:r w:rsidRPr="005C1963">
              <w:rPr>
                <w:rFonts w:cs="Arial"/>
                <w:b/>
                <w:bCs/>
                <w:color w:val="123A6F"/>
                <w:szCs w:val="21"/>
              </w:rPr>
              <w:br/>
              <w:t>for measuring and reporting</w:t>
            </w:r>
            <w:r>
              <w:rPr>
                <w:rFonts w:cs="Arial"/>
                <w:b/>
                <w:bCs/>
                <w:color w:val="123A6F"/>
                <w:szCs w:val="21"/>
              </w:rPr>
              <w:t>?</w:t>
            </w:r>
          </w:p>
        </w:tc>
        <w:tc>
          <w:tcPr>
            <w:tcW w:w="5755" w:type="dxa"/>
            <w:shd w:val="clear" w:color="auto" w:fill="DAF0F2"/>
          </w:tcPr>
          <w:p w14:paraId="4B853CBA" w14:textId="77777777" w:rsidR="0096462F" w:rsidRPr="005C1963" w:rsidRDefault="0096462F" w:rsidP="00DD033C">
            <w:pPr>
              <w:pStyle w:val="Paragraphtext"/>
              <w:spacing w:before="320" w:after="0"/>
              <w:ind w:left="170" w:right="170"/>
              <w:rPr>
                <w:color w:val="123A6F"/>
              </w:rPr>
            </w:pPr>
            <w:r w:rsidRPr="005C1963">
              <w:rPr>
                <w:color w:val="123A6F"/>
              </w:rPr>
              <w:t xml:space="preserve">All partners </w:t>
            </w:r>
            <w:r>
              <w:rPr>
                <w:color w:val="123A6F"/>
              </w:rPr>
              <w:t xml:space="preserve">delivering actions aligned to the </w:t>
            </w:r>
            <w:r>
              <w:rPr>
                <w:color w:val="123A6F"/>
              </w:rPr>
              <w:br/>
              <w:t>NMP’s pillars</w:t>
            </w:r>
          </w:p>
        </w:tc>
      </w:tr>
      <w:tr w:rsidR="0096462F" w14:paraId="36557E4D" w14:textId="77777777" w:rsidTr="00DD033C">
        <w:trPr>
          <w:trHeight w:val="992"/>
        </w:trPr>
        <w:tc>
          <w:tcPr>
            <w:tcW w:w="3261" w:type="dxa"/>
            <w:shd w:val="clear" w:color="auto" w:fill="24B2BB"/>
          </w:tcPr>
          <w:p w14:paraId="73E9606C" w14:textId="77777777" w:rsidR="0096462F" w:rsidRPr="005C1963" w:rsidRDefault="0096462F" w:rsidP="00DD033C">
            <w:pPr>
              <w:pStyle w:val="Paragraphtext"/>
              <w:spacing w:before="240" w:after="0"/>
              <w:ind w:left="170" w:right="170"/>
              <w:rPr>
                <w:rFonts w:cs="Arial"/>
                <w:b/>
                <w:bCs/>
                <w:color w:val="123A6F"/>
                <w:szCs w:val="21"/>
              </w:rPr>
            </w:pPr>
            <w:r w:rsidRPr="005C1963">
              <w:rPr>
                <w:rFonts w:cs="Arial"/>
                <w:b/>
                <w:bCs/>
                <w:color w:val="123A6F"/>
                <w:szCs w:val="21"/>
              </w:rPr>
              <w:t xml:space="preserve">How will </w:t>
            </w:r>
            <w:r>
              <w:rPr>
                <w:rFonts w:cs="Arial"/>
                <w:b/>
                <w:bCs/>
                <w:color w:val="123A6F"/>
                <w:szCs w:val="21"/>
              </w:rPr>
              <w:t>the results</w:t>
            </w:r>
            <w:r>
              <w:rPr>
                <w:rFonts w:cs="Arial"/>
                <w:b/>
                <w:bCs/>
                <w:color w:val="123A6F"/>
                <w:szCs w:val="21"/>
              </w:rPr>
              <w:br/>
            </w:r>
            <w:r w:rsidRPr="005C1963">
              <w:rPr>
                <w:rFonts w:cs="Arial"/>
                <w:b/>
                <w:bCs/>
                <w:color w:val="123A6F"/>
                <w:szCs w:val="21"/>
              </w:rPr>
              <w:t xml:space="preserve">be </w:t>
            </w:r>
            <w:r>
              <w:rPr>
                <w:rFonts w:cs="Arial"/>
                <w:b/>
                <w:bCs/>
                <w:color w:val="123A6F"/>
                <w:szCs w:val="21"/>
              </w:rPr>
              <w:t>communicated?</w:t>
            </w:r>
          </w:p>
        </w:tc>
        <w:tc>
          <w:tcPr>
            <w:tcW w:w="5755" w:type="dxa"/>
            <w:shd w:val="clear" w:color="auto" w:fill="DAF0F2"/>
          </w:tcPr>
          <w:p w14:paraId="5B25059F" w14:textId="77777777" w:rsidR="0096462F" w:rsidRPr="005C1963" w:rsidRDefault="0096462F" w:rsidP="00DD033C">
            <w:pPr>
              <w:pStyle w:val="Paragraphtext"/>
              <w:spacing w:before="240" w:after="0"/>
              <w:ind w:left="170" w:right="170"/>
              <w:rPr>
                <w:color w:val="123A6F"/>
              </w:rPr>
            </w:pPr>
            <w:r w:rsidRPr="005C1963">
              <w:rPr>
                <w:color w:val="123A6F"/>
              </w:rPr>
              <w:t>Annual reports, summaries, conferences and minister</w:t>
            </w:r>
            <w:r>
              <w:rPr>
                <w:color w:val="123A6F"/>
              </w:rPr>
              <w:t>ial/government statements</w:t>
            </w:r>
          </w:p>
        </w:tc>
      </w:tr>
    </w:tbl>
    <w:p w14:paraId="7EE4CBFF" w14:textId="77777777" w:rsidR="00195CDD" w:rsidRDefault="00195CDD" w:rsidP="00C1152C">
      <w:pPr>
        <w:pStyle w:val="Heading1"/>
      </w:pPr>
    </w:p>
    <w:p w14:paraId="513970BA" w14:textId="05C8AEC1" w:rsidR="00C1152C" w:rsidRPr="00AA1F16" w:rsidRDefault="00C1152C" w:rsidP="00C1152C">
      <w:pPr>
        <w:pStyle w:val="Heading1"/>
      </w:pPr>
      <w:r w:rsidRPr="00AA1F16">
        <w:t>Concluding statements</w:t>
      </w:r>
      <w:r w:rsidRPr="00AA1F16">
        <w:tab/>
      </w:r>
    </w:p>
    <w:p w14:paraId="23A66763" w14:textId="66C658AE" w:rsidR="00C1152C" w:rsidRPr="00DC3F0B" w:rsidRDefault="00C1152C" w:rsidP="00C1152C">
      <w:pPr>
        <w:rPr>
          <w:rFonts w:cs="Arial"/>
          <w:sz w:val="21"/>
          <w:szCs w:val="21"/>
        </w:rPr>
      </w:pPr>
      <w:r w:rsidRPr="00AA1F16">
        <w:rPr>
          <w:rFonts w:cs="Arial"/>
          <w:sz w:val="21"/>
          <w:szCs w:val="21"/>
        </w:rPr>
        <w:t xml:space="preserve">The vision of the NMP </w:t>
      </w:r>
      <w:r w:rsidR="00AB53DC" w:rsidRPr="00DC3F0B">
        <w:rPr>
          <w:rFonts w:cs="Arial"/>
          <w:sz w:val="21"/>
          <w:szCs w:val="21"/>
        </w:rPr>
        <w:t xml:space="preserve">can </w:t>
      </w:r>
      <w:r w:rsidRPr="00DC3F0B">
        <w:rPr>
          <w:rFonts w:cs="Arial"/>
          <w:sz w:val="21"/>
          <w:szCs w:val="21"/>
        </w:rPr>
        <w:t>be achieved by a collective and collaborative approach by all partners towards improving the health, social and economic outcomes for all Australians.</w:t>
      </w:r>
      <w:r w:rsidR="006A219B">
        <w:rPr>
          <w:rFonts w:cs="Arial"/>
          <w:sz w:val="21"/>
          <w:szCs w:val="21"/>
        </w:rPr>
        <w:t xml:space="preserve"> </w:t>
      </w:r>
      <w:r w:rsidRPr="00DC3F0B">
        <w:rPr>
          <w:rFonts w:cs="Arial"/>
          <w:sz w:val="21"/>
          <w:szCs w:val="21"/>
        </w:rPr>
        <w:t>Fundamental to the success of this Policy</w:t>
      </w:r>
      <w:r w:rsidR="004F3E5C">
        <w:rPr>
          <w:rFonts w:cs="Arial"/>
          <w:sz w:val="21"/>
          <w:szCs w:val="21"/>
        </w:rPr>
        <w:t xml:space="preserve"> is</w:t>
      </w:r>
      <w:r w:rsidRPr="00DC3F0B">
        <w:rPr>
          <w:rFonts w:cs="Arial"/>
          <w:sz w:val="21"/>
          <w:szCs w:val="21"/>
        </w:rPr>
        <w:t xml:space="preserve"> engag</w:t>
      </w:r>
      <w:r w:rsidR="00AB53DC" w:rsidRPr="00DC3F0B">
        <w:rPr>
          <w:rFonts w:cs="Arial"/>
          <w:sz w:val="21"/>
          <w:szCs w:val="21"/>
        </w:rPr>
        <w:t>ing</w:t>
      </w:r>
      <w:r w:rsidR="00100E83" w:rsidRPr="00DC3F0B">
        <w:rPr>
          <w:rFonts w:cs="Arial"/>
          <w:sz w:val="21"/>
          <w:szCs w:val="21"/>
        </w:rPr>
        <w:t xml:space="preserve"> </w:t>
      </w:r>
      <w:r w:rsidR="00AA1F16">
        <w:rPr>
          <w:rFonts w:cs="Arial"/>
          <w:sz w:val="21"/>
          <w:szCs w:val="21"/>
        </w:rPr>
        <w:t xml:space="preserve">the Australian </w:t>
      </w:r>
      <w:r w:rsidR="00891DC5">
        <w:rPr>
          <w:rFonts w:cs="Arial"/>
          <w:sz w:val="21"/>
          <w:szCs w:val="21"/>
        </w:rPr>
        <w:t>p</w:t>
      </w:r>
      <w:r w:rsidR="00AA1F16">
        <w:rPr>
          <w:rFonts w:cs="Arial"/>
          <w:sz w:val="21"/>
          <w:szCs w:val="21"/>
        </w:rPr>
        <w:t xml:space="preserve">ublic </w:t>
      </w:r>
      <w:r w:rsidRPr="00DC3F0B">
        <w:rPr>
          <w:rFonts w:cs="Arial"/>
          <w:sz w:val="21"/>
          <w:szCs w:val="21"/>
        </w:rPr>
        <w:t xml:space="preserve">in achieving the vision and aim of the </w:t>
      </w:r>
      <w:r w:rsidRPr="00645011">
        <w:rPr>
          <w:rFonts w:cs="Arial"/>
          <w:sz w:val="21"/>
          <w:szCs w:val="21"/>
        </w:rPr>
        <w:t>NMP.</w:t>
      </w:r>
      <w:r w:rsidR="006A219B" w:rsidRPr="00645011">
        <w:rPr>
          <w:rFonts w:cs="Arial"/>
          <w:sz w:val="21"/>
          <w:szCs w:val="21"/>
        </w:rPr>
        <w:t xml:space="preserve"> To assist with this, a plain </w:t>
      </w:r>
      <w:r w:rsidR="000226CA">
        <w:rPr>
          <w:rFonts w:cs="Arial"/>
          <w:sz w:val="21"/>
          <w:szCs w:val="21"/>
        </w:rPr>
        <w:t>language</w:t>
      </w:r>
      <w:r w:rsidR="006A219B" w:rsidRPr="00645011">
        <w:rPr>
          <w:rFonts w:cs="Arial"/>
          <w:sz w:val="21"/>
          <w:szCs w:val="21"/>
        </w:rPr>
        <w:t xml:space="preserve"> version of the NMP is available to ensure it is accessible and easily understood by all Australians.</w:t>
      </w:r>
    </w:p>
    <w:p w14:paraId="41D9164F" w14:textId="77777777" w:rsidR="00C1152C" w:rsidRPr="00DC3F0B" w:rsidRDefault="00C1152C" w:rsidP="00C1152C">
      <w:pPr>
        <w:tabs>
          <w:tab w:val="left" w:pos="6140"/>
        </w:tabs>
        <w:rPr>
          <w:rFonts w:cs="Arial"/>
          <w:sz w:val="21"/>
          <w:szCs w:val="21"/>
        </w:rPr>
      </w:pPr>
    </w:p>
    <w:sectPr w:rsidR="00C1152C" w:rsidRPr="00DC3F0B">
      <w:headerReference w:type="even" r:id="rId23"/>
      <w:headerReference w:type="default" r:id="rId24"/>
      <w:head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FEDF" w14:textId="77777777" w:rsidR="005E0838" w:rsidRDefault="005E0838" w:rsidP="00C1152C">
      <w:r>
        <w:separator/>
      </w:r>
    </w:p>
  </w:endnote>
  <w:endnote w:type="continuationSeparator" w:id="0">
    <w:p w14:paraId="2BF976BA" w14:textId="77777777" w:rsidR="005E0838" w:rsidRDefault="005E0838" w:rsidP="00C1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182175"/>
      <w:docPartObj>
        <w:docPartGallery w:val="Page Numbers (Bottom of Page)"/>
        <w:docPartUnique/>
      </w:docPartObj>
    </w:sdtPr>
    <w:sdtEndPr>
      <w:rPr>
        <w:noProof/>
      </w:rPr>
    </w:sdtEndPr>
    <w:sdtContent>
      <w:p w14:paraId="4E2ACDD0" w14:textId="61A8A427" w:rsidR="00D879C2" w:rsidRDefault="005E0838">
        <w:pPr>
          <w:pStyle w:val="Footer"/>
          <w:jc w:val="right"/>
        </w:pPr>
      </w:p>
    </w:sdtContent>
  </w:sdt>
  <w:p w14:paraId="5B267628" w14:textId="77777777" w:rsidR="00D879C2" w:rsidRDefault="005E0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362920"/>
      <w:docPartObj>
        <w:docPartGallery w:val="Page Numbers (Bottom of Page)"/>
        <w:docPartUnique/>
      </w:docPartObj>
    </w:sdtPr>
    <w:sdtEndPr>
      <w:rPr>
        <w:noProof/>
      </w:rPr>
    </w:sdtEndPr>
    <w:sdtContent>
      <w:p w14:paraId="14460A66" w14:textId="77777777" w:rsidR="008903FE" w:rsidRDefault="008903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09B1DD" w14:textId="77777777" w:rsidR="008903FE" w:rsidRDefault="00890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8577" w14:textId="77777777" w:rsidR="005E0838" w:rsidRDefault="005E0838" w:rsidP="00C1152C">
      <w:r>
        <w:separator/>
      </w:r>
    </w:p>
  </w:footnote>
  <w:footnote w:type="continuationSeparator" w:id="0">
    <w:p w14:paraId="1928814C" w14:textId="77777777" w:rsidR="005E0838" w:rsidRDefault="005E0838" w:rsidP="00C11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F07B" w14:textId="74880D77" w:rsidR="00D879C2" w:rsidRDefault="007016BF">
    <w:pPr>
      <w:pStyle w:val="Header"/>
    </w:pPr>
    <w:r>
      <w:rPr>
        <w:noProof/>
      </w:rPr>
      <w:drawing>
        <wp:inline distT="0" distB="0" distL="0" distR="0" wp14:anchorId="3405C300" wp14:editId="6D48DF02">
          <wp:extent cx="1901825" cy="572770"/>
          <wp:effectExtent l="0" t="0" r="3175" b="0"/>
          <wp:docPr id="15" name="Picture 15" descr="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partment of Health and Aged 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5727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56C6" w14:textId="7E50EEB8" w:rsidR="00D879C2" w:rsidRDefault="00C1152C">
    <w:pPr>
      <w:pStyle w:val="Header"/>
    </w:pPr>
    <w:r>
      <w:rPr>
        <w:noProof/>
        <w:lang w:eastAsia="en-AU"/>
      </w:rPr>
      <w:drawing>
        <wp:anchor distT="0" distB="0" distL="114300" distR="114300" simplePos="0" relativeHeight="251651072" behindDoc="1" locked="0" layoutInCell="1" allowOverlap="1" wp14:anchorId="262DF801" wp14:editId="4C900625">
          <wp:simplePos x="0" y="0"/>
          <wp:positionH relativeFrom="page">
            <wp:align>center</wp:align>
          </wp:positionH>
          <wp:positionV relativeFrom="page">
            <wp:align>center</wp:align>
          </wp:positionV>
          <wp:extent cx="7560000" cy="10692675"/>
          <wp:effectExtent l="0" t="0" r="3175" b="0"/>
          <wp:wrapNone/>
          <wp:docPr id="2" name="Picture 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CF84" w14:textId="32E9163D" w:rsidR="00D879C2" w:rsidRDefault="005E08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B058" w14:textId="3306DE67" w:rsidR="00D879C2" w:rsidRDefault="005E08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5667" w14:textId="54B4B0A2" w:rsidR="00D879C2" w:rsidRDefault="005E08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F27B" w14:textId="6BB7060F" w:rsidR="009D3617" w:rsidRDefault="00C1152C">
    <w:pPr>
      <w:pStyle w:val="Header"/>
    </w:pPr>
    <w:r>
      <w:rPr>
        <w:noProof/>
      </w:rPr>
      <mc:AlternateContent>
        <mc:Choice Requires="wps">
          <w:drawing>
            <wp:anchor distT="0" distB="0" distL="114300" distR="114300" simplePos="0" relativeHeight="251654144" behindDoc="1" locked="0" layoutInCell="0" allowOverlap="1" wp14:anchorId="3DF87B80" wp14:editId="00A6A9DB">
              <wp:simplePos x="0" y="0"/>
              <wp:positionH relativeFrom="margin">
                <wp:align>center</wp:align>
              </wp:positionH>
              <wp:positionV relativeFrom="margin">
                <wp:align>center</wp:align>
              </wp:positionV>
              <wp:extent cx="7182485" cy="897255"/>
              <wp:effectExtent l="0" t="2286000" r="0" b="21412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897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210C7F" w14:textId="77777777" w:rsidR="00C1152C" w:rsidRDefault="00C1152C" w:rsidP="00C1152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Consultation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F87B80" id="_x0000_t202" coordsize="21600,21600" o:spt="202" path="m,l,21600r21600,l21600,xe">
              <v:stroke joinstyle="miter"/>
              <v:path gradientshapeok="t" o:connecttype="rect"/>
            </v:shapetype>
            <v:shape id="Text Box 11" o:spid="_x0000_s1026" type="#_x0000_t202" style="position:absolute;margin-left:0;margin-top:0;width:565.55pt;height:70.6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" o:allowincell="f" filled="f" stroked="f">
              <v:stroke joinstyle="round"/>
              <o:lock v:ext="edit" shapetype="t"/>
              <v:textbox style="mso-fit-shape-to-text:t">
                <w:txbxContent>
                  <w:p w14:paraId="5F210C7F" w14:textId="77777777" w:rsidR="00C1152C" w:rsidRDefault="00C1152C" w:rsidP="00C1152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Consultation 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4847" w14:textId="1117D91B" w:rsidR="009D3617" w:rsidRDefault="005E08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D294" w14:textId="298EF0C2" w:rsidR="009D3617" w:rsidRDefault="00C1152C">
    <w:pPr>
      <w:pStyle w:val="Header"/>
    </w:pPr>
    <w:r>
      <w:rPr>
        <w:noProof/>
      </w:rPr>
      <mc:AlternateContent>
        <mc:Choice Requires="wps">
          <w:drawing>
            <wp:anchor distT="0" distB="0" distL="114300" distR="114300" simplePos="0" relativeHeight="251652096" behindDoc="1" locked="0" layoutInCell="0" allowOverlap="1" wp14:anchorId="77B76F4D" wp14:editId="5335CB6B">
              <wp:simplePos x="0" y="0"/>
              <wp:positionH relativeFrom="margin">
                <wp:align>center</wp:align>
              </wp:positionH>
              <wp:positionV relativeFrom="margin">
                <wp:align>center</wp:align>
              </wp:positionV>
              <wp:extent cx="7182485" cy="897255"/>
              <wp:effectExtent l="0" t="2286000" r="0" b="21412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897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99E921" w14:textId="77777777" w:rsidR="00C1152C" w:rsidRDefault="00C1152C" w:rsidP="00C1152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Consultation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B76F4D" id="_x0000_t202" coordsize="21600,21600" o:spt="202" path="m,l,21600r21600,l21600,xe">
              <v:stroke joinstyle="miter"/>
              <v:path gradientshapeok="t" o:connecttype="rect"/>
            </v:shapetype>
            <v:shape id="Text Box 3" o:spid="_x0000_s1027" type="#_x0000_t202" style="position:absolute;margin-left:0;margin-top:0;width:565.55pt;height:70.65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" o:allowincell="f" filled="f" stroked="f">
              <v:stroke joinstyle="round"/>
              <o:lock v:ext="edit" shapetype="t"/>
              <v:textbox style="mso-fit-shape-to-text:t">
                <w:txbxContent>
                  <w:p w14:paraId="4599E921" w14:textId="77777777" w:rsidR="00C1152C" w:rsidRDefault="00C1152C" w:rsidP="00C1152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Consultation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29D750"/>
    <w:multiLevelType w:val="hybridMultilevel"/>
    <w:tmpl w:val="4C96E7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833CF8"/>
    <w:multiLevelType w:val="hybridMultilevel"/>
    <w:tmpl w:val="9BF30D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8529C"/>
    <w:multiLevelType w:val="multilevel"/>
    <w:tmpl w:val="EB5C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C23106"/>
    <w:multiLevelType w:val="hybridMultilevel"/>
    <w:tmpl w:val="D62282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995B8B"/>
    <w:multiLevelType w:val="hybridMultilevel"/>
    <w:tmpl w:val="785C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986116"/>
    <w:multiLevelType w:val="hybridMultilevel"/>
    <w:tmpl w:val="ABE28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DE1BE1"/>
    <w:multiLevelType w:val="hybridMultilevel"/>
    <w:tmpl w:val="72D61E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3363506"/>
    <w:multiLevelType w:val="hybridMultilevel"/>
    <w:tmpl w:val="A4D4C320"/>
    <w:lvl w:ilvl="0" w:tplc="3F9A5150">
      <w:start w:val="1"/>
      <w:numFmt w:val="bullet"/>
      <w:pStyle w:val="ListBullet"/>
      <w:lvlText w:val=""/>
      <w:lvlJc w:val="left"/>
      <w:pPr>
        <w:ind w:left="360" w:hanging="360"/>
      </w:pPr>
      <w:rPr>
        <w:rFonts w:ascii="Symbol" w:hAnsi="Symbol" w:hint="default"/>
        <w:color w:val="123A6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4CB953"/>
    <w:multiLevelType w:val="hybridMultilevel"/>
    <w:tmpl w:val="F58A06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790962"/>
    <w:multiLevelType w:val="hybridMultilevel"/>
    <w:tmpl w:val="FFFFFFFF"/>
    <w:lvl w:ilvl="0" w:tplc="4C582220">
      <w:start w:val="1"/>
      <w:numFmt w:val="bullet"/>
      <w:lvlText w:val=""/>
      <w:lvlJc w:val="left"/>
      <w:pPr>
        <w:ind w:left="720" w:hanging="360"/>
      </w:pPr>
      <w:rPr>
        <w:rFonts w:ascii="Symbol" w:hAnsi="Symbol" w:hint="default"/>
      </w:rPr>
    </w:lvl>
    <w:lvl w:ilvl="1" w:tplc="97762A3E">
      <w:start w:val="1"/>
      <w:numFmt w:val="bullet"/>
      <w:lvlText w:val="o"/>
      <w:lvlJc w:val="left"/>
      <w:pPr>
        <w:ind w:left="1440" w:hanging="360"/>
      </w:pPr>
      <w:rPr>
        <w:rFonts w:ascii="Courier New" w:hAnsi="Courier New" w:hint="default"/>
      </w:rPr>
    </w:lvl>
    <w:lvl w:ilvl="2" w:tplc="D6B8D924">
      <w:start w:val="1"/>
      <w:numFmt w:val="bullet"/>
      <w:lvlText w:val=""/>
      <w:lvlJc w:val="left"/>
      <w:pPr>
        <w:ind w:left="2160" w:hanging="360"/>
      </w:pPr>
      <w:rPr>
        <w:rFonts w:ascii="Wingdings" w:hAnsi="Wingdings" w:hint="default"/>
      </w:rPr>
    </w:lvl>
    <w:lvl w:ilvl="3" w:tplc="D05C0C60">
      <w:start w:val="1"/>
      <w:numFmt w:val="bullet"/>
      <w:lvlText w:val=""/>
      <w:lvlJc w:val="left"/>
      <w:pPr>
        <w:ind w:left="2880" w:hanging="360"/>
      </w:pPr>
      <w:rPr>
        <w:rFonts w:ascii="Symbol" w:hAnsi="Symbol" w:hint="default"/>
      </w:rPr>
    </w:lvl>
    <w:lvl w:ilvl="4" w:tplc="212E3D32">
      <w:start w:val="1"/>
      <w:numFmt w:val="bullet"/>
      <w:lvlText w:val="o"/>
      <w:lvlJc w:val="left"/>
      <w:pPr>
        <w:ind w:left="3600" w:hanging="360"/>
      </w:pPr>
      <w:rPr>
        <w:rFonts w:ascii="Courier New" w:hAnsi="Courier New" w:hint="default"/>
      </w:rPr>
    </w:lvl>
    <w:lvl w:ilvl="5" w:tplc="14263E5E">
      <w:start w:val="1"/>
      <w:numFmt w:val="bullet"/>
      <w:lvlText w:val=""/>
      <w:lvlJc w:val="left"/>
      <w:pPr>
        <w:ind w:left="4320" w:hanging="360"/>
      </w:pPr>
      <w:rPr>
        <w:rFonts w:ascii="Wingdings" w:hAnsi="Wingdings" w:hint="default"/>
      </w:rPr>
    </w:lvl>
    <w:lvl w:ilvl="6" w:tplc="F52EA5E8">
      <w:start w:val="1"/>
      <w:numFmt w:val="bullet"/>
      <w:lvlText w:val=""/>
      <w:lvlJc w:val="left"/>
      <w:pPr>
        <w:ind w:left="5040" w:hanging="360"/>
      </w:pPr>
      <w:rPr>
        <w:rFonts w:ascii="Symbol" w:hAnsi="Symbol" w:hint="default"/>
      </w:rPr>
    </w:lvl>
    <w:lvl w:ilvl="7" w:tplc="21901060">
      <w:start w:val="1"/>
      <w:numFmt w:val="bullet"/>
      <w:lvlText w:val="o"/>
      <w:lvlJc w:val="left"/>
      <w:pPr>
        <w:ind w:left="5760" w:hanging="360"/>
      </w:pPr>
      <w:rPr>
        <w:rFonts w:ascii="Courier New" w:hAnsi="Courier New" w:hint="default"/>
      </w:rPr>
    </w:lvl>
    <w:lvl w:ilvl="8" w:tplc="B164E246">
      <w:start w:val="1"/>
      <w:numFmt w:val="bullet"/>
      <w:lvlText w:val=""/>
      <w:lvlJc w:val="left"/>
      <w:pPr>
        <w:ind w:left="6480" w:hanging="360"/>
      </w:pPr>
      <w:rPr>
        <w:rFonts w:ascii="Wingdings" w:hAnsi="Wingdings" w:hint="default"/>
      </w:rPr>
    </w:lvl>
  </w:abstractNum>
  <w:abstractNum w:abstractNumId="11" w15:restartNumberingAfterBreak="0">
    <w:nsid w:val="21A90412"/>
    <w:multiLevelType w:val="multilevel"/>
    <w:tmpl w:val="B0F0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C463CE"/>
    <w:multiLevelType w:val="hybridMultilevel"/>
    <w:tmpl w:val="5FAC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9F777B"/>
    <w:multiLevelType w:val="hybridMultilevel"/>
    <w:tmpl w:val="FFFFFFFF"/>
    <w:lvl w:ilvl="0" w:tplc="142400C2">
      <w:start w:val="1"/>
      <w:numFmt w:val="bullet"/>
      <w:lvlText w:val=""/>
      <w:lvlJc w:val="left"/>
      <w:pPr>
        <w:ind w:left="720" w:hanging="360"/>
      </w:pPr>
      <w:rPr>
        <w:rFonts w:ascii="Symbol" w:hAnsi="Symbol" w:hint="default"/>
      </w:rPr>
    </w:lvl>
    <w:lvl w:ilvl="1" w:tplc="87240FDC">
      <w:start w:val="1"/>
      <w:numFmt w:val="bullet"/>
      <w:lvlText w:val="o"/>
      <w:lvlJc w:val="left"/>
      <w:pPr>
        <w:ind w:left="1440" w:hanging="360"/>
      </w:pPr>
      <w:rPr>
        <w:rFonts w:ascii="Courier New" w:hAnsi="Courier New" w:hint="default"/>
      </w:rPr>
    </w:lvl>
    <w:lvl w:ilvl="2" w:tplc="CE483EC4">
      <w:start w:val="1"/>
      <w:numFmt w:val="bullet"/>
      <w:lvlText w:val=""/>
      <w:lvlJc w:val="left"/>
      <w:pPr>
        <w:ind w:left="2160" w:hanging="360"/>
      </w:pPr>
      <w:rPr>
        <w:rFonts w:ascii="Wingdings" w:hAnsi="Wingdings" w:hint="default"/>
      </w:rPr>
    </w:lvl>
    <w:lvl w:ilvl="3" w:tplc="3D848368">
      <w:start w:val="1"/>
      <w:numFmt w:val="bullet"/>
      <w:lvlText w:val=""/>
      <w:lvlJc w:val="left"/>
      <w:pPr>
        <w:ind w:left="2880" w:hanging="360"/>
      </w:pPr>
      <w:rPr>
        <w:rFonts w:ascii="Symbol" w:hAnsi="Symbol" w:hint="default"/>
      </w:rPr>
    </w:lvl>
    <w:lvl w:ilvl="4" w:tplc="B1A6DE2A">
      <w:start w:val="1"/>
      <w:numFmt w:val="bullet"/>
      <w:lvlText w:val="o"/>
      <w:lvlJc w:val="left"/>
      <w:pPr>
        <w:ind w:left="3600" w:hanging="360"/>
      </w:pPr>
      <w:rPr>
        <w:rFonts w:ascii="Courier New" w:hAnsi="Courier New" w:hint="default"/>
      </w:rPr>
    </w:lvl>
    <w:lvl w:ilvl="5" w:tplc="ACF4B91E">
      <w:start w:val="1"/>
      <w:numFmt w:val="bullet"/>
      <w:lvlText w:val=""/>
      <w:lvlJc w:val="left"/>
      <w:pPr>
        <w:ind w:left="4320" w:hanging="360"/>
      </w:pPr>
      <w:rPr>
        <w:rFonts w:ascii="Wingdings" w:hAnsi="Wingdings" w:hint="default"/>
      </w:rPr>
    </w:lvl>
    <w:lvl w:ilvl="6" w:tplc="61568800">
      <w:start w:val="1"/>
      <w:numFmt w:val="bullet"/>
      <w:lvlText w:val=""/>
      <w:lvlJc w:val="left"/>
      <w:pPr>
        <w:ind w:left="5040" w:hanging="360"/>
      </w:pPr>
      <w:rPr>
        <w:rFonts w:ascii="Symbol" w:hAnsi="Symbol" w:hint="default"/>
      </w:rPr>
    </w:lvl>
    <w:lvl w:ilvl="7" w:tplc="C7B4C742">
      <w:start w:val="1"/>
      <w:numFmt w:val="bullet"/>
      <w:lvlText w:val="o"/>
      <w:lvlJc w:val="left"/>
      <w:pPr>
        <w:ind w:left="5760" w:hanging="360"/>
      </w:pPr>
      <w:rPr>
        <w:rFonts w:ascii="Courier New" w:hAnsi="Courier New" w:hint="default"/>
      </w:rPr>
    </w:lvl>
    <w:lvl w:ilvl="8" w:tplc="CB8E9706">
      <w:start w:val="1"/>
      <w:numFmt w:val="bullet"/>
      <w:lvlText w:val=""/>
      <w:lvlJc w:val="left"/>
      <w:pPr>
        <w:ind w:left="6480" w:hanging="360"/>
      </w:pPr>
      <w:rPr>
        <w:rFonts w:ascii="Wingdings" w:hAnsi="Wingdings" w:hint="default"/>
      </w:rPr>
    </w:lvl>
  </w:abstractNum>
  <w:abstractNum w:abstractNumId="15" w15:restartNumberingAfterBreak="0">
    <w:nsid w:val="2C724F51"/>
    <w:multiLevelType w:val="hybridMultilevel"/>
    <w:tmpl w:val="FFFFFFFF"/>
    <w:lvl w:ilvl="0" w:tplc="4FB68C1E">
      <w:start w:val="1"/>
      <w:numFmt w:val="bullet"/>
      <w:lvlText w:val=""/>
      <w:lvlJc w:val="left"/>
      <w:pPr>
        <w:ind w:left="720" w:hanging="360"/>
      </w:pPr>
      <w:rPr>
        <w:rFonts w:ascii="Symbol" w:hAnsi="Symbol" w:hint="default"/>
      </w:rPr>
    </w:lvl>
    <w:lvl w:ilvl="1" w:tplc="FFA28E54">
      <w:start w:val="1"/>
      <w:numFmt w:val="bullet"/>
      <w:lvlText w:val="o"/>
      <w:lvlJc w:val="left"/>
      <w:pPr>
        <w:ind w:left="1440" w:hanging="360"/>
      </w:pPr>
      <w:rPr>
        <w:rFonts w:ascii="Courier New" w:hAnsi="Courier New" w:hint="default"/>
      </w:rPr>
    </w:lvl>
    <w:lvl w:ilvl="2" w:tplc="8D9868E4">
      <w:start w:val="1"/>
      <w:numFmt w:val="bullet"/>
      <w:lvlText w:val=""/>
      <w:lvlJc w:val="left"/>
      <w:pPr>
        <w:ind w:left="2160" w:hanging="360"/>
      </w:pPr>
      <w:rPr>
        <w:rFonts w:ascii="Wingdings" w:hAnsi="Wingdings" w:hint="default"/>
      </w:rPr>
    </w:lvl>
    <w:lvl w:ilvl="3" w:tplc="64626292">
      <w:start w:val="1"/>
      <w:numFmt w:val="bullet"/>
      <w:lvlText w:val=""/>
      <w:lvlJc w:val="left"/>
      <w:pPr>
        <w:ind w:left="2880" w:hanging="360"/>
      </w:pPr>
      <w:rPr>
        <w:rFonts w:ascii="Symbol" w:hAnsi="Symbol" w:hint="default"/>
      </w:rPr>
    </w:lvl>
    <w:lvl w:ilvl="4" w:tplc="E0A23BEC">
      <w:start w:val="1"/>
      <w:numFmt w:val="bullet"/>
      <w:lvlText w:val="o"/>
      <w:lvlJc w:val="left"/>
      <w:pPr>
        <w:ind w:left="3600" w:hanging="360"/>
      </w:pPr>
      <w:rPr>
        <w:rFonts w:ascii="Courier New" w:hAnsi="Courier New" w:hint="default"/>
      </w:rPr>
    </w:lvl>
    <w:lvl w:ilvl="5" w:tplc="34C6E5F0">
      <w:start w:val="1"/>
      <w:numFmt w:val="bullet"/>
      <w:lvlText w:val=""/>
      <w:lvlJc w:val="left"/>
      <w:pPr>
        <w:ind w:left="4320" w:hanging="360"/>
      </w:pPr>
      <w:rPr>
        <w:rFonts w:ascii="Wingdings" w:hAnsi="Wingdings" w:hint="default"/>
      </w:rPr>
    </w:lvl>
    <w:lvl w:ilvl="6" w:tplc="C48CAF92">
      <w:start w:val="1"/>
      <w:numFmt w:val="bullet"/>
      <w:lvlText w:val=""/>
      <w:lvlJc w:val="left"/>
      <w:pPr>
        <w:ind w:left="5040" w:hanging="360"/>
      </w:pPr>
      <w:rPr>
        <w:rFonts w:ascii="Symbol" w:hAnsi="Symbol" w:hint="default"/>
      </w:rPr>
    </w:lvl>
    <w:lvl w:ilvl="7" w:tplc="00FC2BD2">
      <w:start w:val="1"/>
      <w:numFmt w:val="bullet"/>
      <w:lvlText w:val="o"/>
      <w:lvlJc w:val="left"/>
      <w:pPr>
        <w:ind w:left="5760" w:hanging="360"/>
      </w:pPr>
      <w:rPr>
        <w:rFonts w:ascii="Courier New" w:hAnsi="Courier New" w:hint="default"/>
      </w:rPr>
    </w:lvl>
    <w:lvl w:ilvl="8" w:tplc="5C5EFFE4">
      <w:start w:val="1"/>
      <w:numFmt w:val="bullet"/>
      <w:lvlText w:val=""/>
      <w:lvlJc w:val="left"/>
      <w:pPr>
        <w:ind w:left="6480" w:hanging="360"/>
      </w:pPr>
      <w:rPr>
        <w:rFonts w:ascii="Wingdings" w:hAnsi="Wingdings" w:hint="default"/>
      </w:rPr>
    </w:lvl>
  </w:abstractNum>
  <w:abstractNum w:abstractNumId="16" w15:restartNumberingAfterBreak="0">
    <w:nsid w:val="32132DF1"/>
    <w:multiLevelType w:val="hybridMultilevel"/>
    <w:tmpl w:val="D2581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1A4F708"/>
    <w:lvl w:ilvl="0" w:tplc="FFFFFFFF">
      <w:start w:val="1"/>
      <w:numFmt w:val="bullet"/>
      <w:pStyle w:val="ListNumber2"/>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77D7394"/>
    <w:multiLevelType w:val="hybridMultilevel"/>
    <w:tmpl w:val="8E40CF3C"/>
    <w:lvl w:ilvl="0" w:tplc="B8DEB29A">
      <w:start w:val="1"/>
      <w:numFmt w:val="bullet"/>
      <w:lvlText w:val="•"/>
      <w:lvlJc w:val="left"/>
      <w:pPr>
        <w:tabs>
          <w:tab w:val="num" w:pos="720"/>
        </w:tabs>
        <w:ind w:left="720" w:hanging="360"/>
      </w:pPr>
      <w:rPr>
        <w:rFonts w:ascii="Arial" w:hAnsi="Arial" w:hint="default"/>
      </w:rPr>
    </w:lvl>
    <w:lvl w:ilvl="1" w:tplc="7598C81E" w:tentative="1">
      <w:start w:val="1"/>
      <w:numFmt w:val="bullet"/>
      <w:lvlText w:val="•"/>
      <w:lvlJc w:val="left"/>
      <w:pPr>
        <w:tabs>
          <w:tab w:val="num" w:pos="1440"/>
        </w:tabs>
        <w:ind w:left="1440" w:hanging="360"/>
      </w:pPr>
      <w:rPr>
        <w:rFonts w:ascii="Arial" w:hAnsi="Arial" w:hint="default"/>
      </w:rPr>
    </w:lvl>
    <w:lvl w:ilvl="2" w:tplc="D988D0FA" w:tentative="1">
      <w:start w:val="1"/>
      <w:numFmt w:val="bullet"/>
      <w:lvlText w:val="•"/>
      <w:lvlJc w:val="left"/>
      <w:pPr>
        <w:tabs>
          <w:tab w:val="num" w:pos="2160"/>
        </w:tabs>
        <w:ind w:left="2160" w:hanging="360"/>
      </w:pPr>
      <w:rPr>
        <w:rFonts w:ascii="Arial" w:hAnsi="Arial" w:hint="default"/>
      </w:rPr>
    </w:lvl>
    <w:lvl w:ilvl="3" w:tplc="7F1497AA" w:tentative="1">
      <w:start w:val="1"/>
      <w:numFmt w:val="bullet"/>
      <w:lvlText w:val="•"/>
      <w:lvlJc w:val="left"/>
      <w:pPr>
        <w:tabs>
          <w:tab w:val="num" w:pos="2880"/>
        </w:tabs>
        <w:ind w:left="2880" w:hanging="360"/>
      </w:pPr>
      <w:rPr>
        <w:rFonts w:ascii="Arial" w:hAnsi="Arial" w:hint="default"/>
      </w:rPr>
    </w:lvl>
    <w:lvl w:ilvl="4" w:tplc="D48C86BE" w:tentative="1">
      <w:start w:val="1"/>
      <w:numFmt w:val="bullet"/>
      <w:lvlText w:val="•"/>
      <w:lvlJc w:val="left"/>
      <w:pPr>
        <w:tabs>
          <w:tab w:val="num" w:pos="3600"/>
        </w:tabs>
        <w:ind w:left="3600" w:hanging="360"/>
      </w:pPr>
      <w:rPr>
        <w:rFonts w:ascii="Arial" w:hAnsi="Arial" w:hint="default"/>
      </w:rPr>
    </w:lvl>
    <w:lvl w:ilvl="5" w:tplc="CB3A094A" w:tentative="1">
      <w:start w:val="1"/>
      <w:numFmt w:val="bullet"/>
      <w:lvlText w:val="•"/>
      <w:lvlJc w:val="left"/>
      <w:pPr>
        <w:tabs>
          <w:tab w:val="num" w:pos="4320"/>
        </w:tabs>
        <w:ind w:left="4320" w:hanging="360"/>
      </w:pPr>
      <w:rPr>
        <w:rFonts w:ascii="Arial" w:hAnsi="Arial" w:hint="default"/>
      </w:rPr>
    </w:lvl>
    <w:lvl w:ilvl="6" w:tplc="D96A34D4" w:tentative="1">
      <w:start w:val="1"/>
      <w:numFmt w:val="bullet"/>
      <w:lvlText w:val="•"/>
      <w:lvlJc w:val="left"/>
      <w:pPr>
        <w:tabs>
          <w:tab w:val="num" w:pos="5040"/>
        </w:tabs>
        <w:ind w:left="5040" w:hanging="360"/>
      </w:pPr>
      <w:rPr>
        <w:rFonts w:ascii="Arial" w:hAnsi="Arial" w:hint="default"/>
      </w:rPr>
    </w:lvl>
    <w:lvl w:ilvl="7" w:tplc="2AB86064" w:tentative="1">
      <w:start w:val="1"/>
      <w:numFmt w:val="bullet"/>
      <w:lvlText w:val="•"/>
      <w:lvlJc w:val="left"/>
      <w:pPr>
        <w:tabs>
          <w:tab w:val="num" w:pos="5760"/>
        </w:tabs>
        <w:ind w:left="5760" w:hanging="360"/>
      </w:pPr>
      <w:rPr>
        <w:rFonts w:ascii="Arial" w:hAnsi="Arial" w:hint="default"/>
      </w:rPr>
    </w:lvl>
    <w:lvl w:ilvl="8" w:tplc="4ABCA5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013CB9"/>
    <w:multiLevelType w:val="hybridMultilevel"/>
    <w:tmpl w:val="AC085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846D27"/>
    <w:multiLevelType w:val="hybridMultilevel"/>
    <w:tmpl w:val="A48C1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C0C22"/>
    <w:multiLevelType w:val="hybridMultilevel"/>
    <w:tmpl w:val="46189E2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2" w15:restartNumberingAfterBreak="0">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7609F2"/>
    <w:multiLevelType w:val="hybridMultilevel"/>
    <w:tmpl w:val="41D879E6"/>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4" w15:restartNumberingAfterBreak="0">
    <w:nsid w:val="48937742"/>
    <w:multiLevelType w:val="hybridMultilevel"/>
    <w:tmpl w:val="CDC0F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6C6A52"/>
    <w:multiLevelType w:val="hybridMultilevel"/>
    <w:tmpl w:val="FFFFFFFF"/>
    <w:lvl w:ilvl="0" w:tplc="4A5E8048">
      <w:start w:val="1"/>
      <w:numFmt w:val="bullet"/>
      <w:lvlText w:val=""/>
      <w:lvlJc w:val="left"/>
      <w:pPr>
        <w:ind w:left="720" w:hanging="360"/>
      </w:pPr>
      <w:rPr>
        <w:rFonts w:ascii="Symbol" w:hAnsi="Symbol" w:hint="default"/>
      </w:rPr>
    </w:lvl>
    <w:lvl w:ilvl="1" w:tplc="C3EE3EF0">
      <w:start w:val="1"/>
      <w:numFmt w:val="bullet"/>
      <w:lvlText w:val="o"/>
      <w:lvlJc w:val="left"/>
      <w:pPr>
        <w:ind w:left="1440" w:hanging="360"/>
      </w:pPr>
      <w:rPr>
        <w:rFonts w:ascii="Courier New" w:hAnsi="Courier New" w:hint="default"/>
      </w:rPr>
    </w:lvl>
    <w:lvl w:ilvl="2" w:tplc="EC8438EA">
      <w:start w:val="1"/>
      <w:numFmt w:val="bullet"/>
      <w:lvlText w:val=""/>
      <w:lvlJc w:val="left"/>
      <w:pPr>
        <w:ind w:left="2160" w:hanging="360"/>
      </w:pPr>
      <w:rPr>
        <w:rFonts w:ascii="Wingdings" w:hAnsi="Wingdings" w:hint="default"/>
      </w:rPr>
    </w:lvl>
    <w:lvl w:ilvl="3" w:tplc="B972EE84">
      <w:start w:val="1"/>
      <w:numFmt w:val="bullet"/>
      <w:lvlText w:val=""/>
      <w:lvlJc w:val="left"/>
      <w:pPr>
        <w:ind w:left="2880" w:hanging="360"/>
      </w:pPr>
      <w:rPr>
        <w:rFonts w:ascii="Symbol" w:hAnsi="Symbol" w:hint="default"/>
      </w:rPr>
    </w:lvl>
    <w:lvl w:ilvl="4" w:tplc="FEC2E33C">
      <w:start w:val="1"/>
      <w:numFmt w:val="bullet"/>
      <w:lvlText w:val="o"/>
      <w:lvlJc w:val="left"/>
      <w:pPr>
        <w:ind w:left="3600" w:hanging="360"/>
      </w:pPr>
      <w:rPr>
        <w:rFonts w:ascii="Courier New" w:hAnsi="Courier New" w:hint="default"/>
      </w:rPr>
    </w:lvl>
    <w:lvl w:ilvl="5" w:tplc="02326F58">
      <w:start w:val="1"/>
      <w:numFmt w:val="bullet"/>
      <w:lvlText w:val=""/>
      <w:lvlJc w:val="left"/>
      <w:pPr>
        <w:ind w:left="4320" w:hanging="360"/>
      </w:pPr>
      <w:rPr>
        <w:rFonts w:ascii="Wingdings" w:hAnsi="Wingdings" w:hint="default"/>
      </w:rPr>
    </w:lvl>
    <w:lvl w:ilvl="6" w:tplc="0AF00F42">
      <w:start w:val="1"/>
      <w:numFmt w:val="bullet"/>
      <w:lvlText w:val=""/>
      <w:lvlJc w:val="left"/>
      <w:pPr>
        <w:ind w:left="5040" w:hanging="360"/>
      </w:pPr>
      <w:rPr>
        <w:rFonts w:ascii="Symbol" w:hAnsi="Symbol" w:hint="default"/>
      </w:rPr>
    </w:lvl>
    <w:lvl w:ilvl="7" w:tplc="AAE48BD6">
      <w:start w:val="1"/>
      <w:numFmt w:val="bullet"/>
      <w:lvlText w:val="o"/>
      <w:lvlJc w:val="left"/>
      <w:pPr>
        <w:ind w:left="5760" w:hanging="360"/>
      </w:pPr>
      <w:rPr>
        <w:rFonts w:ascii="Courier New" w:hAnsi="Courier New" w:hint="default"/>
      </w:rPr>
    </w:lvl>
    <w:lvl w:ilvl="8" w:tplc="086C54D0">
      <w:start w:val="1"/>
      <w:numFmt w:val="bullet"/>
      <w:lvlText w:val=""/>
      <w:lvlJc w:val="left"/>
      <w:pPr>
        <w:ind w:left="6480" w:hanging="360"/>
      </w:pPr>
      <w:rPr>
        <w:rFonts w:ascii="Wingdings" w:hAnsi="Wingdings" w:hint="default"/>
      </w:rPr>
    </w:lvl>
  </w:abstractNum>
  <w:abstractNum w:abstractNumId="26" w15:restartNumberingAfterBreak="0">
    <w:nsid w:val="512B1E09"/>
    <w:multiLevelType w:val="hybridMultilevel"/>
    <w:tmpl w:val="FAECD65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137265"/>
    <w:multiLevelType w:val="multilevel"/>
    <w:tmpl w:val="E02A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0E7608"/>
    <w:multiLevelType w:val="hybridMultilevel"/>
    <w:tmpl w:val="B7A25548"/>
    <w:lvl w:ilvl="0" w:tplc="2D7EA356">
      <w:start w:val="1"/>
      <w:numFmt w:val="bullet"/>
      <w:lvlText w:val=""/>
      <w:lvlJc w:val="left"/>
      <w:pPr>
        <w:ind w:left="720" w:hanging="360"/>
      </w:pPr>
      <w:rPr>
        <w:rFonts w:ascii="Symbol" w:hAnsi="Symbol" w:hint="default"/>
      </w:rPr>
    </w:lvl>
    <w:lvl w:ilvl="1" w:tplc="B72A639E">
      <w:start w:val="1"/>
      <w:numFmt w:val="bullet"/>
      <w:lvlText w:val="o"/>
      <w:lvlJc w:val="left"/>
      <w:pPr>
        <w:ind w:left="1440" w:hanging="360"/>
      </w:pPr>
      <w:rPr>
        <w:rFonts w:ascii="Courier New" w:hAnsi="Courier New" w:hint="default"/>
      </w:rPr>
    </w:lvl>
    <w:lvl w:ilvl="2" w:tplc="415841EA">
      <w:start w:val="1"/>
      <w:numFmt w:val="bullet"/>
      <w:lvlText w:val=""/>
      <w:lvlJc w:val="left"/>
      <w:pPr>
        <w:ind w:left="2160" w:hanging="360"/>
      </w:pPr>
      <w:rPr>
        <w:rFonts w:ascii="Wingdings" w:hAnsi="Wingdings" w:hint="default"/>
      </w:rPr>
    </w:lvl>
    <w:lvl w:ilvl="3" w:tplc="2326EE90">
      <w:start w:val="1"/>
      <w:numFmt w:val="bullet"/>
      <w:lvlText w:val=""/>
      <w:lvlJc w:val="left"/>
      <w:pPr>
        <w:ind w:left="2880" w:hanging="360"/>
      </w:pPr>
      <w:rPr>
        <w:rFonts w:ascii="Symbol" w:hAnsi="Symbol" w:hint="default"/>
      </w:rPr>
    </w:lvl>
    <w:lvl w:ilvl="4" w:tplc="97D8B470">
      <w:start w:val="1"/>
      <w:numFmt w:val="bullet"/>
      <w:lvlText w:val="o"/>
      <w:lvlJc w:val="left"/>
      <w:pPr>
        <w:ind w:left="3600" w:hanging="360"/>
      </w:pPr>
      <w:rPr>
        <w:rFonts w:ascii="Courier New" w:hAnsi="Courier New" w:hint="default"/>
      </w:rPr>
    </w:lvl>
    <w:lvl w:ilvl="5" w:tplc="DBA851A6">
      <w:start w:val="1"/>
      <w:numFmt w:val="bullet"/>
      <w:lvlText w:val=""/>
      <w:lvlJc w:val="left"/>
      <w:pPr>
        <w:ind w:left="4320" w:hanging="360"/>
      </w:pPr>
      <w:rPr>
        <w:rFonts w:ascii="Wingdings" w:hAnsi="Wingdings" w:hint="default"/>
      </w:rPr>
    </w:lvl>
    <w:lvl w:ilvl="6" w:tplc="E0A822C6">
      <w:start w:val="1"/>
      <w:numFmt w:val="bullet"/>
      <w:lvlText w:val=""/>
      <w:lvlJc w:val="left"/>
      <w:pPr>
        <w:ind w:left="5040" w:hanging="360"/>
      </w:pPr>
      <w:rPr>
        <w:rFonts w:ascii="Symbol" w:hAnsi="Symbol" w:hint="default"/>
      </w:rPr>
    </w:lvl>
    <w:lvl w:ilvl="7" w:tplc="4DC6FDDC">
      <w:start w:val="1"/>
      <w:numFmt w:val="bullet"/>
      <w:lvlText w:val="o"/>
      <w:lvlJc w:val="left"/>
      <w:pPr>
        <w:ind w:left="5760" w:hanging="360"/>
      </w:pPr>
      <w:rPr>
        <w:rFonts w:ascii="Courier New" w:hAnsi="Courier New" w:hint="default"/>
      </w:rPr>
    </w:lvl>
    <w:lvl w:ilvl="8" w:tplc="6AF23E34">
      <w:start w:val="1"/>
      <w:numFmt w:val="bullet"/>
      <w:lvlText w:val=""/>
      <w:lvlJc w:val="left"/>
      <w:pPr>
        <w:ind w:left="6480" w:hanging="360"/>
      </w:pPr>
      <w:rPr>
        <w:rFonts w:ascii="Wingdings" w:hAnsi="Wingdings" w:hint="default"/>
      </w:rPr>
    </w:lvl>
  </w:abstractNum>
  <w:abstractNum w:abstractNumId="30" w15:restartNumberingAfterBreak="0">
    <w:nsid w:val="5E506A14"/>
    <w:multiLevelType w:val="hybridMultilevel"/>
    <w:tmpl w:val="FFFFFFFF"/>
    <w:lvl w:ilvl="0" w:tplc="798A4880">
      <w:start w:val="1"/>
      <w:numFmt w:val="bullet"/>
      <w:lvlText w:val=""/>
      <w:lvlJc w:val="left"/>
      <w:pPr>
        <w:ind w:left="720" w:hanging="360"/>
      </w:pPr>
      <w:rPr>
        <w:rFonts w:ascii="Symbol" w:hAnsi="Symbol" w:hint="default"/>
      </w:rPr>
    </w:lvl>
    <w:lvl w:ilvl="1" w:tplc="DC704FCA">
      <w:start w:val="1"/>
      <w:numFmt w:val="bullet"/>
      <w:lvlText w:val="o"/>
      <w:lvlJc w:val="left"/>
      <w:pPr>
        <w:ind w:left="1440" w:hanging="360"/>
      </w:pPr>
      <w:rPr>
        <w:rFonts w:ascii="Courier New" w:hAnsi="Courier New" w:hint="default"/>
      </w:rPr>
    </w:lvl>
    <w:lvl w:ilvl="2" w:tplc="5FF0E696">
      <w:start w:val="1"/>
      <w:numFmt w:val="bullet"/>
      <w:lvlText w:val=""/>
      <w:lvlJc w:val="left"/>
      <w:pPr>
        <w:ind w:left="2160" w:hanging="360"/>
      </w:pPr>
      <w:rPr>
        <w:rFonts w:ascii="Wingdings" w:hAnsi="Wingdings" w:hint="default"/>
      </w:rPr>
    </w:lvl>
    <w:lvl w:ilvl="3" w:tplc="CBD2D848">
      <w:start w:val="1"/>
      <w:numFmt w:val="bullet"/>
      <w:lvlText w:val=""/>
      <w:lvlJc w:val="left"/>
      <w:pPr>
        <w:ind w:left="2880" w:hanging="360"/>
      </w:pPr>
      <w:rPr>
        <w:rFonts w:ascii="Symbol" w:hAnsi="Symbol" w:hint="default"/>
      </w:rPr>
    </w:lvl>
    <w:lvl w:ilvl="4" w:tplc="CFCE8744">
      <w:start w:val="1"/>
      <w:numFmt w:val="bullet"/>
      <w:lvlText w:val="o"/>
      <w:lvlJc w:val="left"/>
      <w:pPr>
        <w:ind w:left="3600" w:hanging="360"/>
      </w:pPr>
      <w:rPr>
        <w:rFonts w:ascii="Courier New" w:hAnsi="Courier New" w:hint="default"/>
      </w:rPr>
    </w:lvl>
    <w:lvl w:ilvl="5" w:tplc="9CBE930A">
      <w:start w:val="1"/>
      <w:numFmt w:val="bullet"/>
      <w:lvlText w:val=""/>
      <w:lvlJc w:val="left"/>
      <w:pPr>
        <w:ind w:left="4320" w:hanging="360"/>
      </w:pPr>
      <w:rPr>
        <w:rFonts w:ascii="Wingdings" w:hAnsi="Wingdings" w:hint="default"/>
      </w:rPr>
    </w:lvl>
    <w:lvl w:ilvl="6" w:tplc="62862590">
      <w:start w:val="1"/>
      <w:numFmt w:val="bullet"/>
      <w:lvlText w:val=""/>
      <w:lvlJc w:val="left"/>
      <w:pPr>
        <w:ind w:left="5040" w:hanging="360"/>
      </w:pPr>
      <w:rPr>
        <w:rFonts w:ascii="Symbol" w:hAnsi="Symbol" w:hint="default"/>
      </w:rPr>
    </w:lvl>
    <w:lvl w:ilvl="7" w:tplc="4BDCA99A">
      <w:start w:val="1"/>
      <w:numFmt w:val="bullet"/>
      <w:lvlText w:val="o"/>
      <w:lvlJc w:val="left"/>
      <w:pPr>
        <w:ind w:left="5760" w:hanging="360"/>
      </w:pPr>
      <w:rPr>
        <w:rFonts w:ascii="Courier New" w:hAnsi="Courier New" w:hint="default"/>
      </w:rPr>
    </w:lvl>
    <w:lvl w:ilvl="8" w:tplc="07A6C7EA">
      <w:start w:val="1"/>
      <w:numFmt w:val="bullet"/>
      <w:lvlText w:val=""/>
      <w:lvlJc w:val="left"/>
      <w:pPr>
        <w:ind w:left="6480" w:hanging="360"/>
      </w:pPr>
      <w:rPr>
        <w:rFonts w:ascii="Wingdings" w:hAnsi="Wingdings" w:hint="default"/>
      </w:rPr>
    </w:lvl>
  </w:abstractNum>
  <w:abstractNum w:abstractNumId="31" w15:restartNumberingAfterBreak="0">
    <w:nsid w:val="63A31E05"/>
    <w:multiLevelType w:val="hybridMultilevel"/>
    <w:tmpl w:val="A22E4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AB654C"/>
    <w:multiLevelType w:val="hybridMultilevel"/>
    <w:tmpl w:val="BBE85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4163DB"/>
    <w:multiLevelType w:val="hybridMultilevel"/>
    <w:tmpl w:val="17743B06"/>
    <w:lvl w:ilvl="0" w:tplc="52E6BC8E">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0370E3"/>
    <w:multiLevelType w:val="multilevel"/>
    <w:tmpl w:val="18FE50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9885589"/>
    <w:multiLevelType w:val="hybridMultilevel"/>
    <w:tmpl w:val="613C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DA06B6"/>
    <w:multiLevelType w:val="hybridMultilevel"/>
    <w:tmpl w:val="C7385080"/>
    <w:lvl w:ilvl="0" w:tplc="7918132C">
      <w:start w:val="1"/>
      <w:numFmt w:val="bullet"/>
      <w:lvlText w:val="-"/>
      <w:lvlJc w:val="left"/>
      <w:pPr>
        <w:ind w:left="408" w:hanging="360"/>
      </w:pPr>
      <w:rPr>
        <w:rFonts w:ascii="Calibri" w:eastAsiaTheme="minorHAnsi" w:hAnsi="Calibri"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37" w15:restartNumberingAfterBreak="0">
    <w:nsid w:val="6CC92BCA"/>
    <w:multiLevelType w:val="hybridMultilevel"/>
    <w:tmpl w:val="8382796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8" w15:restartNumberingAfterBreak="0">
    <w:nsid w:val="6CF8287E"/>
    <w:multiLevelType w:val="hybridMultilevel"/>
    <w:tmpl w:val="79FC42C0"/>
    <w:lvl w:ilvl="0" w:tplc="B6B6120E">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774E47"/>
    <w:multiLevelType w:val="hybridMultilevel"/>
    <w:tmpl w:val="9E34B2B0"/>
    <w:lvl w:ilvl="0" w:tplc="997A515A">
      <w:start w:val="1"/>
      <w:numFmt w:val="bullet"/>
      <w:lvlText w:val="•"/>
      <w:lvlJc w:val="left"/>
      <w:pPr>
        <w:tabs>
          <w:tab w:val="num" w:pos="360"/>
        </w:tabs>
        <w:ind w:left="360" w:hanging="360"/>
      </w:pPr>
      <w:rPr>
        <w:rFonts w:ascii="Arial" w:hAnsi="Arial" w:hint="default"/>
      </w:rPr>
    </w:lvl>
    <w:lvl w:ilvl="1" w:tplc="4818394A" w:tentative="1">
      <w:start w:val="1"/>
      <w:numFmt w:val="bullet"/>
      <w:lvlText w:val="•"/>
      <w:lvlJc w:val="left"/>
      <w:pPr>
        <w:tabs>
          <w:tab w:val="num" w:pos="1080"/>
        </w:tabs>
        <w:ind w:left="1080" w:hanging="360"/>
      </w:pPr>
      <w:rPr>
        <w:rFonts w:ascii="Arial" w:hAnsi="Arial" w:hint="default"/>
      </w:rPr>
    </w:lvl>
    <w:lvl w:ilvl="2" w:tplc="3670C630" w:tentative="1">
      <w:start w:val="1"/>
      <w:numFmt w:val="bullet"/>
      <w:lvlText w:val="•"/>
      <w:lvlJc w:val="left"/>
      <w:pPr>
        <w:tabs>
          <w:tab w:val="num" w:pos="1800"/>
        </w:tabs>
        <w:ind w:left="1800" w:hanging="360"/>
      </w:pPr>
      <w:rPr>
        <w:rFonts w:ascii="Arial" w:hAnsi="Arial" w:hint="default"/>
      </w:rPr>
    </w:lvl>
    <w:lvl w:ilvl="3" w:tplc="BD060750" w:tentative="1">
      <w:start w:val="1"/>
      <w:numFmt w:val="bullet"/>
      <w:lvlText w:val="•"/>
      <w:lvlJc w:val="left"/>
      <w:pPr>
        <w:tabs>
          <w:tab w:val="num" w:pos="2520"/>
        </w:tabs>
        <w:ind w:left="2520" w:hanging="360"/>
      </w:pPr>
      <w:rPr>
        <w:rFonts w:ascii="Arial" w:hAnsi="Arial" w:hint="default"/>
      </w:rPr>
    </w:lvl>
    <w:lvl w:ilvl="4" w:tplc="D8828BBC" w:tentative="1">
      <w:start w:val="1"/>
      <w:numFmt w:val="bullet"/>
      <w:lvlText w:val="•"/>
      <w:lvlJc w:val="left"/>
      <w:pPr>
        <w:tabs>
          <w:tab w:val="num" w:pos="3240"/>
        </w:tabs>
        <w:ind w:left="3240" w:hanging="360"/>
      </w:pPr>
      <w:rPr>
        <w:rFonts w:ascii="Arial" w:hAnsi="Arial" w:hint="default"/>
      </w:rPr>
    </w:lvl>
    <w:lvl w:ilvl="5" w:tplc="22102788" w:tentative="1">
      <w:start w:val="1"/>
      <w:numFmt w:val="bullet"/>
      <w:lvlText w:val="•"/>
      <w:lvlJc w:val="left"/>
      <w:pPr>
        <w:tabs>
          <w:tab w:val="num" w:pos="3960"/>
        </w:tabs>
        <w:ind w:left="3960" w:hanging="360"/>
      </w:pPr>
      <w:rPr>
        <w:rFonts w:ascii="Arial" w:hAnsi="Arial" w:hint="default"/>
      </w:rPr>
    </w:lvl>
    <w:lvl w:ilvl="6" w:tplc="E3C0F4C8" w:tentative="1">
      <w:start w:val="1"/>
      <w:numFmt w:val="bullet"/>
      <w:lvlText w:val="•"/>
      <w:lvlJc w:val="left"/>
      <w:pPr>
        <w:tabs>
          <w:tab w:val="num" w:pos="4680"/>
        </w:tabs>
        <w:ind w:left="4680" w:hanging="360"/>
      </w:pPr>
      <w:rPr>
        <w:rFonts w:ascii="Arial" w:hAnsi="Arial" w:hint="default"/>
      </w:rPr>
    </w:lvl>
    <w:lvl w:ilvl="7" w:tplc="38C8B9BE" w:tentative="1">
      <w:start w:val="1"/>
      <w:numFmt w:val="bullet"/>
      <w:lvlText w:val="•"/>
      <w:lvlJc w:val="left"/>
      <w:pPr>
        <w:tabs>
          <w:tab w:val="num" w:pos="5400"/>
        </w:tabs>
        <w:ind w:left="5400" w:hanging="360"/>
      </w:pPr>
      <w:rPr>
        <w:rFonts w:ascii="Arial" w:hAnsi="Arial" w:hint="default"/>
      </w:rPr>
    </w:lvl>
    <w:lvl w:ilvl="8" w:tplc="3FAC15E6"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03021C7"/>
    <w:multiLevelType w:val="hybridMultilevel"/>
    <w:tmpl w:val="05A280A4"/>
    <w:lvl w:ilvl="0" w:tplc="9EFA6458">
      <w:start w:val="1"/>
      <w:numFmt w:val="bullet"/>
      <w:lvlText w:val="•"/>
      <w:lvlJc w:val="left"/>
      <w:pPr>
        <w:tabs>
          <w:tab w:val="num" w:pos="720"/>
        </w:tabs>
        <w:ind w:left="720" w:hanging="360"/>
      </w:pPr>
      <w:rPr>
        <w:rFonts w:ascii="Arial" w:hAnsi="Arial" w:hint="default"/>
      </w:rPr>
    </w:lvl>
    <w:lvl w:ilvl="1" w:tplc="1674A676" w:tentative="1">
      <w:start w:val="1"/>
      <w:numFmt w:val="bullet"/>
      <w:lvlText w:val="•"/>
      <w:lvlJc w:val="left"/>
      <w:pPr>
        <w:tabs>
          <w:tab w:val="num" w:pos="1440"/>
        </w:tabs>
        <w:ind w:left="1440" w:hanging="360"/>
      </w:pPr>
      <w:rPr>
        <w:rFonts w:ascii="Arial" w:hAnsi="Arial" w:hint="default"/>
      </w:rPr>
    </w:lvl>
    <w:lvl w:ilvl="2" w:tplc="7E060944" w:tentative="1">
      <w:start w:val="1"/>
      <w:numFmt w:val="bullet"/>
      <w:lvlText w:val="•"/>
      <w:lvlJc w:val="left"/>
      <w:pPr>
        <w:tabs>
          <w:tab w:val="num" w:pos="2160"/>
        </w:tabs>
        <w:ind w:left="2160" w:hanging="360"/>
      </w:pPr>
      <w:rPr>
        <w:rFonts w:ascii="Arial" w:hAnsi="Arial" w:hint="default"/>
      </w:rPr>
    </w:lvl>
    <w:lvl w:ilvl="3" w:tplc="D026F100" w:tentative="1">
      <w:start w:val="1"/>
      <w:numFmt w:val="bullet"/>
      <w:lvlText w:val="•"/>
      <w:lvlJc w:val="left"/>
      <w:pPr>
        <w:tabs>
          <w:tab w:val="num" w:pos="2880"/>
        </w:tabs>
        <w:ind w:left="2880" w:hanging="360"/>
      </w:pPr>
      <w:rPr>
        <w:rFonts w:ascii="Arial" w:hAnsi="Arial" w:hint="default"/>
      </w:rPr>
    </w:lvl>
    <w:lvl w:ilvl="4" w:tplc="4440D060" w:tentative="1">
      <w:start w:val="1"/>
      <w:numFmt w:val="bullet"/>
      <w:lvlText w:val="•"/>
      <w:lvlJc w:val="left"/>
      <w:pPr>
        <w:tabs>
          <w:tab w:val="num" w:pos="3600"/>
        </w:tabs>
        <w:ind w:left="3600" w:hanging="360"/>
      </w:pPr>
      <w:rPr>
        <w:rFonts w:ascii="Arial" w:hAnsi="Arial" w:hint="default"/>
      </w:rPr>
    </w:lvl>
    <w:lvl w:ilvl="5" w:tplc="8B4A1586" w:tentative="1">
      <w:start w:val="1"/>
      <w:numFmt w:val="bullet"/>
      <w:lvlText w:val="•"/>
      <w:lvlJc w:val="left"/>
      <w:pPr>
        <w:tabs>
          <w:tab w:val="num" w:pos="4320"/>
        </w:tabs>
        <w:ind w:left="4320" w:hanging="360"/>
      </w:pPr>
      <w:rPr>
        <w:rFonts w:ascii="Arial" w:hAnsi="Arial" w:hint="default"/>
      </w:rPr>
    </w:lvl>
    <w:lvl w:ilvl="6" w:tplc="1E4CA0E4" w:tentative="1">
      <w:start w:val="1"/>
      <w:numFmt w:val="bullet"/>
      <w:lvlText w:val="•"/>
      <w:lvlJc w:val="left"/>
      <w:pPr>
        <w:tabs>
          <w:tab w:val="num" w:pos="5040"/>
        </w:tabs>
        <w:ind w:left="5040" w:hanging="360"/>
      </w:pPr>
      <w:rPr>
        <w:rFonts w:ascii="Arial" w:hAnsi="Arial" w:hint="default"/>
      </w:rPr>
    </w:lvl>
    <w:lvl w:ilvl="7" w:tplc="CA3E3BBA" w:tentative="1">
      <w:start w:val="1"/>
      <w:numFmt w:val="bullet"/>
      <w:lvlText w:val="•"/>
      <w:lvlJc w:val="left"/>
      <w:pPr>
        <w:tabs>
          <w:tab w:val="num" w:pos="5760"/>
        </w:tabs>
        <w:ind w:left="5760" w:hanging="360"/>
      </w:pPr>
      <w:rPr>
        <w:rFonts w:ascii="Arial" w:hAnsi="Arial" w:hint="default"/>
      </w:rPr>
    </w:lvl>
    <w:lvl w:ilvl="8" w:tplc="D0E0B16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C23D20"/>
    <w:multiLevelType w:val="hybridMultilevel"/>
    <w:tmpl w:val="55FC1E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15:restartNumberingAfterBreak="0">
    <w:nsid w:val="72C534F3"/>
    <w:multiLevelType w:val="hybridMultilevel"/>
    <w:tmpl w:val="FFC03752"/>
    <w:lvl w:ilvl="0" w:tplc="8D265E84">
      <w:start w:val="1"/>
      <w:numFmt w:val="bullet"/>
      <w:lvlText w:val=""/>
      <w:lvlJc w:val="left"/>
      <w:pPr>
        <w:ind w:left="720" w:hanging="360"/>
      </w:pPr>
      <w:rPr>
        <w:rFonts w:ascii="Symbol" w:hAnsi="Symbol" w:hint="default"/>
      </w:rPr>
    </w:lvl>
    <w:lvl w:ilvl="1" w:tplc="503A4758">
      <w:start w:val="1"/>
      <w:numFmt w:val="bullet"/>
      <w:lvlText w:val="o"/>
      <w:lvlJc w:val="left"/>
      <w:pPr>
        <w:ind w:left="1440" w:hanging="360"/>
      </w:pPr>
      <w:rPr>
        <w:rFonts w:ascii="Courier New" w:hAnsi="Courier New" w:hint="default"/>
      </w:rPr>
    </w:lvl>
    <w:lvl w:ilvl="2" w:tplc="6D0CBFE0">
      <w:start w:val="1"/>
      <w:numFmt w:val="bullet"/>
      <w:lvlText w:val=""/>
      <w:lvlJc w:val="left"/>
      <w:pPr>
        <w:ind w:left="2160" w:hanging="360"/>
      </w:pPr>
      <w:rPr>
        <w:rFonts w:ascii="Wingdings" w:hAnsi="Wingdings" w:hint="default"/>
      </w:rPr>
    </w:lvl>
    <w:lvl w:ilvl="3" w:tplc="69F8A75C">
      <w:start w:val="1"/>
      <w:numFmt w:val="bullet"/>
      <w:lvlText w:val=""/>
      <w:lvlJc w:val="left"/>
      <w:pPr>
        <w:ind w:left="2880" w:hanging="360"/>
      </w:pPr>
      <w:rPr>
        <w:rFonts w:ascii="Symbol" w:hAnsi="Symbol" w:hint="default"/>
      </w:rPr>
    </w:lvl>
    <w:lvl w:ilvl="4" w:tplc="F1E442B0">
      <w:start w:val="1"/>
      <w:numFmt w:val="bullet"/>
      <w:lvlText w:val="o"/>
      <w:lvlJc w:val="left"/>
      <w:pPr>
        <w:ind w:left="3600" w:hanging="360"/>
      </w:pPr>
      <w:rPr>
        <w:rFonts w:ascii="Courier New" w:hAnsi="Courier New" w:hint="default"/>
      </w:rPr>
    </w:lvl>
    <w:lvl w:ilvl="5" w:tplc="C8B8EEC4">
      <w:start w:val="1"/>
      <w:numFmt w:val="bullet"/>
      <w:lvlText w:val=""/>
      <w:lvlJc w:val="left"/>
      <w:pPr>
        <w:ind w:left="4320" w:hanging="360"/>
      </w:pPr>
      <w:rPr>
        <w:rFonts w:ascii="Wingdings" w:hAnsi="Wingdings" w:hint="default"/>
      </w:rPr>
    </w:lvl>
    <w:lvl w:ilvl="6" w:tplc="6652B6FE">
      <w:start w:val="1"/>
      <w:numFmt w:val="bullet"/>
      <w:lvlText w:val=""/>
      <w:lvlJc w:val="left"/>
      <w:pPr>
        <w:ind w:left="5040" w:hanging="360"/>
      </w:pPr>
      <w:rPr>
        <w:rFonts w:ascii="Symbol" w:hAnsi="Symbol" w:hint="default"/>
      </w:rPr>
    </w:lvl>
    <w:lvl w:ilvl="7" w:tplc="B83A0D0E">
      <w:start w:val="1"/>
      <w:numFmt w:val="bullet"/>
      <w:lvlText w:val="o"/>
      <w:lvlJc w:val="left"/>
      <w:pPr>
        <w:ind w:left="5760" w:hanging="360"/>
      </w:pPr>
      <w:rPr>
        <w:rFonts w:ascii="Courier New" w:hAnsi="Courier New" w:hint="default"/>
      </w:rPr>
    </w:lvl>
    <w:lvl w:ilvl="8" w:tplc="12047BA6">
      <w:start w:val="1"/>
      <w:numFmt w:val="bullet"/>
      <w:lvlText w:val=""/>
      <w:lvlJc w:val="left"/>
      <w:pPr>
        <w:ind w:left="6480" w:hanging="360"/>
      </w:pPr>
      <w:rPr>
        <w:rFonts w:ascii="Wingdings" w:hAnsi="Wingdings" w:hint="default"/>
      </w:rPr>
    </w:lvl>
  </w:abstractNum>
  <w:abstractNum w:abstractNumId="43" w15:restartNumberingAfterBreak="0">
    <w:nsid w:val="7394407B"/>
    <w:multiLevelType w:val="hybridMultilevel"/>
    <w:tmpl w:val="FFFFFFFF"/>
    <w:lvl w:ilvl="0" w:tplc="D5B2B0FA">
      <w:start w:val="1"/>
      <w:numFmt w:val="bullet"/>
      <w:lvlText w:val=""/>
      <w:lvlJc w:val="left"/>
      <w:pPr>
        <w:ind w:left="720" w:hanging="360"/>
      </w:pPr>
      <w:rPr>
        <w:rFonts w:ascii="Symbol" w:hAnsi="Symbol" w:hint="default"/>
      </w:rPr>
    </w:lvl>
    <w:lvl w:ilvl="1" w:tplc="F4A8932E">
      <w:start w:val="1"/>
      <w:numFmt w:val="bullet"/>
      <w:lvlText w:val="o"/>
      <w:lvlJc w:val="left"/>
      <w:pPr>
        <w:ind w:left="1440" w:hanging="360"/>
      </w:pPr>
      <w:rPr>
        <w:rFonts w:ascii="Courier New" w:hAnsi="Courier New" w:hint="default"/>
      </w:rPr>
    </w:lvl>
    <w:lvl w:ilvl="2" w:tplc="F790F09E">
      <w:start w:val="1"/>
      <w:numFmt w:val="bullet"/>
      <w:lvlText w:val=""/>
      <w:lvlJc w:val="left"/>
      <w:pPr>
        <w:ind w:left="2160" w:hanging="360"/>
      </w:pPr>
      <w:rPr>
        <w:rFonts w:ascii="Wingdings" w:hAnsi="Wingdings" w:hint="default"/>
      </w:rPr>
    </w:lvl>
    <w:lvl w:ilvl="3" w:tplc="868E7BA8">
      <w:start w:val="1"/>
      <w:numFmt w:val="bullet"/>
      <w:lvlText w:val=""/>
      <w:lvlJc w:val="left"/>
      <w:pPr>
        <w:ind w:left="2880" w:hanging="360"/>
      </w:pPr>
      <w:rPr>
        <w:rFonts w:ascii="Symbol" w:hAnsi="Symbol" w:hint="default"/>
      </w:rPr>
    </w:lvl>
    <w:lvl w:ilvl="4" w:tplc="6512E336">
      <w:start w:val="1"/>
      <w:numFmt w:val="bullet"/>
      <w:lvlText w:val="o"/>
      <w:lvlJc w:val="left"/>
      <w:pPr>
        <w:ind w:left="3600" w:hanging="360"/>
      </w:pPr>
      <w:rPr>
        <w:rFonts w:ascii="Courier New" w:hAnsi="Courier New" w:hint="default"/>
      </w:rPr>
    </w:lvl>
    <w:lvl w:ilvl="5" w:tplc="0B0894BE">
      <w:start w:val="1"/>
      <w:numFmt w:val="bullet"/>
      <w:lvlText w:val=""/>
      <w:lvlJc w:val="left"/>
      <w:pPr>
        <w:ind w:left="4320" w:hanging="360"/>
      </w:pPr>
      <w:rPr>
        <w:rFonts w:ascii="Wingdings" w:hAnsi="Wingdings" w:hint="default"/>
      </w:rPr>
    </w:lvl>
    <w:lvl w:ilvl="6" w:tplc="E8021280">
      <w:start w:val="1"/>
      <w:numFmt w:val="bullet"/>
      <w:lvlText w:val=""/>
      <w:lvlJc w:val="left"/>
      <w:pPr>
        <w:ind w:left="5040" w:hanging="360"/>
      </w:pPr>
      <w:rPr>
        <w:rFonts w:ascii="Symbol" w:hAnsi="Symbol" w:hint="default"/>
      </w:rPr>
    </w:lvl>
    <w:lvl w:ilvl="7" w:tplc="3C0E3540">
      <w:start w:val="1"/>
      <w:numFmt w:val="bullet"/>
      <w:lvlText w:val="o"/>
      <w:lvlJc w:val="left"/>
      <w:pPr>
        <w:ind w:left="5760" w:hanging="360"/>
      </w:pPr>
      <w:rPr>
        <w:rFonts w:ascii="Courier New" w:hAnsi="Courier New" w:hint="default"/>
      </w:rPr>
    </w:lvl>
    <w:lvl w:ilvl="8" w:tplc="48929FA0">
      <w:start w:val="1"/>
      <w:numFmt w:val="bullet"/>
      <w:lvlText w:val=""/>
      <w:lvlJc w:val="left"/>
      <w:pPr>
        <w:ind w:left="6480" w:hanging="360"/>
      </w:pPr>
      <w:rPr>
        <w:rFonts w:ascii="Wingdings" w:hAnsi="Wingdings" w:hint="default"/>
      </w:rPr>
    </w:lvl>
  </w:abstractNum>
  <w:abstractNum w:abstractNumId="44" w15:restartNumberingAfterBreak="0">
    <w:nsid w:val="7C5A5BF3"/>
    <w:multiLevelType w:val="hybridMultilevel"/>
    <w:tmpl w:val="7B0ABC20"/>
    <w:lvl w:ilvl="0" w:tplc="C2D0319C">
      <w:start w:val="1"/>
      <w:numFmt w:val="bullet"/>
      <w:lvlText w:val=""/>
      <w:lvlJc w:val="left"/>
      <w:pPr>
        <w:ind w:left="720" w:hanging="360"/>
      </w:pPr>
      <w:rPr>
        <w:rFonts w:ascii="Symbol" w:hAnsi="Symbol" w:hint="default"/>
      </w:rPr>
    </w:lvl>
    <w:lvl w:ilvl="1" w:tplc="85580840">
      <w:start w:val="1"/>
      <w:numFmt w:val="bullet"/>
      <w:lvlText w:val="o"/>
      <w:lvlJc w:val="left"/>
      <w:pPr>
        <w:ind w:left="1440" w:hanging="360"/>
      </w:pPr>
      <w:rPr>
        <w:rFonts w:ascii="Courier New" w:hAnsi="Courier New" w:hint="default"/>
      </w:rPr>
    </w:lvl>
    <w:lvl w:ilvl="2" w:tplc="C386764C">
      <w:start w:val="1"/>
      <w:numFmt w:val="bullet"/>
      <w:lvlText w:val=""/>
      <w:lvlJc w:val="left"/>
      <w:pPr>
        <w:ind w:left="2160" w:hanging="360"/>
      </w:pPr>
      <w:rPr>
        <w:rFonts w:ascii="Wingdings" w:hAnsi="Wingdings" w:hint="default"/>
      </w:rPr>
    </w:lvl>
    <w:lvl w:ilvl="3" w:tplc="9E886106">
      <w:start w:val="1"/>
      <w:numFmt w:val="bullet"/>
      <w:lvlText w:val=""/>
      <w:lvlJc w:val="left"/>
      <w:pPr>
        <w:ind w:left="2880" w:hanging="360"/>
      </w:pPr>
      <w:rPr>
        <w:rFonts w:ascii="Symbol" w:hAnsi="Symbol" w:hint="default"/>
      </w:rPr>
    </w:lvl>
    <w:lvl w:ilvl="4" w:tplc="783AE3EC">
      <w:start w:val="1"/>
      <w:numFmt w:val="bullet"/>
      <w:lvlText w:val="o"/>
      <w:lvlJc w:val="left"/>
      <w:pPr>
        <w:ind w:left="3600" w:hanging="360"/>
      </w:pPr>
      <w:rPr>
        <w:rFonts w:ascii="Courier New" w:hAnsi="Courier New" w:hint="default"/>
      </w:rPr>
    </w:lvl>
    <w:lvl w:ilvl="5" w:tplc="521A0800">
      <w:start w:val="1"/>
      <w:numFmt w:val="bullet"/>
      <w:lvlText w:val=""/>
      <w:lvlJc w:val="left"/>
      <w:pPr>
        <w:ind w:left="4320" w:hanging="360"/>
      </w:pPr>
      <w:rPr>
        <w:rFonts w:ascii="Wingdings" w:hAnsi="Wingdings" w:hint="default"/>
      </w:rPr>
    </w:lvl>
    <w:lvl w:ilvl="6" w:tplc="35CA04A4">
      <w:start w:val="1"/>
      <w:numFmt w:val="bullet"/>
      <w:lvlText w:val=""/>
      <w:lvlJc w:val="left"/>
      <w:pPr>
        <w:ind w:left="5040" w:hanging="360"/>
      </w:pPr>
      <w:rPr>
        <w:rFonts w:ascii="Symbol" w:hAnsi="Symbol" w:hint="default"/>
      </w:rPr>
    </w:lvl>
    <w:lvl w:ilvl="7" w:tplc="827A06DC">
      <w:start w:val="1"/>
      <w:numFmt w:val="bullet"/>
      <w:lvlText w:val="o"/>
      <w:lvlJc w:val="left"/>
      <w:pPr>
        <w:ind w:left="5760" w:hanging="360"/>
      </w:pPr>
      <w:rPr>
        <w:rFonts w:ascii="Courier New" w:hAnsi="Courier New" w:hint="default"/>
      </w:rPr>
    </w:lvl>
    <w:lvl w:ilvl="8" w:tplc="8AB6D0CE">
      <w:start w:val="1"/>
      <w:numFmt w:val="bullet"/>
      <w:lvlText w:val=""/>
      <w:lvlJc w:val="left"/>
      <w:pPr>
        <w:ind w:left="6480" w:hanging="360"/>
      </w:pPr>
      <w:rPr>
        <w:rFonts w:ascii="Wingdings" w:hAnsi="Wingdings" w:hint="default"/>
      </w:rPr>
    </w:lvl>
  </w:abstractNum>
  <w:abstractNum w:abstractNumId="4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7"/>
  </w:num>
  <w:num w:numId="2">
    <w:abstractNumId w:val="38"/>
  </w:num>
  <w:num w:numId="3">
    <w:abstractNumId w:val="5"/>
  </w:num>
  <w:num w:numId="4">
    <w:abstractNumId w:val="45"/>
  </w:num>
  <w:num w:numId="5">
    <w:abstractNumId w:val="8"/>
  </w:num>
  <w:num w:numId="6">
    <w:abstractNumId w:val="17"/>
  </w:num>
  <w:num w:numId="7">
    <w:abstractNumId w:val="2"/>
  </w:num>
  <w:num w:numId="8">
    <w:abstractNumId w:val="4"/>
  </w:num>
  <w:num w:numId="9">
    <w:abstractNumId w:val="37"/>
  </w:num>
  <w:num w:numId="10">
    <w:abstractNumId w:val="23"/>
  </w:num>
  <w:num w:numId="11">
    <w:abstractNumId w:val="9"/>
  </w:num>
  <w:num w:numId="12">
    <w:abstractNumId w:val="0"/>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6"/>
  </w:num>
  <w:num w:numId="17">
    <w:abstractNumId w:val="20"/>
  </w:num>
  <w:num w:numId="18">
    <w:abstractNumId w:val="3"/>
  </w:num>
  <w:num w:numId="19">
    <w:abstractNumId w:val="28"/>
  </w:num>
  <w:num w:numId="20">
    <w:abstractNumId w:val="24"/>
  </w:num>
  <w:num w:numId="21">
    <w:abstractNumId w:val="21"/>
  </w:num>
  <w:num w:numId="22">
    <w:abstractNumId w:val="13"/>
  </w:num>
  <w:num w:numId="23">
    <w:abstractNumId w:val="41"/>
  </w:num>
  <w:num w:numId="24">
    <w:abstractNumId w:val="11"/>
  </w:num>
  <w:num w:numId="25">
    <w:abstractNumId w:val="34"/>
  </w:num>
  <w:num w:numId="26">
    <w:abstractNumId w:val="16"/>
  </w:num>
  <w:num w:numId="27">
    <w:abstractNumId w:val="36"/>
  </w:num>
  <w:num w:numId="28">
    <w:abstractNumId w:val="35"/>
  </w:num>
  <w:num w:numId="29">
    <w:abstractNumId w:val="33"/>
  </w:num>
  <w:num w:numId="30">
    <w:abstractNumId w:val="32"/>
  </w:num>
  <w:num w:numId="31">
    <w:abstractNumId w:val="40"/>
  </w:num>
  <w:num w:numId="32">
    <w:abstractNumId w:val="18"/>
  </w:num>
  <w:num w:numId="33">
    <w:abstractNumId w:val="39"/>
  </w:num>
  <w:num w:numId="34">
    <w:abstractNumId w:val="29"/>
  </w:num>
  <w:num w:numId="35">
    <w:abstractNumId w:val="42"/>
  </w:num>
  <w:num w:numId="36">
    <w:abstractNumId w:val="44"/>
  </w:num>
  <w:num w:numId="37">
    <w:abstractNumId w:val="30"/>
  </w:num>
  <w:num w:numId="38">
    <w:abstractNumId w:val="43"/>
  </w:num>
  <w:num w:numId="39">
    <w:abstractNumId w:val="15"/>
  </w:num>
  <w:num w:numId="40">
    <w:abstractNumId w:val="25"/>
  </w:num>
  <w:num w:numId="41">
    <w:abstractNumId w:val="10"/>
  </w:num>
  <w:num w:numId="42">
    <w:abstractNumId w:val="14"/>
  </w:num>
  <w:num w:numId="43">
    <w:abstractNumId w:val="6"/>
  </w:num>
  <w:num w:numId="44">
    <w:abstractNumId w:val="19"/>
  </w:num>
  <w:num w:numId="45">
    <w:abstractNumId w:val="8"/>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38"/>
  </w:num>
  <w:num w:numId="53">
    <w:abstractNumId w:val="12"/>
  </w:num>
  <w:num w:numId="5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2C"/>
    <w:rsid w:val="00017CCF"/>
    <w:rsid w:val="000226CA"/>
    <w:rsid w:val="00027F35"/>
    <w:rsid w:val="00031A3F"/>
    <w:rsid w:val="00032615"/>
    <w:rsid w:val="00035225"/>
    <w:rsid w:val="00040EBF"/>
    <w:rsid w:val="000504B7"/>
    <w:rsid w:val="00062535"/>
    <w:rsid w:val="0007219E"/>
    <w:rsid w:val="00073CE2"/>
    <w:rsid w:val="00073CFA"/>
    <w:rsid w:val="00076B4C"/>
    <w:rsid w:val="00084A14"/>
    <w:rsid w:val="0008584F"/>
    <w:rsid w:val="000976D8"/>
    <w:rsid w:val="000A2D1F"/>
    <w:rsid w:val="000C4E37"/>
    <w:rsid w:val="000C571D"/>
    <w:rsid w:val="000E1017"/>
    <w:rsid w:val="000E1416"/>
    <w:rsid w:val="000E38F3"/>
    <w:rsid w:val="00100E83"/>
    <w:rsid w:val="001012FF"/>
    <w:rsid w:val="00101ED7"/>
    <w:rsid w:val="001148C4"/>
    <w:rsid w:val="001150C7"/>
    <w:rsid w:val="001255B9"/>
    <w:rsid w:val="00126277"/>
    <w:rsid w:val="001267BE"/>
    <w:rsid w:val="00126843"/>
    <w:rsid w:val="00127861"/>
    <w:rsid w:val="001342F0"/>
    <w:rsid w:val="00141091"/>
    <w:rsid w:val="00142D60"/>
    <w:rsid w:val="00142EFD"/>
    <w:rsid w:val="001439C3"/>
    <w:rsid w:val="001550BB"/>
    <w:rsid w:val="00161774"/>
    <w:rsid w:val="00165D10"/>
    <w:rsid w:val="00193066"/>
    <w:rsid w:val="00194C20"/>
    <w:rsid w:val="001957E1"/>
    <w:rsid w:val="00195CDD"/>
    <w:rsid w:val="0019665E"/>
    <w:rsid w:val="001A4594"/>
    <w:rsid w:val="001A6B84"/>
    <w:rsid w:val="001B2235"/>
    <w:rsid w:val="001B5B3C"/>
    <w:rsid w:val="001B5BC3"/>
    <w:rsid w:val="001C21E1"/>
    <w:rsid w:val="001D3900"/>
    <w:rsid w:val="001D3AFE"/>
    <w:rsid w:val="001E2A23"/>
    <w:rsid w:val="001E69E3"/>
    <w:rsid w:val="001E7FAB"/>
    <w:rsid w:val="001F3BB9"/>
    <w:rsid w:val="0020235E"/>
    <w:rsid w:val="00202F77"/>
    <w:rsid w:val="00204ABD"/>
    <w:rsid w:val="00212C30"/>
    <w:rsid w:val="002171AD"/>
    <w:rsid w:val="002212B6"/>
    <w:rsid w:val="00221D20"/>
    <w:rsid w:val="0022544E"/>
    <w:rsid w:val="002301B6"/>
    <w:rsid w:val="002322DB"/>
    <w:rsid w:val="002337E0"/>
    <w:rsid w:val="00237705"/>
    <w:rsid w:val="0024540F"/>
    <w:rsid w:val="0025087F"/>
    <w:rsid w:val="00271CA3"/>
    <w:rsid w:val="002752C6"/>
    <w:rsid w:val="00275C1E"/>
    <w:rsid w:val="00280050"/>
    <w:rsid w:val="00282988"/>
    <w:rsid w:val="00285D31"/>
    <w:rsid w:val="00294DC0"/>
    <w:rsid w:val="002951FC"/>
    <w:rsid w:val="002A08A3"/>
    <w:rsid w:val="002B002A"/>
    <w:rsid w:val="002B3950"/>
    <w:rsid w:val="002B490D"/>
    <w:rsid w:val="002D0777"/>
    <w:rsid w:val="002F69AA"/>
    <w:rsid w:val="0030451D"/>
    <w:rsid w:val="003114C3"/>
    <w:rsid w:val="0031408B"/>
    <w:rsid w:val="00315174"/>
    <w:rsid w:val="0031532B"/>
    <w:rsid w:val="0032381F"/>
    <w:rsid w:val="00330854"/>
    <w:rsid w:val="00334A96"/>
    <w:rsid w:val="003549C5"/>
    <w:rsid w:val="003628E2"/>
    <w:rsid w:val="00366676"/>
    <w:rsid w:val="00371CC1"/>
    <w:rsid w:val="003738CF"/>
    <w:rsid w:val="003756A5"/>
    <w:rsid w:val="003833D4"/>
    <w:rsid w:val="0038546A"/>
    <w:rsid w:val="003961E0"/>
    <w:rsid w:val="00396A68"/>
    <w:rsid w:val="003A4ED8"/>
    <w:rsid w:val="003B0073"/>
    <w:rsid w:val="003B25E7"/>
    <w:rsid w:val="003B2BD2"/>
    <w:rsid w:val="003C27F2"/>
    <w:rsid w:val="003C4980"/>
    <w:rsid w:val="003C5DB8"/>
    <w:rsid w:val="003C63AC"/>
    <w:rsid w:val="003C6E9F"/>
    <w:rsid w:val="003D5799"/>
    <w:rsid w:val="003E2DB9"/>
    <w:rsid w:val="003E4F32"/>
    <w:rsid w:val="003E5DC7"/>
    <w:rsid w:val="003E6CA1"/>
    <w:rsid w:val="004104CE"/>
    <w:rsid w:val="004313CE"/>
    <w:rsid w:val="004322B1"/>
    <w:rsid w:val="00433212"/>
    <w:rsid w:val="004337BD"/>
    <w:rsid w:val="00441E62"/>
    <w:rsid w:val="00444D5D"/>
    <w:rsid w:val="00445E90"/>
    <w:rsid w:val="00450293"/>
    <w:rsid w:val="00462470"/>
    <w:rsid w:val="0046438C"/>
    <w:rsid w:val="00464933"/>
    <w:rsid w:val="004656F6"/>
    <w:rsid w:val="004726A7"/>
    <w:rsid w:val="0047286A"/>
    <w:rsid w:val="004734E7"/>
    <w:rsid w:val="00477566"/>
    <w:rsid w:val="00481814"/>
    <w:rsid w:val="0048454A"/>
    <w:rsid w:val="004A5FFC"/>
    <w:rsid w:val="004A7EA2"/>
    <w:rsid w:val="004B3232"/>
    <w:rsid w:val="004C53B1"/>
    <w:rsid w:val="004D490A"/>
    <w:rsid w:val="004D4EBE"/>
    <w:rsid w:val="004F0115"/>
    <w:rsid w:val="004F04D6"/>
    <w:rsid w:val="004F10A2"/>
    <w:rsid w:val="004F1FCB"/>
    <w:rsid w:val="004F3E5C"/>
    <w:rsid w:val="00502FD8"/>
    <w:rsid w:val="00504D01"/>
    <w:rsid w:val="00505EDF"/>
    <w:rsid w:val="00507B07"/>
    <w:rsid w:val="00513E5B"/>
    <w:rsid w:val="00530243"/>
    <w:rsid w:val="00531F40"/>
    <w:rsid w:val="005510D2"/>
    <w:rsid w:val="00552B4A"/>
    <w:rsid w:val="00554826"/>
    <w:rsid w:val="00560CFB"/>
    <w:rsid w:val="005618D4"/>
    <w:rsid w:val="005653F6"/>
    <w:rsid w:val="00576CDE"/>
    <w:rsid w:val="005801CE"/>
    <w:rsid w:val="00595E0A"/>
    <w:rsid w:val="00596E71"/>
    <w:rsid w:val="005A2F30"/>
    <w:rsid w:val="005A6FEF"/>
    <w:rsid w:val="005B12EF"/>
    <w:rsid w:val="005B6C4E"/>
    <w:rsid w:val="005C28B4"/>
    <w:rsid w:val="005C455F"/>
    <w:rsid w:val="005E0838"/>
    <w:rsid w:val="005E57B8"/>
    <w:rsid w:val="005F494A"/>
    <w:rsid w:val="005F54E8"/>
    <w:rsid w:val="005F5EDE"/>
    <w:rsid w:val="00603844"/>
    <w:rsid w:val="00606F06"/>
    <w:rsid w:val="00615062"/>
    <w:rsid w:val="00615E53"/>
    <w:rsid w:val="0062157E"/>
    <w:rsid w:val="00623DCF"/>
    <w:rsid w:val="0062736C"/>
    <w:rsid w:val="006302F5"/>
    <w:rsid w:val="006351AD"/>
    <w:rsid w:val="006417E5"/>
    <w:rsid w:val="00645011"/>
    <w:rsid w:val="00650C3E"/>
    <w:rsid w:val="00651EBD"/>
    <w:rsid w:val="00652471"/>
    <w:rsid w:val="0065466D"/>
    <w:rsid w:val="00671D16"/>
    <w:rsid w:val="0067241C"/>
    <w:rsid w:val="00674434"/>
    <w:rsid w:val="006776A2"/>
    <w:rsid w:val="00681C7D"/>
    <w:rsid w:val="00683AB5"/>
    <w:rsid w:val="00685B40"/>
    <w:rsid w:val="0069627E"/>
    <w:rsid w:val="006A1E40"/>
    <w:rsid w:val="006A219B"/>
    <w:rsid w:val="006A4B8B"/>
    <w:rsid w:val="006B411A"/>
    <w:rsid w:val="006B676C"/>
    <w:rsid w:val="006C6C20"/>
    <w:rsid w:val="006C7497"/>
    <w:rsid w:val="006C790E"/>
    <w:rsid w:val="006D2B26"/>
    <w:rsid w:val="006D67FD"/>
    <w:rsid w:val="006E0213"/>
    <w:rsid w:val="006E608F"/>
    <w:rsid w:val="006F1E4A"/>
    <w:rsid w:val="006F5EB2"/>
    <w:rsid w:val="007016BF"/>
    <w:rsid w:val="00701CAB"/>
    <w:rsid w:val="00703AE8"/>
    <w:rsid w:val="0070420E"/>
    <w:rsid w:val="007172F1"/>
    <w:rsid w:val="00723578"/>
    <w:rsid w:val="0073753A"/>
    <w:rsid w:val="00737F77"/>
    <w:rsid w:val="00740A0D"/>
    <w:rsid w:val="00742388"/>
    <w:rsid w:val="0074540B"/>
    <w:rsid w:val="007535C8"/>
    <w:rsid w:val="00754E82"/>
    <w:rsid w:val="007552FA"/>
    <w:rsid w:val="00764D16"/>
    <w:rsid w:val="0076566D"/>
    <w:rsid w:val="00773A2F"/>
    <w:rsid w:val="00775D14"/>
    <w:rsid w:val="0077698D"/>
    <w:rsid w:val="007B08F7"/>
    <w:rsid w:val="007B19A9"/>
    <w:rsid w:val="007C1598"/>
    <w:rsid w:val="007C3FC1"/>
    <w:rsid w:val="007C7A65"/>
    <w:rsid w:val="007D0C91"/>
    <w:rsid w:val="007D0FDB"/>
    <w:rsid w:val="007D564A"/>
    <w:rsid w:val="007E4801"/>
    <w:rsid w:val="007E7195"/>
    <w:rsid w:val="007E749D"/>
    <w:rsid w:val="007F01F3"/>
    <w:rsid w:val="007F1013"/>
    <w:rsid w:val="007F3823"/>
    <w:rsid w:val="007F5C7B"/>
    <w:rsid w:val="00805095"/>
    <w:rsid w:val="008132EB"/>
    <w:rsid w:val="008221F0"/>
    <w:rsid w:val="0082247F"/>
    <w:rsid w:val="0082260F"/>
    <w:rsid w:val="00823462"/>
    <w:rsid w:val="00823647"/>
    <w:rsid w:val="00823A5B"/>
    <w:rsid w:val="00826A19"/>
    <w:rsid w:val="00827968"/>
    <w:rsid w:val="00833AC2"/>
    <w:rsid w:val="0083417A"/>
    <w:rsid w:val="00843106"/>
    <w:rsid w:val="00853132"/>
    <w:rsid w:val="00853902"/>
    <w:rsid w:val="0085452C"/>
    <w:rsid w:val="00863E32"/>
    <w:rsid w:val="00865655"/>
    <w:rsid w:val="008702F4"/>
    <w:rsid w:val="00870D22"/>
    <w:rsid w:val="00872F2C"/>
    <w:rsid w:val="008733BF"/>
    <w:rsid w:val="008903FE"/>
    <w:rsid w:val="00891243"/>
    <w:rsid w:val="00891DC5"/>
    <w:rsid w:val="008A598A"/>
    <w:rsid w:val="008A75C6"/>
    <w:rsid w:val="008B0EE4"/>
    <w:rsid w:val="008B3A4D"/>
    <w:rsid w:val="008B4262"/>
    <w:rsid w:val="008B5810"/>
    <w:rsid w:val="008C2849"/>
    <w:rsid w:val="008D3956"/>
    <w:rsid w:val="008D692F"/>
    <w:rsid w:val="008E2E66"/>
    <w:rsid w:val="008F7735"/>
    <w:rsid w:val="0090226D"/>
    <w:rsid w:val="0091100E"/>
    <w:rsid w:val="00915A93"/>
    <w:rsid w:val="009172F8"/>
    <w:rsid w:val="00930D67"/>
    <w:rsid w:val="009343AE"/>
    <w:rsid w:val="00943305"/>
    <w:rsid w:val="00943A6D"/>
    <w:rsid w:val="00955ACF"/>
    <w:rsid w:val="009578BD"/>
    <w:rsid w:val="00961C99"/>
    <w:rsid w:val="00963F92"/>
    <w:rsid w:val="0096462F"/>
    <w:rsid w:val="00964F7E"/>
    <w:rsid w:val="0098544A"/>
    <w:rsid w:val="0098583E"/>
    <w:rsid w:val="009902C4"/>
    <w:rsid w:val="00997C81"/>
    <w:rsid w:val="009A0D36"/>
    <w:rsid w:val="009B29DE"/>
    <w:rsid w:val="009B2DE1"/>
    <w:rsid w:val="009B41F3"/>
    <w:rsid w:val="009C4F86"/>
    <w:rsid w:val="009D5682"/>
    <w:rsid w:val="009D7E14"/>
    <w:rsid w:val="009E2667"/>
    <w:rsid w:val="009E2E39"/>
    <w:rsid w:val="009E5785"/>
    <w:rsid w:val="009E5DF7"/>
    <w:rsid w:val="009E6433"/>
    <w:rsid w:val="009E6CF4"/>
    <w:rsid w:val="009F0C31"/>
    <w:rsid w:val="009F3757"/>
    <w:rsid w:val="009F65CE"/>
    <w:rsid w:val="009F76D2"/>
    <w:rsid w:val="00A051F4"/>
    <w:rsid w:val="00A061C4"/>
    <w:rsid w:val="00A22E11"/>
    <w:rsid w:val="00A32592"/>
    <w:rsid w:val="00A32897"/>
    <w:rsid w:val="00A40EB1"/>
    <w:rsid w:val="00A44ADB"/>
    <w:rsid w:val="00A52224"/>
    <w:rsid w:val="00A5300B"/>
    <w:rsid w:val="00A56CAA"/>
    <w:rsid w:val="00A6118F"/>
    <w:rsid w:val="00A61E6D"/>
    <w:rsid w:val="00A62C93"/>
    <w:rsid w:val="00A64B02"/>
    <w:rsid w:val="00A812C1"/>
    <w:rsid w:val="00A8465B"/>
    <w:rsid w:val="00A91543"/>
    <w:rsid w:val="00AA1F16"/>
    <w:rsid w:val="00AA5080"/>
    <w:rsid w:val="00AB4EF7"/>
    <w:rsid w:val="00AB53DC"/>
    <w:rsid w:val="00AC2E07"/>
    <w:rsid w:val="00AD00DB"/>
    <w:rsid w:val="00AD0E92"/>
    <w:rsid w:val="00AD54EC"/>
    <w:rsid w:val="00AD7600"/>
    <w:rsid w:val="00AE6E12"/>
    <w:rsid w:val="00AE7710"/>
    <w:rsid w:val="00B0122F"/>
    <w:rsid w:val="00B04E92"/>
    <w:rsid w:val="00B07A3D"/>
    <w:rsid w:val="00B20B03"/>
    <w:rsid w:val="00B217CD"/>
    <w:rsid w:val="00B2703F"/>
    <w:rsid w:val="00B30311"/>
    <w:rsid w:val="00B34FDB"/>
    <w:rsid w:val="00B44669"/>
    <w:rsid w:val="00B667D9"/>
    <w:rsid w:val="00B67FDC"/>
    <w:rsid w:val="00B72A87"/>
    <w:rsid w:val="00B7300F"/>
    <w:rsid w:val="00B7317B"/>
    <w:rsid w:val="00B7623A"/>
    <w:rsid w:val="00B77C43"/>
    <w:rsid w:val="00B956CB"/>
    <w:rsid w:val="00BA2A63"/>
    <w:rsid w:val="00BB3300"/>
    <w:rsid w:val="00BB597B"/>
    <w:rsid w:val="00BC5FF0"/>
    <w:rsid w:val="00BC701F"/>
    <w:rsid w:val="00BD16B9"/>
    <w:rsid w:val="00C1152C"/>
    <w:rsid w:val="00C1280A"/>
    <w:rsid w:val="00C17D68"/>
    <w:rsid w:val="00C200D4"/>
    <w:rsid w:val="00C264D1"/>
    <w:rsid w:val="00C3351B"/>
    <w:rsid w:val="00C37E88"/>
    <w:rsid w:val="00C43A49"/>
    <w:rsid w:val="00C4502E"/>
    <w:rsid w:val="00C536FF"/>
    <w:rsid w:val="00C74E55"/>
    <w:rsid w:val="00C809CE"/>
    <w:rsid w:val="00C83653"/>
    <w:rsid w:val="00C92105"/>
    <w:rsid w:val="00C9587D"/>
    <w:rsid w:val="00C95F02"/>
    <w:rsid w:val="00CA1045"/>
    <w:rsid w:val="00CA19C4"/>
    <w:rsid w:val="00CA4E01"/>
    <w:rsid w:val="00CA50B3"/>
    <w:rsid w:val="00CC2941"/>
    <w:rsid w:val="00CC3750"/>
    <w:rsid w:val="00CC3E99"/>
    <w:rsid w:val="00CC66F7"/>
    <w:rsid w:val="00CD165E"/>
    <w:rsid w:val="00CD3D0B"/>
    <w:rsid w:val="00CD432F"/>
    <w:rsid w:val="00CD761D"/>
    <w:rsid w:val="00CE00A2"/>
    <w:rsid w:val="00CE06C1"/>
    <w:rsid w:val="00CE0906"/>
    <w:rsid w:val="00CE3108"/>
    <w:rsid w:val="00CF1588"/>
    <w:rsid w:val="00D020D3"/>
    <w:rsid w:val="00D06CE9"/>
    <w:rsid w:val="00D17E44"/>
    <w:rsid w:val="00D24AD6"/>
    <w:rsid w:val="00D31653"/>
    <w:rsid w:val="00D31A5F"/>
    <w:rsid w:val="00D34F8D"/>
    <w:rsid w:val="00D411C7"/>
    <w:rsid w:val="00D503E6"/>
    <w:rsid w:val="00D6710B"/>
    <w:rsid w:val="00D7473B"/>
    <w:rsid w:val="00D7511A"/>
    <w:rsid w:val="00D75BE2"/>
    <w:rsid w:val="00D8062C"/>
    <w:rsid w:val="00D82044"/>
    <w:rsid w:val="00DA3E3D"/>
    <w:rsid w:val="00DA72DD"/>
    <w:rsid w:val="00DC3F0B"/>
    <w:rsid w:val="00DC6EF4"/>
    <w:rsid w:val="00DC70F8"/>
    <w:rsid w:val="00DD1278"/>
    <w:rsid w:val="00DD2FE3"/>
    <w:rsid w:val="00DD3BD9"/>
    <w:rsid w:val="00DE7B8A"/>
    <w:rsid w:val="00DF1A47"/>
    <w:rsid w:val="00DF382A"/>
    <w:rsid w:val="00DF3F0B"/>
    <w:rsid w:val="00E03F85"/>
    <w:rsid w:val="00E07BE0"/>
    <w:rsid w:val="00E15942"/>
    <w:rsid w:val="00E23FDE"/>
    <w:rsid w:val="00E31785"/>
    <w:rsid w:val="00E37CC2"/>
    <w:rsid w:val="00E417B4"/>
    <w:rsid w:val="00E42FF5"/>
    <w:rsid w:val="00E4392D"/>
    <w:rsid w:val="00E4752D"/>
    <w:rsid w:val="00E5034C"/>
    <w:rsid w:val="00E51952"/>
    <w:rsid w:val="00E56FEF"/>
    <w:rsid w:val="00E5754E"/>
    <w:rsid w:val="00E713E5"/>
    <w:rsid w:val="00E72974"/>
    <w:rsid w:val="00E730E5"/>
    <w:rsid w:val="00E75BE3"/>
    <w:rsid w:val="00E763FD"/>
    <w:rsid w:val="00E764F4"/>
    <w:rsid w:val="00E76E0F"/>
    <w:rsid w:val="00E77C38"/>
    <w:rsid w:val="00E80AF2"/>
    <w:rsid w:val="00E820FD"/>
    <w:rsid w:val="00EB3927"/>
    <w:rsid w:val="00EB54A2"/>
    <w:rsid w:val="00EB6EE7"/>
    <w:rsid w:val="00EC1974"/>
    <w:rsid w:val="00ED06C7"/>
    <w:rsid w:val="00EE4DDE"/>
    <w:rsid w:val="00EF6D31"/>
    <w:rsid w:val="00EF71D2"/>
    <w:rsid w:val="00EF76F2"/>
    <w:rsid w:val="00F00608"/>
    <w:rsid w:val="00F14D6C"/>
    <w:rsid w:val="00F214E7"/>
    <w:rsid w:val="00F4283A"/>
    <w:rsid w:val="00F52872"/>
    <w:rsid w:val="00F5604F"/>
    <w:rsid w:val="00F606DD"/>
    <w:rsid w:val="00F6314C"/>
    <w:rsid w:val="00F677C8"/>
    <w:rsid w:val="00F7385D"/>
    <w:rsid w:val="00F76D95"/>
    <w:rsid w:val="00F836A4"/>
    <w:rsid w:val="00F844A6"/>
    <w:rsid w:val="00F864A4"/>
    <w:rsid w:val="00F90400"/>
    <w:rsid w:val="00F95E1B"/>
    <w:rsid w:val="00FA6D36"/>
    <w:rsid w:val="00FC2975"/>
    <w:rsid w:val="00FC30D0"/>
    <w:rsid w:val="00FC6273"/>
    <w:rsid w:val="00FD0298"/>
    <w:rsid w:val="00FD761E"/>
    <w:rsid w:val="00FE3CF6"/>
    <w:rsid w:val="00FE4B85"/>
    <w:rsid w:val="00FE534A"/>
    <w:rsid w:val="00FE618A"/>
    <w:rsid w:val="00FE7192"/>
    <w:rsid w:val="00FE722C"/>
    <w:rsid w:val="00FF7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7E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152C"/>
    <w:pPr>
      <w:spacing w:after="0" w:line="240" w:lineRule="auto"/>
    </w:pPr>
    <w:rPr>
      <w:rFonts w:ascii="Arial" w:eastAsia="Times New Roman" w:hAnsi="Arial" w:cs="Times New Roman"/>
      <w:sz w:val="22"/>
    </w:rPr>
  </w:style>
  <w:style w:type="paragraph" w:styleId="Heading1">
    <w:name w:val="heading 1"/>
    <w:basedOn w:val="Normal"/>
    <w:next w:val="Normal"/>
    <w:link w:val="Heading1Char"/>
    <w:uiPriority w:val="9"/>
    <w:qFormat/>
    <w:rsid w:val="00C1152C"/>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C1152C"/>
    <w:pPr>
      <w:keepNext/>
      <w:spacing w:before="240" w:after="60" w:line="240" w:lineRule="auto"/>
      <w:outlineLvl w:val="1"/>
    </w:pPr>
    <w:rPr>
      <w:rFonts w:ascii="Arial" w:eastAsia="Times New Roman" w:hAnsi="Arial" w:cs="Arial"/>
      <w:bCs/>
      <w:iCs/>
      <w:color w:val="358189"/>
      <w:sz w:val="32"/>
      <w:szCs w:val="28"/>
    </w:rPr>
  </w:style>
  <w:style w:type="paragraph" w:styleId="Heading3">
    <w:name w:val="heading 3"/>
    <w:next w:val="Normal"/>
    <w:link w:val="Heading3Char"/>
    <w:qFormat/>
    <w:rsid w:val="00C1152C"/>
    <w:pPr>
      <w:keepNext/>
      <w:spacing w:before="180" w:after="60" w:line="240" w:lineRule="auto"/>
      <w:outlineLvl w:val="2"/>
    </w:pPr>
    <w:rPr>
      <w:rFonts w:ascii="Arial" w:eastAsia="Times New Roman" w:hAnsi="Arial" w:cs="Arial"/>
      <w:b/>
      <w:bCs/>
      <w:color w:val="358189"/>
      <w:sz w:val="22"/>
      <w:szCs w:val="26"/>
    </w:rPr>
  </w:style>
  <w:style w:type="paragraph" w:styleId="Heading4">
    <w:name w:val="heading 4"/>
    <w:basedOn w:val="Normal"/>
    <w:next w:val="Normal"/>
    <w:link w:val="Heading4Char"/>
    <w:qFormat/>
    <w:rsid w:val="00C1152C"/>
    <w:pPr>
      <w:keepNext/>
      <w:spacing w:before="240" w:after="60"/>
      <w:outlineLvl w:val="3"/>
    </w:pPr>
    <w:rPr>
      <w:b/>
      <w:bCs/>
      <w:i/>
      <w:color w:val="414141"/>
      <w:sz w:val="24"/>
      <w:szCs w:val="28"/>
    </w:rPr>
  </w:style>
  <w:style w:type="paragraph" w:styleId="Heading5">
    <w:name w:val="heading 5"/>
    <w:basedOn w:val="Normal"/>
    <w:next w:val="Normal"/>
    <w:link w:val="Heading5Char"/>
    <w:rsid w:val="00C1152C"/>
    <w:pPr>
      <w:keepNext/>
      <w:spacing w:before="240" w:after="60"/>
      <w:outlineLvl w:val="4"/>
    </w:pPr>
    <w:rPr>
      <w:b/>
      <w:bCs/>
      <w:iCs/>
      <w:szCs w:val="26"/>
    </w:rPr>
  </w:style>
  <w:style w:type="paragraph" w:styleId="Heading6">
    <w:name w:val="heading 6"/>
    <w:basedOn w:val="Normal"/>
    <w:next w:val="Normal"/>
    <w:link w:val="Heading6Char"/>
    <w:rsid w:val="00C1152C"/>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52C"/>
    <w:rPr>
      <w:rFonts w:ascii="Arial" w:eastAsia="Times New Roman" w:hAnsi="Arial" w:cs="Arial"/>
      <w:bCs/>
      <w:color w:val="3F4A75"/>
      <w:kern w:val="28"/>
      <w:sz w:val="36"/>
      <w:szCs w:val="36"/>
    </w:rPr>
  </w:style>
  <w:style w:type="character" w:customStyle="1" w:styleId="Heading2Char">
    <w:name w:val="Heading 2 Char"/>
    <w:basedOn w:val="DefaultParagraphFont"/>
    <w:link w:val="Heading2"/>
    <w:uiPriority w:val="9"/>
    <w:rsid w:val="00C1152C"/>
    <w:rPr>
      <w:rFonts w:ascii="Arial" w:eastAsia="Times New Roman" w:hAnsi="Arial" w:cs="Arial"/>
      <w:bCs/>
      <w:iCs/>
      <w:color w:val="358189"/>
      <w:sz w:val="32"/>
      <w:szCs w:val="28"/>
    </w:rPr>
  </w:style>
  <w:style w:type="character" w:customStyle="1" w:styleId="Heading3Char">
    <w:name w:val="Heading 3 Char"/>
    <w:basedOn w:val="DefaultParagraphFont"/>
    <w:link w:val="Heading3"/>
    <w:rsid w:val="00C1152C"/>
    <w:rPr>
      <w:rFonts w:ascii="Arial" w:eastAsia="Times New Roman" w:hAnsi="Arial" w:cs="Arial"/>
      <w:b/>
      <w:bCs/>
      <w:color w:val="358189"/>
      <w:sz w:val="22"/>
      <w:szCs w:val="26"/>
    </w:rPr>
  </w:style>
  <w:style w:type="character" w:customStyle="1" w:styleId="Heading4Char">
    <w:name w:val="Heading 4 Char"/>
    <w:basedOn w:val="DefaultParagraphFont"/>
    <w:link w:val="Heading4"/>
    <w:rsid w:val="00C1152C"/>
    <w:rPr>
      <w:rFonts w:ascii="Arial" w:eastAsia="Times New Roman" w:hAnsi="Arial" w:cs="Times New Roman"/>
      <w:b/>
      <w:bCs/>
      <w:i/>
      <w:color w:val="414141"/>
      <w:szCs w:val="28"/>
    </w:rPr>
  </w:style>
  <w:style w:type="character" w:customStyle="1" w:styleId="Heading5Char">
    <w:name w:val="Heading 5 Char"/>
    <w:basedOn w:val="DefaultParagraphFont"/>
    <w:link w:val="Heading5"/>
    <w:rsid w:val="00C1152C"/>
    <w:rPr>
      <w:rFonts w:ascii="Arial" w:eastAsia="Times New Roman" w:hAnsi="Arial" w:cs="Times New Roman"/>
      <w:b/>
      <w:bCs/>
      <w:iCs/>
      <w:sz w:val="22"/>
      <w:szCs w:val="26"/>
    </w:rPr>
  </w:style>
  <w:style w:type="character" w:customStyle="1" w:styleId="Heading6Char">
    <w:name w:val="Heading 6 Char"/>
    <w:basedOn w:val="DefaultParagraphFont"/>
    <w:link w:val="Heading6"/>
    <w:rsid w:val="00C1152C"/>
    <w:rPr>
      <w:rFonts w:ascii="Arial" w:eastAsia="Times New Roman" w:hAnsi="Arial" w:cs="Times New Roman"/>
      <w:b/>
      <w:bCs/>
      <w:i/>
      <w:sz w:val="22"/>
      <w:szCs w:val="22"/>
    </w:rPr>
  </w:style>
  <w:style w:type="paragraph" w:customStyle="1" w:styleId="Paragraphtext">
    <w:name w:val="Paragraph text"/>
    <w:basedOn w:val="Normal"/>
    <w:qFormat/>
    <w:rsid w:val="00C1152C"/>
    <w:pPr>
      <w:spacing w:before="120" w:after="60"/>
    </w:pPr>
    <w:rPr>
      <w:color w:val="000000" w:themeColor="text1"/>
      <w:sz w:val="21"/>
    </w:rPr>
  </w:style>
  <w:style w:type="character" w:styleId="Emphasis">
    <w:name w:val="Emphasis"/>
    <w:basedOn w:val="DefaultParagraphFont"/>
    <w:uiPriority w:val="20"/>
    <w:qFormat/>
    <w:rsid w:val="00C1152C"/>
    <w:rPr>
      <w:i/>
      <w:iCs/>
    </w:rPr>
  </w:style>
  <w:style w:type="character" w:styleId="Strong">
    <w:name w:val="Strong"/>
    <w:basedOn w:val="DefaultParagraphFont"/>
    <w:uiPriority w:val="22"/>
    <w:qFormat/>
    <w:rsid w:val="00C1152C"/>
    <w:rPr>
      <w:b/>
      <w:bCs/>
    </w:rPr>
  </w:style>
  <w:style w:type="paragraph" w:styleId="Subtitle">
    <w:name w:val="Subtitle"/>
    <w:next w:val="Normal"/>
    <w:link w:val="SubtitleChar"/>
    <w:qFormat/>
    <w:rsid w:val="00C1152C"/>
    <w:pPr>
      <w:numPr>
        <w:ilvl w:val="1"/>
      </w:numPr>
      <w:spacing w:before="120" w:after="60" w:line="240" w:lineRule="auto"/>
    </w:pPr>
    <w:rPr>
      <w:rFonts w:ascii="Arial" w:eastAsiaTheme="majorEastAsia" w:hAnsi="Arial" w:cstheme="majorBidi"/>
      <w:iCs/>
      <w:color w:val="3F4A75"/>
      <w:spacing w:val="15"/>
      <w:sz w:val="40"/>
    </w:rPr>
  </w:style>
  <w:style w:type="character" w:customStyle="1" w:styleId="SubtitleChar">
    <w:name w:val="Subtitle Char"/>
    <w:basedOn w:val="DefaultParagraphFont"/>
    <w:link w:val="Subtitle"/>
    <w:rsid w:val="00C1152C"/>
    <w:rPr>
      <w:rFonts w:ascii="Arial" w:eastAsiaTheme="majorEastAsia" w:hAnsi="Arial" w:cstheme="majorBidi"/>
      <w:iCs/>
      <w:color w:val="3F4A75"/>
      <w:spacing w:val="15"/>
      <w:sz w:val="40"/>
    </w:rPr>
  </w:style>
  <w:style w:type="paragraph" w:styleId="Title">
    <w:name w:val="Title"/>
    <w:basedOn w:val="Normal"/>
    <w:next w:val="Paragraphtext"/>
    <w:link w:val="TitleChar"/>
    <w:qFormat/>
    <w:rsid w:val="00C1152C"/>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C1152C"/>
    <w:rPr>
      <w:rFonts w:ascii="Arial" w:eastAsiaTheme="majorEastAsia" w:hAnsi="Arial" w:cstheme="majorBidi"/>
      <w:b/>
      <w:color w:val="3F4A75"/>
      <w:kern w:val="28"/>
      <w:sz w:val="48"/>
      <w:szCs w:val="52"/>
    </w:rPr>
  </w:style>
  <w:style w:type="paragraph" w:styleId="NoSpacing">
    <w:name w:val="No Spacing"/>
    <w:uiPriority w:val="1"/>
    <w:rsid w:val="00C1152C"/>
    <w:pPr>
      <w:spacing w:after="0" w:line="240" w:lineRule="auto"/>
    </w:pPr>
    <w:rPr>
      <w:rFonts w:ascii="Times New Roman" w:eastAsia="Times New Roman" w:hAnsi="Times New Roman" w:cs="Times New Roman"/>
    </w:rPr>
  </w:style>
  <w:style w:type="character" w:styleId="SubtleEmphasis">
    <w:name w:val="Subtle Emphasis"/>
    <w:basedOn w:val="DefaultParagraphFont"/>
    <w:uiPriority w:val="19"/>
    <w:rsid w:val="00C1152C"/>
    <w:rPr>
      <w:i/>
      <w:iCs/>
      <w:color w:val="808080" w:themeColor="text1" w:themeTint="7F"/>
    </w:rPr>
  </w:style>
  <w:style w:type="character" w:styleId="IntenseEmphasis">
    <w:name w:val="Intense Emphasis"/>
    <w:basedOn w:val="DefaultParagraphFont"/>
    <w:uiPriority w:val="21"/>
    <w:rsid w:val="00C1152C"/>
    <w:rPr>
      <w:b/>
      <w:bCs/>
      <w:i/>
      <w:iCs/>
      <w:color w:val="4472C4" w:themeColor="accent1"/>
    </w:rPr>
  </w:style>
  <w:style w:type="paragraph" w:styleId="Quote">
    <w:name w:val="Quote"/>
    <w:next w:val="Normal"/>
    <w:link w:val="QuoteChar"/>
    <w:uiPriority w:val="29"/>
    <w:qFormat/>
    <w:rsid w:val="00C1152C"/>
    <w:pPr>
      <w:spacing w:after="0" w:line="240" w:lineRule="auto"/>
      <w:ind w:left="720"/>
    </w:pPr>
    <w:rPr>
      <w:rFonts w:ascii="Arial" w:eastAsia="Times New Roman" w:hAnsi="Arial" w:cs="Times New Roman"/>
      <w:i/>
      <w:iCs/>
      <w:color w:val="000000" w:themeColor="text1"/>
      <w:sz w:val="22"/>
    </w:rPr>
  </w:style>
  <w:style w:type="character" w:customStyle="1" w:styleId="QuoteChar">
    <w:name w:val="Quote Char"/>
    <w:basedOn w:val="DefaultParagraphFont"/>
    <w:link w:val="Quote"/>
    <w:uiPriority w:val="29"/>
    <w:rsid w:val="00C1152C"/>
    <w:rPr>
      <w:rFonts w:ascii="Arial" w:eastAsia="Times New Roman" w:hAnsi="Arial" w:cs="Times New Roman"/>
      <w:i/>
      <w:iCs/>
      <w:color w:val="000000" w:themeColor="text1"/>
      <w:sz w:val="22"/>
    </w:rPr>
  </w:style>
  <w:style w:type="paragraph" w:styleId="IntenseQuote">
    <w:name w:val="Intense Quote"/>
    <w:basedOn w:val="Normal"/>
    <w:next w:val="Normal"/>
    <w:link w:val="IntenseQuoteChar"/>
    <w:uiPriority w:val="30"/>
    <w:rsid w:val="00C1152C"/>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C1152C"/>
    <w:rPr>
      <w:rFonts w:ascii="Arial" w:eastAsia="Times New Roman" w:hAnsi="Arial" w:cs="Times New Roman"/>
      <w:b/>
      <w:bCs/>
      <w:i/>
      <w:iCs/>
      <w:color w:val="4472C4" w:themeColor="accent1"/>
      <w:sz w:val="22"/>
    </w:rPr>
  </w:style>
  <w:style w:type="character" w:styleId="SubtleReference">
    <w:name w:val="Subtle Reference"/>
    <w:basedOn w:val="DefaultParagraphFont"/>
    <w:uiPriority w:val="31"/>
    <w:rsid w:val="00C1152C"/>
    <w:rPr>
      <w:smallCaps/>
      <w:color w:val="ED7D31" w:themeColor="accent2"/>
      <w:u w:val="single"/>
    </w:rPr>
  </w:style>
  <w:style w:type="character" w:styleId="IntenseReference">
    <w:name w:val="Intense Reference"/>
    <w:basedOn w:val="DefaultParagraphFont"/>
    <w:uiPriority w:val="32"/>
    <w:rsid w:val="00C1152C"/>
    <w:rPr>
      <w:b/>
      <w:bCs/>
      <w:i/>
      <w:smallCaps/>
      <w:color w:val="ED7D31" w:themeColor="accent2"/>
      <w:spacing w:val="5"/>
      <w:u w:val="none"/>
    </w:rPr>
  </w:style>
  <w:style w:type="paragraph" w:styleId="ListBullet2">
    <w:name w:val="List Bullet 2"/>
    <w:basedOn w:val="ListNumber2"/>
    <w:rsid w:val="00C1152C"/>
    <w:pPr>
      <w:numPr>
        <w:numId w:val="4"/>
      </w:numPr>
      <w:ind w:left="568" w:hanging="284"/>
    </w:pPr>
  </w:style>
  <w:style w:type="paragraph" w:styleId="ListNumber2">
    <w:name w:val="List Number 2"/>
    <w:basedOn w:val="ListBullet"/>
    <w:qFormat/>
    <w:rsid w:val="00C1152C"/>
    <w:pPr>
      <w:numPr>
        <w:numId w:val="6"/>
      </w:numPr>
    </w:pPr>
  </w:style>
  <w:style w:type="paragraph" w:styleId="ListBullet">
    <w:name w:val="List Bullet"/>
    <w:basedOn w:val="Normal"/>
    <w:qFormat/>
    <w:rsid w:val="00C1152C"/>
    <w:pPr>
      <w:numPr>
        <w:numId w:val="5"/>
      </w:numPr>
      <w:spacing w:before="60" w:after="60"/>
    </w:pPr>
    <w:rPr>
      <w:color w:val="000000" w:themeColor="text1"/>
      <w:sz w:val="21"/>
    </w:rPr>
  </w:style>
  <w:style w:type="paragraph" w:styleId="ListParagraph">
    <w:name w:val="List Paragraph"/>
    <w:aliases w:val="Body text,Bullet Point,Bullet point,Bullet- First level,Figure_name,L,List NUmber,List Paragraph Number,List Paragraph1,List Paragraph11,Listenabsatz1,NAST Quote,Numbered Indented Text,Recommendation,bullet point list,lp1,standard lewis,列"/>
    <w:basedOn w:val="Normal"/>
    <w:link w:val="ListParagraphChar"/>
    <w:uiPriority w:val="34"/>
    <w:qFormat/>
    <w:rsid w:val="00C1152C"/>
    <w:pPr>
      <w:ind w:left="720"/>
      <w:contextualSpacing/>
    </w:pPr>
  </w:style>
  <w:style w:type="paragraph" w:styleId="ListNumber3">
    <w:name w:val="List Number 3"/>
    <w:aliases w:val="List Third Level"/>
    <w:basedOn w:val="ListNumber2"/>
    <w:rsid w:val="00C1152C"/>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C1152C"/>
    <w:pPr>
      <w:tabs>
        <w:tab w:val="num" w:pos="1080"/>
      </w:tabs>
      <w:spacing w:before="120" w:after="0" w:line="240" w:lineRule="exact"/>
    </w:pPr>
    <w:rPr>
      <w:rFonts w:ascii="Arial" w:eastAsia="Times New Roman" w:hAnsi="Arial" w:cs="Times New Roman"/>
      <w:color w:val="000000" w:themeColor="text1"/>
      <w:sz w:val="22"/>
    </w:rPr>
  </w:style>
  <w:style w:type="paragraph" w:styleId="BalloonText">
    <w:name w:val="Balloon Text"/>
    <w:basedOn w:val="Normal"/>
    <w:link w:val="BalloonTextChar"/>
    <w:rsid w:val="00C1152C"/>
    <w:rPr>
      <w:rFonts w:ascii="Tahoma" w:hAnsi="Tahoma" w:cs="Tahoma"/>
      <w:sz w:val="16"/>
      <w:szCs w:val="16"/>
    </w:rPr>
  </w:style>
  <w:style w:type="character" w:customStyle="1" w:styleId="BalloonTextChar">
    <w:name w:val="Balloon Text Char"/>
    <w:basedOn w:val="DefaultParagraphFont"/>
    <w:link w:val="BalloonText"/>
    <w:rsid w:val="00C1152C"/>
    <w:rPr>
      <w:rFonts w:ascii="Tahoma" w:eastAsia="Times New Roman" w:hAnsi="Tahoma" w:cs="Tahoma"/>
      <w:sz w:val="16"/>
      <w:szCs w:val="16"/>
    </w:rPr>
  </w:style>
  <w:style w:type="table" w:styleId="TableGrid">
    <w:name w:val="Table Grid"/>
    <w:basedOn w:val="TableNormal"/>
    <w:rsid w:val="00C1152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C1152C"/>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C1152C"/>
    <w:pPr>
      <w:spacing w:before="60" w:after="60" w:line="240" w:lineRule="auto"/>
    </w:pPr>
    <w:rPr>
      <w:rFonts w:ascii="Arial" w:eastAsia="Times New Roman" w:hAnsi="Arial" w:cs="Arial"/>
      <w:color w:val="000000"/>
      <w:sz w:val="21"/>
      <w:szCs w:val="21"/>
      <w:shd w:val="clear" w:color="auto" w:fill="FFFFFF"/>
    </w:rPr>
  </w:style>
  <w:style w:type="table" w:styleId="TableColumns2">
    <w:name w:val="Table Columns 2"/>
    <w:basedOn w:val="TableNormal"/>
    <w:rsid w:val="00C1152C"/>
    <w:pPr>
      <w:spacing w:before="120" w:after="0" w:line="240" w:lineRule="exac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C1152C"/>
    <w:pPr>
      <w:spacing w:after="0" w:line="240" w:lineRule="auto"/>
    </w:pPr>
    <w:rPr>
      <w:rFonts w:ascii="Times New Roman" w:eastAsia="Times New Roman" w:hAnsi="Times New Roman" w:cs="Times New Roman"/>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C1152C"/>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C1152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C1152C"/>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C1152C"/>
    <w:pPr>
      <w:spacing w:before="120" w:after="120" w:line="240" w:lineRule="auto"/>
    </w:pPr>
    <w:rPr>
      <w:rFonts w:ascii="Arial" w:eastAsia="Times New Roman" w:hAnsi="Arial" w:cs="Times New Roman"/>
      <w:b/>
      <w:color w:val="000000" w:themeColor="text1"/>
      <w:sz w:val="22"/>
      <w:lang w:val="en-US"/>
    </w:rPr>
  </w:style>
  <w:style w:type="paragraph" w:styleId="Header">
    <w:name w:val="header"/>
    <w:basedOn w:val="Normal"/>
    <w:link w:val="HeaderChar"/>
    <w:qFormat/>
    <w:rsid w:val="00C1152C"/>
    <w:pPr>
      <w:tabs>
        <w:tab w:val="center" w:pos="4513"/>
        <w:tab w:val="right" w:pos="9026"/>
      </w:tabs>
    </w:pPr>
  </w:style>
  <w:style w:type="character" w:customStyle="1" w:styleId="HeaderChar">
    <w:name w:val="Header Char"/>
    <w:basedOn w:val="DefaultParagraphFont"/>
    <w:link w:val="Header"/>
    <w:rsid w:val="00C1152C"/>
    <w:rPr>
      <w:rFonts w:ascii="Arial" w:eastAsia="Times New Roman" w:hAnsi="Arial" w:cs="Times New Roman"/>
      <w:sz w:val="22"/>
    </w:rPr>
  </w:style>
  <w:style w:type="paragraph" w:styleId="Footer">
    <w:name w:val="footer"/>
    <w:basedOn w:val="Normal"/>
    <w:link w:val="FooterChar"/>
    <w:uiPriority w:val="99"/>
    <w:qFormat/>
    <w:rsid w:val="00C1152C"/>
    <w:pPr>
      <w:tabs>
        <w:tab w:val="center" w:pos="4513"/>
        <w:tab w:val="right" w:pos="9026"/>
      </w:tabs>
    </w:pPr>
    <w:rPr>
      <w:sz w:val="20"/>
    </w:rPr>
  </w:style>
  <w:style w:type="character" w:customStyle="1" w:styleId="FooterChar">
    <w:name w:val="Footer Char"/>
    <w:basedOn w:val="DefaultParagraphFont"/>
    <w:link w:val="Footer"/>
    <w:uiPriority w:val="99"/>
    <w:rsid w:val="00C1152C"/>
    <w:rPr>
      <w:rFonts w:ascii="Arial" w:eastAsia="Times New Roman" w:hAnsi="Arial" w:cs="Times New Roman"/>
      <w:sz w:val="20"/>
    </w:rPr>
  </w:style>
  <w:style w:type="paragraph" w:customStyle="1" w:styleId="TableHeaderWhite">
    <w:name w:val="Table Header White"/>
    <w:basedOn w:val="Normal"/>
    <w:next w:val="Tabletextleft"/>
    <w:qFormat/>
    <w:rsid w:val="00C1152C"/>
    <w:pPr>
      <w:spacing w:before="80" w:after="80"/>
    </w:pPr>
    <w:rPr>
      <w:rFonts w:eastAsia="Cambria"/>
      <w:b/>
      <w:color w:val="FFFFFF" w:themeColor="background1"/>
      <w:szCs w:val="22"/>
      <w:lang w:val="en-US"/>
    </w:rPr>
  </w:style>
  <w:style w:type="table" w:styleId="TableGrid7">
    <w:name w:val="Table Grid 7"/>
    <w:basedOn w:val="TableNormal"/>
    <w:rsid w:val="00C1152C"/>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C1152C"/>
    <w:pPr>
      <w:spacing w:before="60" w:after="60"/>
    </w:pPr>
    <w:rPr>
      <w:rFonts w:cs="Arial"/>
      <w:b/>
      <w:sz w:val="20"/>
    </w:rPr>
  </w:style>
  <w:style w:type="paragraph" w:customStyle="1" w:styleId="FigureTitle">
    <w:name w:val="Figure Title"/>
    <w:basedOn w:val="Normal"/>
    <w:next w:val="Paragraphtext"/>
    <w:qFormat/>
    <w:rsid w:val="00C1152C"/>
    <w:pPr>
      <w:spacing w:before="120" w:after="120"/>
    </w:pPr>
    <w:rPr>
      <w:rFonts w:cs="Arial"/>
      <w:b/>
      <w:bCs/>
      <w:iCs/>
      <w:color w:val="000000" w:themeColor="text1"/>
      <w:szCs w:val="22"/>
    </w:rPr>
  </w:style>
  <w:style w:type="paragraph" w:styleId="NormalWeb">
    <w:name w:val="Normal (Web)"/>
    <w:basedOn w:val="Normal"/>
    <w:uiPriority w:val="99"/>
    <w:unhideWhenUsed/>
    <w:rsid w:val="00C1152C"/>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C1152C"/>
    <w:pPr>
      <w:jc w:val="right"/>
    </w:pPr>
    <w:rPr>
      <w:sz w:val="20"/>
    </w:rPr>
  </w:style>
  <w:style w:type="character" w:styleId="Hyperlink">
    <w:name w:val="Hyperlink"/>
    <w:basedOn w:val="DefaultParagraphFont"/>
    <w:uiPriority w:val="99"/>
    <w:qFormat/>
    <w:rsid w:val="00C1152C"/>
    <w:rPr>
      <w:color w:val="0563C1" w:themeColor="hyperlink"/>
      <w:u w:val="single"/>
    </w:rPr>
  </w:style>
  <w:style w:type="table" w:customStyle="1" w:styleId="PHNGreyTable">
    <w:name w:val="PHN Grey Table"/>
    <w:basedOn w:val="TableNormal"/>
    <w:uiPriority w:val="99"/>
    <w:rsid w:val="00C1152C"/>
    <w:pPr>
      <w:spacing w:before="120" w:after="120" w:line="240" w:lineRule="auto"/>
    </w:pPr>
    <w:rPr>
      <w:rFonts w:ascii="Arial" w:eastAsia="Times New Roman" w:hAnsi="Arial" w:cs="Times New Roman"/>
      <w:sz w:val="22"/>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C1152C"/>
    <w:rPr>
      <w:color w:val="8D188D"/>
    </w:rPr>
  </w:style>
  <w:style w:type="paragraph" w:customStyle="1" w:styleId="Heading2Purple">
    <w:name w:val="Heading 2 Purple"/>
    <w:basedOn w:val="Heading2"/>
    <w:next w:val="Paragraphtext"/>
    <w:rsid w:val="00C1152C"/>
    <w:pPr>
      <w:spacing w:before="180"/>
    </w:pPr>
    <w:rPr>
      <w:color w:val="8D188D"/>
    </w:rPr>
  </w:style>
  <w:style w:type="paragraph" w:customStyle="1" w:styleId="Tablelistbullet">
    <w:name w:val="Table list bullet"/>
    <w:basedOn w:val="Tabletextleft"/>
    <w:qFormat/>
    <w:rsid w:val="00C1152C"/>
    <w:pPr>
      <w:numPr>
        <w:numId w:val="2"/>
      </w:numPr>
    </w:pPr>
    <w:rPr>
      <w:szCs w:val="20"/>
    </w:rPr>
  </w:style>
  <w:style w:type="paragraph" w:customStyle="1" w:styleId="Tablelistnumber">
    <w:name w:val="Table list number"/>
    <w:basedOn w:val="Tabletextleft"/>
    <w:qFormat/>
    <w:rsid w:val="00C1152C"/>
    <w:pPr>
      <w:numPr>
        <w:numId w:val="3"/>
      </w:numPr>
    </w:pPr>
    <w:rPr>
      <w:bCs/>
      <w14:numSpacing w14:val="proportional"/>
    </w:rPr>
  </w:style>
  <w:style w:type="paragraph" w:customStyle="1" w:styleId="TableHeader">
    <w:name w:val="Table Header"/>
    <w:basedOn w:val="Normal"/>
    <w:next w:val="Tabletextleft"/>
    <w:qFormat/>
    <w:rsid w:val="00C1152C"/>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1152C"/>
    <w:rPr>
      <w:szCs w:val="32"/>
    </w:rPr>
  </w:style>
  <w:style w:type="paragraph" w:customStyle="1" w:styleId="Heading1Orange">
    <w:name w:val="Heading 1 Orange"/>
    <w:basedOn w:val="Heading1"/>
    <w:next w:val="Paragraphtext"/>
    <w:rsid w:val="00C1152C"/>
    <w:rPr>
      <w:color w:val="D72F0D"/>
    </w:rPr>
  </w:style>
  <w:style w:type="paragraph" w:customStyle="1" w:styleId="Heading2Orange">
    <w:name w:val="Heading 2 Orange"/>
    <w:basedOn w:val="Heading2"/>
    <w:rsid w:val="00C1152C"/>
    <w:rPr>
      <w:color w:val="D72F0D"/>
    </w:rPr>
  </w:style>
  <w:style w:type="paragraph" w:styleId="FootnoteText">
    <w:name w:val="footnote text"/>
    <w:basedOn w:val="Normal"/>
    <w:link w:val="FootnoteTextChar"/>
    <w:uiPriority w:val="99"/>
    <w:rsid w:val="00C1152C"/>
    <w:rPr>
      <w:sz w:val="20"/>
      <w:szCs w:val="20"/>
    </w:rPr>
  </w:style>
  <w:style w:type="character" w:customStyle="1" w:styleId="FootnoteTextChar">
    <w:name w:val="Footnote Text Char"/>
    <w:basedOn w:val="DefaultParagraphFont"/>
    <w:link w:val="FootnoteText"/>
    <w:uiPriority w:val="99"/>
    <w:rsid w:val="00C1152C"/>
    <w:rPr>
      <w:rFonts w:ascii="Arial" w:eastAsia="Times New Roman" w:hAnsi="Arial" w:cs="Times New Roman"/>
      <w:sz w:val="20"/>
      <w:szCs w:val="20"/>
    </w:rPr>
  </w:style>
  <w:style w:type="paragraph" w:styleId="Caption">
    <w:name w:val="caption"/>
    <w:basedOn w:val="Normal"/>
    <w:next w:val="Normal"/>
    <w:unhideWhenUsed/>
    <w:rsid w:val="00C1152C"/>
    <w:pPr>
      <w:spacing w:after="200"/>
    </w:pPr>
    <w:rPr>
      <w:b/>
      <w:bCs/>
      <w:color w:val="4472C4" w:themeColor="accent1"/>
      <w:sz w:val="18"/>
      <w:szCs w:val="18"/>
    </w:rPr>
  </w:style>
  <w:style w:type="paragraph" w:customStyle="1" w:styleId="VisionBox">
    <w:name w:val="VisionBox"/>
    <w:basedOn w:val="Normal"/>
    <w:qFormat/>
    <w:rsid w:val="00C1152C"/>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C1152C"/>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C1152C"/>
    <w:rPr>
      <w:b/>
      <w:caps/>
      <w:smallCaps w:val="0"/>
      <w:color w:val="358189"/>
      <w:bdr w:val="none" w:sz="0" w:space="0" w:color="auto"/>
    </w:rPr>
  </w:style>
  <w:style w:type="paragraph" w:customStyle="1" w:styleId="PolicyStatement">
    <w:name w:val="PolicyStatement"/>
    <w:basedOn w:val="Normal"/>
    <w:qFormat/>
    <w:rsid w:val="00C1152C"/>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C1152C"/>
    <w:pPr>
      <w:spacing w:after="0" w:line="240" w:lineRule="auto"/>
    </w:pPr>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C1152C"/>
    <w:rPr>
      <w:rFonts w:ascii="Arial" w:eastAsia="Times New Roman" w:hAnsi="Arial" w:cs="Times New Roman"/>
      <w:b/>
      <w:color w:val="000000" w:themeColor="text1"/>
      <w:sz w:val="22"/>
      <w:lang w:val="en-US"/>
    </w:rPr>
  </w:style>
  <w:style w:type="paragraph" w:customStyle="1" w:styleId="IntroPara">
    <w:name w:val="Intro Para"/>
    <w:basedOn w:val="Paragraphtext"/>
    <w:next w:val="Paragraphtext"/>
    <w:qFormat/>
    <w:rsid w:val="00C1152C"/>
    <w:pPr>
      <w:spacing w:before="480" w:line="400" w:lineRule="exact"/>
    </w:pPr>
    <w:rPr>
      <w:color w:val="358189"/>
      <w:sz w:val="28"/>
    </w:rPr>
  </w:style>
  <w:style w:type="paragraph" w:customStyle="1" w:styleId="TableTextright">
    <w:name w:val="Table Text right"/>
    <w:basedOn w:val="Tabletextleft"/>
    <w:rsid w:val="00C1152C"/>
    <w:pPr>
      <w:jc w:val="right"/>
    </w:pPr>
  </w:style>
  <w:style w:type="paragraph" w:customStyle="1" w:styleId="Tabletextright0">
    <w:name w:val="Table text right"/>
    <w:basedOn w:val="Tabletextleft"/>
    <w:rsid w:val="00C1152C"/>
    <w:pPr>
      <w:jc w:val="right"/>
    </w:pPr>
  </w:style>
  <w:style w:type="paragraph" w:customStyle="1" w:styleId="Tabletextcentre">
    <w:name w:val="Table text centre"/>
    <w:basedOn w:val="Tabletextleft"/>
    <w:rsid w:val="00C1152C"/>
    <w:pPr>
      <w:jc w:val="center"/>
    </w:pPr>
  </w:style>
  <w:style w:type="paragraph" w:customStyle="1" w:styleId="Boxheading">
    <w:name w:val="Box heading"/>
    <w:basedOn w:val="Boxtype"/>
    <w:rsid w:val="00C1152C"/>
    <w:pPr>
      <w:spacing w:before="240"/>
    </w:pPr>
    <w:rPr>
      <w:rFonts w:cs="Times New Roman"/>
      <w:b/>
      <w:bCs/>
      <w:caps/>
      <w:color w:val="358189"/>
      <w:szCs w:val="20"/>
    </w:rPr>
  </w:style>
  <w:style w:type="paragraph" w:customStyle="1" w:styleId="Boxtype">
    <w:name w:val="Box type"/>
    <w:next w:val="Normal"/>
    <w:qFormat/>
    <w:rsid w:val="00C1152C"/>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styleId="CommentReference">
    <w:name w:val="annotation reference"/>
    <w:basedOn w:val="DefaultParagraphFont"/>
    <w:uiPriority w:val="99"/>
    <w:semiHidden/>
    <w:unhideWhenUsed/>
    <w:rsid w:val="00C1152C"/>
    <w:rPr>
      <w:sz w:val="16"/>
      <w:szCs w:val="16"/>
    </w:rPr>
  </w:style>
  <w:style w:type="paragraph" w:styleId="CommentText">
    <w:name w:val="annotation text"/>
    <w:basedOn w:val="Normal"/>
    <w:link w:val="CommentTextChar"/>
    <w:uiPriority w:val="99"/>
    <w:unhideWhenUsed/>
    <w:rsid w:val="00C1152C"/>
    <w:pPr>
      <w:spacing w:after="160"/>
    </w:pPr>
    <w:rPr>
      <w:rFonts w:ascii="Calibri" w:eastAsiaTheme="minorHAnsi" w:hAnsi="Calibri"/>
      <w:sz w:val="20"/>
      <w:szCs w:val="20"/>
    </w:rPr>
  </w:style>
  <w:style w:type="character" w:customStyle="1" w:styleId="CommentTextChar">
    <w:name w:val="Comment Text Char"/>
    <w:basedOn w:val="DefaultParagraphFont"/>
    <w:link w:val="CommentText"/>
    <w:uiPriority w:val="99"/>
    <w:rsid w:val="00C1152C"/>
    <w:rPr>
      <w:rFonts w:ascii="Calibri" w:hAnsi="Calibri" w:cs="Times New Roman"/>
      <w:sz w:val="20"/>
      <w:szCs w:val="20"/>
    </w:rPr>
  </w:style>
  <w:style w:type="paragraph" w:styleId="CommentSubject">
    <w:name w:val="annotation subject"/>
    <w:basedOn w:val="CommentText"/>
    <w:next w:val="CommentText"/>
    <w:link w:val="CommentSubjectChar"/>
    <w:semiHidden/>
    <w:unhideWhenUsed/>
    <w:rsid w:val="00C1152C"/>
    <w:pPr>
      <w:spacing w:after="0"/>
    </w:pPr>
    <w:rPr>
      <w:rFonts w:ascii="Arial" w:eastAsia="Times New Roman" w:hAnsi="Arial"/>
      <w:b/>
      <w:bCs/>
    </w:rPr>
  </w:style>
  <w:style w:type="character" w:customStyle="1" w:styleId="CommentSubjectChar">
    <w:name w:val="Comment Subject Char"/>
    <w:basedOn w:val="CommentTextChar"/>
    <w:link w:val="CommentSubject"/>
    <w:semiHidden/>
    <w:rsid w:val="00C1152C"/>
    <w:rPr>
      <w:rFonts w:ascii="Arial" w:eastAsia="Times New Roman" w:hAnsi="Arial" w:cs="Times New Roman"/>
      <w:b/>
      <w:bCs/>
      <w:sz w:val="20"/>
      <w:szCs w:val="20"/>
    </w:rPr>
  </w:style>
  <w:style w:type="character" w:styleId="FootnoteReference">
    <w:name w:val="footnote reference"/>
    <w:basedOn w:val="DefaultParagraphFont"/>
    <w:uiPriority w:val="99"/>
    <w:semiHidden/>
    <w:unhideWhenUsed/>
    <w:rsid w:val="00C1152C"/>
    <w:rPr>
      <w:vertAlign w:val="superscript"/>
    </w:rPr>
  </w:style>
  <w:style w:type="character" w:styleId="UnresolvedMention">
    <w:name w:val="Unresolved Mention"/>
    <w:basedOn w:val="DefaultParagraphFont"/>
    <w:uiPriority w:val="99"/>
    <w:semiHidden/>
    <w:unhideWhenUsed/>
    <w:rsid w:val="00C1152C"/>
    <w:rPr>
      <w:color w:val="605E5C"/>
      <w:shd w:val="clear" w:color="auto" w:fill="E1DFDD"/>
    </w:rPr>
  </w:style>
  <w:style w:type="paragraph" w:styleId="Revision">
    <w:name w:val="Revision"/>
    <w:hidden/>
    <w:uiPriority w:val="99"/>
    <w:semiHidden/>
    <w:rsid w:val="00C1152C"/>
    <w:pPr>
      <w:spacing w:after="0" w:line="240" w:lineRule="auto"/>
    </w:pPr>
    <w:rPr>
      <w:rFonts w:ascii="Arial" w:eastAsia="Times New Roman" w:hAnsi="Arial" w:cs="Times New Roman"/>
      <w:sz w:val="22"/>
    </w:rPr>
  </w:style>
  <w:style w:type="character" w:customStyle="1" w:styleId="normaltextrun">
    <w:name w:val="normaltextrun"/>
    <w:basedOn w:val="DefaultParagraphFont"/>
    <w:rsid w:val="00C1152C"/>
  </w:style>
  <w:style w:type="character" w:customStyle="1" w:styleId="eop">
    <w:name w:val="eop"/>
    <w:basedOn w:val="DefaultParagraphFont"/>
    <w:rsid w:val="00C1152C"/>
  </w:style>
  <w:style w:type="paragraph" w:customStyle="1" w:styleId="Normal0">
    <w:name w:val="[Normal]"/>
    <w:rsid w:val="00C1152C"/>
    <w:pPr>
      <w:widowControl w:val="0"/>
      <w:autoSpaceDE w:val="0"/>
      <w:autoSpaceDN w:val="0"/>
      <w:adjustRightInd w:val="0"/>
      <w:spacing w:after="0" w:line="240" w:lineRule="auto"/>
    </w:pPr>
    <w:rPr>
      <w:rFonts w:ascii="Arial" w:eastAsia="Times New Roman" w:hAnsi="Arial" w:cs="Arial"/>
      <w:lang w:eastAsia="en-AU"/>
    </w:rPr>
  </w:style>
  <w:style w:type="paragraph" w:customStyle="1" w:styleId="highlightedtext">
    <w:name w:val="highlighted text"/>
    <w:basedOn w:val="Normal"/>
    <w:link w:val="highlightedtextChar"/>
    <w:qFormat/>
    <w:rsid w:val="00C1152C"/>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asciiTheme="minorHAnsi" w:eastAsiaTheme="minorHAnsi" w:hAnsiTheme="minorHAnsi" w:cstheme="minorBidi"/>
      <w:b/>
      <w:iCs/>
      <w:color w:val="525252" w:themeColor="accent3" w:themeShade="80"/>
      <w:szCs w:val="22"/>
    </w:rPr>
  </w:style>
  <w:style w:type="character" w:customStyle="1" w:styleId="highlightedtextChar">
    <w:name w:val="highlighted text Char"/>
    <w:basedOn w:val="DefaultParagraphFont"/>
    <w:link w:val="highlightedtext"/>
    <w:rsid w:val="00C1152C"/>
    <w:rPr>
      <w:rFonts w:cstheme="minorBidi"/>
      <w:b/>
      <w:iCs/>
      <w:color w:val="525252" w:themeColor="accent3" w:themeShade="80"/>
      <w:sz w:val="22"/>
      <w:szCs w:val="22"/>
    </w:rPr>
  </w:style>
  <w:style w:type="character" w:customStyle="1" w:styleId="ListParagraphChar">
    <w:name w:val="List Paragraph Char"/>
    <w:aliases w:val="Body text Char,Bullet Point Char,Bullet point Char,Bullet- First level Char,Figure_name Char,L Char,List NUmber Char,List Paragraph Number Char,List Paragraph1 Char,List Paragraph11 Char,Listenabsatz1 Char,NAST Quote Char,lp1 Char"/>
    <w:link w:val="ListParagraph"/>
    <w:uiPriority w:val="34"/>
    <w:qFormat/>
    <w:locked/>
    <w:rsid w:val="00C1152C"/>
    <w:rPr>
      <w:rFonts w:ascii="Arial" w:eastAsia="Times New Roman" w:hAnsi="Arial" w:cs="Times New Roman"/>
      <w:sz w:val="22"/>
    </w:rPr>
  </w:style>
  <w:style w:type="paragraph" w:customStyle="1" w:styleId="Default">
    <w:name w:val="Default"/>
    <w:rsid w:val="00C1152C"/>
    <w:pPr>
      <w:autoSpaceDE w:val="0"/>
      <w:autoSpaceDN w:val="0"/>
      <w:adjustRightInd w:val="0"/>
      <w:spacing w:after="0" w:line="240" w:lineRule="auto"/>
    </w:pPr>
    <w:rPr>
      <w:rFonts w:ascii="Arial" w:eastAsia="Times New Roman" w:hAnsi="Arial" w:cs="Arial"/>
      <w:color w:val="000000"/>
      <w:lang w:eastAsia="en-AU"/>
    </w:rPr>
  </w:style>
  <w:style w:type="character" w:customStyle="1" w:styleId="apple-converted-space">
    <w:name w:val="apple-converted-space"/>
    <w:basedOn w:val="DefaultParagraphFont"/>
    <w:rsid w:val="00C1152C"/>
  </w:style>
  <w:style w:type="paragraph" w:customStyle="1" w:styleId="paragraph">
    <w:name w:val="paragraph"/>
    <w:basedOn w:val="Normal"/>
    <w:rsid w:val="00C1152C"/>
    <w:pPr>
      <w:spacing w:before="100" w:beforeAutospacing="1" w:after="100" w:afterAutospacing="1"/>
    </w:pPr>
    <w:rPr>
      <w:rFonts w:ascii="Times New Roman" w:hAnsi="Times New Roman"/>
      <w:sz w:val="24"/>
      <w:lang w:eastAsia="en-AU"/>
    </w:rPr>
  </w:style>
  <w:style w:type="character" w:styleId="FollowedHyperlink">
    <w:name w:val="FollowedHyperlink"/>
    <w:basedOn w:val="DefaultParagraphFont"/>
    <w:semiHidden/>
    <w:unhideWhenUsed/>
    <w:rsid w:val="00C1152C"/>
    <w:rPr>
      <w:color w:val="954F72" w:themeColor="followedHyperlink"/>
      <w:u w:val="single"/>
    </w:rPr>
  </w:style>
  <w:style w:type="paragraph" w:customStyle="1" w:styleId="bulletsblue">
    <w:name w:val="bullets blue"/>
    <w:basedOn w:val="ListBullet"/>
    <w:rsid w:val="001F3BB9"/>
    <w:rPr>
      <w:color w:val="123A6F"/>
      <w:szCs w:val="20"/>
      <w:lang w:eastAsia="en-AU"/>
    </w:rPr>
  </w:style>
  <w:style w:type="paragraph" w:styleId="TOCHeading">
    <w:name w:val="TOC Heading"/>
    <w:basedOn w:val="Heading1"/>
    <w:next w:val="Normal"/>
    <w:uiPriority w:val="39"/>
    <w:unhideWhenUsed/>
    <w:qFormat/>
    <w:rsid w:val="001D3AFE"/>
    <w:pPr>
      <w:keepLines/>
      <w:spacing w:after="0" w:line="259" w:lineRule="auto"/>
      <w:outlineLvl w:val="9"/>
    </w:pPr>
    <w:rPr>
      <w:rFonts w:asciiTheme="majorHAnsi" w:eastAsiaTheme="majorEastAsia" w:hAnsiTheme="majorHAnsi" w:cstheme="majorBidi"/>
      <w:bCs w:val="0"/>
      <w:color w:val="2F5496" w:themeColor="accent1" w:themeShade="BF"/>
      <w:kern w:val="0"/>
      <w:sz w:val="32"/>
      <w:szCs w:val="32"/>
      <w:lang w:val="en-US"/>
    </w:rPr>
  </w:style>
  <w:style w:type="paragraph" w:styleId="TOC1">
    <w:name w:val="toc 1"/>
    <w:basedOn w:val="Normal"/>
    <w:next w:val="Normal"/>
    <w:autoRedefine/>
    <w:uiPriority w:val="39"/>
    <w:unhideWhenUsed/>
    <w:rsid w:val="001D3AFE"/>
    <w:pPr>
      <w:spacing w:after="100"/>
    </w:pPr>
  </w:style>
  <w:style w:type="paragraph" w:styleId="TOC2">
    <w:name w:val="toc 2"/>
    <w:basedOn w:val="Normal"/>
    <w:next w:val="Normal"/>
    <w:autoRedefine/>
    <w:uiPriority w:val="39"/>
    <w:unhideWhenUsed/>
    <w:rsid w:val="001D3AFE"/>
    <w:pPr>
      <w:spacing w:after="100"/>
      <w:ind w:left="220"/>
    </w:pPr>
  </w:style>
  <w:style w:type="paragraph" w:styleId="TOC3">
    <w:name w:val="toc 3"/>
    <w:basedOn w:val="Normal"/>
    <w:next w:val="Normal"/>
    <w:autoRedefine/>
    <w:uiPriority w:val="39"/>
    <w:unhideWhenUsed/>
    <w:rsid w:val="001D3AF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10CF0.2ACF2D40"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copyright@health.gov.au"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pmc.gov.au/government/commonwealth-coat-arms"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reativecommons.org/licenses/by/4.0/legalcode"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AC26A-6631-41FC-862E-E25D345A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9563</Words>
  <Characters>54511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2022-12-15T23:05:00Z</dcterms:created>
  <dcterms:modified xsi:type="dcterms:W3CDTF">2022-12-19T21:15:00Z</dcterms:modified>
</cp:coreProperties>
</file>