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1998" w14:textId="0F86D7B0" w:rsidR="001B13CE" w:rsidRPr="00EB0C00" w:rsidRDefault="008920CF" w:rsidP="003B07D5">
      <w:pPr>
        <w:pStyle w:val="Heading1"/>
        <w:numPr>
          <w:ilvl w:val="0"/>
          <w:numId w:val="0"/>
        </w:numPr>
        <w:spacing w:before="120" w:after="120"/>
        <w:ind w:left="360" w:hanging="360"/>
        <w:jc w:val="center"/>
        <w:rPr>
          <w:i/>
          <w:sz w:val="28"/>
        </w:rPr>
      </w:pPr>
      <w:r>
        <w:rPr>
          <w:i/>
          <w:sz w:val="28"/>
        </w:rPr>
        <w:t>A Shared Visio</w:t>
      </w:r>
      <w:r w:rsidR="003B07D5">
        <w:rPr>
          <w:i/>
          <w:sz w:val="28"/>
        </w:rPr>
        <w:t xml:space="preserve">n for Australia’s health system: </w:t>
      </w:r>
      <w:r w:rsidR="003B07D5">
        <w:rPr>
          <w:i/>
          <w:sz w:val="28"/>
        </w:rPr>
        <w:br/>
      </w:r>
      <w:r w:rsidR="007F4DFE">
        <w:rPr>
          <w:i/>
          <w:sz w:val="28"/>
        </w:rPr>
        <w:t xml:space="preserve">Principles agreed to by the Government and the </w:t>
      </w:r>
      <w:r w:rsidR="003B07D5">
        <w:rPr>
          <w:i/>
          <w:sz w:val="28"/>
        </w:rPr>
        <w:br/>
        <w:t>Australian Medical Association (</w:t>
      </w:r>
      <w:r w:rsidR="007F4DFE">
        <w:rPr>
          <w:i/>
          <w:sz w:val="28"/>
        </w:rPr>
        <w:t>AMA</w:t>
      </w:r>
      <w:r w:rsidR="003B07D5">
        <w:rPr>
          <w:i/>
          <w:sz w:val="28"/>
        </w:rPr>
        <w:t>)</w:t>
      </w:r>
      <w:r w:rsidR="007F4DFE">
        <w:rPr>
          <w:i/>
          <w:sz w:val="28"/>
        </w:rPr>
        <w:t xml:space="preserve"> </w:t>
      </w:r>
    </w:p>
    <w:p w14:paraId="489DBB01" w14:textId="77777777" w:rsidR="001B13CE" w:rsidRPr="001B13CE" w:rsidRDefault="001B13CE" w:rsidP="001B13CE">
      <w:pPr>
        <w:pStyle w:val="BodyText"/>
      </w:pPr>
    </w:p>
    <w:p w14:paraId="661BE695" w14:textId="77777777" w:rsidR="00FA2F34" w:rsidRDefault="00FA2F34" w:rsidP="00FA2F34">
      <w:pPr>
        <w:pStyle w:val="Heading1"/>
        <w:numPr>
          <w:ilvl w:val="0"/>
          <w:numId w:val="0"/>
        </w:numPr>
        <w:spacing w:before="120" w:after="120"/>
        <w:ind w:left="360" w:hanging="360"/>
        <w:rPr>
          <w:sz w:val="28"/>
        </w:rPr>
      </w:pPr>
      <w:r w:rsidRPr="00FA2F34">
        <w:rPr>
          <w:sz w:val="28"/>
        </w:rPr>
        <w:t xml:space="preserve">Purpose </w:t>
      </w:r>
    </w:p>
    <w:p w14:paraId="5769DE6F" w14:textId="6A76729C" w:rsidR="00351D6B" w:rsidRPr="00FA2F34" w:rsidRDefault="00FA2F34" w:rsidP="00FA2F34">
      <w:pPr>
        <w:pStyle w:val="Heading1"/>
        <w:numPr>
          <w:ilvl w:val="0"/>
          <w:numId w:val="0"/>
        </w:numPr>
        <w:spacing w:before="0" w:after="0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FA2F34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 </w:t>
      </w:r>
      <w:r w:rsidR="007F4DFE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commitment by the Government and the AMA to principles that support a stronger health system in </w:t>
      </w:r>
      <w:r w:rsidR="005F673C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2017-18 </w:t>
      </w:r>
      <w:r w:rsidR="007F4DFE">
        <w:rPr>
          <w:rFonts w:eastAsiaTheme="minorHAnsi" w:cstheme="minorBidi"/>
          <w:b w:val="0"/>
          <w:bCs w:val="0"/>
          <w:color w:val="auto"/>
          <w:sz w:val="22"/>
          <w:szCs w:val="22"/>
        </w:rPr>
        <w:t>and beyond</w:t>
      </w:r>
      <w:r w:rsidR="008920CF">
        <w:rPr>
          <w:rFonts w:eastAsiaTheme="minorHAnsi" w:cstheme="minorBidi"/>
          <w:b w:val="0"/>
          <w:bCs w:val="0"/>
          <w:color w:val="auto"/>
          <w:sz w:val="22"/>
          <w:szCs w:val="22"/>
        </w:rPr>
        <w:t>, that</w:t>
      </w:r>
      <w:r w:rsidR="007F4DFE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recognise</w:t>
      </w:r>
      <w:r w:rsidR="00CD4561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the value and role of </w:t>
      </w:r>
      <w:r w:rsidR="001B2737">
        <w:rPr>
          <w:rFonts w:eastAsiaTheme="minorHAnsi" w:cstheme="minorBidi"/>
          <w:b w:val="0"/>
          <w:bCs w:val="0"/>
          <w:color w:val="auto"/>
          <w:sz w:val="22"/>
          <w:szCs w:val="22"/>
        </w:rPr>
        <w:t>Medicare</w:t>
      </w:r>
      <w:r w:rsidR="007F4DFE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, </w:t>
      </w:r>
      <w:r w:rsidR="008920C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the importance of </w:t>
      </w:r>
      <w:r w:rsidR="00C95081">
        <w:rPr>
          <w:rFonts w:eastAsiaTheme="minorHAnsi" w:cstheme="minorBidi"/>
          <w:b w:val="0"/>
          <w:bCs w:val="0"/>
          <w:color w:val="auto"/>
          <w:sz w:val="22"/>
          <w:szCs w:val="22"/>
        </w:rPr>
        <w:t>sustainably</w:t>
      </w:r>
      <w:r w:rsidR="007975BE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C95081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funded </w:t>
      </w:r>
      <w:r w:rsidR="007F4DFE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public hospitals,  the contribution made by preventive health, </w:t>
      </w:r>
      <w:r w:rsidR="008920C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and </w:t>
      </w:r>
      <w:r w:rsidR="007F4DFE">
        <w:rPr>
          <w:rFonts w:eastAsiaTheme="minorHAnsi" w:cstheme="minorBidi"/>
          <w:b w:val="0"/>
          <w:bCs w:val="0"/>
          <w:color w:val="auto"/>
          <w:sz w:val="22"/>
          <w:szCs w:val="22"/>
        </w:rPr>
        <w:t>acknowled</w:t>
      </w:r>
      <w:r w:rsidR="007975BE">
        <w:rPr>
          <w:rFonts w:eastAsiaTheme="minorHAnsi" w:cstheme="minorBidi"/>
          <w:b w:val="0"/>
          <w:bCs w:val="0"/>
          <w:color w:val="auto"/>
          <w:sz w:val="22"/>
          <w:szCs w:val="22"/>
        </w:rPr>
        <w:t>g</w:t>
      </w:r>
      <w:r w:rsidR="009C181E">
        <w:rPr>
          <w:rFonts w:eastAsiaTheme="minorHAnsi" w:cstheme="minorBidi"/>
          <w:b w:val="0"/>
          <w:bCs w:val="0"/>
          <w:color w:val="auto"/>
          <w:sz w:val="22"/>
          <w:szCs w:val="22"/>
        </w:rPr>
        <w:t>e</w:t>
      </w:r>
      <w:r w:rsidR="001B2737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8920CF">
        <w:rPr>
          <w:rFonts w:eastAsiaTheme="minorHAnsi" w:cstheme="minorBidi"/>
          <w:b w:val="0"/>
          <w:bCs w:val="0"/>
          <w:color w:val="auto"/>
          <w:sz w:val="22"/>
          <w:szCs w:val="22"/>
        </w:rPr>
        <w:t>a shared interest in ensuring</w:t>
      </w:r>
      <w:r w:rsidR="001B2737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411806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the </w:t>
      </w:r>
      <w:r w:rsidR="001B2737">
        <w:rPr>
          <w:rFonts w:eastAsiaTheme="minorHAnsi" w:cstheme="minorBidi"/>
          <w:b w:val="0"/>
          <w:bCs w:val="0"/>
          <w:color w:val="auto"/>
          <w:sz w:val="22"/>
          <w:szCs w:val="22"/>
        </w:rPr>
        <w:t>strengthening and sustainability</w:t>
      </w:r>
      <w:r w:rsidR="008920C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of the health system</w:t>
      </w:r>
      <w:r w:rsidR="001B2737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. </w:t>
      </w:r>
    </w:p>
    <w:p w14:paraId="13872F47" w14:textId="4F4D121D" w:rsidR="001E24D3" w:rsidRDefault="00DC544E" w:rsidP="001E24D3">
      <w:pPr>
        <w:pStyle w:val="BodyText"/>
      </w:pPr>
      <w:r>
        <w:t>T</w:t>
      </w:r>
      <w:r w:rsidR="00FA2F34">
        <w:t xml:space="preserve">he </w:t>
      </w:r>
      <w:r w:rsidR="008920CF">
        <w:t xml:space="preserve">commitment </w:t>
      </w:r>
      <w:r>
        <w:t>is</w:t>
      </w:r>
      <w:r w:rsidR="00FA2F34">
        <w:t xml:space="preserve"> </w:t>
      </w:r>
      <w:r w:rsidR="00351D6B">
        <w:t xml:space="preserve">underpinned by the shared principles of: </w:t>
      </w:r>
    </w:p>
    <w:p w14:paraId="442D804C" w14:textId="1EB135FD" w:rsidR="00351D6B" w:rsidRDefault="00024FF4" w:rsidP="00024FF4">
      <w:pPr>
        <w:pStyle w:val="BodyText"/>
        <w:numPr>
          <w:ilvl w:val="0"/>
          <w:numId w:val="12"/>
        </w:numPr>
      </w:pPr>
      <w:r w:rsidRPr="00024FF4">
        <w:rPr>
          <w:b/>
        </w:rPr>
        <w:t>Stewardship</w:t>
      </w:r>
      <w:r>
        <w:t xml:space="preserve"> </w:t>
      </w:r>
      <w:r w:rsidR="006E0728">
        <w:t xml:space="preserve">of the health system </w:t>
      </w:r>
      <w:r>
        <w:t xml:space="preserve">and a shared responsibility </w:t>
      </w:r>
      <w:r w:rsidR="006E0728">
        <w:t>for its ongoing sustainability</w:t>
      </w:r>
      <w:r>
        <w:t xml:space="preserve">; </w:t>
      </w:r>
    </w:p>
    <w:p w14:paraId="209FC4B8" w14:textId="77777777" w:rsidR="0066247D" w:rsidRDefault="0066247D" w:rsidP="00024FF4">
      <w:pPr>
        <w:pStyle w:val="BodyText"/>
        <w:numPr>
          <w:ilvl w:val="0"/>
          <w:numId w:val="12"/>
        </w:numPr>
      </w:pPr>
      <w:r>
        <w:rPr>
          <w:b/>
        </w:rPr>
        <w:t xml:space="preserve">Patient access </w:t>
      </w:r>
      <w:r w:rsidRPr="00C3677F">
        <w:t>to affordable health care;</w:t>
      </w:r>
    </w:p>
    <w:p w14:paraId="2C4A89E8" w14:textId="58551C38" w:rsidR="00411806" w:rsidRDefault="00411806" w:rsidP="00024FF4">
      <w:pPr>
        <w:pStyle w:val="BodyText"/>
        <w:numPr>
          <w:ilvl w:val="0"/>
          <w:numId w:val="12"/>
        </w:numPr>
      </w:pPr>
      <w:r w:rsidRPr="00C3677F">
        <w:rPr>
          <w:b/>
        </w:rPr>
        <w:t>Recognition</w:t>
      </w:r>
      <w:r>
        <w:t xml:space="preserve"> </w:t>
      </w:r>
      <w:r w:rsidR="000955A6">
        <w:t xml:space="preserve">that both the public and </w:t>
      </w:r>
      <w:r>
        <w:t>private health system</w:t>
      </w:r>
      <w:r w:rsidR="000955A6">
        <w:t>s</w:t>
      </w:r>
      <w:r w:rsidR="00237A15">
        <w:t xml:space="preserve"> </w:t>
      </w:r>
      <w:r w:rsidR="000955A6">
        <w:t xml:space="preserve">support </w:t>
      </w:r>
      <w:r w:rsidR="00237A15">
        <w:t>universal health care</w:t>
      </w:r>
      <w:r>
        <w:t>;</w:t>
      </w:r>
    </w:p>
    <w:p w14:paraId="42995290" w14:textId="7AE78CEA" w:rsidR="008646FE" w:rsidRDefault="00411806" w:rsidP="00024FF4">
      <w:pPr>
        <w:pStyle w:val="BodyText"/>
        <w:numPr>
          <w:ilvl w:val="0"/>
          <w:numId w:val="12"/>
        </w:numPr>
      </w:pPr>
      <w:r>
        <w:rPr>
          <w:b/>
        </w:rPr>
        <w:t xml:space="preserve">Support </w:t>
      </w:r>
      <w:r>
        <w:t xml:space="preserve">for investment in </w:t>
      </w:r>
      <w:r w:rsidR="00237A15">
        <w:t xml:space="preserve">evidence-based </w:t>
      </w:r>
      <w:r>
        <w:t xml:space="preserve">mental health </w:t>
      </w:r>
      <w:r w:rsidR="008646FE">
        <w:t xml:space="preserve">services; </w:t>
      </w:r>
    </w:p>
    <w:p w14:paraId="0F012A85" w14:textId="77777777" w:rsidR="00411806" w:rsidRDefault="008646FE" w:rsidP="00024FF4">
      <w:pPr>
        <w:pStyle w:val="BodyText"/>
        <w:numPr>
          <w:ilvl w:val="0"/>
          <w:numId w:val="12"/>
        </w:numPr>
      </w:pPr>
      <w:r>
        <w:rPr>
          <w:b/>
        </w:rPr>
        <w:t xml:space="preserve">Support </w:t>
      </w:r>
      <w:r>
        <w:t xml:space="preserve">for improvements in the </w:t>
      </w:r>
      <w:r w:rsidR="00411806">
        <w:t>health</w:t>
      </w:r>
      <w:r>
        <w:t xml:space="preserve"> of </w:t>
      </w:r>
      <w:r w:rsidR="00237A15">
        <w:t>Aboriginal and Torres Strait Islander</w:t>
      </w:r>
      <w:r>
        <w:t xml:space="preserve"> people</w:t>
      </w:r>
      <w:r w:rsidR="00237A15">
        <w:t xml:space="preserve"> to close the gap in health outcomes between Indigenous and non-Indigenous Australians</w:t>
      </w:r>
      <w:r w:rsidR="00411806">
        <w:t>;</w:t>
      </w:r>
    </w:p>
    <w:p w14:paraId="3AC8D961" w14:textId="7F553FF7" w:rsidR="00024FF4" w:rsidRDefault="00024FF4" w:rsidP="00024FF4">
      <w:pPr>
        <w:pStyle w:val="BodyText"/>
        <w:numPr>
          <w:ilvl w:val="0"/>
          <w:numId w:val="12"/>
        </w:numPr>
      </w:pPr>
      <w:r w:rsidRPr="00024FF4">
        <w:rPr>
          <w:b/>
        </w:rPr>
        <w:t>Transparency</w:t>
      </w:r>
      <w:r w:rsidR="006E0728">
        <w:t xml:space="preserve"> </w:t>
      </w:r>
      <w:r w:rsidRPr="00024FF4">
        <w:t>of decision-making, of data</w:t>
      </w:r>
      <w:r>
        <w:t xml:space="preserve"> and information</w:t>
      </w:r>
      <w:r w:rsidR="006E0728">
        <w:t xml:space="preserve"> transfer</w:t>
      </w:r>
      <w:r w:rsidR="00631F71">
        <w:t>, including to patients</w:t>
      </w:r>
      <w:r w:rsidR="00451066">
        <w:t xml:space="preserve">; </w:t>
      </w:r>
    </w:p>
    <w:p w14:paraId="46482665" w14:textId="0483F58C" w:rsidR="00351D6B" w:rsidRDefault="00024FF4" w:rsidP="00024FF4">
      <w:pPr>
        <w:pStyle w:val="BodyText"/>
        <w:numPr>
          <w:ilvl w:val="0"/>
          <w:numId w:val="12"/>
        </w:numPr>
      </w:pPr>
      <w:r>
        <w:rPr>
          <w:b/>
        </w:rPr>
        <w:t xml:space="preserve">Accountability </w:t>
      </w:r>
      <w:r w:rsidRPr="00024FF4">
        <w:t xml:space="preserve">for structural reform </w:t>
      </w:r>
      <w:r w:rsidR="006E0728">
        <w:t>out to 2020-21,</w:t>
      </w:r>
      <w:r w:rsidRPr="00024FF4">
        <w:t xml:space="preserve"> providing the platform for more ambitious change over the </w:t>
      </w:r>
      <w:r w:rsidR="005F673C">
        <w:t>next 10 years; and</w:t>
      </w:r>
    </w:p>
    <w:p w14:paraId="58F5C775" w14:textId="39D6FA35" w:rsidR="00FA2F34" w:rsidRDefault="00451066" w:rsidP="00FA2F34">
      <w:pPr>
        <w:pStyle w:val="BodyText"/>
        <w:numPr>
          <w:ilvl w:val="0"/>
          <w:numId w:val="12"/>
        </w:numPr>
      </w:pPr>
      <w:r w:rsidRPr="00451066">
        <w:t>Commitment to the</w:t>
      </w:r>
      <w:r>
        <w:rPr>
          <w:b/>
        </w:rPr>
        <w:t xml:space="preserve"> integrity </w:t>
      </w:r>
      <w:r w:rsidRPr="00451066">
        <w:t>of Austra</w:t>
      </w:r>
      <w:r w:rsidR="005F673C">
        <w:t xml:space="preserve">lia’s world class health system, including patient safety and high-value clinical care. </w:t>
      </w:r>
    </w:p>
    <w:p w14:paraId="67F1BA61" w14:textId="77777777" w:rsidR="00671AF7" w:rsidRDefault="00FA2F34" w:rsidP="00FA2F34">
      <w:pPr>
        <w:pStyle w:val="Heading1"/>
        <w:numPr>
          <w:ilvl w:val="0"/>
          <w:numId w:val="0"/>
        </w:numPr>
        <w:spacing w:before="120" w:after="120"/>
        <w:ind w:hanging="360"/>
        <w:rPr>
          <w:sz w:val="28"/>
        </w:rPr>
      </w:pPr>
      <w:r>
        <w:rPr>
          <w:sz w:val="28"/>
        </w:rPr>
        <w:br/>
      </w:r>
      <w:r w:rsidR="00671AF7">
        <w:rPr>
          <w:sz w:val="28"/>
        </w:rPr>
        <w:t xml:space="preserve">Statement of Intent for the </w:t>
      </w:r>
      <w:r w:rsidR="009E247E">
        <w:rPr>
          <w:sz w:val="28"/>
        </w:rPr>
        <w:t>G</w:t>
      </w:r>
      <w:r w:rsidR="007D2C86">
        <w:rPr>
          <w:sz w:val="28"/>
        </w:rPr>
        <w:t>overnment</w:t>
      </w:r>
      <w:r w:rsidR="009E247E">
        <w:rPr>
          <w:sz w:val="28"/>
        </w:rPr>
        <w:t xml:space="preserve"> </w:t>
      </w:r>
    </w:p>
    <w:p w14:paraId="601397F1" w14:textId="77777777" w:rsidR="00451066" w:rsidRDefault="000A1202" w:rsidP="00451066">
      <w:pPr>
        <w:pStyle w:val="Heading1"/>
        <w:numPr>
          <w:ilvl w:val="0"/>
          <w:numId w:val="0"/>
        </w:numPr>
        <w:spacing w:before="0" w:after="0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The Government </w:t>
      </w:r>
      <w:r w:rsidR="00451066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recognises the significant pressures on the health system, including an increase in and growing </w:t>
      </w:r>
      <w:r w:rsidR="00451066" w:rsidRPr="00451066">
        <w:rPr>
          <w:rFonts w:eastAsiaTheme="minorHAnsi" w:cstheme="minorBidi"/>
          <w:b w:val="0"/>
          <w:bCs w:val="0"/>
          <w:color w:val="auto"/>
          <w:sz w:val="22"/>
          <w:szCs w:val="22"/>
        </w:rPr>
        <w:t>burden of chronic disease, an ageing population (including the health workforce), and growing demand for high-cost, high-tech services and breakthrough medicines.</w:t>
      </w:r>
    </w:p>
    <w:p w14:paraId="6AB8E199" w14:textId="77777777" w:rsidR="00867C3D" w:rsidRPr="00BF07A0" w:rsidRDefault="00867C3D" w:rsidP="00BF07A0">
      <w:pPr>
        <w:pStyle w:val="Heading1"/>
        <w:numPr>
          <w:ilvl w:val="0"/>
          <w:numId w:val="0"/>
        </w:numPr>
        <w:spacing w:before="0" w:after="0"/>
        <w:rPr>
          <w:rFonts w:eastAsiaTheme="minorHAnsi" w:cstheme="minorBidi"/>
          <w:b w:val="0"/>
          <w:bCs w:val="0"/>
          <w:color w:val="auto"/>
          <w:sz w:val="22"/>
          <w:szCs w:val="22"/>
        </w:rPr>
      </w:pPr>
    </w:p>
    <w:p w14:paraId="51B39DBF" w14:textId="5961F8F3" w:rsidR="000D2A33" w:rsidRPr="00BF07A0" w:rsidRDefault="000A1202" w:rsidP="00FA2F34">
      <w:pPr>
        <w:pStyle w:val="Heading1"/>
        <w:numPr>
          <w:ilvl w:val="0"/>
          <w:numId w:val="0"/>
        </w:numPr>
        <w:spacing w:before="0" w:after="0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>It</w:t>
      </w:r>
      <w:r w:rsidR="00451066" w:rsidRPr="00867C3D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also recognises the pivotal role of general practitioners</w:t>
      </w:r>
      <w:r w:rsidR="00836C9B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and </w:t>
      </w:r>
      <w:r w:rsidR="00E005E8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other </w:t>
      </w:r>
      <w:r w:rsidR="00451066" w:rsidRPr="00867C3D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specialists in </w:t>
      </w:r>
      <w:r w:rsidR="00867C3D" w:rsidRPr="00867C3D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 system which touches every Australian. </w:t>
      </w:r>
    </w:p>
    <w:p w14:paraId="5788FFB3" w14:textId="6B8F56B1" w:rsidR="00C95081" w:rsidRDefault="000A1202" w:rsidP="0021324F">
      <w:pPr>
        <w:pStyle w:val="CAB-NumberedParagraph"/>
        <w:numPr>
          <w:ilvl w:val="0"/>
          <w:numId w:val="0"/>
        </w:numPr>
      </w:pPr>
      <w:r>
        <w:t xml:space="preserve">The Government </w:t>
      </w:r>
      <w:r w:rsidR="00867C3D">
        <w:t xml:space="preserve">is committed to rebuilding trust </w:t>
      </w:r>
      <w:r w:rsidR="0021324F">
        <w:t xml:space="preserve">with </w:t>
      </w:r>
      <w:r w:rsidR="007F4DFE">
        <w:t>medical practitioners</w:t>
      </w:r>
      <w:r w:rsidR="0021324F">
        <w:t xml:space="preserve">, </w:t>
      </w:r>
      <w:r w:rsidR="00867C3D">
        <w:t xml:space="preserve">and </w:t>
      </w:r>
      <w:r w:rsidR="0021324F">
        <w:t xml:space="preserve">balancing </w:t>
      </w:r>
      <w:r w:rsidR="0027118D">
        <w:t xml:space="preserve">targeted investment </w:t>
      </w:r>
      <w:r w:rsidR="0021324F">
        <w:t xml:space="preserve">decisions in the health system, with </w:t>
      </w:r>
      <w:r w:rsidR="007D2C86">
        <w:t>patient safety at the forefront, and a focus on high-value clinical care.</w:t>
      </w:r>
      <w:bookmarkStart w:id="0" w:name="_GoBack"/>
      <w:bookmarkEnd w:id="0"/>
      <w:r w:rsidR="00B94777">
        <w:t xml:space="preserve"> </w:t>
      </w:r>
    </w:p>
    <w:p w14:paraId="3DE91652" w14:textId="77777777" w:rsidR="007D2C86" w:rsidRPr="007D2C86" w:rsidRDefault="007D2C86" w:rsidP="0021324F">
      <w:pPr>
        <w:pStyle w:val="CAB-NumberedParagraph"/>
        <w:numPr>
          <w:ilvl w:val="0"/>
          <w:numId w:val="0"/>
        </w:numPr>
        <w:rPr>
          <w:i/>
          <w:u w:val="single"/>
        </w:rPr>
      </w:pPr>
      <w:r w:rsidRPr="007D2C86">
        <w:rPr>
          <w:i/>
          <w:u w:val="single"/>
        </w:rPr>
        <w:t>MBS indexation</w:t>
      </w:r>
    </w:p>
    <w:p w14:paraId="320A1976" w14:textId="35BA413D" w:rsidR="0021324F" w:rsidRDefault="0021324F" w:rsidP="0021324F">
      <w:pPr>
        <w:pStyle w:val="CAB-NumberedParagraph"/>
        <w:numPr>
          <w:ilvl w:val="0"/>
          <w:numId w:val="0"/>
        </w:numPr>
      </w:pPr>
      <w:r>
        <w:t xml:space="preserve">In this context, </w:t>
      </w:r>
      <w:r w:rsidR="000A1202">
        <w:t xml:space="preserve">consideration is being given to the </w:t>
      </w:r>
      <w:r>
        <w:t>early resumption of MBS indexation</w:t>
      </w:r>
      <w:r w:rsidR="00D77DE1">
        <w:t xml:space="preserve">, in a phased way from 2017, commencing with </w:t>
      </w:r>
      <w:r>
        <w:t>bulk-billing incentives</w:t>
      </w:r>
      <w:r w:rsidR="00D77DE1">
        <w:t>.</w:t>
      </w:r>
      <w:r w:rsidR="000A1202">
        <w:t xml:space="preserve"> This</w:t>
      </w:r>
      <w:r w:rsidR="00836C9B">
        <w:t xml:space="preserve"> overall</w:t>
      </w:r>
      <w:r w:rsidR="000A1202">
        <w:t xml:space="preserve"> investment is in the order of more </w:t>
      </w:r>
      <w:r w:rsidR="000A1202" w:rsidRPr="005152D8">
        <w:t>t</w:t>
      </w:r>
      <w:r w:rsidR="00AA47F3">
        <w:t>han $910</w:t>
      </w:r>
      <w:r w:rsidR="001B2737" w:rsidRPr="005152D8">
        <w:t xml:space="preserve"> million</w:t>
      </w:r>
      <w:r w:rsidR="007D2C86" w:rsidRPr="005152D8">
        <w:t xml:space="preserve"> </w:t>
      </w:r>
      <w:r w:rsidR="000A1202" w:rsidRPr="005152D8">
        <w:t>over the</w:t>
      </w:r>
      <w:r w:rsidR="000A1202">
        <w:t xml:space="preserve"> forward estimates.  </w:t>
      </w:r>
    </w:p>
    <w:p w14:paraId="62C0BB33" w14:textId="79ED82CB" w:rsidR="0066247D" w:rsidRDefault="0066247D" w:rsidP="0021324F">
      <w:pPr>
        <w:pStyle w:val="CAB-NumberedParagraph"/>
        <w:numPr>
          <w:ilvl w:val="0"/>
          <w:numId w:val="0"/>
        </w:numPr>
      </w:pPr>
      <w:r w:rsidRPr="00C95081">
        <w:t>Reversal of removal of bulk billing incentives for pathology and diagnostic imaging</w:t>
      </w:r>
      <w:r w:rsidR="00623E93">
        <w:t>.</w:t>
      </w:r>
    </w:p>
    <w:p w14:paraId="12EEC475" w14:textId="77777777" w:rsidR="00C95081" w:rsidRPr="00C95081" w:rsidRDefault="00C95081" w:rsidP="0021324F">
      <w:pPr>
        <w:pStyle w:val="CAB-NumberedParagraph"/>
        <w:numPr>
          <w:ilvl w:val="0"/>
          <w:numId w:val="0"/>
        </w:numPr>
      </w:pPr>
    </w:p>
    <w:p w14:paraId="5845D6EB" w14:textId="77777777" w:rsidR="001E24D3" w:rsidRPr="005F673C" w:rsidRDefault="00671AF7" w:rsidP="00671AF7">
      <w:pPr>
        <w:pStyle w:val="Heading1"/>
        <w:numPr>
          <w:ilvl w:val="0"/>
          <w:numId w:val="0"/>
        </w:numPr>
        <w:spacing w:before="120" w:after="120"/>
        <w:ind w:left="360" w:hanging="360"/>
        <w:rPr>
          <w:sz w:val="28"/>
        </w:rPr>
      </w:pPr>
      <w:r w:rsidRPr="005F673C">
        <w:rPr>
          <w:sz w:val="28"/>
        </w:rPr>
        <w:t>St</w:t>
      </w:r>
      <w:r w:rsidR="00CD4561">
        <w:rPr>
          <w:sz w:val="28"/>
        </w:rPr>
        <w:t xml:space="preserve">atement of intent, AMA </w:t>
      </w:r>
      <w:r w:rsidR="00351D6B" w:rsidRPr="005F673C">
        <w:rPr>
          <w:sz w:val="28"/>
        </w:rPr>
        <w:t xml:space="preserve"> </w:t>
      </w:r>
    </w:p>
    <w:p w14:paraId="0A52D642" w14:textId="170B0900" w:rsidR="00CD4561" w:rsidRDefault="00CD4561" w:rsidP="00867C3D">
      <w:pPr>
        <w:pStyle w:val="CAB-NumberedParagraph"/>
        <w:numPr>
          <w:ilvl w:val="0"/>
          <w:numId w:val="0"/>
        </w:numPr>
      </w:pPr>
      <w:r>
        <w:t xml:space="preserve">The AMA </w:t>
      </w:r>
      <w:r w:rsidR="00867C3D" w:rsidRPr="005F673C">
        <w:t>recognise</w:t>
      </w:r>
      <w:r w:rsidR="000955A6">
        <w:t>s</w:t>
      </w:r>
      <w:r w:rsidR="00867C3D" w:rsidRPr="005F673C">
        <w:t xml:space="preserve"> the </w:t>
      </w:r>
      <w:r w:rsidR="007D2C86">
        <w:t>stewardship required to assist the Government to</w:t>
      </w:r>
      <w:r w:rsidR="00DC544E">
        <w:t xml:space="preserve"> </w:t>
      </w:r>
      <w:r>
        <w:t xml:space="preserve">ensure the long term sustainability of the health system and to allow for reinvestment into </w:t>
      </w:r>
      <w:r w:rsidR="001B2737">
        <w:t xml:space="preserve">high value </w:t>
      </w:r>
      <w:r>
        <w:t>medical services</w:t>
      </w:r>
      <w:r w:rsidR="008920CF">
        <w:t>, public hospitals, and preventive health</w:t>
      </w:r>
      <w:r w:rsidR="00DC544E">
        <w:t>.</w:t>
      </w:r>
    </w:p>
    <w:p w14:paraId="26F25022" w14:textId="77777777" w:rsidR="007D2C86" w:rsidRPr="00DC544E" w:rsidRDefault="007D2C86" w:rsidP="00867C3D">
      <w:pPr>
        <w:pStyle w:val="CAB-NumberedParagraph"/>
        <w:numPr>
          <w:ilvl w:val="0"/>
          <w:numId w:val="0"/>
        </w:numPr>
      </w:pPr>
      <w:r>
        <w:br/>
      </w:r>
      <w:r w:rsidR="00DC544E">
        <w:rPr>
          <w:i/>
          <w:u w:val="single"/>
        </w:rPr>
        <w:t>Support and engagement</w:t>
      </w:r>
      <w:r w:rsidR="009372A0">
        <w:rPr>
          <w:i/>
          <w:u w:val="single"/>
        </w:rPr>
        <w:t xml:space="preserve"> </w:t>
      </w:r>
      <w:r w:rsidR="00DC544E">
        <w:rPr>
          <w:i/>
          <w:u w:val="single"/>
        </w:rPr>
        <w:t>on</w:t>
      </w:r>
      <w:r w:rsidR="00DA36E5">
        <w:rPr>
          <w:i/>
          <w:u w:val="single"/>
        </w:rPr>
        <w:t xml:space="preserve"> the </w:t>
      </w:r>
      <w:r w:rsidRPr="007D2C86">
        <w:rPr>
          <w:i/>
          <w:u w:val="single"/>
        </w:rPr>
        <w:t xml:space="preserve">MBS Review </w:t>
      </w:r>
      <w:r w:rsidR="00DC544E">
        <w:rPr>
          <w:i/>
          <w:u w:val="single"/>
        </w:rPr>
        <w:t xml:space="preserve">process </w:t>
      </w:r>
    </w:p>
    <w:p w14:paraId="38F8FDFF" w14:textId="5D17B452" w:rsidR="00DC544E" w:rsidRDefault="00374938" w:rsidP="00374938">
      <w:pPr>
        <w:pStyle w:val="CAB-NumberedParagraph"/>
        <w:numPr>
          <w:ilvl w:val="0"/>
          <w:numId w:val="0"/>
        </w:numPr>
      </w:pPr>
      <w:r w:rsidRPr="005F673C">
        <w:t xml:space="preserve">The AMA </w:t>
      </w:r>
      <w:r w:rsidR="00AC2FE6">
        <w:t xml:space="preserve">will </w:t>
      </w:r>
      <w:r w:rsidR="00950EB1">
        <w:t xml:space="preserve">continue to </w:t>
      </w:r>
      <w:r w:rsidRPr="005F673C">
        <w:t>s</w:t>
      </w:r>
      <w:r w:rsidR="00DB750D" w:rsidRPr="005F673C">
        <w:t xml:space="preserve">upport </w:t>
      </w:r>
      <w:r w:rsidR="00AC2FE6">
        <w:t xml:space="preserve">in principle </w:t>
      </w:r>
      <w:r w:rsidRPr="005F673C">
        <w:t>the ongoing operation of the MBS Review Taskforce</w:t>
      </w:r>
      <w:r w:rsidR="00950EB1">
        <w:t>, including a transparent, consultative</w:t>
      </w:r>
      <w:r w:rsidRPr="005F673C">
        <w:t xml:space="preserve"> clinician-led approach to </w:t>
      </w:r>
      <w:r w:rsidR="007D2C86">
        <w:t xml:space="preserve">high-value care and </w:t>
      </w:r>
      <w:r w:rsidRPr="005F673C">
        <w:t>future-p</w:t>
      </w:r>
      <w:r w:rsidR="000A1202" w:rsidRPr="005F673C">
        <w:t>roofing the system</w:t>
      </w:r>
      <w:r w:rsidR="007D2C86">
        <w:t>.</w:t>
      </w:r>
      <w:r w:rsidR="000A1202" w:rsidRPr="005F673C">
        <w:t xml:space="preserve"> Over the next</w:t>
      </w:r>
      <w:r w:rsidRPr="005F673C">
        <w:t xml:space="preserve"> four years, the </w:t>
      </w:r>
      <w:r w:rsidR="001B2737">
        <w:t>AMA</w:t>
      </w:r>
      <w:r w:rsidRPr="005F673C">
        <w:t xml:space="preserve"> will work with Health to deliver on </w:t>
      </w:r>
      <w:r w:rsidR="007975BE">
        <w:t xml:space="preserve">agreed </w:t>
      </w:r>
      <w:r w:rsidRPr="005F673C">
        <w:t>recommendations arising from the MBS Review</w:t>
      </w:r>
      <w:r w:rsidR="00416BE4">
        <w:t xml:space="preserve"> in conjunction with the relevant sectors</w:t>
      </w:r>
      <w:r w:rsidR="00A47CF0">
        <w:t>.</w:t>
      </w:r>
      <w:r w:rsidR="00AC2FE6">
        <w:t xml:space="preserve"> The AMA will continue to identify areas to improve the review process</w:t>
      </w:r>
      <w:r w:rsidR="0066247D">
        <w:t xml:space="preserve"> and recommendations</w:t>
      </w:r>
      <w:r w:rsidR="00AC2FE6">
        <w:t>.</w:t>
      </w:r>
    </w:p>
    <w:p w14:paraId="601D4878" w14:textId="77777777" w:rsidR="00DC544E" w:rsidRDefault="00DC544E" w:rsidP="00DC544E">
      <w:pPr>
        <w:pStyle w:val="CAB-NumberedParagraph"/>
        <w:numPr>
          <w:ilvl w:val="0"/>
          <w:numId w:val="0"/>
        </w:numPr>
        <w:rPr>
          <w:i/>
          <w:u w:val="single"/>
        </w:rPr>
      </w:pPr>
      <w:r w:rsidRPr="00DC544E">
        <w:rPr>
          <w:i/>
          <w:u w:val="single"/>
        </w:rPr>
        <w:t>Support for</w:t>
      </w:r>
      <w:r w:rsidR="001B2737">
        <w:rPr>
          <w:i/>
          <w:u w:val="single"/>
        </w:rPr>
        <w:t xml:space="preserve"> tightening of access to high value</w:t>
      </w:r>
      <w:r w:rsidRPr="00DC544E">
        <w:rPr>
          <w:i/>
          <w:u w:val="single"/>
        </w:rPr>
        <w:t xml:space="preserve"> after hours</w:t>
      </w:r>
      <w:r w:rsidR="001B2737">
        <w:rPr>
          <w:i/>
          <w:u w:val="single"/>
        </w:rPr>
        <w:t xml:space="preserve"> MBS items</w:t>
      </w:r>
      <w:r w:rsidRPr="00DC544E">
        <w:rPr>
          <w:i/>
          <w:u w:val="single"/>
        </w:rPr>
        <w:t xml:space="preserve"> in line with the MBS Review recommendation </w:t>
      </w:r>
    </w:p>
    <w:p w14:paraId="5E720333" w14:textId="77777777" w:rsidR="00DC544E" w:rsidRDefault="00DC544E" w:rsidP="00DC544E">
      <w:pPr>
        <w:pStyle w:val="CAB-NumberedParagraph"/>
        <w:numPr>
          <w:ilvl w:val="0"/>
          <w:numId w:val="0"/>
        </w:numPr>
      </w:pPr>
      <w:r>
        <w:t xml:space="preserve">The AMA </w:t>
      </w:r>
      <w:r w:rsidR="00637B75">
        <w:t xml:space="preserve">will support </w:t>
      </w:r>
      <w:r w:rsidR="00452757">
        <w:t xml:space="preserve">the Government’s actions </w:t>
      </w:r>
      <w:r w:rsidR="0066247D">
        <w:t xml:space="preserve">informed by the MBS Review taskforce working group on after hours </w:t>
      </w:r>
      <w:r w:rsidR="00452757">
        <w:t xml:space="preserve">to </w:t>
      </w:r>
      <w:r>
        <w:t>tigh</w:t>
      </w:r>
      <w:r w:rsidR="001B2737">
        <w:t>ten the current MBS after-</w:t>
      </w:r>
      <w:r>
        <w:t xml:space="preserve">hours items to ensure that the system can deliver </w:t>
      </w:r>
      <w:r w:rsidR="006B4900">
        <w:t>support for improving patient care by high quality after-</w:t>
      </w:r>
      <w:r>
        <w:t>hour</w:t>
      </w:r>
      <w:r w:rsidR="006B4900">
        <w:t>s</w:t>
      </w:r>
      <w:r>
        <w:t xml:space="preserve"> care in a sustainable manner and that items are appropriately used.  This includes working with relevant GP and specialist groups to better target the existing investment in after hours care and </w:t>
      </w:r>
      <w:r w:rsidR="009372A0">
        <w:t xml:space="preserve">to support </w:t>
      </w:r>
      <w:r>
        <w:t xml:space="preserve">care that is connected to an individual’s usual GP. </w:t>
      </w:r>
    </w:p>
    <w:p w14:paraId="116E559C" w14:textId="1D312138" w:rsidR="00DC544E" w:rsidRPr="00DC544E" w:rsidRDefault="00DC544E" w:rsidP="00DC544E">
      <w:pPr>
        <w:pStyle w:val="CAB-NumberedParagraph"/>
        <w:numPr>
          <w:ilvl w:val="0"/>
          <w:numId w:val="0"/>
        </w:numPr>
        <w:rPr>
          <w:i/>
          <w:u w:val="single"/>
        </w:rPr>
      </w:pPr>
      <w:r w:rsidRPr="00DC544E">
        <w:rPr>
          <w:i/>
          <w:u w:val="single"/>
        </w:rPr>
        <w:t>Commitment to encouraging further uptake and usage of my health record</w:t>
      </w:r>
    </w:p>
    <w:p w14:paraId="50D70661" w14:textId="6FAA60D1" w:rsidR="00DC544E" w:rsidRDefault="00DC544E" w:rsidP="00DC544E">
      <w:pPr>
        <w:pStyle w:val="CAB-NumberedParagraph"/>
        <w:numPr>
          <w:ilvl w:val="0"/>
          <w:numId w:val="0"/>
        </w:numPr>
      </w:pPr>
      <w:r w:rsidRPr="005F673C">
        <w:t xml:space="preserve">The AMA </w:t>
      </w:r>
      <w:r w:rsidR="00AC2FE6">
        <w:t>will continue</w:t>
      </w:r>
      <w:r w:rsidR="00AC2FE6" w:rsidRPr="005F673C">
        <w:t xml:space="preserve"> </w:t>
      </w:r>
      <w:r w:rsidRPr="005F673C">
        <w:t>to encourag</w:t>
      </w:r>
      <w:r w:rsidR="00AC2FE6">
        <w:t>e</w:t>
      </w:r>
      <w:r w:rsidRPr="005F673C">
        <w:t xml:space="preserve"> members to use the My Health Record, with a shared focus on data quality, </w:t>
      </w:r>
      <w:r w:rsidR="0066247D">
        <w:t xml:space="preserve">clinical utility, </w:t>
      </w:r>
      <w:r w:rsidRPr="005F673C">
        <w:t>and</w:t>
      </w:r>
      <w:r w:rsidRPr="001F681C">
        <w:t xml:space="preserve"> build</w:t>
      </w:r>
      <w:r>
        <w:t>ing</w:t>
      </w:r>
      <w:r w:rsidR="006B4900">
        <w:t xml:space="preserve"> use of</w:t>
      </w:r>
      <w:r w:rsidRPr="001F681C">
        <w:t xml:space="preserve"> the system into daily practice</w:t>
      </w:r>
      <w:r>
        <w:t xml:space="preserve">. </w:t>
      </w:r>
      <w:r w:rsidR="009372A0">
        <w:t xml:space="preserve">This recognises the crucial role a well maintained patient record can play in ensuring care outcomes are optimised and information required to facilitate patient care is easily available. </w:t>
      </w:r>
    </w:p>
    <w:p w14:paraId="3A353890" w14:textId="77777777" w:rsidR="00DC544E" w:rsidRPr="00DC544E" w:rsidRDefault="00DC544E" w:rsidP="00DC544E">
      <w:pPr>
        <w:pStyle w:val="CAB-NumberedParagraph"/>
        <w:numPr>
          <w:ilvl w:val="0"/>
          <w:numId w:val="0"/>
        </w:numPr>
        <w:rPr>
          <w:i/>
          <w:u w:val="single"/>
        </w:rPr>
      </w:pPr>
      <w:r w:rsidRPr="00DC544E">
        <w:rPr>
          <w:i/>
          <w:u w:val="single"/>
        </w:rPr>
        <w:t xml:space="preserve">Support for health care homes concept and trial </w:t>
      </w:r>
    </w:p>
    <w:p w14:paraId="26C7C3FB" w14:textId="76512A8F" w:rsidR="00DC544E" w:rsidRDefault="009372A0" w:rsidP="00DC544E">
      <w:pPr>
        <w:pStyle w:val="CAB-NumberedParagraph"/>
        <w:numPr>
          <w:ilvl w:val="0"/>
          <w:numId w:val="0"/>
        </w:numPr>
      </w:pPr>
      <w:r>
        <w:t>The AMA</w:t>
      </w:r>
      <w:r w:rsidR="00AC2FE6">
        <w:t xml:space="preserve"> </w:t>
      </w:r>
      <w:r w:rsidR="00DC544E">
        <w:t>support</w:t>
      </w:r>
      <w:r w:rsidR="00416BE4">
        <w:t>s</w:t>
      </w:r>
      <w:r w:rsidR="00DC544E">
        <w:t xml:space="preserve"> the </w:t>
      </w:r>
      <w:r w:rsidR="00950EB1">
        <w:t xml:space="preserve">vision of the </w:t>
      </w:r>
      <w:r w:rsidR="00DC544E">
        <w:t>Health Care Homes trial and additional exploration of other incentives focused on patient outcomes</w:t>
      </w:r>
      <w:r w:rsidR="006B4900">
        <w:t xml:space="preserve">, but with full freedom to suggest </w:t>
      </w:r>
      <w:r w:rsidR="00FB5D0A">
        <w:t>improvements or variations.</w:t>
      </w:r>
      <w:r w:rsidR="006B4900">
        <w:t xml:space="preserve"> </w:t>
      </w:r>
    </w:p>
    <w:p w14:paraId="6218EDAA" w14:textId="06F89211" w:rsidR="009372A0" w:rsidRPr="009372A0" w:rsidRDefault="00DC544E" w:rsidP="00DC544E">
      <w:pPr>
        <w:pStyle w:val="CAB-NumberedParagraph"/>
        <w:numPr>
          <w:ilvl w:val="0"/>
          <w:numId w:val="0"/>
        </w:numPr>
        <w:rPr>
          <w:i/>
          <w:u w:val="single"/>
        </w:rPr>
      </w:pPr>
      <w:r w:rsidRPr="009372A0">
        <w:rPr>
          <w:i/>
          <w:u w:val="single"/>
        </w:rPr>
        <w:t>Support for any revised a</w:t>
      </w:r>
      <w:r w:rsidR="00A77C0C">
        <w:rPr>
          <w:i/>
          <w:u w:val="single"/>
        </w:rPr>
        <w:t>rrangem</w:t>
      </w:r>
      <w:r w:rsidRPr="009372A0">
        <w:rPr>
          <w:i/>
          <w:u w:val="single"/>
        </w:rPr>
        <w:t>ent with pathology including rental reform</w:t>
      </w:r>
    </w:p>
    <w:p w14:paraId="71627C7B" w14:textId="22DA9AE0" w:rsidR="00374938" w:rsidRDefault="009372A0" w:rsidP="00CD4561">
      <w:pPr>
        <w:pStyle w:val="CAB-NumberedParagraph"/>
        <w:numPr>
          <w:ilvl w:val="0"/>
          <w:numId w:val="0"/>
        </w:numPr>
      </w:pPr>
      <w:r>
        <w:t xml:space="preserve">The AMA will continue to work constructively with Government to support and implement improved compliance arrangements </w:t>
      </w:r>
      <w:r w:rsidR="00982C13">
        <w:t>consistent with the</w:t>
      </w:r>
      <w:r>
        <w:t xml:space="preserve"> prohibited practices </w:t>
      </w:r>
      <w:r w:rsidR="00950EB1">
        <w:t>provisions in the Health Insurance Act</w:t>
      </w:r>
      <w:r w:rsidR="00FB5D0A">
        <w:t xml:space="preserve">, while </w:t>
      </w:r>
      <w:r w:rsidR="00982C13">
        <w:t>noting that</w:t>
      </w:r>
      <w:r w:rsidR="00FB5D0A">
        <w:t xml:space="preserve"> the Government does not propose to control rents.</w:t>
      </w:r>
    </w:p>
    <w:p w14:paraId="5BBF76F9" w14:textId="7B3A9724" w:rsidR="00DA36E5" w:rsidRPr="00DA36E5" w:rsidRDefault="00C95081" w:rsidP="00374938">
      <w:pPr>
        <w:rPr>
          <w:i/>
          <w:u w:val="single"/>
        </w:rPr>
      </w:pPr>
      <w:r w:rsidRPr="007975BE">
        <w:rPr>
          <w:u w:val="single"/>
        </w:rPr>
        <w:t>C</w:t>
      </w:r>
      <w:r w:rsidR="00DA36E5" w:rsidRPr="00DA36E5">
        <w:rPr>
          <w:i/>
          <w:u w:val="single"/>
        </w:rPr>
        <w:t xml:space="preserve">ompliance </w:t>
      </w:r>
      <w:r w:rsidR="00DC544E">
        <w:rPr>
          <w:i/>
          <w:u w:val="single"/>
        </w:rPr>
        <w:t xml:space="preserve">processes to ensure MBS overpayments are detected and recovered </w:t>
      </w:r>
    </w:p>
    <w:p w14:paraId="5B440D51" w14:textId="77777777" w:rsidR="00DA36E5" w:rsidRPr="005F673C" w:rsidRDefault="00DA36E5" w:rsidP="00DA36E5">
      <w:r>
        <w:t>In terms of accountability, c</w:t>
      </w:r>
      <w:r w:rsidRPr="005F673C">
        <w:t xml:space="preserve">hanges to compliance arrangements which provide the ability to investigate </w:t>
      </w:r>
      <w:r w:rsidR="00E97EFF">
        <w:t>billing by organisations, and to compulsorily offset a portion of future MBS payments against MBS debt</w:t>
      </w:r>
      <w:r w:rsidR="00FB5D0A">
        <w:t>, are also supported.</w:t>
      </w:r>
    </w:p>
    <w:p w14:paraId="5CBFB49D" w14:textId="77777777" w:rsidR="00DA36E5" w:rsidRDefault="00DA36E5" w:rsidP="00374938"/>
    <w:p w14:paraId="4180E338" w14:textId="77777777" w:rsidR="00DC544E" w:rsidRDefault="00AC2FE6">
      <w:pPr>
        <w:pStyle w:val="CAB-NumberedParagraph"/>
        <w:numPr>
          <w:ilvl w:val="0"/>
          <w:numId w:val="0"/>
        </w:numPr>
      </w:pPr>
      <w:r>
        <w:t xml:space="preserve">In stating these agreed principles, the Government acknowledges the role of the AMA to continue to advocate to Government improvements in health policies for the benefit of both </w:t>
      </w:r>
      <w:r w:rsidR="006437E8">
        <w:t>medical practitioners</w:t>
      </w:r>
      <w:r>
        <w:t xml:space="preserve"> and their patients.</w:t>
      </w:r>
    </w:p>
    <w:sectPr w:rsidR="00DC544E" w:rsidSect="007F4DFE">
      <w:footerReference w:type="default" r:id="rId8"/>
      <w:pgSz w:w="11906" w:h="16838"/>
      <w:pgMar w:top="1814" w:right="1440" w:bottom="1134" w:left="144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917D" w14:textId="77777777" w:rsidR="00E005E8" w:rsidRDefault="00E005E8" w:rsidP="00A00D08">
      <w:pPr>
        <w:spacing w:before="0" w:after="0"/>
      </w:pPr>
      <w:r>
        <w:separator/>
      </w:r>
    </w:p>
  </w:endnote>
  <w:endnote w:type="continuationSeparator" w:id="0">
    <w:p w14:paraId="0610E583" w14:textId="77777777" w:rsidR="00E005E8" w:rsidRDefault="00E005E8" w:rsidP="00A00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DA31" w14:textId="5DA0E0AC" w:rsidR="00E005E8" w:rsidRDefault="00E005E8" w:rsidP="007F4DFE">
    <w:pPr>
      <w:pStyle w:val="Footer"/>
      <w:tabs>
        <w:tab w:val="clear" w:pos="9026"/>
        <w:tab w:val="right" w:pos="9356"/>
      </w:tabs>
    </w:pPr>
    <w:r>
      <w:rPr>
        <w:b/>
        <w:color w:val="FF0000"/>
        <w:sz w:val="3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947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C2AC" w14:textId="77777777" w:rsidR="00E005E8" w:rsidRDefault="00E005E8" w:rsidP="00A00D08">
      <w:pPr>
        <w:spacing w:before="0" w:after="0"/>
      </w:pPr>
      <w:r>
        <w:separator/>
      </w:r>
    </w:p>
  </w:footnote>
  <w:footnote w:type="continuationSeparator" w:id="0">
    <w:p w14:paraId="33DAF619" w14:textId="77777777" w:rsidR="00E005E8" w:rsidRDefault="00E005E8" w:rsidP="00A00D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3E37"/>
    <w:multiLevelType w:val="hybridMultilevel"/>
    <w:tmpl w:val="133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DCF"/>
    <w:multiLevelType w:val="hybridMultilevel"/>
    <w:tmpl w:val="2FAC5E1C"/>
    <w:lvl w:ilvl="0" w:tplc="3BE63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1DDC"/>
    <w:multiLevelType w:val="hybridMultilevel"/>
    <w:tmpl w:val="6930AE5E"/>
    <w:lvl w:ilvl="0" w:tplc="3BE63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4575"/>
    <w:multiLevelType w:val="multilevel"/>
    <w:tmpl w:val="B938513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CAB-NumberedParagraph"/>
      <w:lvlText w:val="%1.%2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EF3279"/>
    <w:multiLevelType w:val="hybridMultilevel"/>
    <w:tmpl w:val="86AAC13C"/>
    <w:lvl w:ilvl="0" w:tplc="F912AC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3627B"/>
    <w:multiLevelType w:val="hybridMultilevel"/>
    <w:tmpl w:val="D2FCC240"/>
    <w:lvl w:ilvl="0" w:tplc="C22A70D4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5D799C"/>
    <w:multiLevelType w:val="hybridMultilevel"/>
    <w:tmpl w:val="721C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529A"/>
    <w:multiLevelType w:val="hybridMultilevel"/>
    <w:tmpl w:val="C7C8FC72"/>
    <w:lvl w:ilvl="0" w:tplc="3BE63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3A0F"/>
    <w:multiLevelType w:val="hybridMultilevel"/>
    <w:tmpl w:val="35A8B8E2"/>
    <w:lvl w:ilvl="0" w:tplc="3BE63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D6F2A"/>
    <w:multiLevelType w:val="hybridMultilevel"/>
    <w:tmpl w:val="01DA6C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E5301"/>
    <w:multiLevelType w:val="hybridMultilevel"/>
    <w:tmpl w:val="C14AAB1C"/>
    <w:lvl w:ilvl="0" w:tplc="CDB88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08"/>
    <w:rsid w:val="00024FF4"/>
    <w:rsid w:val="000955A6"/>
    <w:rsid w:val="000A1202"/>
    <w:rsid w:val="000D2A33"/>
    <w:rsid w:val="000E040E"/>
    <w:rsid w:val="00126383"/>
    <w:rsid w:val="0016064B"/>
    <w:rsid w:val="001B13CE"/>
    <w:rsid w:val="001B2737"/>
    <w:rsid w:val="001E24D3"/>
    <w:rsid w:val="0021324F"/>
    <w:rsid w:val="00237A15"/>
    <w:rsid w:val="0027118D"/>
    <w:rsid w:val="002A3E4B"/>
    <w:rsid w:val="002C1FAA"/>
    <w:rsid w:val="00317077"/>
    <w:rsid w:val="003519E1"/>
    <w:rsid w:val="00351D6B"/>
    <w:rsid w:val="00374938"/>
    <w:rsid w:val="0038247A"/>
    <w:rsid w:val="003B07D5"/>
    <w:rsid w:val="00411806"/>
    <w:rsid w:val="00416BE4"/>
    <w:rsid w:val="00451066"/>
    <w:rsid w:val="00452757"/>
    <w:rsid w:val="00475384"/>
    <w:rsid w:val="004A407E"/>
    <w:rsid w:val="004A77A6"/>
    <w:rsid w:val="005152D8"/>
    <w:rsid w:val="005469E5"/>
    <w:rsid w:val="005A1BE4"/>
    <w:rsid w:val="005D1649"/>
    <w:rsid w:val="005F673C"/>
    <w:rsid w:val="00606B36"/>
    <w:rsid w:val="00623E93"/>
    <w:rsid w:val="00631F71"/>
    <w:rsid w:val="00635F67"/>
    <w:rsid w:val="00637B75"/>
    <w:rsid w:val="006437E8"/>
    <w:rsid w:val="0066247D"/>
    <w:rsid w:val="00671AF7"/>
    <w:rsid w:val="006B4900"/>
    <w:rsid w:val="006E0728"/>
    <w:rsid w:val="006F4DEF"/>
    <w:rsid w:val="007975BE"/>
    <w:rsid w:val="007D2C86"/>
    <w:rsid w:val="007F4DFE"/>
    <w:rsid w:val="00815BA4"/>
    <w:rsid w:val="0083449C"/>
    <w:rsid w:val="00836C9B"/>
    <w:rsid w:val="00840E66"/>
    <w:rsid w:val="008646FE"/>
    <w:rsid w:val="00867C3D"/>
    <w:rsid w:val="008920CF"/>
    <w:rsid w:val="008D14A6"/>
    <w:rsid w:val="008D311C"/>
    <w:rsid w:val="008F5182"/>
    <w:rsid w:val="0091093D"/>
    <w:rsid w:val="009372A0"/>
    <w:rsid w:val="00950EB1"/>
    <w:rsid w:val="00961614"/>
    <w:rsid w:val="00982C13"/>
    <w:rsid w:val="009A181A"/>
    <w:rsid w:val="009C181E"/>
    <w:rsid w:val="009E247E"/>
    <w:rsid w:val="00A00D08"/>
    <w:rsid w:val="00A37D0D"/>
    <w:rsid w:val="00A47CF0"/>
    <w:rsid w:val="00A77C0C"/>
    <w:rsid w:val="00AA47F3"/>
    <w:rsid w:val="00AA6845"/>
    <w:rsid w:val="00AC2FE6"/>
    <w:rsid w:val="00AC66CB"/>
    <w:rsid w:val="00AE1064"/>
    <w:rsid w:val="00B94777"/>
    <w:rsid w:val="00B95B85"/>
    <w:rsid w:val="00BE2F2D"/>
    <w:rsid w:val="00BF07A0"/>
    <w:rsid w:val="00C3677F"/>
    <w:rsid w:val="00C95081"/>
    <w:rsid w:val="00CC2694"/>
    <w:rsid w:val="00CD4561"/>
    <w:rsid w:val="00D367A7"/>
    <w:rsid w:val="00D77DE1"/>
    <w:rsid w:val="00D91745"/>
    <w:rsid w:val="00DA36E5"/>
    <w:rsid w:val="00DB2686"/>
    <w:rsid w:val="00DB2B9B"/>
    <w:rsid w:val="00DB750D"/>
    <w:rsid w:val="00DC544E"/>
    <w:rsid w:val="00DF4704"/>
    <w:rsid w:val="00E005E8"/>
    <w:rsid w:val="00E97EFF"/>
    <w:rsid w:val="00EB0C00"/>
    <w:rsid w:val="00ED419E"/>
    <w:rsid w:val="00EE2DBE"/>
    <w:rsid w:val="00EF2966"/>
    <w:rsid w:val="00F52FAF"/>
    <w:rsid w:val="00F90E2D"/>
    <w:rsid w:val="00FA2F34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F341171"/>
  <w15:docId w15:val="{878A0E8C-D1E0-4E37-B227-5F1E6C0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A00D08"/>
    <w:pPr>
      <w:spacing w:before="120" w:after="120" w:line="240" w:lineRule="auto"/>
    </w:pPr>
    <w:rPr>
      <w:rFonts w:ascii="Arial" w:hAnsi="Arial"/>
      <w:lang w:val="en-AU"/>
    </w:rPr>
  </w:style>
  <w:style w:type="paragraph" w:styleId="Heading1">
    <w:name w:val="heading 1"/>
    <w:aliases w:val="Heading 1 Cab"/>
    <w:next w:val="BodyText"/>
    <w:link w:val="Heading1Char"/>
    <w:uiPriority w:val="4"/>
    <w:rsid w:val="00A00D08"/>
    <w:pPr>
      <w:keepNext/>
      <w:keepLines/>
      <w:numPr>
        <w:numId w:val="1"/>
      </w:numPr>
      <w:tabs>
        <w:tab w:val="left" w:pos="567"/>
      </w:tabs>
      <w:spacing w:before="240" w:line="240" w:lineRule="auto"/>
      <w:outlineLvl w:val="0"/>
    </w:pPr>
    <w:rPr>
      <w:rFonts w:ascii="Arial" w:eastAsiaTheme="majorEastAsia" w:hAnsi="Arial" w:cstheme="majorBidi"/>
      <w:b/>
      <w:bCs/>
      <w:color w:val="003865"/>
      <w:sz w:val="32"/>
      <w:szCs w:val="28"/>
      <w:lang w:val="en-AU"/>
    </w:rPr>
  </w:style>
  <w:style w:type="paragraph" w:styleId="Heading2">
    <w:name w:val="heading 2"/>
    <w:aliases w:val="Heading 2 Cab"/>
    <w:next w:val="Normal"/>
    <w:link w:val="Heading2Char"/>
    <w:uiPriority w:val="4"/>
    <w:rsid w:val="00A00D08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ab Char"/>
    <w:basedOn w:val="DefaultParagraphFont"/>
    <w:link w:val="Heading1"/>
    <w:uiPriority w:val="4"/>
    <w:rsid w:val="00A00D08"/>
    <w:rPr>
      <w:rFonts w:ascii="Arial" w:eastAsiaTheme="majorEastAsia" w:hAnsi="Arial" w:cstheme="majorBidi"/>
      <w:b/>
      <w:bCs/>
      <w:color w:val="003865"/>
      <w:sz w:val="32"/>
      <w:szCs w:val="28"/>
      <w:lang w:val="en-AU"/>
    </w:rPr>
  </w:style>
  <w:style w:type="character" w:customStyle="1" w:styleId="Heading2Char">
    <w:name w:val="Heading 2 Char"/>
    <w:aliases w:val="Heading 2 Cab Char"/>
    <w:basedOn w:val="DefaultParagraphFont"/>
    <w:link w:val="Heading2"/>
    <w:uiPriority w:val="4"/>
    <w:rsid w:val="00A00D08"/>
    <w:rPr>
      <w:rFonts w:ascii="Arial" w:eastAsiaTheme="majorEastAsia" w:hAnsi="Arial" w:cstheme="majorBidi"/>
      <w:b/>
      <w:bCs/>
      <w:sz w:val="24"/>
      <w:szCs w:val="32"/>
      <w:lang w:val="en-AU"/>
    </w:rPr>
  </w:style>
  <w:style w:type="paragraph" w:styleId="BodyText">
    <w:name w:val="Body Text"/>
    <w:aliases w:val="CAB - Body Text,Body Text Cab"/>
    <w:link w:val="BodyTextChar"/>
    <w:rsid w:val="00A00D08"/>
    <w:pPr>
      <w:spacing w:before="120" w:after="0" w:line="240" w:lineRule="auto"/>
    </w:pPr>
    <w:rPr>
      <w:rFonts w:ascii="Arial" w:hAnsi="Arial"/>
      <w:lang w:val="en-AU"/>
    </w:rPr>
  </w:style>
  <w:style w:type="character" w:customStyle="1" w:styleId="BodyTextChar">
    <w:name w:val="Body Text Char"/>
    <w:aliases w:val="CAB - Body Text Char,Body Text Cab Char"/>
    <w:basedOn w:val="DefaultParagraphFont"/>
    <w:link w:val="BodyText"/>
    <w:rsid w:val="00A00D08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00D08"/>
    <w:pPr>
      <w:spacing w:after="0" w:line="240" w:lineRule="auto"/>
    </w:pPr>
    <w:rPr>
      <w:sz w:val="20"/>
      <w:lang w:val="en-AU"/>
    </w:rPr>
    <w:tblPr>
      <w:tblBorders>
        <w:insideH w:val="single" w:sz="4" w:space="0" w:color="C0504D" w:themeColor="accent2"/>
        <w:insideV w:val="single" w:sz="4" w:space="0" w:color="C0504D" w:themeColor="accent2"/>
      </w:tblBorders>
    </w:tbl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ProtectiveMarking">
    <w:name w:val="Protective Marking"/>
    <w:uiPriority w:val="15"/>
    <w:semiHidden/>
    <w:qFormat/>
    <w:rsid w:val="00A00D08"/>
    <w:pPr>
      <w:spacing w:after="0" w:line="240" w:lineRule="auto"/>
      <w:jc w:val="center"/>
    </w:pPr>
    <w:rPr>
      <w:rFonts w:ascii="Arial" w:hAnsi="Arial"/>
      <w:b/>
      <w:color w:val="FF0000"/>
      <w:sz w:val="30"/>
      <w:lang w:val="en-AU"/>
    </w:rPr>
  </w:style>
  <w:style w:type="paragraph" w:customStyle="1" w:styleId="DocNoCab">
    <w:name w:val="Doc No Cab"/>
    <w:basedOn w:val="Normal"/>
    <w:uiPriority w:val="14"/>
    <w:semiHidden/>
    <w:rsid w:val="00A00D08"/>
    <w:pPr>
      <w:keepNext/>
      <w:keepLines/>
      <w:spacing w:before="200" w:after="0"/>
      <w:ind w:left="34"/>
      <w:jc w:val="right"/>
      <w:outlineLvl w:val="1"/>
    </w:pPr>
    <w:rPr>
      <w:rFonts w:eastAsiaTheme="majorEastAsia" w:cstheme="majorBidi"/>
      <w:b/>
      <w:bCs/>
      <w:noProof/>
      <w:sz w:val="25"/>
      <w:szCs w:val="25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D0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0D08"/>
    <w:rPr>
      <w:rFonts w:ascii="Arial" w:hAnsi="Arial"/>
      <w:lang w:val="en-AU"/>
    </w:rPr>
  </w:style>
  <w:style w:type="paragraph" w:styleId="ListParagraph">
    <w:name w:val="List Paragraph"/>
    <w:aliases w:val="CAB - List Bullet,Bullet point,Bullets,CV text,Dot pt,F5 List Paragraph,FooterText,L,List Paragraph1,List Paragraph11,List Paragraph111,List Paragraph2,Medium Grid 1 - Accent 21,NAST Quote,NFP GP Bulleted List,Numbered Paragraph"/>
    <w:basedOn w:val="BodyText"/>
    <w:link w:val="ListParagraphChar"/>
    <w:uiPriority w:val="34"/>
    <w:qFormat/>
    <w:rsid w:val="00A00D08"/>
    <w:pPr>
      <w:tabs>
        <w:tab w:val="left" w:pos="851"/>
      </w:tabs>
      <w:spacing w:before="0"/>
      <w:ind w:left="851" w:hanging="284"/>
      <w:contextualSpacing/>
    </w:pPr>
  </w:style>
  <w:style w:type="paragraph" w:customStyle="1" w:styleId="SectionTitleCab">
    <w:name w:val="Section Title Cab"/>
    <w:basedOn w:val="Title"/>
    <w:link w:val="SectionTitleCabChar"/>
    <w:uiPriority w:val="17"/>
    <w:semiHidden/>
    <w:qFormat/>
    <w:rsid w:val="00A00D08"/>
    <w:pPr>
      <w:pBdr>
        <w:bottom w:val="none" w:sz="0" w:space="0" w:color="auto"/>
      </w:pBdr>
      <w:tabs>
        <w:tab w:val="center" w:pos="1313"/>
      </w:tabs>
      <w:spacing w:before="240" w:after="60"/>
      <w:contextualSpacing w:val="0"/>
    </w:pPr>
    <w:rPr>
      <w:rFonts w:ascii="Arial" w:eastAsiaTheme="minorHAnsi" w:hAnsi="Arial" w:cstheme="minorBidi"/>
      <w:b/>
      <w:color w:val="003865"/>
      <w:spacing w:val="0"/>
      <w:kern w:val="0"/>
      <w:sz w:val="40"/>
      <w:szCs w:val="20"/>
    </w:rPr>
  </w:style>
  <w:style w:type="character" w:customStyle="1" w:styleId="SectionTitleCabChar">
    <w:name w:val="Section Title Cab Char"/>
    <w:basedOn w:val="DefaultParagraphFont"/>
    <w:link w:val="SectionTitleCab"/>
    <w:uiPriority w:val="17"/>
    <w:semiHidden/>
    <w:rsid w:val="00A00D08"/>
    <w:rPr>
      <w:rFonts w:ascii="Arial" w:hAnsi="Arial"/>
      <w:b/>
      <w:color w:val="003865"/>
      <w:sz w:val="40"/>
      <w:szCs w:val="20"/>
      <w:lang w:val="en-AU"/>
    </w:rPr>
  </w:style>
  <w:style w:type="paragraph" w:customStyle="1" w:styleId="AttachmentHeading3">
    <w:name w:val="Attachment Heading 3"/>
    <w:basedOn w:val="Heading3"/>
    <w:uiPriority w:val="98"/>
    <w:rsid w:val="00A00D08"/>
    <w:pPr>
      <w:keepNext w:val="0"/>
      <w:keepLines w:val="0"/>
      <w:spacing w:before="160"/>
    </w:pPr>
    <w:rPr>
      <w:rFonts w:ascii="Arial" w:hAnsi="Arial"/>
      <w:iCs/>
      <w:color w:val="auto"/>
    </w:rPr>
  </w:style>
  <w:style w:type="paragraph" w:customStyle="1" w:styleId="CAB-NumberedParagraph">
    <w:name w:val="CAB - Numbered Paragraph"/>
    <w:basedOn w:val="Normal"/>
    <w:uiPriority w:val="98"/>
    <w:rsid w:val="00A00D08"/>
    <w:pPr>
      <w:numPr>
        <w:ilvl w:val="1"/>
        <w:numId w:val="1"/>
      </w:numPr>
      <w:tabs>
        <w:tab w:val="clear" w:pos="2835"/>
        <w:tab w:val="num" w:pos="3120"/>
      </w:tabs>
      <w:ind w:left="3120"/>
    </w:pPr>
  </w:style>
  <w:style w:type="character" w:customStyle="1" w:styleId="ListParagraphChar">
    <w:name w:val="List Paragraph Char"/>
    <w:aliases w:val="CAB - List Bullet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locked/>
    <w:rsid w:val="00A00D08"/>
    <w:rPr>
      <w:rFonts w:ascii="Arial" w:hAnsi="Arial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00D0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D08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00D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0D08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D3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unhideWhenUsed/>
    <w:rsid w:val="00867C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2CA5-1BB1-4AEC-8521-26A204C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Natasha</dc:creator>
  <cp:lastModifiedBy>Martin, Mel</cp:lastModifiedBy>
  <cp:revision>12</cp:revision>
  <cp:lastPrinted>2017-03-29T21:15:00Z</cp:lastPrinted>
  <dcterms:created xsi:type="dcterms:W3CDTF">2017-04-10T04:14:00Z</dcterms:created>
  <dcterms:modified xsi:type="dcterms:W3CDTF">2020-03-16T23:48:00Z</dcterms:modified>
</cp:coreProperties>
</file>