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7009" w14:textId="77777777" w:rsidR="002602B6" w:rsidRPr="00B0598C" w:rsidRDefault="00C371E9" w:rsidP="00B0598C">
      <w:pPr>
        <w:pStyle w:val="Title"/>
      </w:pPr>
      <w:r w:rsidRPr="00B0598C">
        <w:t>Key Findings | Fina</w:t>
      </w:r>
      <w:bookmarkStart w:id="0" w:name="Key_Findings_|_Financial_Report_on_the_A"/>
      <w:bookmarkEnd w:id="0"/>
      <w:r w:rsidRPr="00B0598C">
        <w:t>ncial Report on the Australian Aged Care Sector 2020-21</w:t>
      </w:r>
    </w:p>
    <w:tbl>
      <w:tblPr>
        <w:tblStyle w:val="TableGridLight"/>
        <w:tblW w:w="22863" w:type="dxa"/>
        <w:tblLook w:val="01E0" w:firstRow="1" w:lastRow="1" w:firstColumn="1" w:lastColumn="1" w:noHBand="0" w:noVBand="0"/>
        <w:tblCaption w:val="Australian Aged Care"/>
        <w:tblDescription w:val="Australian Aged Care"/>
      </w:tblPr>
      <w:tblGrid>
        <w:gridCol w:w="4222"/>
        <w:gridCol w:w="7"/>
        <w:gridCol w:w="4537"/>
        <w:gridCol w:w="6"/>
        <w:gridCol w:w="4686"/>
        <w:gridCol w:w="4677"/>
        <w:gridCol w:w="9"/>
        <w:gridCol w:w="4686"/>
        <w:gridCol w:w="12"/>
        <w:gridCol w:w="21"/>
      </w:tblGrid>
      <w:tr w:rsidR="00DA715C" w:rsidRPr="00D8776E" w14:paraId="6E3CF247" w14:textId="77777777" w:rsidTr="00B00B9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" w:type="dxa"/>
          <w:trHeight w:val="745"/>
        </w:trPr>
        <w:tc>
          <w:tcPr>
            <w:tcW w:w="4229" w:type="dxa"/>
            <w:gridSpan w:val="2"/>
          </w:tcPr>
          <w:p w14:paraId="559BCECD" w14:textId="77777777" w:rsidR="002602B6" w:rsidRPr="00256F46" w:rsidRDefault="00C371E9" w:rsidP="00D8776E">
            <w:r w:rsidRPr="00256F46">
              <w:t>Aged care in Australia</w:t>
            </w:r>
          </w:p>
        </w:tc>
        <w:tc>
          <w:tcPr>
            <w:tcW w:w="4543" w:type="dxa"/>
            <w:gridSpan w:val="2"/>
          </w:tcPr>
          <w:p w14:paraId="55597DE4" w14:textId="77777777" w:rsidR="002602B6" w:rsidRPr="00256F46" w:rsidRDefault="00C371E9" w:rsidP="00D8776E">
            <w:r w:rsidRPr="00256F46">
              <w:t>Aged care providers</w:t>
            </w:r>
          </w:p>
        </w:tc>
        <w:tc>
          <w:tcPr>
            <w:tcW w:w="4686" w:type="dxa"/>
          </w:tcPr>
          <w:p w14:paraId="653F717D" w14:textId="77777777" w:rsidR="002602B6" w:rsidRPr="00256F46" w:rsidRDefault="00C371E9" w:rsidP="00D8776E">
            <w:r w:rsidRPr="00256F46">
              <w:t>Home care</w:t>
            </w:r>
          </w:p>
        </w:tc>
        <w:tc>
          <w:tcPr>
            <w:tcW w:w="4686" w:type="dxa"/>
            <w:gridSpan w:val="2"/>
          </w:tcPr>
          <w:p w14:paraId="4DF1A432" w14:textId="77777777" w:rsidR="002602B6" w:rsidRPr="00256F46" w:rsidRDefault="00C371E9" w:rsidP="00D8776E">
            <w:r w:rsidRPr="00256F46">
              <w:t>Residential care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86" w:type="dxa"/>
          </w:tcPr>
          <w:p w14:paraId="4A34FF8F" w14:textId="77777777" w:rsidR="002602B6" w:rsidRPr="00256F46" w:rsidRDefault="00C371E9" w:rsidP="00D8776E">
            <w:r w:rsidRPr="00256F46">
              <w:t>Care minutes</w:t>
            </w:r>
          </w:p>
        </w:tc>
      </w:tr>
      <w:tr w:rsidR="00A02FEC" w:rsidRPr="00D8776E" w14:paraId="4AD80EC8" w14:textId="77777777" w:rsidTr="00B00B95">
        <w:trPr>
          <w:gridAfter w:val="2"/>
          <w:wAfter w:w="33" w:type="dxa"/>
          <w:trHeight w:val="2772"/>
        </w:trPr>
        <w:tc>
          <w:tcPr>
            <w:tcW w:w="4229" w:type="dxa"/>
            <w:gridSpan w:val="2"/>
          </w:tcPr>
          <w:p w14:paraId="33278C20" w14:textId="77777777" w:rsidR="002602B6" w:rsidRPr="00EF79E1" w:rsidRDefault="00C371E9" w:rsidP="007B275A">
            <w:pPr>
              <w:spacing w:before="60"/>
              <w:rPr>
                <w:rStyle w:val="Strong"/>
                <w:b w:val="0"/>
                <w:bCs w:val="0"/>
              </w:rPr>
            </w:pPr>
            <w:r w:rsidRPr="00B00B95">
              <w:rPr>
                <w:rStyle w:val="Strong"/>
              </w:rPr>
              <w:t>Key outcomes (FY20/21)</w:t>
            </w:r>
          </w:p>
          <w:p w14:paraId="0F3764B2" w14:textId="77777777" w:rsidR="002602B6" w:rsidRPr="00D8776E" w:rsidRDefault="00C371E9" w:rsidP="00D8776E">
            <w:pPr>
              <w:pStyle w:val="ListBullet"/>
            </w:pPr>
            <w:r w:rsidRPr="00D8776E">
              <w:t xml:space="preserve">1.5 million Australians </w:t>
            </w:r>
            <w:r w:rsidRPr="00DA715C">
              <w:t>accessed aged care</w:t>
            </w:r>
          </w:p>
          <w:p w14:paraId="5B1EB590" w14:textId="77777777" w:rsidR="002602B6" w:rsidRPr="00D8776E" w:rsidRDefault="00C371E9" w:rsidP="00D8776E">
            <w:pPr>
              <w:pStyle w:val="ListBullet"/>
            </w:pPr>
            <w:r w:rsidRPr="00D8776E">
              <w:t>$23.6 billion</w:t>
            </w:r>
            <w:r w:rsidRPr="00DA715C">
              <w:t xml:space="preserve"> in Government expenditure</w:t>
            </w:r>
          </w:p>
        </w:tc>
        <w:tc>
          <w:tcPr>
            <w:tcW w:w="4543" w:type="dxa"/>
            <w:gridSpan w:val="2"/>
          </w:tcPr>
          <w:p w14:paraId="4428384B" w14:textId="77777777" w:rsidR="00D8776E" w:rsidRDefault="00C371E9" w:rsidP="007B275A">
            <w:pPr>
              <w:pStyle w:val="ListBullet3"/>
              <w:spacing w:before="60"/>
            </w:pPr>
            <w:r w:rsidRPr="00D8776E">
              <w:t>1,432 CHSP providers</w:t>
            </w:r>
            <w:r w:rsidR="00D8776E">
              <w:t xml:space="preserve"> </w:t>
            </w:r>
            <w:r w:rsidRPr="00DA715C">
              <w:t>(down from1,452 - FY19/20)</w:t>
            </w:r>
            <w:r w:rsidR="00D8776E">
              <w:t xml:space="preserve"> </w:t>
            </w:r>
          </w:p>
          <w:p w14:paraId="56046D10" w14:textId="77777777" w:rsidR="002602B6" w:rsidRPr="00D8776E" w:rsidRDefault="00C371E9" w:rsidP="005B58B2">
            <w:pPr>
              <w:pStyle w:val="ListBullet2"/>
              <w:numPr>
                <w:ilvl w:val="0"/>
                <w:numId w:val="18"/>
              </w:numPr>
              <w:ind w:left="357" w:hanging="357"/>
            </w:pPr>
            <w:r w:rsidRPr="00D8776E">
              <w:t>939 Home care providers</w:t>
            </w:r>
            <w:r w:rsidR="00D8776E">
              <w:t xml:space="preserve"> </w:t>
            </w:r>
            <w:r w:rsidRPr="00DA715C">
              <w:t>(up from 920 - FY19/20)</w:t>
            </w:r>
          </w:p>
          <w:p w14:paraId="02D8D429" w14:textId="77777777" w:rsidR="002602B6" w:rsidRPr="00D8776E" w:rsidRDefault="00C371E9" w:rsidP="00D8776E">
            <w:pPr>
              <w:pStyle w:val="ListBullet3"/>
            </w:pPr>
            <w:r w:rsidRPr="00D8776E">
              <w:t>830 Residential care providers</w:t>
            </w:r>
            <w:r w:rsidR="00D8776E">
              <w:t xml:space="preserve"> </w:t>
            </w:r>
            <w:r w:rsidRPr="00DA715C">
              <w:t>(down from 845 - FY19/20)</w:t>
            </w:r>
          </w:p>
        </w:tc>
        <w:tc>
          <w:tcPr>
            <w:tcW w:w="4686" w:type="dxa"/>
          </w:tcPr>
          <w:p w14:paraId="534FD819" w14:textId="77777777" w:rsidR="002602B6" w:rsidRPr="00EF79E1" w:rsidRDefault="00C371E9" w:rsidP="007B275A">
            <w:pPr>
              <w:spacing w:before="60" w:after="60"/>
              <w:jc w:val="center"/>
              <w:rPr>
                <w:bCs/>
              </w:rPr>
            </w:pPr>
            <w:r w:rsidRPr="00D8776E">
              <w:t xml:space="preserve">212,293 Australians </w:t>
            </w:r>
            <w:r w:rsidRPr="00DA715C">
              <w:t>accessed home care in FY20/21</w:t>
            </w:r>
          </w:p>
          <w:p w14:paraId="3922218F" w14:textId="77777777" w:rsidR="00B8466E" w:rsidRPr="00B00B95" w:rsidRDefault="005B58B2" w:rsidP="00B00B95">
            <w:r w:rsidRPr="00B00B95">
              <w:rPr>
                <w:noProof/>
              </w:rPr>
              <w:drawing>
                <wp:inline distT="0" distB="0" distL="0" distR="0" wp14:anchorId="771E855E" wp14:editId="68EF6B3F">
                  <wp:extent cx="2832735" cy="1354455"/>
                  <wp:effectExtent l="0" t="0" r="5715" b="0"/>
                  <wp:docPr id="3" name="Picture 3" descr="A bar chart titled, home care, with five bars as follows. 2016 to 17, 97,516. 2017 to 18, 116,843. 2018 to 19, 133,439. 2019 to 20, 173,743. 2020 to 21, 212,29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3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gridSpan w:val="2"/>
          </w:tcPr>
          <w:p w14:paraId="6D6E39B2" w14:textId="77777777" w:rsidR="002602B6" w:rsidRPr="00EF79E1" w:rsidRDefault="00C371E9" w:rsidP="007B275A">
            <w:pPr>
              <w:spacing w:before="60" w:after="60"/>
              <w:jc w:val="center"/>
              <w:rPr>
                <w:bCs/>
              </w:rPr>
            </w:pPr>
            <w:r w:rsidRPr="00D8776E">
              <w:t xml:space="preserve">243,117 Australians </w:t>
            </w:r>
            <w:r w:rsidRPr="00DA715C">
              <w:t>accessed residential care in FY20/21</w:t>
            </w:r>
          </w:p>
          <w:p w14:paraId="38A85E32" w14:textId="77777777" w:rsidR="00FB5E09" w:rsidRPr="00B00B95" w:rsidRDefault="005B58B2" w:rsidP="00B00B95">
            <w:r w:rsidRPr="00B00B95">
              <w:rPr>
                <w:noProof/>
              </w:rPr>
              <w:drawing>
                <wp:inline distT="0" distB="0" distL="0" distR="0" wp14:anchorId="43F232B8" wp14:editId="3D9086B9">
                  <wp:extent cx="2641493" cy="1328728"/>
                  <wp:effectExtent l="0" t="0" r="6985" b="5080"/>
                  <wp:docPr id="5" name="Picture 5" descr="A bar chart titled, residential care, with five bars as follows. 2016 to 17, 239,379. 2017 to 18, 241,723. 2018 to 19, 242,612. 2019 to 20, 244,363. 2020 to 21, 243,11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89" cy="1333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86" w:type="dxa"/>
          </w:tcPr>
          <w:p w14:paraId="2E3279CF" w14:textId="77777777" w:rsidR="002602B6" w:rsidRPr="00EF79E1" w:rsidRDefault="00C371E9" w:rsidP="007B275A">
            <w:pPr>
              <w:spacing w:before="60" w:after="60"/>
              <w:jc w:val="center"/>
            </w:pPr>
            <w:r w:rsidRPr="00DA715C">
              <w:t>Average paid care minutes per resident per day was</w:t>
            </w:r>
            <w:r w:rsidRPr="00D8776E">
              <w:t xml:space="preserve"> 180.8 minutes </w:t>
            </w:r>
            <w:r w:rsidRPr="00DA715C">
              <w:t>in FY20/21</w:t>
            </w:r>
          </w:p>
          <w:p w14:paraId="6177C547" w14:textId="77777777" w:rsidR="00A16BAE" w:rsidRPr="00B00B95" w:rsidRDefault="00DA715C" w:rsidP="00B00B95">
            <w:pPr>
              <w:jc w:val="center"/>
            </w:pPr>
            <w:r w:rsidRPr="00B00B95">
              <w:rPr>
                <w:noProof/>
              </w:rPr>
              <w:drawing>
                <wp:inline distT="0" distB="0" distL="0" distR="0" wp14:anchorId="6C8D44CA" wp14:editId="0294F492">
                  <wp:extent cx="2440121" cy="1212988"/>
                  <wp:effectExtent l="0" t="0" r="0" b="6350"/>
                  <wp:docPr id="6" name="Picture 6" descr="Two bar charts titled care minutes. The first chart depicts total registered nurse minutes as follows. For-profit, 31.8. Not-for-profit, 29.0. All providers, excluding government, 30.1. The second chart depicts total minutes as follows.  For-profit, 169.8. Not-for-profit, 187.7. All providers, excluding government, 180.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964" cy="122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2B6" w:rsidRPr="00D8776E" w14:paraId="7708FECB" w14:textId="77777777" w:rsidTr="00B00B95">
        <w:trPr>
          <w:trHeight w:val="743"/>
          <w:tblHeader/>
        </w:trPr>
        <w:tc>
          <w:tcPr>
            <w:tcW w:w="4229" w:type="dxa"/>
            <w:gridSpan w:val="2"/>
            <w:shd w:val="clear" w:color="auto" w:fill="1F497D" w:themeFill="text2"/>
          </w:tcPr>
          <w:p w14:paraId="5DBBEE43" w14:textId="77777777" w:rsidR="002602B6" w:rsidRPr="00256F46" w:rsidRDefault="00C371E9" w:rsidP="00256F46">
            <w:pPr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 xml:space="preserve">Commonwealth Home Support </w:t>
            </w:r>
            <w:proofErr w:type="spellStart"/>
            <w:r w:rsidRPr="00256F46">
              <w:rPr>
                <w:b/>
                <w:bCs/>
                <w:color w:val="FFFFFF" w:themeColor="background1"/>
              </w:rPr>
              <w:t>Programme</w:t>
            </w:r>
            <w:proofErr w:type="spellEnd"/>
          </w:p>
        </w:tc>
        <w:tc>
          <w:tcPr>
            <w:tcW w:w="4543" w:type="dxa"/>
            <w:gridSpan w:val="2"/>
            <w:shd w:val="clear" w:color="auto" w:fill="1F497D" w:themeFill="text2"/>
          </w:tcPr>
          <w:p w14:paraId="0DB077DB" w14:textId="77777777" w:rsidR="002602B6" w:rsidRPr="00256F46" w:rsidRDefault="00C371E9" w:rsidP="00256F46">
            <w:pPr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Providers of CHSP</w:t>
            </w:r>
          </w:p>
        </w:tc>
        <w:tc>
          <w:tcPr>
            <w:tcW w:w="4686" w:type="dxa"/>
            <w:shd w:val="clear" w:color="auto" w:fill="1F497D" w:themeFill="text2"/>
          </w:tcPr>
          <w:p w14:paraId="45F2B52B" w14:textId="77777777" w:rsidR="002602B6" w:rsidRPr="00256F46" w:rsidRDefault="00C371E9" w:rsidP="00256F46">
            <w:pPr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Funding of CHSP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05" w:type="dxa"/>
            <w:gridSpan w:val="5"/>
            <w:shd w:val="clear" w:color="auto" w:fill="1F497D" w:themeFill="text2"/>
          </w:tcPr>
          <w:p w14:paraId="0B1D1DB2" w14:textId="77777777" w:rsidR="002602B6" w:rsidRPr="00256F46" w:rsidRDefault="00C371E9" w:rsidP="00256F46">
            <w:pPr>
              <w:jc w:val="left"/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Australian Government funding of CHSP by state/territory</w:t>
            </w:r>
          </w:p>
        </w:tc>
      </w:tr>
      <w:tr w:rsidR="003058C6" w14:paraId="7726DF9F" w14:textId="77777777" w:rsidTr="003058C6">
        <w:trPr>
          <w:trHeight w:val="2403"/>
        </w:trPr>
        <w:tc>
          <w:tcPr>
            <w:tcW w:w="4229" w:type="dxa"/>
            <w:gridSpan w:val="2"/>
          </w:tcPr>
          <w:p w14:paraId="2F239660" w14:textId="77777777" w:rsidR="002602B6" w:rsidRPr="00B00B95" w:rsidRDefault="00C371E9" w:rsidP="007B275A">
            <w:pPr>
              <w:spacing w:before="60"/>
              <w:rPr>
                <w:rStyle w:val="Strong"/>
              </w:rPr>
            </w:pPr>
            <w:r w:rsidRPr="00B00B95">
              <w:rPr>
                <w:rStyle w:val="Strong"/>
              </w:rPr>
              <w:t>Key outcomes (FY20/21)</w:t>
            </w:r>
          </w:p>
          <w:p w14:paraId="034CB89F" w14:textId="77777777" w:rsidR="002602B6" w:rsidRPr="005B58B2" w:rsidRDefault="00C371E9" w:rsidP="005B58B2">
            <w:pPr>
              <w:pStyle w:val="ListBullet"/>
              <w:numPr>
                <w:ilvl w:val="0"/>
                <w:numId w:val="12"/>
              </w:numPr>
            </w:pPr>
            <w:r w:rsidRPr="005B58B2">
              <w:t>825,383 Australians</w:t>
            </w:r>
            <w:r w:rsidR="00B9485A" w:rsidRPr="005B58B2">
              <w:t xml:space="preserve"> </w:t>
            </w:r>
            <w:r w:rsidRPr="005B58B2">
              <w:rPr>
                <w:bCs/>
              </w:rPr>
              <w:t>accessed CHSP services</w:t>
            </w:r>
          </w:p>
          <w:p w14:paraId="315353C6" w14:textId="77777777" w:rsidR="002602B6" w:rsidRPr="00D8776E" w:rsidRDefault="00C371E9" w:rsidP="005B58B2">
            <w:pPr>
              <w:pStyle w:val="ListBullet"/>
              <w:numPr>
                <w:ilvl w:val="0"/>
                <w:numId w:val="12"/>
              </w:numPr>
            </w:pPr>
            <w:r w:rsidRPr="00D8776E">
              <w:t xml:space="preserve">$2.7 billion </w:t>
            </w:r>
            <w:r w:rsidRPr="00DA715C">
              <w:rPr>
                <w:bCs/>
              </w:rPr>
              <w:t>in Government expenditure for service delivery</w:t>
            </w:r>
          </w:p>
        </w:tc>
        <w:tc>
          <w:tcPr>
            <w:tcW w:w="4543" w:type="dxa"/>
            <w:gridSpan w:val="2"/>
          </w:tcPr>
          <w:p w14:paraId="64C1AC9F" w14:textId="77777777" w:rsidR="002602B6" w:rsidRPr="00B00B95" w:rsidRDefault="00B9485A" w:rsidP="00B00B95">
            <w:r w:rsidRPr="00B00B95">
              <w:rPr>
                <w:noProof/>
              </w:rPr>
              <w:drawing>
                <wp:inline distT="0" distB="0" distL="0" distR="0" wp14:anchorId="277729D5" wp14:editId="218C8AFA">
                  <wp:extent cx="2506718" cy="1424681"/>
                  <wp:effectExtent l="0" t="0" r="8255" b="4445"/>
                  <wp:docPr id="1" name="Picture 1" descr="A pie chart showing the provider types of Commonwealth Home Support Programme. The details are: 10% of providers were for-profit, 22% were government providers, and 68% were not-for-prof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e chart showing the provider types of Commonwealth Home Support Programme. The details are: 10% of providers were for-profit, 22% were government providers, and 68% were not-for-profi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523" cy="1427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14:paraId="75082A7F" w14:textId="77777777" w:rsidR="002602B6" w:rsidRPr="00B00B95" w:rsidRDefault="00B9485A" w:rsidP="00B00B95">
            <w:pPr>
              <w:jc w:val="both"/>
            </w:pPr>
            <w:r w:rsidRPr="00B00B95">
              <w:rPr>
                <w:noProof/>
              </w:rPr>
              <w:drawing>
                <wp:inline distT="0" distB="0" distL="0" distR="0" wp14:anchorId="27BC64F3" wp14:editId="017986BD">
                  <wp:extent cx="2447892" cy="1434662"/>
                  <wp:effectExtent l="0" t="0" r="0" b="0"/>
                  <wp:docPr id="2" name="Picture 2" descr="A bar chart titled, funding of C H S P, with 6 bars as follows. 2018 to 19, actual, $2,489 M. 2019 to 20, actual, $2,641 M. 2020 to 21, actual, $2,712 M. 2021 to 22, budgeted, $3,094 M.  2022 to 23, budgeted, $3,171 M. 2023 to 24, budgeted, $3,284 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is bar graph shows the funding of Commonwealth Home Support Programme service delivery.  &#10;The information is listed in Australian dollars by millions:&#10;Actual dollars for 2018 to 2019  $2489 million, for 2019 to 20120 $2641 millio and for 2020 to 2021 $2712 million&#10;Budgeted dollars for 2021 to 2022 $3049 million, for 2022 to 2023 $3171 million and for 2023 to 2024 $3284 million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813" cy="143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05" w:type="dxa"/>
            <w:gridSpan w:val="5"/>
          </w:tcPr>
          <w:p w14:paraId="55534910" w14:textId="77777777" w:rsidR="002602B6" w:rsidRPr="00B00B95" w:rsidRDefault="00B9485A" w:rsidP="00B00B95">
            <w:pPr>
              <w:jc w:val="left"/>
            </w:pPr>
            <w:r w:rsidRPr="00B00B95">
              <w:rPr>
                <w:noProof/>
              </w:rPr>
              <w:drawing>
                <wp:inline distT="0" distB="0" distL="0" distR="0" wp14:anchorId="2E32A693" wp14:editId="682D2BCB">
                  <wp:extent cx="5249008" cy="1467055"/>
                  <wp:effectExtent l="0" t="0" r="8890" b="0"/>
                  <wp:docPr id="4" name="Picture 4" descr="A bar chart titled, Australian government funding of C H S P by state or territory, with 8 bars as follows. V I C, $760 M. N S W, $710 M. Q L D, $663 M. W A, $251 M. S A, $202 M. T A S, $65 M. A C T, $36 M. N T, $21 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ar chart showing the Australian Government funding of CHSP by state/territory in 2020/21. The details for each state and territory are: Victoria received $760 million, New South Wales received $710 million, Queensland received $663 million, Western Australia received $251 million, South Australia received $202 million, Tasmania received $65 million, Australian Capital Territory received $36 million, and the Northern Territory received $21 million.&#10;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008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3E1" w:rsidRPr="00B9485A" w14:paraId="2F96DE5D" w14:textId="77777777" w:rsidTr="00B00B95">
        <w:trPr>
          <w:gridAfter w:val="2"/>
          <w:wAfter w:w="33" w:type="dxa"/>
          <w:trHeight w:val="740"/>
          <w:tblHeader/>
        </w:trPr>
        <w:tc>
          <w:tcPr>
            <w:tcW w:w="4222" w:type="dxa"/>
            <w:shd w:val="clear" w:color="auto" w:fill="1F497D" w:themeFill="text2"/>
          </w:tcPr>
          <w:p w14:paraId="295DDDC9" w14:textId="77777777" w:rsidR="002602B6" w:rsidRPr="00256F46" w:rsidRDefault="00C371E9" w:rsidP="00256F46">
            <w:pPr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Home care</w:t>
            </w:r>
          </w:p>
        </w:tc>
        <w:tc>
          <w:tcPr>
            <w:tcW w:w="4544" w:type="dxa"/>
            <w:gridSpan w:val="2"/>
            <w:shd w:val="clear" w:color="auto" w:fill="1F497D" w:themeFill="text2"/>
          </w:tcPr>
          <w:p w14:paraId="111227C9" w14:textId="77777777" w:rsidR="002602B6" w:rsidRPr="00256F46" w:rsidRDefault="00C371E9" w:rsidP="00256F46">
            <w:pPr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Home care profit</w:t>
            </w:r>
          </w:p>
        </w:tc>
        <w:tc>
          <w:tcPr>
            <w:tcW w:w="4692" w:type="dxa"/>
            <w:gridSpan w:val="2"/>
            <w:shd w:val="clear" w:color="auto" w:fill="1F497D" w:themeFill="text2"/>
          </w:tcPr>
          <w:p w14:paraId="008D139A" w14:textId="77777777" w:rsidR="002602B6" w:rsidRPr="00256F46" w:rsidRDefault="00C371E9" w:rsidP="00256F46">
            <w:pPr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Home care by location</w:t>
            </w:r>
          </w:p>
        </w:tc>
        <w:tc>
          <w:tcPr>
            <w:tcW w:w="4677" w:type="dxa"/>
            <w:shd w:val="clear" w:color="auto" w:fill="1F497D" w:themeFill="text2"/>
          </w:tcPr>
          <w:p w14:paraId="3F35BCA8" w14:textId="77777777" w:rsidR="002602B6" w:rsidRPr="00256F46" w:rsidRDefault="00C371E9" w:rsidP="00256F46">
            <w:pPr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Home care packages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95" w:type="dxa"/>
            <w:gridSpan w:val="2"/>
            <w:shd w:val="clear" w:color="auto" w:fill="1F497D" w:themeFill="text2"/>
          </w:tcPr>
          <w:p w14:paraId="0B935E57" w14:textId="77777777" w:rsidR="002602B6" w:rsidRPr="00256F46" w:rsidRDefault="00C371E9" w:rsidP="00256F46">
            <w:pPr>
              <w:jc w:val="left"/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Home care package level subsidies</w:t>
            </w:r>
          </w:p>
        </w:tc>
      </w:tr>
      <w:tr w:rsidR="00BD497F" w:rsidRPr="00B9485A" w14:paraId="3D7AF512" w14:textId="77777777" w:rsidTr="00B00B95">
        <w:trPr>
          <w:gridAfter w:val="2"/>
          <w:wAfter w:w="33" w:type="dxa"/>
          <w:trHeight w:val="2772"/>
        </w:trPr>
        <w:tc>
          <w:tcPr>
            <w:tcW w:w="4222" w:type="dxa"/>
          </w:tcPr>
          <w:p w14:paraId="49DD5673" w14:textId="77777777" w:rsidR="00E737D9" w:rsidRPr="00B00B95" w:rsidRDefault="00E737D9" w:rsidP="00133F66">
            <w:pPr>
              <w:rPr>
                <w:rStyle w:val="Strong"/>
              </w:rPr>
            </w:pPr>
            <w:r w:rsidRPr="00B00B95">
              <w:rPr>
                <w:rStyle w:val="Strong"/>
              </w:rPr>
              <w:t>Key outcomes (FY20/21)</w:t>
            </w:r>
          </w:p>
          <w:p w14:paraId="4B4A4A40" w14:textId="77777777" w:rsidR="00E737D9" w:rsidRPr="005B58B2" w:rsidRDefault="00E737D9" w:rsidP="005B58B2">
            <w:pPr>
              <w:pStyle w:val="ListBullet"/>
              <w:numPr>
                <w:ilvl w:val="0"/>
                <w:numId w:val="14"/>
              </w:numPr>
            </w:pPr>
            <w:r w:rsidRPr="005B58B2">
              <w:rPr>
                <w:bCs/>
              </w:rPr>
              <w:t>Home care providers generated</w:t>
            </w:r>
            <w:r w:rsidRPr="005B58B2">
              <w:t xml:space="preserve"> $248 million total profit</w:t>
            </w:r>
          </w:p>
          <w:p w14:paraId="7C0F563C" w14:textId="77777777" w:rsidR="00E737D9" w:rsidRPr="00B9485A" w:rsidRDefault="00E737D9" w:rsidP="005B58B2">
            <w:pPr>
              <w:pStyle w:val="ListBullet"/>
              <w:numPr>
                <w:ilvl w:val="0"/>
                <w:numId w:val="14"/>
              </w:numPr>
            </w:pPr>
            <w:r w:rsidRPr="00B9485A">
              <w:t xml:space="preserve">$4.2 billion </w:t>
            </w:r>
            <w:r w:rsidRPr="005B5634">
              <w:rPr>
                <w:bCs/>
              </w:rPr>
              <w:t>in Government expenditure</w:t>
            </w:r>
          </w:p>
        </w:tc>
        <w:tc>
          <w:tcPr>
            <w:tcW w:w="4544" w:type="dxa"/>
            <w:gridSpan w:val="2"/>
          </w:tcPr>
          <w:p w14:paraId="736C2598" w14:textId="77777777" w:rsidR="00E737D9" w:rsidRPr="002B7077" w:rsidRDefault="00E737D9" w:rsidP="00133F66">
            <w:r w:rsidRPr="00B9485A">
              <w:t>74% of home care providers</w:t>
            </w:r>
            <w:r>
              <w:t xml:space="preserve"> </w:t>
            </w:r>
            <w:r w:rsidRPr="005B5634">
              <w:t>achieved a profit in FY20/21</w:t>
            </w:r>
          </w:p>
          <w:p w14:paraId="16EB2458" w14:textId="77777777" w:rsidR="00E737D9" w:rsidRPr="00B00B95" w:rsidRDefault="00001773" w:rsidP="00B00B95">
            <w:r w:rsidRPr="00B00B95">
              <w:rPr>
                <w:noProof/>
              </w:rPr>
              <w:drawing>
                <wp:inline distT="0" distB="0" distL="0" distR="0" wp14:anchorId="27F600A6" wp14:editId="23839FB2">
                  <wp:extent cx="2603966" cy="1334652"/>
                  <wp:effectExtent l="0" t="0" r="6350" b="0"/>
                  <wp:docPr id="7" name="Picture 7" descr="A bar chart titled, home care profit, with 6 bars as follows. 2015 to 16, $3,055. 2016 to 17, $2,989. 2017 to 18, $1,217. 2018 to 19, $1,211. 2019 to 20, $1,369. 2020 to 21, $1,79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966" cy="133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dxa"/>
            <w:gridSpan w:val="2"/>
          </w:tcPr>
          <w:p w14:paraId="55DDFBA4" w14:textId="77777777" w:rsidR="00E737D9" w:rsidRDefault="00E737D9" w:rsidP="00B00B95">
            <w:r w:rsidRPr="009118EF">
              <w:t>Average EBITDA per recipient</w:t>
            </w:r>
          </w:p>
          <w:p w14:paraId="400B9AD8" w14:textId="77777777" w:rsidR="00E737D9" w:rsidRPr="00B00B95" w:rsidRDefault="00001773" w:rsidP="00B00B95">
            <w:r w:rsidRPr="00B00B95">
              <w:rPr>
                <w:noProof/>
              </w:rPr>
              <w:drawing>
                <wp:inline distT="0" distB="0" distL="0" distR="0" wp14:anchorId="0B923CC5" wp14:editId="04320186">
                  <wp:extent cx="2527935" cy="1416050"/>
                  <wp:effectExtent l="0" t="0" r="5715" b="0"/>
                  <wp:docPr id="8" name="Picture 8" descr="Two bar charts titled home care by location. The first chart depicts the years 2019 to 20 as follows. Metro, $1,579. Regional, $1,899. Metro and regional, $622. The second chart depicts the years 2020 to 21 as follows. Metro, $2,046. Regional, $1,031. Metro and regional, $1,75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35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8402943" w14:textId="77777777" w:rsidR="00E737D9" w:rsidRPr="005B58B2" w:rsidRDefault="00E737D9" w:rsidP="00E50D2D">
            <w:pPr>
              <w:pStyle w:val="ListBullet2"/>
              <w:spacing w:before="60"/>
            </w:pPr>
            <w:r w:rsidRPr="005B58B2">
              <w:t xml:space="preserve">17,405 Level 1 </w:t>
            </w:r>
            <w:r w:rsidRPr="005B58B2">
              <w:rPr>
                <w:bCs/>
              </w:rPr>
              <w:t>(up from 16,418 in FY19/20)</w:t>
            </w:r>
          </w:p>
          <w:p w14:paraId="707BAC2E" w14:textId="77777777" w:rsidR="00E737D9" w:rsidRPr="00B9485A" w:rsidRDefault="00E737D9" w:rsidP="00B9485A">
            <w:pPr>
              <w:pStyle w:val="ListBullet2"/>
            </w:pPr>
            <w:r w:rsidRPr="00B9485A">
              <w:t>71,020 Level 2</w:t>
            </w:r>
            <w:r>
              <w:t xml:space="preserve"> </w:t>
            </w:r>
            <w:r w:rsidRPr="009118EF">
              <w:rPr>
                <w:bCs/>
              </w:rPr>
              <w:t>(up from 58,842 in FY19/20)</w:t>
            </w:r>
          </w:p>
          <w:p w14:paraId="53894D6E" w14:textId="77777777" w:rsidR="00E737D9" w:rsidRPr="00B9485A" w:rsidRDefault="00E737D9" w:rsidP="00B9485A">
            <w:pPr>
              <w:pStyle w:val="ListBullet2"/>
            </w:pPr>
            <w:r w:rsidRPr="00B9485A">
              <w:t>45,603 Level 3</w:t>
            </w:r>
            <w:r>
              <w:t xml:space="preserve"> </w:t>
            </w:r>
            <w:r w:rsidRPr="009118EF">
              <w:rPr>
                <w:bCs/>
              </w:rPr>
              <w:t>(up from 29,336 in FY19/20)</w:t>
            </w:r>
          </w:p>
          <w:p w14:paraId="556C6461" w14:textId="77777777" w:rsidR="00E737D9" w:rsidRPr="00B9485A" w:rsidRDefault="00E737D9" w:rsidP="00B9485A">
            <w:pPr>
              <w:pStyle w:val="ListBullet2"/>
            </w:pPr>
            <w:r w:rsidRPr="00B9485A">
              <w:t>42,077 Level 4</w:t>
            </w:r>
            <w:r>
              <w:t xml:space="preserve"> </w:t>
            </w:r>
            <w:r w:rsidRPr="009118EF">
              <w:rPr>
                <w:bCs/>
              </w:rPr>
              <w:t>(up from 37,840 in FY19/20)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95" w:type="dxa"/>
            <w:gridSpan w:val="2"/>
          </w:tcPr>
          <w:tbl>
            <w:tblPr>
              <w:tblStyle w:val="GridTable5Dark-Accent6"/>
              <w:tblW w:w="5000" w:type="pct"/>
              <w:tblLook w:val="04A0" w:firstRow="1" w:lastRow="0" w:firstColumn="1" w:lastColumn="0" w:noHBand="0" w:noVBand="1"/>
            </w:tblPr>
            <w:tblGrid>
              <w:gridCol w:w="1179"/>
              <w:gridCol w:w="1645"/>
              <w:gridCol w:w="1645"/>
            </w:tblGrid>
            <w:tr w:rsidR="00256F46" w14:paraId="5E876955" w14:textId="77777777" w:rsidTr="000305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8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0" w:type="pct"/>
                </w:tcPr>
                <w:p w14:paraId="3A53BAE6" w14:textId="77777777" w:rsidR="00256F46" w:rsidRPr="00256F46" w:rsidRDefault="00256F46" w:rsidP="00256F46">
                  <w:pPr>
                    <w:spacing w:before="60"/>
                    <w:rPr>
                      <w:b w:val="0"/>
                      <w:bCs w:val="0"/>
                      <w:color w:val="000000" w:themeColor="text1"/>
                    </w:rPr>
                  </w:pPr>
                  <w:r w:rsidRPr="00256F46">
                    <w:rPr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>Package Level</w:t>
                  </w:r>
                </w:p>
              </w:tc>
              <w:tc>
                <w:tcPr>
                  <w:tcW w:w="1840" w:type="pct"/>
                </w:tcPr>
                <w:p w14:paraId="3935E558" w14:textId="77777777" w:rsidR="00256F46" w:rsidRPr="00256F46" w:rsidRDefault="00256F46" w:rsidP="00256F46">
                  <w:pPr>
                    <w:spacing w:before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000000" w:themeColor="text1"/>
                    </w:rPr>
                  </w:pPr>
                  <w:proofErr w:type="spellStart"/>
                  <w:r w:rsidRPr="00256F46">
                    <w:rPr>
                      <w:b w:val="0"/>
                      <w:bCs w:val="0"/>
                      <w:color w:val="000000" w:themeColor="text1"/>
                      <w:sz w:val="15"/>
                      <w:szCs w:val="15"/>
                    </w:rPr>
                    <w:t>Annualised</w:t>
                  </w:r>
                  <w:proofErr w:type="spellEnd"/>
                  <w:r w:rsidRPr="00256F46">
                    <w:rPr>
                      <w:b w:val="0"/>
                      <w:bCs w:val="0"/>
                      <w:color w:val="000000" w:themeColor="text1"/>
                      <w:sz w:val="15"/>
                      <w:szCs w:val="15"/>
                    </w:rPr>
                    <w:t xml:space="preserve"> subsidy 2020/21</w:t>
                  </w:r>
                </w:p>
              </w:tc>
              <w:tc>
                <w:tcPr>
                  <w:tcW w:w="1840" w:type="pct"/>
                </w:tcPr>
                <w:p w14:paraId="63AC2800" w14:textId="77777777" w:rsidR="00256F46" w:rsidRPr="00256F46" w:rsidRDefault="00256F46" w:rsidP="00256F46">
                  <w:pPr>
                    <w:spacing w:before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proofErr w:type="spellStart"/>
                  <w:r w:rsidRPr="00256F46">
                    <w:rPr>
                      <w:b w:val="0"/>
                      <w:bCs w:val="0"/>
                      <w:color w:val="000000" w:themeColor="text1"/>
                      <w:sz w:val="15"/>
                      <w:szCs w:val="15"/>
                    </w:rPr>
                    <w:t>Annualised</w:t>
                  </w:r>
                  <w:proofErr w:type="spellEnd"/>
                  <w:r w:rsidRPr="00256F46">
                    <w:rPr>
                      <w:b w:val="0"/>
                      <w:bCs w:val="0"/>
                      <w:color w:val="000000" w:themeColor="text1"/>
                      <w:sz w:val="15"/>
                      <w:szCs w:val="15"/>
                    </w:rPr>
                    <w:t xml:space="preserve"> subsidy 2021/22</w:t>
                  </w:r>
                </w:p>
              </w:tc>
            </w:tr>
            <w:tr w:rsidR="00256F46" w14:paraId="2A6CD120" w14:textId="77777777" w:rsidTr="00B00B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0" w:type="pct"/>
                </w:tcPr>
                <w:p w14:paraId="0BE0B9D9" w14:textId="77777777" w:rsidR="00256F46" w:rsidRPr="00256F46" w:rsidRDefault="00256F46" w:rsidP="00256F46">
                  <w:pPr>
                    <w:spacing w:before="60"/>
                    <w:rPr>
                      <w:color w:val="000000" w:themeColor="text1"/>
                      <w:sz w:val="18"/>
                      <w:szCs w:val="18"/>
                    </w:rPr>
                  </w:pPr>
                  <w:r w:rsidRPr="00256F46">
                    <w:rPr>
                      <w:color w:val="000000" w:themeColor="text1"/>
                      <w:sz w:val="18"/>
                      <w:szCs w:val="18"/>
                    </w:rPr>
                    <w:t>Level 1</w:t>
                  </w:r>
                </w:p>
              </w:tc>
              <w:tc>
                <w:tcPr>
                  <w:tcW w:w="1840" w:type="pct"/>
                </w:tcPr>
                <w:p w14:paraId="474676C0" w14:textId="77777777" w:rsidR="00256F46" w:rsidRPr="00256F46" w:rsidRDefault="00256F46" w:rsidP="00256F46">
                  <w:pPr>
                    <w:spacing w:before="6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256F46">
                    <w:rPr>
                      <w:sz w:val="18"/>
                      <w:szCs w:val="18"/>
                    </w:rPr>
                    <w:t>$8,928</w:t>
                  </w:r>
                </w:p>
              </w:tc>
              <w:tc>
                <w:tcPr>
                  <w:tcW w:w="1840" w:type="pct"/>
                </w:tcPr>
                <w:p w14:paraId="75467113" w14:textId="77777777" w:rsidR="00256F46" w:rsidRPr="00256F46" w:rsidRDefault="00256F46" w:rsidP="00256F46">
                  <w:pPr>
                    <w:spacing w:before="6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256F46">
                    <w:rPr>
                      <w:sz w:val="18"/>
                      <w:szCs w:val="18"/>
                    </w:rPr>
                    <w:t>$9,026</w:t>
                  </w:r>
                </w:p>
              </w:tc>
            </w:tr>
            <w:tr w:rsidR="00256F46" w14:paraId="3011C8A0" w14:textId="77777777" w:rsidTr="00B00B95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0" w:type="pct"/>
                </w:tcPr>
                <w:p w14:paraId="2B9F8FC5" w14:textId="77777777" w:rsidR="00256F46" w:rsidRPr="00256F46" w:rsidRDefault="00256F46" w:rsidP="00256F46">
                  <w:pPr>
                    <w:spacing w:before="60"/>
                    <w:rPr>
                      <w:color w:val="000000" w:themeColor="text1"/>
                      <w:sz w:val="18"/>
                      <w:szCs w:val="18"/>
                    </w:rPr>
                  </w:pPr>
                  <w:r w:rsidRPr="00256F46">
                    <w:rPr>
                      <w:color w:val="000000" w:themeColor="text1"/>
                      <w:sz w:val="18"/>
                      <w:szCs w:val="18"/>
                    </w:rPr>
                    <w:t>Level 2</w:t>
                  </w:r>
                </w:p>
              </w:tc>
              <w:tc>
                <w:tcPr>
                  <w:tcW w:w="1840" w:type="pct"/>
                </w:tcPr>
                <w:p w14:paraId="235B358F" w14:textId="77777777" w:rsidR="00256F46" w:rsidRPr="00256F46" w:rsidRDefault="00256F46" w:rsidP="00256F46">
                  <w:pPr>
                    <w:spacing w:before="6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256F46">
                    <w:rPr>
                      <w:sz w:val="18"/>
                      <w:szCs w:val="18"/>
                    </w:rPr>
                    <w:t>$15,706</w:t>
                  </w:r>
                </w:p>
              </w:tc>
              <w:tc>
                <w:tcPr>
                  <w:tcW w:w="1840" w:type="pct"/>
                </w:tcPr>
                <w:p w14:paraId="7D22833D" w14:textId="77777777" w:rsidR="00256F46" w:rsidRPr="00256F46" w:rsidRDefault="00256F46" w:rsidP="00256F46">
                  <w:pPr>
                    <w:spacing w:before="6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256F46">
                    <w:rPr>
                      <w:sz w:val="18"/>
                      <w:szCs w:val="18"/>
                    </w:rPr>
                    <w:t>$15,878</w:t>
                  </w:r>
                </w:p>
              </w:tc>
            </w:tr>
            <w:tr w:rsidR="00256F46" w14:paraId="688598EF" w14:textId="77777777" w:rsidTr="00B00B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0" w:type="pct"/>
                </w:tcPr>
                <w:p w14:paraId="354A7991" w14:textId="77777777" w:rsidR="00256F46" w:rsidRPr="00256F46" w:rsidRDefault="00256F46" w:rsidP="00256F46">
                  <w:pPr>
                    <w:spacing w:before="60"/>
                    <w:rPr>
                      <w:color w:val="000000" w:themeColor="text1"/>
                      <w:sz w:val="18"/>
                      <w:szCs w:val="18"/>
                    </w:rPr>
                  </w:pPr>
                  <w:r w:rsidRPr="00256F46">
                    <w:rPr>
                      <w:color w:val="000000" w:themeColor="text1"/>
                      <w:sz w:val="18"/>
                      <w:szCs w:val="18"/>
                    </w:rPr>
                    <w:t>Level 3</w:t>
                  </w:r>
                </w:p>
              </w:tc>
              <w:tc>
                <w:tcPr>
                  <w:tcW w:w="1840" w:type="pct"/>
                </w:tcPr>
                <w:p w14:paraId="0526888B" w14:textId="77777777" w:rsidR="00256F46" w:rsidRPr="00256F46" w:rsidRDefault="00256F46" w:rsidP="00256F46">
                  <w:pPr>
                    <w:spacing w:before="6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256F46">
                    <w:rPr>
                      <w:sz w:val="18"/>
                      <w:szCs w:val="18"/>
                    </w:rPr>
                    <w:t>$34,175</w:t>
                  </w:r>
                </w:p>
              </w:tc>
              <w:tc>
                <w:tcPr>
                  <w:tcW w:w="1840" w:type="pct"/>
                </w:tcPr>
                <w:p w14:paraId="3251004F" w14:textId="77777777" w:rsidR="00256F46" w:rsidRPr="00256F46" w:rsidRDefault="00256F46" w:rsidP="00256F46">
                  <w:pPr>
                    <w:spacing w:before="6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256F46">
                    <w:rPr>
                      <w:sz w:val="18"/>
                      <w:szCs w:val="18"/>
                    </w:rPr>
                    <w:t>$34,551</w:t>
                  </w:r>
                </w:p>
              </w:tc>
            </w:tr>
            <w:tr w:rsidR="00256F46" w14:paraId="5DD7F420" w14:textId="77777777" w:rsidTr="00B00B95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0" w:type="pct"/>
                </w:tcPr>
                <w:p w14:paraId="6848F88A" w14:textId="77777777" w:rsidR="00256F46" w:rsidRPr="00256F46" w:rsidRDefault="00256F46" w:rsidP="00256F46">
                  <w:pPr>
                    <w:spacing w:before="60"/>
                    <w:rPr>
                      <w:color w:val="000000" w:themeColor="text1"/>
                      <w:sz w:val="18"/>
                      <w:szCs w:val="18"/>
                    </w:rPr>
                  </w:pPr>
                  <w:r w:rsidRPr="00256F46">
                    <w:rPr>
                      <w:color w:val="000000" w:themeColor="text1"/>
                      <w:sz w:val="18"/>
                      <w:szCs w:val="18"/>
                    </w:rPr>
                    <w:t>Level 4</w:t>
                  </w:r>
                </w:p>
              </w:tc>
              <w:tc>
                <w:tcPr>
                  <w:tcW w:w="1840" w:type="pct"/>
                </w:tcPr>
                <w:p w14:paraId="5273BFAA" w14:textId="77777777" w:rsidR="00256F46" w:rsidRPr="00256F46" w:rsidRDefault="00256F46" w:rsidP="00256F46">
                  <w:pPr>
                    <w:spacing w:before="6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256F46">
                    <w:rPr>
                      <w:sz w:val="18"/>
                      <w:szCs w:val="18"/>
                    </w:rPr>
                    <w:t>$51,808</w:t>
                  </w:r>
                </w:p>
              </w:tc>
              <w:tc>
                <w:tcPr>
                  <w:tcW w:w="1840" w:type="pct"/>
                </w:tcPr>
                <w:p w14:paraId="3D8CCE6D" w14:textId="77777777" w:rsidR="00256F46" w:rsidRPr="00256F46" w:rsidRDefault="00256F46" w:rsidP="00256F46">
                  <w:pPr>
                    <w:spacing w:before="6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256F46">
                    <w:rPr>
                      <w:sz w:val="18"/>
                      <w:szCs w:val="18"/>
                    </w:rPr>
                    <w:t>$52,378</w:t>
                  </w:r>
                </w:p>
              </w:tc>
            </w:tr>
          </w:tbl>
          <w:p w14:paraId="40BD693C" w14:textId="77777777" w:rsidR="00E737D9" w:rsidRPr="00B9485A" w:rsidRDefault="00E737D9" w:rsidP="00E50D2D">
            <w:pPr>
              <w:spacing w:before="60"/>
              <w:jc w:val="center"/>
            </w:pPr>
          </w:p>
        </w:tc>
      </w:tr>
      <w:tr w:rsidR="00FF53E1" w:rsidRPr="00B9485A" w14:paraId="2331265C" w14:textId="77777777" w:rsidTr="00B00B95">
        <w:trPr>
          <w:gridAfter w:val="1"/>
          <w:wAfter w:w="21" w:type="dxa"/>
          <w:trHeight w:val="740"/>
          <w:tblHeader/>
        </w:trPr>
        <w:tc>
          <w:tcPr>
            <w:tcW w:w="4222" w:type="dxa"/>
            <w:shd w:val="clear" w:color="auto" w:fill="1F497D" w:themeFill="text2"/>
          </w:tcPr>
          <w:p w14:paraId="311877F3" w14:textId="77777777" w:rsidR="002602B6" w:rsidRPr="00256F46" w:rsidRDefault="00C371E9" w:rsidP="00256F46">
            <w:pPr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Residential care</w:t>
            </w:r>
          </w:p>
        </w:tc>
        <w:tc>
          <w:tcPr>
            <w:tcW w:w="4544" w:type="dxa"/>
            <w:gridSpan w:val="2"/>
            <w:shd w:val="clear" w:color="auto" w:fill="1F497D" w:themeFill="text2"/>
          </w:tcPr>
          <w:p w14:paraId="12BE78E7" w14:textId="77777777" w:rsidR="002602B6" w:rsidRPr="00256F46" w:rsidRDefault="00C371E9" w:rsidP="00256F46">
            <w:pPr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Residential care profit</w:t>
            </w:r>
          </w:p>
        </w:tc>
        <w:tc>
          <w:tcPr>
            <w:tcW w:w="4692" w:type="dxa"/>
            <w:gridSpan w:val="2"/>
            <w:shd w:val="clear" w:color="auto" w:fill="1F497D" w:themeFill="text2"/>
          </w:tcPr>
          <w:p w14:paraId="3030DE4E" w14:textId="77777777" w:rsidR="002602B6" w:rsidRPr="00256F46" w:rsidRDefault="00C371E9" w:rsidP="00256F46">
            <w:pPr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Residential care by 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84" w:type="dxa"/>
            <w:gridSpan w:val="4"/>
            <w:shd w:val="clear" w:color="auto" w:fill="1F497D" w:themeFill="text2"/>
          </w:tcPr>
          <w:p w14:paraId="5DCD2C81" w14:textId="77777777" w:rsidR="002602B6" w:rsidRPr="00256F46" w:rsidRDefault="00C371E9" w:rsidP="00256F46">
            <w:pPr>
              <w:jc w:val="left"/>
              <w:rPr>
                <w:b/>
                <w:bCs/>
                <w:color w:val="FFFFFF" w:themeColor="background1"/>
              </w:rPr>
            </w:pPr>
            <w:r w:rsidRPr="00256F46">
              <w:rPr>
                <w:b/>
                <w:bCs/>
                <w:color w:val="FFFFFF" w:themeColor="background1"/>
              </w:rPr>
              <w:t>Residential care revenue and expenses</w:t>
            </w:r>
          </w:p>
        </w:tc>
      </w:tr>
      <w:tr w:rsidR="007E3808" w:rsidRPr="00B9485A" w14:paraId="0424C9D3" w14:textId="77777777" w:rsidTr="00B00B95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1" w:type="dxa"/>
          <w:trHeight w:val="2674"/>
        </w:trPr>
        <w:tc>
          <w:tcPr>
            <w:tcW w:w="4222" w:type="dxa"/>
          </w:tcPr>
          <w:p w14:paraId="2F995491" w14:textId="77777777" w:rsidR="004B1514" w:rsidRPr="00B00B95" w:rsidRDefault="004B1514" w:rsidP="00B00B95">
            <w:r w:rsidRPr="00B00B95">
              <w:t>Key outcomes (FY20/21)</w:t>
            </w:r>
          </w:p>
          <w:p w14:paraId="284DFA8C" w14:textId="77777777" w:rsidR="004B1514" w:rsidRPr="005B58B2" w:rsidRDefault="004B1514" w:rsidP="005B58B2">
            <w:pPr>
              <w:pStyle w:val="ListBullet"/>
              <w:numPr>
                <w:ilvl w:val="0"/>
                <w:numId w:val="16"/>
              </w:numPr>
            </w:pPr>
            <w:r w:rsidRPr="005B58B2">
              <w:t xml:space="preserve">Residential care providers lost $854 million </w:t>
            </w:r>
            <w:r w:rsidRPr="005B58B2">
              <w:rPr>
                <w:b w:val="0"/>
                <w:bCs/>
              </w:rPr>
              <w:t>in net profit (-$12.38 per resident, per day)</w:t>
            </w:r>
          </w:p>
          <w:p w14:paraId="5291855B" w14:textId="77777777" w:rsidR="004B1514" w:rsidRPr="00B9485A" w:rsidRDefault="004B1514" w:rsidP="005B58B2">
            <w:pPr>
              <w:pStyle w:val="ListBullet"/>
              <w:numPr>
                <w:ilvl w:val="0"/>
                <w:numId w:val="16"/>
              </w:numPr>
            </w:pPr>
            <w:r w:rsidRPr="00B9485A">
              <w:t xml:space="preserve">$14.1 billion </w:t>
            </w:r>
            <w:r w:rsidRPr="00EE204A">
              <w:rPr>
                <w:b w:val="0"/>
                <w:bCs/>
              </w:rPr>
              <w:t>in Government expenditure</w:t>
            </w:r>
          </w:p>
        </w:tc>
        <w:tc>
          <w:tcPr>
            <w:tcW w:w="4544" w:type="dxa"/>
            <w:gridSpan w:val="2"/>
          </w:tcPr>
          <w:p w14:paraId="33B5CC40" w14:textId="77777777" w:rsidR="004B1514" w:rsidRPr="007E3808" w:rsidRDefault="004B1514" w:rsidP="00326F47">
            <w:pPr>
              <w:spacing w:before="60" w:after="60"/>
              <w:jc w:val="center"/>
            </w:pPr>
            <w:r w:rsidRPr="00B9485A">
              <w:t>46% of residential care providers</w:t>
            </w:r>
            <w:r w:rsidR="007E3808">
              <w:t xml:space="preserve"> </w:t>
            </w:r>
            <w:r w:rsidR="007E3808" w:rsidRPr="007E3808">
              <w:rPr>
                <w:b w:val="0"/>
                <w:bCs/>
              </w:rPr>
              <w:t>a</w:t>
            </w:r>
            <w:r w:rsidRPr="00EE204A">
              <w:rPr>
                <w:b w:val="0"/>
                <w:bCs/>
              </w:rPr>
              <w:t>chieved a profit in FY20/21</w:t>
            </w:r>
          </w:p>
          <w:p w14:paraId="60698512" w14:textId="77777777" w:rsidR="004B1514" w:rsidRPr="00B00B95" w:rsidRDefault="004B1514" w:rsidP="00B00B95">
            <w:r w:rsidRPr="00B00B95">
              <w:rPr>
                <w:noProof/>
              </w:rPr>
              <w:drawing>
                <wp:inline distT="0" distB="0" distL="0" distR="0" wp14:anchorId="0D712EC0" wp14:editId="4A1B30A6">
                  <wp:extent cx="2604079" cy="1265156"/>
                  <wp:effectExtent l="0" t="0" r="6350" b="0"/>
                  <wp:docPr id="10" name="Picture 10" descr="A bar chart titled, residential care profit, with 6 bars as follows. 2015 to 16, $11,134. 2016 to 17, $11,481. 2017 to 18, $8,746. 2018 to 19, $8,523. 2019 to 20, $6,445. 2020 to 21, $3,77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69" cy="127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dxa"/>
            <w:gridSpan w:val="2"/>
          </w:tcPr>
          <w:p w14:paraId="4B22EADD" w14:textId="77777777" w:rsidR="004B1514" w:rsidRDefault="004B1514" w:rsidP="00326F47">
            <w:pPr>
              <w:spacing w:before="60" w:after="60"/>
              <w:jc w:val="center"/>
              <w:rPr>
                <w:bCs/>
              </w:rPr>
            </w:pPr>
            <w:r w:rsidRPr="004F7DDA">
              <w:rPr>
                <w:b w:val="0"/>
                <w:bCs/>
              </w:rPr>
              <w:t>Average EBITDA per resident</w:t>
            </w:r>
          </w:p>
          <w:p w14:paraId="15990CA2" w14:textId="77777777" w:rsidR="004B1514" w:rsidRPr="00B00B95" w:rsidRDefault="004B1514" w:rsidP="00B00B95">
            <w:r w:rsidRPr="00B00B95">
              <w:rPr>
                <w:noProof/>
              </w:rPr>
              <w:drawing>
                <wp:inline distT="0" distB="0" distL="0" distR="0" wp14:anchorId="1026334A" wp14:editId="248A4F56">
                  <wp:extent cx="2530549" cy="1366755"/>
                  <wp:effectExtent l="0" t="0" r="3175" b="5080"/>
                  <wp:docPr id="11" name="Picture 11" descr="Two bar charts titled residential care by location. The first chart depicts the years 2019 to 20 as follows. Metro, $8,055. Regional, $1,138. Metro and regional, $5,165. The second chart depicts the years 2020 to 21 as follows. Metro, $5,217. Regional, negative $335. Metro and regional, $2,25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478" cy="137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84" w:type="dxa"/>
            <w:gridSpan w:val="4"/>
          </w:tcPr>
          <w:p w14:paraId="2B866F5B" w14:textId="77777777" w:rsidR="00A02FEC" w:rsidRDefault="004B1514" w:rsidP="00B00B95">
            <w:pPr>
              <w:spacing w:before="60" w:after="60"/>
              <w:jc w:val="center"/>
              <w:rPr>
                <w:bCs/>
              </w:rPr>
            </w:pPr>
            <w:r w:rsidRPr="00B9485A">
              <w:t>Residential care providers net profit</w:t>
            </w:r>
            <w:r>
              <w:t xml:space="preserve"> </w:t>
            </w:r>
            <w:r w:rsidRPr="00B9485A">
              <w:t>margin was -4.0% in FY20/21</w:t>
            </w:r>
            <w:r w:rsidRPr="004B1514">
              <w:rPr>
                <w:b w:val="0"/>
                <w:bCs/>
              </w:rPr>
              <w:t>down from -3.6% in FY19/2</w:t>
            </w:r>
            <w:r>
              <w:rPr>
                <w:b w:val="0"/>
                <w:bCs/>
              </w:rPr>
              <w:t>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7"/>
              <w:gridCol w:w="1092"/>
              <w:gridCol w:w="1092"/>
              <w:gridCol w:w="1092"/>
              <w:gridCol w:w="1092"/>
            </w:tblGrid>
            <w:tr w:rsidR="00256F46" w14:paraId="70CC6A09" w14:textId="77777777" w:rsidTr="000305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7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5F6ABAFE" w14:textId="77777777" w:rsidR="00256F46" w:rsidRPr="00256F46" w:rsidRDefault="00256F46" w:rsidP="004B1514">
                  <w:pPr>
                    <w:jc w:val="center"/>
                    <w:rPr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1C948050" w14:textId="77777777" w:rsidR="00256F46" w:rsidRPr="00256F46" w:rsidRDefault="00256F46" w:rsidP="004B151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256F46">
                    <w:rPr>
                      <w:b/>
                      <w:bCs/>
                      <w:sz w:val="20"/>
                      <w:szCs w:val="20"/>
                    </w:rPr>
                    <w:t>2017/18</w:t>
                  </w:r>
                </w:p>
              </w:tc>
              <w:tc>
                <w:tcPr>
                  <w:tcW w:w="0" w:type="auto"/>
                </w:tcPr>
                <w:p w14:paraId="080B2EF8" w14:textId="77777777" w:rsidR="00256F46" w:rsidRPr="00256F46" w:rsidRDefault="00256F46" w:rsidP="004B151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256F46">
                    <w:rPr>
                      <w:b/>
                      <w:bCs/>
                      <w:sz w:val="20"/>
                      <w:szCs w:val="20"/>
                    </w:rPr>
                    <w:t>2018/19</w:t>
                  </w:r>
                </w:p>
              </w:tc>
              <w:tc>
                <w:tcPr>
                  <w:tcW w:w="0" w:type="auto"/>
                </w:tcPr>
                <w:p w14:paraId="30159286" w14:textId="77777777" w:rsidR="00256F46" w:rsidRPr="00256F46" w:rsidRDefault="00256F46" w:rsidP="004B151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256F46">
                    <w:rPr>
                      <w:b/>
                      <w:bCs/>
                      <w:sz w:val="20"/>
                      <w:szCs w:val="20"/>
                    </w:rPr>
                    <w:t>2019/20</w:t>
                  </w:r>
                </w:p>
              </w:tc>
              <w:tc>
                <w:tcPr>
                  <w:tcW w:w="0" w:type="auto"/>
                </w:tcPr>
                <w:p w14:paraId="46A2DB85" w14:textId="77777777" w:rsidR="00256F46" w:rsidRPr="00256F46" w:rsidRDefault="00256F46" w:rsidP="004B151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</w:rPr>
                  </w:pPr>
                  <w:r w:rsidRPr="00256F46">
                    <w:rPr>
                      <w:b/>
                      <w:bCs/>
                      <w:sz w:val="20"/>
                      <w:szCs w:val="20"/>
                    </w:rPr>
                    <w:t>2020/21</w:t>
                  </w:r>
                </w:p>
              </w:tc>
            </w:tr>
            <w:tr w:rsidR="00256F46" w14:paraId="175B3105" w14:textId="77777777" w:rsidTr="00B00B9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6D0CCA9C" w14:textId="77777777" w:rsidR="00256F46" w:rsidRPr="00256F46" w:rsidRDefault="00256F46" w:rsidP="004B1514">
                  <w:pPr>
                    <w:jc w:val="center"/>
                    <w:rPr>
                      <w:b w:val="0"/>
                      <w:bCs/>
                      <w:sz w:val="20"/>
                      <w:szCs w:val="20"/>
                    </w:rPr>
                  </w:pPr>
                  <w:r w:rsidRPr="00256F46">
                    <w:rPr>
                      <w:bCs/>
                      <w:sz w:val="20"/>
                      <w:szCs w:val="20"/>
                    </w:rPr>
                    <w:t>Revenue ($m)</w:t>
                  </w:r>
                </w:p>
              </w:tc>
              <w:tc>
                <w:tcPr>
                  <w:tcW w:w="0" w:type="auto"/>
                </w:tcPr>
                <w:p w14:paraId="1EC5BFE1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$18,066</w:t>
                  </w:r>
                </w:p>
              </w:tc>
              <w:tc>
                <w:tcPr>
                  <w:tcW w:w="0" w:type="auto"/>
                </w:tcPr>
                <w:p w14:paraId="235EE24C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$19,302</w:t>
                  </w:r>
                </w:p>
              </w:tc>
              <w:tc>
                <w:tcPr>
                  <w:tcW w:w="0" w:type="auto"/>
                </w:tcPr>
                <w:p w14:paraId="0A1C42FF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$20,536</w:t>
                  </w:r>
                </w:p>
              </w:tc>
              <w:tc>
                <w:tcPr>
                  <w:tcW w:w="0" w:type="auto"/>
                </w:tcPr>
                <w:p w14:paraId="7942EBC1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$21,478</w:t>
                  </w:r>
                </w:p>
              </w:tc>
            </w:tr>
            <w:tr w:rsidR="00256F46" w14:paraId="0C90BCF2" w14:textId="77777777" w:rsidTr="00B00B9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2074417E" w14:textId="77777777" w:rsidR="00256F46" w:rsidRPr="00256F46" w:rsidRDefault="00256F46" w:rsidP="004B1514">
                  <w:pPr>
                    <w:jc w:val="center"/>
                    <w:rPr>
                      <w:b w:val="0"/>
                      <w:bCs/>
                      <w:sz w:val="20"/>
                      <w:szCs w:val="20"/>
                    </w:rPr>
                  </w:pPr>
                  <w:r w:rsidRPr="00256F46">
                    <w:rPr>
                      <w:bCs/>
                      <w:sz w:val="20"/>
                      <w:szCs w:val="20"/>
                    </w:rPr>
                    <w:t>Expenses ($m)</w:t>
                  </w:r>
                </w:p>
              </w:tc>
              <w:tc>
                <w:tcPr>
                  <w:tcW w:w="0" w:type="auto"/>
                </w:tcPr>
                <w:p w14:paraId="27014CDA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$17,631</w:t>
                  </w:r>
                </w:p>
              </w:tc>
              <w:tc>
                <w:tcPr>
                  <w:tcW w:w="0" w:type="auto"/>
                </w:tcPr>
                <w:p w14:paraId="77EE0502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$19,037</w:t>
                  </w:r>
                </w:p>
              </w:tc>
              <w:tc>
                <w:tcPr>
                  <w:tcW w:w="0" w:type="auto"/>
                </w:tcPr>
                <w:p w14:paraId="01431850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$21,723</w:t>
                  </w:r>
                </w:p>
              </w:tc>
              <w:tc>
                <w:tcPr>
                  <w:tcW w:w="0" w:type="auto"/>
                </w:tcPr>
                <w:p w14:paraId="06086ED6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$22,332</w:t>
                  </w:r>
                </w:p>
              </w:tc>
            </w:tr>
            <w:tr w:rsidR="00256F46" w14:paraId="5712CF9B" w14:textId="77777777" w:rsidTr="00B00B9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27AD4D8A" w14:textId="77777777" w:rsidR="00256F46" w:rsidRPr="00256F46" w:rsidRDefault="00256F46" w:rsidP="004B1514">
                  <w:pPr>
                    <w:jc w:val="center"/>
                    <w:rPr>
                      <w:b w:val="0"/>
                      <w:bCs/>
                      <w:sz w:val="20"/>
                      <w:szCs w:val="20"/>
                    </w:rPr>
                  </w:pPr>
                  <w:r w:rsidRPr="00256F46">
                    <w:rPr>
                      <w:bCs/>
                      <w:sz w:val="20"/>
                      <w:szCs w:val="20"/>
                    </w:rPr>
                    <w:t>NPBT ($m)</w:t>
                  </w:r>
                </w:p>
              </w:tc>
              <w:tc>
                <w:tcPr>
                  <w:tcW w:w="0" w:type="auto"/>
                </w:tcPr>
                <w:p w14:paraId="3E84757D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$435</w:t>
                  </w:r>
                </w:p>
              </w:tc>
              <w:tc>
                <w:tcPr>
                  <w:tcW w:w="0" w:type="auto"/>
                </w:tcPr>
                <w:p w14:paraId="7A9C1DF7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$264</w:t>
                  </w:r>
                </w:p>
              </w:tc>
              <w:tc>
                <w:tcPr>
                  <w:tcW w:w="0" w:type="auto"/>
                </w:tcPr>
                <w:p w14:paraId="5236799A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-$736</w:t>
                  </w:r>
                </w:p>
              </w:tc>
              <w:tc>
                <w:tcPr>
                  <w:tcW w:w="0" w:type="auto"/>
                </w:tcPr>
                <w:p w14:paraId="0EE3DFF1" w14:textId="77777777" w:rsidR="00256F46" w:rsidRPr="00256F46" w:rsidRDefault="00256F46" w:rsidP="00256F46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56F46">
                    <w:rPr>
                      <w:sz w:val="20"/>
                      <w:szCs w:val="20"/>
                    </w:rPr>
                    <w:t>-$854</w:t>
                  </w:r>
                </w:p>
              </w:tc>
            </w:tr>
          </w:tbl>
          <w:p w14:paraId="07B349D9" w14:textId="77777777" w:rsidR="00256F46" w:rsidRPr="004B1514" w:rsidRDefault="00256F46" w:rsidP="004B1514">
            <w:pPr>
              <w:jc w:val="center"/>
              <w:rPr>
                <w:b w:val="0"/>
                <w:bCs/>
              </w:rPr>
            </w:pPr>
          </w:p>
        </w:tc>
      </w:tr>
    </w:tbl>
    <w:p w14:paraId="125F5BC7" w14:textId="77777777" w:rsidR="000C3342" w:rsidRPr="00425D13" w:rsidRDefault="00425D13" w:rsidP="00030546">
      <w:pPr>
        <w:pStyle w:val="NoSpacing"/>
      </w:pPr>
      <w:r>
        <w:t>*</w:t>
      </w:r>
      <w:proofErr w:type="spellStart"/>
      <w:r w:rsidR="00C371E9" w:rsidRPr="00425D13">
        <w:t>Earning</w:t>
      </w:r>
      <w:proofErr w:type="spellEnd"/>
      <w:r w:rsidR="00C371E9" w:rsidRPr="00425D13">
        <w:t xml:space="preserve"> Before Interest Tax Depreciation and </w:t>
      </w:r>
      <w:proofErr w:type="spellStart"/>
      <w:r w:rsidR="00C371E9" w:rsidRPr="00425D13">
        <w:t>Amortisation</w:t>
      </w:r>
      <w:proofErr w:type="spellEnd"/>
      <w:r w:rsidR="00C371E9" w:rsidRPr="00425D13">
        <w:t xml:space="preserve"> (EBITDA): Net profit after tax with interest, tax, depreciation, and </w:t>
      </w:r>
      <w:proofErr w:type="spellStart"/>
      <w:r w:rsidR="000C3342">
        <w:t>a</w:t>
      </w:r>
      <w:r>
        <w:t>morti</w:t>
      </w:r>
      <w:r w:rsidR="000C3342">
        <w:t>s</w:t>
      </w:r>
      <w:r>
        <w:t>ation</w:t>
      </w:r>
      <w:proofErr w:type="spellEnd"/>
      <w:r w:rsidR="00C371E9" w:rsidRPr="00425D13">
        <w:t xml:space="preserve"> added back to it, and can be used to </w:t>
      </w:r>
      <w:proofErr w:type="spellStart"/>
      <w:r w:rsidR="00C371E9" w:rsidRPr="00425D13">
        <w:t>analyse</w:t>
      </w:r>
      <w:proofErr w:type="spellEnd"/>
      <w:r w:rsidR="00C371E9" w:rsidRPr="00425D13">
        <w:t xml:space="preserve"> and compare profitability between companies and industries because it eliminates the effects of financing and accounting decisions.</w:t>
      </w:r>
    </w:p>
    <w:p w14:paraId="6F5096A4" w14:textId="77777777" w:rsidR="002602B6" w:rsidRDefault="002602B6">
      <w:pPr>
        <w:spacing w:line="145" w:lineRule="exact"/>
        <w:rPr>
          <w:sz w:val="14"/>
        </w:rPr>
        <w:sectPr w:rsidR="002602B6" w:rsidSect="00030546">
          <w:type w:val="continuous"/>
          <w:pgSz w:w="23820" w:h="16840" w:orient="landscape"/>
          <w:pgMar w:top="568" w:right="620" w:bottom="142" w:left="580" w:header="720" w:footer="720" w:gutter="0"/>
          <w:cols w:space="720"/>
        </w:sectPr>
      </w:pPr>
    </w:p>
    <w:p w14:paraId="01AFF802" w14:textId="77777777" w:rsidR="00B93FF7" w:rsidRDefault="00BE3618" w:rsidP="00531F9D">
      <w:pPr>
        <w:pStyle w:val="Heading1"/>
      </w:pPr>
      <w:r w:rsidRPr="00531F9D">
        <w:lastRenderedPageBreak/>
        <w:t xml:space="preserve">Summary of residential providers financial performance, </w:t>
      </w:r>
      <w:proofErr w:type="gramStart"/>
      <w:r w:rsidRPr="00531F9D">
        <w:t>income</w:t>
      </w:r>
      <w:proofErr w:type="gramEnd"/>
      <w:r w:rsidRPr="00531F9D">
        <w:t xml:space="preserve"> and expense category comparison, per resident per day, all providers 2020-2</w:t>
      </w:r>
      <w:r w:rsidR="00A658DC" w:rsidRPr="00531F9D">
        <w:t>1</w:t>
      </w:r>
    </w:p>
    <w:p w14:paraId="56CA23E4" w14:textId="77777777" w:rsidR="00B93FF7" w:rsidRDefault="00B93FF7" w:rsidP="00B93FF7"/>
    <w:p w14:paraId="23CFC064" w14:textId="77777777" w:rsidR="00B93FF7" w:rsidRPr="00B93FF7" w:rsidRDefault="00B93FF7" w:rsidP="00B93FF7">
      <w:pPr>
        <w:sectPr w:rsidR="00B93FF7" w:rsidRPr="00B93FF7">
          <w:pgSz w:w="16840" w:h="23820"/>
          <w:pgMar w:top="720" w:right="980" w:bottom="280" w:left="980" w:header="720" w:footer="720" w:gutter="0"/>
          <w:cols w:space="720"/>
        </w:sectPr>
      </w:pPr>
    </w:p>
    <w:tbl>
      <w:tblPr>
        <w:tblStyle w:val="TableGridLight"/>
        <w:tblW w:w="0" w:type="auto"/>
        <w:tblLook w:val="01E0" w:firstRow="1" w:lastRow="1" w:firstColumn="1" w:lastColumn="1" w:noHBand="0" w:noVBand="0"/>
        <w:tblDescription w:val="A. Care result"/>
      </w:tblPr>
      <w:tblGrid>
        <w:gridCol w:w="5557"/>
        <w:gridCol w:w="1121"/>
      </w:tblGrid>
      <w:tr w:rsidR="00BE3618" w:rsidRPr="00D8776E" w14:paraId="1403373A" w14:textId="77777777" w:rsidTr="0014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tcW w:w="0" w:type="auto"/>
          </w:tcPr>
          <w:p w14:paraId="74148FA5" w14:textId="77777777" w:rsidR="00BE3618" w:rsidRPr="00FF53E1" w:rsidRDefault="00BE3618" w:rsidP="00F200D3">
            <w:pPr>
              <w:pStyle w:val="ListParagraph"/>
              <w:numPr>
                <w:ilvl w:val="0"/>
                <w:numId w:val="11"/>
              </w:numPr>
            </w:pPr>
            <w:r w:rsidRPr="00FF53E1">
              <w:t>Care result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53D7AC8B" w14:textId="77777777" w:rsidR="00BE3618" w:rsidRPr="00FF53E1" w:rsidRDefault="00BE3618" w:rsidP="00F200D3"/>
        </w:tc>
      </w:tr>
      <w:tr w:rsidR="00BE3618" w:rsidRPr="00D8776E" w14:paraId="57782228" w14:textId="77777777" w:rsidTr="0014199C">
        <w:trPr>
          <w:trHeight w:val="579"/>
        </w:trPr>
        <w:tc>
          <w:tcPr>
            <w:tcW w:w="0" w:type="auto"/>
          </w:tcPr>
          <w:p w14:paraId="5A6A60AB" w14:textId="77777777" w:rsidR="00BE3618" w:rsidRPr="00B93FF7" w:rsidRDefault="00BE3618" w:rsidP="0014199C">
            <w:pPr>
              <w:rPr>
                <w:rStyle w:val="Strong"/>
              </w:rPr>
            </w:pPr>
            <w:bookmarkStart w:id="1" w:name="Summary_of_residential_providers_financi"/>
            <w:bookmarkEnd w:id="1"/>
            <w:r w:rsidRPr="00B93FF7">
              <w:rPr>
                <w:rStyle w:val="Strong"/>
              </w:rPr>
              <w:t>Revenue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E0B6D97" w14:textId="77777777" w:rsidR="00BE3618" w:rsidRPr="000B3DC1" w:rsidRDefault="00BE3618" w:rsidP="0014199C">
            <w:r w:rsidRPr="000B3DC1">
              <w:t>$194.31</w:t>
            </w:r>
          </w:p>
        </w:tc>
      </w:tr>
      <w:tr w:rsidR="00BE3618" w:rsidRPr="00D8776E" w14:paraId="6B272535" w14:textId="77777777" w:rsidTr="0014199C">
        <w:trPr>
          <w:trHeight w:val="506"/>
        </w:trPr>
        <w:tc>
          <w:tcPr>
            <w:tcW w:w="0" w:type="auto"/>
          </w:tcPr>
          <w:p w14:paraId="36C32C60" w14:textId="77777777" w:rsidR="00BE3618" w:rsidRPr="00D8776E" w:rsidRDefault="00BE3618" w:rsidP="0014199C">
            <w:r w:rsidRPr="00D8776E">
              <w:t>Care subsidies and supplements</w:t>
            </w:r>
            <w:r>
              <w:t xml:space="preserve"> </w:t>
            </w:r>
            <w:r w:rsidRPr="00D8776E">
              <w:t>(Commonwealth)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788A4287" w14:textId="77777777" w:rsidR="00BE3618" w:rsidRPr="00425D13" w:rsidRDefault="00BE3618" w:rsidP="0014199C">
            <w:r w:rsidRPr="00425D13">
              <w:t>$179.66</w:t>
            </w:r>
          </w:p>
        </w:tc>
      </w:tr>
      <w:tr w:rsidR="00BE3618" w:rsidRPr="00D8776E" w14:paraId="12F5BC34" w14:textId="77777777" w:rsidTr="0014199C">
        <w:trPr>
          <w:trHeight w:val="465"/>
        </w:trPr>
        <w:tc>
          <w:tcPr>
            <w:tcW w:w="0" w:type="auto"/>
          </w:tcPr>
          <w:p w14:paraId="57CB5F4F" w14:textId="77777777" w:rsidR="00BE3618" w:rsidRPr="00D8776E" w:rsidRDefault="00BE3618" w:rsidP="0014199C">
            <w:r w:rsidRPr="00D8776E">
              <w:t xml:space="preserve">Resident fees </w:t>
            </w:r>
            <w:r>
              <w:t>–</w:t>
            </w:r>
            <w:r w:rsidRPr="00D8776E">
              <w:t xml:space="preserve"> MTCF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01439AF" w14:textId="77777777" w:rsidR="00BE3618" w:rsidRPr="00425D13" w:rsidRDefault="00BE3618" w:rsidP="0014199C">
            <w:r w:rsidRPr="00425D13">
              <w:t>$9.53</w:t>
            </w:r>
          </w:p>
        </w:tc>
      </w:tr>
      <w:tr w:rsidR="00BE3618" w:rsidRPr="00D8776E" w14:paraId="4753E4C5" w14:textId="77777777" w:rsidTr="0014199C">
        <w:trPr>
          <w:trHeight w:val="367"/>
        </w:trPr>
        <w:tc>
          <w:tcPr>
            <w:tcW w:w="0" w:type="auto"/>
          </w:tcPr>
          <w:p w14:paraId="7841D142" w14:textId="77777777" w:rsidR="00BE3618" w:rsidRPr="00D8776E" w:rsidRDefault="00BE3618" w:rsidP="0014199C">
            <w:r w:rsidRPr="00D8776E">
              <w:t>Other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005BDED" w14:textId="77777777" w:rsidR="00BE3618" w:rsidRPr="00425D13" w:rsidRDefault="00BE3618" w:rsidP="0014199C">
            <w:r w:rsidRPr="00425D13">
              <w:t>$5.12</w:t>
            </w:r>
          </w:p>
        </w:tc>
      </w:tr>
      <w:tr w:rsidR="00BE3618" w:rsidRPr="00D8776E" w14:paraId="781E01E6" w14:textId="77777777" w:rsidTr="0014199C">
        <w:trPr>
          <w:trHeight w:val="426"/>
        </w:trPr>
        <w:tc>
          <w:tcPr>
            <w:tcW w:w="0" w:type="auto"/>
          </w:tcPr>
          <w:p w14:paraId="787C31D4" w14:textId="77777777" w:rsidR="00BE3618" w:rsidRPr="002F70CE" w:rsidRDefault="00BE3618" w:rsidP="0014199C">
            <w:pPr>
              <w:rPr>
                <w:b/>
                <w:bCs/>
              </w:rPr>
            </w:pPr>
            <w:r w:rsidRPr="002F70CE">
              <w:rPr>
                <w:b/>
                <w:bCs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F90912B" w14:textId="77777777" w:rsidR="00BE3618" w:rsidRPr="000B3DC1" w:rsidRDefault="00BE3618" w:rsidP="0014199C">
            <w:r w:rsidRPr="000B3DC1">
              <w:t>$169.17</w:t>
            </w:r>
          </w:p>
        </w:tc>
      </w:tr>
      <w:tr w:rsidR="00B93FF7" w:rsidRPr="00D8776E" w14:paraId="3A7DDDBF" w14:textId="77777777" w:rsidTr="00B93FF7">
        <w:trPr>
          <w:trHeight w:val="331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</w:tcPr>
          <w:p w14:paraId="323BC83F" w14:textId="77777777" w:rsidR="00B93FF7" w:rsidRPr="00D8776E" w:rsidRDefault="00B93FF7" w:rsidP="00B93FF7">
            <w:pPr>
              <w:jc w:val="left"/>
            </w:pPr>
            <w:r w:rsidRPr="0069346D">
              <w:t>Labor cost</w:t>
            </w:r>
          </w:p>
        </w:tc>
      </w:tr>
      <w:tr w:rsidR="00BE3618" w:rsidRPr="00D8776E" w14:paraId="0C1A9076" w14:textId="77777777" w:rsidTr="00B93FF7">
        <w:trPr>
          <w:trHeight w:val="340"/>
        </w:trPr>
        <w:tc>
          <w:tcPr>
            <w:tcW w:w="0" w:type="auto"/>
          </w:tcPr>
          <w:p w14:paraId="09B0BF75" w14:textId="77777777" w:rsidR="00BE3618" w:rsidRPr="00D8776E" w:rsidRDefault="00BE3618" w:rsidP="00B93FF7">
            <w:pPr>
              <w:ind w:left="172"/>
            </w:pPr>
            <w:r>
              <w:t>Registered nurses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5CADA187" w14:textId="77777777" w:rsidR="00BE3618" w:rsidRPr="00D8776E" w:rsidRDefault="00BE3618" w:rsidP="0014199C">
            <w:r>
              <w:t>$31.34</w:t>
            </w:r>
          </w:p>
        </w:tc>
      </w:tr>
      <w:tr w:rsidR="00BE3618" w:rsidRPr="00D8776E" w14:paraId="6B46B14F" w14:textId="77777777" w:rsidTr="00B93FF7">
        <w:trPr>
          <w:trHeight w:val="340"/>
        </w:trPr>
        <w:tc>
          <w:tcPr>
            <w:tcW w:w="0" w:type="auto"/>
          </w:tcPr>
          <w:p w14:paraId="7224BF3A" w14:textId="77777777" w:rsidR="00BE3618" w:rsidRPr="00D8776E" w:rsidRDefault="00BE3618" w:rsidP="00B93FF7">
            <w:pPr>
              <w:ind w:left="172"/>
            </w:pPr>
            <w:r>
              <w:t>Enrolled and licensed nurses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06C91566" w14:textId="77777777" w:rsidR="00BE3618" w:rsidRPr="00D8776E" w:rsidRDefault="00BE3618" w:rsidP="0014199C">
            <w:r>
              <w:t>$13.74</w:t>
            </w:r>
          </w:p>
        </w:tc>
      </w:tr>
      <w:tr w:rsidR="00BE3618" w:rsidRPr="00D8776E" w14:paraId="37710487" w14:textId="77777777" w:rsidTr="00B93FF7">
        <w:trPr>
          <w:trHeight w:val="340"/>
        </w:trPr>
        <w:tc>
          <w:tcPr>
            <w:tcW w:w="0" w:type="auto"/>
          </w:tcPr>
          <w:p w14:paraId="120D19F0" w14:textId="77777777" w:rsidR="00BE3618" w:rsidRPr="00D8776E" w:rsidRDefault="00BE3618" w:rsidP="00B93FF7">
            <w:pPr>
              <w:ind w:left="172"/>
            </w:pPr>
            <w:r>
              <w:t>Personal care staff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BA8D7F1" w14:textId="77777777" w:rsidR="00BE3618" w:rsidRPr="00D8776E" w:rsidRDefault="00BE3618" w:rsidP="0014199C">
            <w:r>
              <w:t>$83.91</w:t>
            </w:r>
          </w:p>
        </w:tc>
      </w:tr>
      <w:tr w:rsidR="00BE3618" w:rsidRPr="00D8776E" w14:paraId="3806C20B" w14:textId="77777777" w:rsidTr="00B93FF7">
        <w:trPr>
          <w:trHeight w:val="340"/>
        </w:trPr>
        <w:tc>
          <w:tcPr>
            <w:tcW w:w="0" w:type="auto"/>
          </w:tcPr>
          <w:p w14:paraId="05C78FEE" w14:textId="77777777" w:rsidR="00BE3618" w:rsidRPr="00D8776E" w:rsidRDefault="00BE3618" w:rsidP="00B93FF7">
            <w:pPr>
              <w:ind w:left="172"/>
            </w:pPr>
            <w:r>
              <w:t>Other care staff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53E94B9E" w14:textId="77777777" w:rsidR="00BE3618" w:rsidRPr="00D8776E" w:rsidRDefault="00BE3618" w:rsidP="0014199C">
            <w:r>
              <w:t>$22.76</w:t>
            </w:r>
          </w:p>
        </w:tc>
      </w:tr>
      <w:tr w:rsidR="00BE3618" w:rsidRPr="00D8776E" w14:paraId="40C43783" w14:textId="77777777" w:rsidTr="0014199C">
        <w:trPr>
          <w:trHeight w:val="331"/>
        </w:trPr>
        <w:tc>
          <w:tcPr>
            <w:tcW w:w="0" w:type="auto"/>
          </w:tcPr>
          <w:p w14:paraId="764EEB12" w14:textId="77777777" w:rsidR="00BE3618" w:rsidRPr="00D8776E" w:rsidRDefault="00BE3618" w:rsidP="0014199C">
            <w:r>
              <w:t>Resident supplies and supplements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C9D11E4" w14:textId="77777777" w:rsidR="00BE3618" w:rsidRPr="00D8776E" w:rsidRDefault="00BE3618" w:rsidP="0014199C">
            <w:r>
              <w:t>$7.07</w:t>
            </w:r>
          </w:p>
        </w:tc>
      </w:tr>
      <w:tr w:rsidR="00A76021" w:rsidRPr="00D8776E" w14:paraId="56013BC1" w14:textId="77777777" w:rsidTr="0014199C">
        <w:trPr>
          <w:trHeight w:val="331"/>
        </w:trPr>
        <w:tc>
          <w:tcPr>
            <w:tcW w:w="0" w:type="auto"/>
          </w:tcPr>
          <w:p w14:paraId="429274B5" w14:textId="77777777" w:rsidR="00A76021" w:rsidRDefault="00A76021" w:rsidP="0014199C">
            <w:r>
              <w:t>Other direct care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07940E9C" w14:textId="77777777" w:rsidR="00A76021" w:rsidRDefault="00A76021" w:rsidP="0014199C">
            <w:r>
              <w:t>$10.35</w:t>
            </w:r>
          </w:p>
        </w:tc>
      </w:tr>
      <w:tr w:rsidR="00BE3618" w:rsidRPr="00D8776E" w14:paraId="79805DFD" w14:textId="77777777" w:rsidTr="001419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0" w:type="auto"/>
          </w:tcPr>
          <w:p w14:paraId="085E4717" w14:textId="77777777" w:rsidR="00BE3618" w:rsidRDefault="00BE3618" w:rsidP="0014199C">
            <w:r>
              <w:t>Result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3D9E705" w14:textId="77777777" w:rsidR="00BE3618" w:rsidRDefault="00BE3618" w:rsidP="0014199C">
            <w:r>
              <w:t>$25.14</w:t>
            </w:r>
          </w:p>
        </w:tc>
      </w:tr>
    </w:tbl>
    <w:p w14:paraId="4CA2B56F" w14:textId="313591FE" w:rsidR="00B93FF7" w:rsidRDefault="00030546" w:rsidP="00B93FF7">
      <w:r>
        <w:br w:type="column"/>
      </w:r>
    </w:p>
    <w:tbl>
      <w:tblPr>
        <w:tblStyle w:val="TableGridLight"/>
        <w:tblW w:w="0" w:type="auto"/>
        <w:tblLook w:val="01E0" w:firstRow="1" w:lastRow="1" w:firstColumn="1" w:lastColumn="1" w:noHBand="0" w:noVBand="0"/>
        <w:tblDescription w:val="A. Care result"/>
      </w:tblPr>
      <w:tblGrid>
        <w:gridCol w:w="3680"/>
        <w:gridCol w:w="1418"/>
      </w:tblGrid>
      <w:tr w:rsidR="00B93FF7" w:rsidRPr="00D8776E" w14:paraId="30FAED3C" w14:textId="77777777" w:rsidTr="00B9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tcW w:w="0" w:type="auto"/>
          </w:tcPr>
          <w:p w14:paraId="19174D5A" w14:textId="77777777" w:rsidR="00B93FF7" w:rsidRPr="00FF53E1" w:rsidRDefault="00B93FF7" w:rsidP="00B93FF7">
            <w:r w:rsidRPr="00FF53E1">
              <w:t>B Hotel result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2DFF29FF" w14:textId="77777777" w:rsidR="00B93FF7" w:rsidRPr="00FF53E1" w:rsidRDefault="00B93FF7" w:rsidP="00B93FF7"/>
        </w:tc>
      </w:tr>
      <w:tr w:rsidR="00B93FF7" w:rsidRPr="00D8776E" w14:paraId="7B9EE0AD" w14:textId="77777777" w:rsidTr="00B93FF7">
        <w:trPr>
          <w:trHeight w:val="454"/>
        </w:trPr>
        <w:tc>
          <w:tcPr>
            <w:tcW w:w="0" w:type="auto"/>
          </w:tcPr>
          <w:p w14:paraId="256BE938" w14:textId="77777777" w:rsidR="00B93FF7" w:rsidRPr="00B93FF7" w:rsidRDefault="00B93FF7" w:rsidP="00B93FF7">
            <w:pPr>
              <w:rPr>
                <w:rStyle w:val="Strong"/>
              </w:rPr>
            </w:pPr>
            <w:r w:rsidRPr="00B93FF7">
              <w:rPr>
                <w:rStyle w:val="Strong"/>
              </w:rPr>
              <w:t>Revenue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37DEDBB1" w14:textId="77777777" w:rsidR="00B93FF7" w:rsidRPr="00D8776E" w:rsidRDefault="00B93FF7" w:rsidP="00B93FF7">
            <w:r w:rsidRPr="00D8776E">
              <w:t>$56.63</w:t>
            </w:r>
          </w:p>
        </w:tc>
      </w:tr>
      <w:tr w:rsidR="00B93FF7" w:rsidRPr="00D8776E" w14:paraId="3942700A" w14:textId="77777777" w:rsidTr="00B93FF7">
        <w:trPr>
          <w:trHeight w:val="454"/>
        </w:trPr>
        <w:tc>
          <w:tcPr>
            <w:tcW w:w="0" w:type="auto"/>
          </w:tcPr>
          <w:p w14:paraId="191E42B6" w14:textId="77777777" w:rsidR="00B93FF7" w:rsidRPr="00D8776E" w:rsidRDefault="00B93FF7" w:rsidP="00B93FF7">
            <w:r w:rsidRPr="00D8776E">
              <w:t>Basic daily fee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38F20F51" w14:textId="77777777" w:rsidR="00B93FF7" w:rsidRPr="00D8776E" w:rsidRDefault="00B93FF7" w:rsidP="00B93FF7">
            <w:r w:rsidRPr="00D8776E">
              <w:t>$52.18</w:t>
            </w:r>
          </w:p>
        </w:tc>
      </w:tr>
      <w:tr w:rsidR="00B93FF7" w:rsidRPr="00D8776E" w14:paraId="0A559C53" w14:textId="77777777" w:rsidTr="00B93FF7">
        <w:trPr>
          <w:trHeight w:val="454"/>
        </w:trPr>
        <w:tc>
          <w:tcPr>
            <w:tcW w:w="0" w:type="auto"/>
          </w:tcPr>
          <w:p w14:paraId="44D112C3" w14:textId="77777777" w:rsidR="00B93FF7" w:rsidRPr="00D8776E" w:rsidRDefault="00B93FF7" w:rsidP="00B93FF7">
            <w:r w:rsidRPr="00425D13">
              <w:t xml:space="preserve">Extra and additional </w:t>
            </w:r>
            <w:r w:rsidRPr="00D8776E">
              <w:t>service fees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23C9A898" w14:textId="77777777" w:rsidR="00B93FF7" w:rsidRPr="00D8776E" w:rsidRDefault="00B93FF7" w:rsidP="00B93FF7">
            <w:r w:rsidRPr="00D8776E">
              <w:t>$4.45</w:t>
            </w:r>
          </w:p>
        </w:tc>
      </w:tr>
      <w:tr w:rsidR="00B93FF7" w:rsidRPr="00D8776E" w14:paraId="509CFE6C" w14:textId="77777777" w:rsidTr="00B93FF7">
        <w:trPr>
          <w:trHeight w:val="454"/>
        </w:trPr>
        <w:tc>
          <w:tcPr>
            <w:tcW w:w="0" w:type="auto"/>
          </w:tcPr>
          <w:p w14:paraId="115ACC1C" w14:textId="77777777" w:rsidR="00B93FF7" w:rsidRPr="00B7743A" w:rsidRDefault="00B93FF7" w:rsidP="00B93FF7">
            <w:pPr>
              <w:rPr>
                <w:b/>
                <w:bCs/>
              </w:rPr>
            </w:pPr>
            <w:r w:rsidRPr="00B7743A">
              <w:rPr>
                <w:b/>
                <w:bCs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3550B3D" w14:textId="77777777" w:rsidR="00B93FF7" w:rsidRPr="00D8776E" w:rsidRDefault="00B93FF7" w:rsidP="00B93FF7">
            <w:r w:rsidRPr="00D8776E">
              <w:t>$55.72</w:t>
            </w:r>
          </w:p>
        </w:tc>
      </w:tr>
      <w:tr w:rsidR="00B93FF7" w:rsidRPr="00D8776E" w14:paraId="54902074" w14:textId="77777777" w:rsidTr="00B93FF7">
        <w:trPr>
          <w:trHeight w:val="454"/>
        </w:trPr>
        <w:tc>
          <w:tcPr>
            <w:tcW w:w="0" w:type="auto"/>
          </w:tcPr>
          <w:p w14:paraId="31D95837" w14:textId="77777777" w:rsidR="00B93FF7" w:rsidRPr="00D8776E" w:rsidRDefault="00B93FF7" w:rsidP="00B93FF7">
            <w:r w:rsidRPr="00D8776E">
              <w:t>Catering expense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7A1A0DCB" w14:textId="77777777" w:rsidR="00B93FF7" w:rsidRPr="00D8776E" w:rsidRDefault="00B93FF7" w:rsidP="00B93FF7">
            <w:r w:rsidRPr="00D8776E">
              <w:t>$32.65</w:t>
            </w:r>
          </w:p>
        </w:tc>
      </w:tr>
      <w:tr w:rsidR="00B93FF7" w:rsidRPr="00D8776E" w14:paraId="1A886A13" w14:textId="77777777" w:rsidTr="00B93FF7">
        <w:trPr>
          <w:trHeight w:val="454"/>
        </w:trPr>
        <w:tc>
          <w:tcPr>
            <w:tcW w:w="0" w:type="auto"/>
          </w:tcPr>
          <w:p w14:paraId="3839D7C9" w14:textId="77777777" w:rsidR="00B93FF7" w:rsidRPr="00D8776E" w:rsidRDefault="00B93FF7" w:rsidP="00B93FF7">
            <w:r>
              <w:t>Cleaning expense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1E18051A" w14:textId="77777777" w:rsidR="00B93FF7" w:rsidRPr="00D8776E" w:rsidRDefault="00B93FF7" w:rsidP="00B93FF7">
            <w:r>
              <w:t>$9.86</w:t>
            </w:r>
          </w:p>
        </w:tc>
      </w:tr>
      <w:tr w:rsidR="00B93FF7" w:rsidRPr="00D8776E" w14:paraId="51B44DB0" w14:textId="77777777" w:rsidTr="00B93FF7">
        <w:trPr>
          <w:trHeight w:val="454"/>
        </w:trPr>
        <w:tc>
          <w:tcPr>
            <w:tcW w:w="0" w:type="auto"/>
          </w:tcPr>
          <w:p w14:paraId="7E5A1425" w14:textId="77777777" w:rsidR="00B93FF7" w:rsidRDefault="00B93FF7" w:rsidP="00B93FF7">
            <w:r>
              <w:t>Laundry expense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0C3C6F3" w14:textId="77777777" w:rsidR="00B93FF7" w:rsidRPr="00D8776E" w:rsidRDefault="00B93FF7" w:rsidP="00B93FF7">
            <w:r>
              <w:t>$4.47</w:t>
            </w:r>
          </w:p>
        </w:tc>
      </w:tr>
      <w:tr w:rsidR="00B93FF7" w:rsidRPr="00D8776E" w14:paraId="2A46F0CE" w14:textId="77777777" w:rsidTr="00B93FF7">
        <w:trPr>
          <w:trHeight w:val="454"/>
        </w:trPr>
        <w:tc>
          <w:tcPr>
            <w:tcW w:w="0" w:type="auto"/>
          </w:tcPr>
          <w:p w14:paraId="0D154AFB" w14:textId="77777777" w:rsidR="00B93FF7" w:rsidRDefault="00B93FF7" w:rsidP="00B93FF7">
            <w:r>
              <w:t xml:space="preserve">Utilities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4EA4432" w14:textId="77777777" w:rsidR="00B93FF7" w:rsidRPr="00D8776E" w:rsidRDefault="00B93FF7" w:rsidP="00B93FF7">
            <w:r>
              <w:t>$6.66</w:t>
            </w:r>
          </w:p>
        </w:tc>
      </w:tr>
      <w:tr w:rsidR="00B93FF7" w:rsidRPr="00D8776E" w14:paraId="6E8E862A" w14:textId="77777777" w:rsidTr="00B93FF7">
        <w:trPr>
          <w:trHeight w:val="454"/>
        </w:trPr>
        <w:tc>
          <w:tcPr>
            <w:tcW w:w="0" w:type="auto"/>
          </w:tcPr>
          <w:p w14:paraId="7E90E2FA" w14:textId="77777777" w:rsidR="00B93FF7" w:rsidRDefault="00B93FF7" w:rsidP="00B93FF7">
            <w:r>
              <w:t>Other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1760905A" w14:textId="77777777" w:rsidR="00B93FF7" w:rsidRPr="00D8776E" w:rsidRDefault="00B93FF7" w:rsidP="00B93FF7">
            <w:r>
              <w:t>$2.08</w:t>
            </w:r>
          </w:p>
        </w:tc>
      </w:tr>
      <w:tr w:rsidR="00B93FF7" w:rsidRPr="00D8776E" w14:paraId="0F3AEC80" w14:textId="77777777" w:rsidTr="00B00B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tcW w:w="0" w:type="auto"/>
          </w:tcPr>
          <w:p w14:paraId="6CBDDF4F" w14:textId="0FDFA129" w:rsidR="00B93FF7" w:rsidRDefault="00B93FF7" w:rsidP="00B93FF7">
            <w:r>
              <w:t>Result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4B2CC2D3" w14:textId="77777777" w:rsidR="00B93FF7" w:rsidRDefault="00B93FF7" w:rsidP="00B93FF7">
            <w:r>
              <w:t>$0.91</w:t>
            </w:r>
          </w:p>
        </w:tc>
      </w:tr>
    </w:tbl>
    <w:p w14:paraId="628FA7CA" w14:textId="77777777" w:rsidR="00B93FF7" w:rsidRDefault="00B93FF7" w:rsidP="00B93FF7">
      <w:pPr>
        <w:sectPr w:rsidR="00B93FF7" w:rsidSect="00B93FF7">
          <w:type w:val="continuous"/>
          <w:pgSz w:w="16840" w:h="23820"/>
          <w:pgMar w:top="720" w:right="980" w:bottom="280" w:left="980" w:header="720" w:footer="720" w:gutter="0"/>
          <w:cols w:num="2" w:space="720"/>
        </w:sectPr>
      </w:pPr>
    </w:p>
    <w:p w14:paraId="6DC757D6" w14:textId="77777777" w:rsidR="00C371E9" w:rsidRPr="00A658DC" w:rsidRDefault="00B0598C" w:rsidP="00B00B95">
      <w:pPr>
        <w:pStyle w:val="Boxtext"/>
        <w:tabs>
          <w:tab w:val="left" w:pos="5529"/>
          <w:tab w:val="left" w:pos="6096"/>
        </w:tabs>
      </w:pPr>
      <w:r w:rsidRPr="00B0598C">
        <w:t>A+B=C</w:t>
      </w:r>
      <w:r w:rsidRPr="00B0598C">
        <w:tab/>
      </w:r>
      <w:proofErr w:type="spellStart"/>
      <w:r w:rsidRPr="00B0598C">
        <w:t>C</w:t>
      </w:r>
      <w:proofErr w:type="spellEnd"/>
      <w:r w:rsidRPr="00B0598C">
        <w:t>.</w:t>
      </w:r>
      <w:r w:rsidR="00B00B95">
        <w:tab/>
      </w:r>
      <w:r w:rsidRPr="00B0598C">
        <w:t>Care and hotel result: $26.05</w:t>
      </w:r>
    </w:p>
    <w:p w14:paraId="1381AC0C" w14:textId="77777777" w:rsidR="00B93FF7" w:rsidRDefault="00B93FF7" w:rsidP="00B93FF7"/>
    <w:p w14:paraId="70B21336" w14:textId="77777777" w:rsidR="00B93FF7" w:rsidRDefault="00B93FF7" w:rsidP="00B93FF7">
      <w:pPr>
        <w:sectPr w:rsidR="00B93FF7" w:rsidSect="00B93FF7">
          <w:type w:val="continuous"/>
          <w:pgSz w:w="16840" w:h="23820"/>
          <w:pgMar w:top="720" w:right="980" w:bottom="280" w:left="980" w:header="720" w:footer="720" w:gutter="0"/>
          <w:cols w:space="720"/>
        </w:sectPr>
      </w:pPr>
    </w:p>
    <w:tbl>
      <w:tblPr>
        <w:tblStyle w:val="TableGridLight"/>
        <w:tblW w:w="0" w:type="auto"/>
        <w:jc w:val="right"/>
        <w:tblLook w:val="01E0" w:firstRow="1" w:lastRow="1" w:firstColumn="1" w:lastColumn="1" w:noHBand="0" w:noVBand="0"/>
      </w:tblPr>
      <w:tblGrid>
        <w:gridCol w:w="3333"/>
        <w:gridCol w:w="1137"/>
      </w:tblGrid>
      <w:tr w:rsidR="00B93FF7" w:rsidRPr="00FF53E1" w14:paraId="30FB53EF" w14:textId="77777777" w:rsidTr="00B9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  <w:tblHeader/>
          <w:jc w:val="right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A97EA10" w14:textId="77777777" w:rsidR="00B93FF7" w:rsidRPr="00FF53E1" w:rsidRDefault="00B93FF7" w:rsidP="00B93FF7">
            <w:pPr>
              <w:jc w:val="center"/>
            </w:pPr>
            <w:r w:rsidRPr="00FF53E1">
              <w:t>F. Administration result</w:t>
            </w:r>
          </w:p>
        </w:tc>
      </w:tr>
      <w:tr w:rsidR="00B93FF7" w:rsidRPr="00C371E9" w14:paraId="1A07D73B" w14:textId="77777777" w:rsidTr="00B00B95">
        <w:trPr>
          <w:trHeight w:val="3005"/>
          <w:jc w:val="right"/>
        </w:trPr>
        <w:tc>
          <w:tcPr>
            <w:tcW w:w="0" w:type="auto"/>
          </w:tcPr>
          <w:p w14:paraId="34CFD5DC" w14:textId="77777777" w:rsidR="00B93FF7" w:rsidRPr="0014199C" w:rsidRDefault="00B93FF7" w:rsidP="00B93FF7">
            <w:pPr>
              <w:rPr>
                <w:rStyle w:val="Strong"/>
              </w:rPr>
            </w:pPr>
            <w:r w:rsidRPr="0014199C">
              <w:rPr>
                <w:rStyle w:val="Strong"/>
              </w:rPr>
              <w:t>Revenue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44C3130" w14:textId="77777777" w:rsidR="00B93FF7" w:rsidRPr="00C371E9" w:rsidRDefault="00B93FF7" w:rsidP="00B93FF7">
            <w:r w:rsidRPr="00C371E9">
              <w:t>$0.00</w:t>
            </w:r>
          </w:p>
        </w:tc>
      </w:tr>
      <w:tr w:rsidR="00B93FF7" w:rsidRPr="00C371E9" w14:paraId="61A48A25" w14:textId="77777777" w:rsidTr="00B93FF7">
        <w:trPr>
          <w:trHeight w:val="425"/>
          <w:jc w:val="right"/>
        </w:trPr>
        <w:tc>
          <w:tcPr>
            <w:tcW w:w="3619" w:type="dxa"/>
          </w:tcPr>
          <w:p w14:paraId="39D8AF47" w14:textId="77777777" w:rsidR="00B93FF7" w:rsidRPr="00682861" w:rsidRDefault="00B93FF7" w:rsidP="00B93FF7">
            <w:pPr>
              <w:rPr>
                <w:b/>
                <w:bCs/>
              </w:rPr>
            </w:pPr>
            <w:r w:rsidRPr="00682861">
              <w:rPr>
                <w:b/>
                <w:bCs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8" w:type="dxa"/>
          </w:tcPr>
          <w:p w14:paraId="48C8FD27" w14:textId="77777777" w:rsidR="00B93FF7" w:rsidRPr="00C371E9" w:rsidRDefault="00B93FF7" w:rsidP="00B93FF7">
            <w:r w:rsidRPr="00C371E9">
              <w:t>$38.24</w:t>
            </w:r>
          </w:p>
        </w:tc>
      </w:tr>
      <w:tr w:rsidR="00B93FF7" w:rsidRPr="00C371E9" w14:paraId="4FF76DB1" w14:textId="77777777" w:rsidTr="00B93FF7">
        <w:trPr>
          <w:trHeight w:val="20"/>
          <w:jc w:val="right"/>
        </w:trPr>
        <w:tc>
          <w:tcPr>
            <w:tcW w:w="3619" w:type="dxa"/>
          </w:tcPr>
          <w:p w14:paraId="0054AA80" w14:textId="77777777" w:rsidR="00B93FF7" w:rsidRPr="00C371E9" w:rsidRDefault="00B93FF7" w:rsidP="00B93FF7">
            <w:r w:rsidRPr="00C371E9">
              <w:t>Corporate charges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8" w:type="dxa"/>
          </w:tcPr>
          <w:p w14:paraId="4B1DAA0B" w14:textId="77777777" w:rsidR="00B93FF7" w:rsidRPr="00C371E9" w:rsidRDefault="00B93FF7" w:rsidP="00B93FF7">
            <w:r w:rsidRPr="00C371E9">
              <w:t>$19.22</w:t>
            </w:r>
          </w:p>
          <w:p w14:paraId="4C115505" w14:textId="77777777" w:rsidR="00B93FF7" w:rsidRPr="00C371E9" w:rsidRDefault="00B93FF7" w:rsidP="00B93FF7"/>
        </w:tc>
      </w:tr>
      <w:tr w:rsidR="00B93FF7" w:rsidRPr="00C371E9" w14:paraId="6A077F04" w14:textId="77777777" w:rsidTr="00B93FF7">
        <w:trPr>
          <w:trHeight w:val="20"/>
          <w:jc w:val="right"/>
        </w:trPr>
        <w:tc>
          <w:tcPr>
            <w:tcW w:w="0" w:type="auto"/>
          </w:tcPr>
          <w:p w14:paraId="62380713" w14:textId="77777777" w:rsidR="00B93FF7" w:rsidRPr="00C371E9" w:rsidRDefault="00B93FF7" w:rsidP="00B93FF7">
            <w:proofErr w:type="spellStart"/>
            <w:r w:rsidRPr="00C371E9">
              <w:t>Labour</w:t>
            </w:r>
            <w:proofErr w:type="spellEnd"/>
            <w:r w:rsidRPr="00C371E9">
              <w:t xml:space="preserve"> costs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A7453B3" w14:textId="77777777" w:rsidR="00B93FF7" w:rsidRPr="00C371E9" w:rsidRDefault="00B93FF7" w:rsidP="00B93FF7">
            <w:r w:rsidRPr="00C371E9">
              <w:t>$9.74</w:t>
            </w:r>
          </w:p>
          <w:p w14:paraId="7BBBADCD" w14:textId="77777777" w:rsidR="00B93FF7" w:rsidRPr="00C371E9" w:rsidRDefault="00B93FF7" w:rsidP="00B93FF7"/>
        </w:tc>
      </w:tr>
      <w:tr w:rsidR="00B93FF7" w:rsidRPr="00C371E9" w14:paraId="270C0D46" w14:textId="77777777" w:rsidTr="00B93FF7">
        <w:trPr>
          <w:trHeight w:val="206"/>
          <w:jc w:val="right"/>
        </w:trPr>
        <w:tc>
          <w:tcPr>
            <w:tcW w:w="0" w:type="auto"/>
          </w:tcPr>
          <w:p w14:paraId="3CA0ABDF" w14:textId="77777777" w:rsidR="00B93FF7" w:rsidRPr="00C371E9" w:rsidRDefault="00B93FF7" w:rsidP="00B93FF7">
            <w:r w:rsidRPr="00C371E9">
              <w:t>Other administration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7AEE67AB" w14:textId="77777777" w:rsidR="00B93FF7" w:rsidRPr="00C371E9" w:rsidRDefault="00B93FF7" w:rsidP="00B93FF7">
            <w:r w:rsidRPr="00C371E9">
              <w:t>$9.28</w:t>
            </w:r>
          </w:p>
        </w:tc>
      </w:tr>
      <w:tr w:rsidR="00B93FF7" w:rsidRPr="00C371E9" w14:paraId="7FB1DB61" w14:textId="77777777" w:rsidTr="00B93F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8"/>
          <w:jc w:val="right"/>
        </w:trPr>
        <w:tc>
          <w:tcPr>
            <w:tcW w:w="0" w:type="auto"/>
          </w:tcPr>
          <w:p w14:paraId="1465FD8A" w14:textId="777FEAA6" w:rsidR="00B93FF7" w:rsidRPr="00C371E9" w:rsidRDefault="00B93FF7" w:rsidP="00B93FF7">
            <w:r w:rsidRPr="00C371E9">
              <w:t>Result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7BC5912" w14:textId="77777777" w:rsidR="00B93FF7" w:rsidRPr="00C371E9" w:rsidRDefault="00B93FF7" w:rsidP="00B93FF7">
            <w:r w:rsidRPr="00C371E9">
              <w:t>($38.24)</w:t>
            </w:r>
          </w:p>
        </w:tc>
      </w:tr>
    </w:tbl>
    <w:p w14:paraId="653A2241" w14:textId="77777777" w:rsidR="00531F9D" w:rsidRPr="00030546" w:rsidRDefault="00531F9D" w:rsidP="00030546"/>
    <w:tbl>
      <w:tblPr>
        <w:tblStyle w:val="TableGridLight"/>
        <w:tblpPr w:leftFromText="180" w:rightFromText="180" w:vertAnchor="text" w:horzAnchor="margin" w:tblpY="120"/>
        <w:tblOverlap w:val="never"/>
        <w:tblW w:w="0" w:type="auto"/>
        <w:tblLook w:val="01E0" w:firstRow="1" w:lastRow="1" w:firstColumn="1" w:lastColumn="1" w:noHBand="0" w:noVBand="0"/>
      </w:tblPr>
      <w:tblGrid>
        <w:gridCol w:w="3371"/>
        <w:gridCol w:w="1099"/>
      </w:tblGrid>
      <w:tr w:rsidR="00531F9D" w:rsidRPr="00C371E9" w14:paraId="13DA1A05" w14:textId="77777777" w:rsidTr="00B9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5"/>
          <w:tblHeader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8" w:type="dxa"/>
            <w:gridSpan w:val="2"/>
          </w:tcPr>
          <w:p w14:paraId="024107EF" w14:textId="77777777" w:rsidR="00531F9D" w:rsidRPr="00FF53E1" w:rsidRDefault="00531F9D" w:rsidP="00B93FF7">
            <w:pPr>
              <w:jc w:val="center"/>
            </w:pPr>
            <w:r w:rsidRPr="00FF53E1">
              <w:t>D. Accommodation result (incl. finance income)</w:t>
            </w:r>
          </w:p>
        </w:tc>
      </w:tr>
      <w:tr w:rsidR="00531F9D" w:rsidRPr="00C371E9" w14:paraId="28EDF566" w14:textId="77777777" w:rsidTr="0014199C">
        <w:trPr>
          <w:trHeight w:val="583"/>
        </w:trPr>
        <w:tc>
          <w:tcPr>
            <w:tcW w:w="3794" w:type="dxa"/>
          </w:tcPr>
          <w:p w14:paraId="3124DC28" w14:textId="77777777" w:rsidR="00531F9D" w:rsidRPr="0014199C" w:rsidRDefault="00531F9D" w:rsidP="0014199C">
            <w:pPr>
              <w:rPr>
                <w:rStyle w:val="Strong"/>
              </w:rPr>
            </w:pPr>
            <w:r w:rsidRPr="0014199C">
              <w:rPr>
                <w:rStyle w:val="Strong"/>
              </w:rPr>
              <w:t>Revenue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E1EA6B2" w14:textId="77777777" w:rsidR="00531F9D" w:rsidRPr="00C371E9" w:rsidRDefault="00531F9D" w:rsidP="0014199C">
            <w:r w:rsidRPr="00C371E9">
              <w:t>$35.96</w:t>
            </w:r>
          </w:p>
        </w:tc>
      </w:tr>
      <w:tr w:rsidR="00531F9D" w:rsidRPr="00C371E9" w14:paraId="0808A66A" w14:textId="77777777" w:rsidTr="0014199C">
        <w:trPr>
          <w:trHeight w:val="677"/>
        </w:trPr>
        <w:tc>
          <w:tcPr>
            <w:tcW w:w="3794" w:type="dxa"/>
          </w:tcPr>
          <w:p w14:paraId="4BEC11E9" w14:textId="77777777" w:rsidR="00531F9D" w:rsidRPr="00C371E9" w:rsidRDefault="00531F9D" w:rsidP="0014199C">
            <w:r w:rsidRPr="00C371E9">
              <w:t>Accommodation</w:t>
            </w:r>
          </w:p>
          <w:p w14:paraId="3A77F8E7" w14:textId="77777777" w:rsidR="00531F9D" w:rsidRPr="00C371E9" w:rsidRDefault="00531F9D" w:rsidP="0014199C">
            <w:r w:rsidRPr="00C371E9">
              <w:t>subsidies and supplements (Commonwealth)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79486EB" w14:textId="77777777" w:rsidR="00531F9D" w:rsidRPr="00C371E9" w:rsidRDefault="00531F9D" w:rsidP="0014199C">
            <w:r w:rsidRPr="00C371E9">
              <w:t>$19.39</w:t>
            </w:r>
          </w:p>
        </w:tc>
      </w:tr>
      <w:tr w:rsidR="00531F9D" w:rsidRPr="00C371E9" w14:paraId="3191748A" w14:textId="77777777" w:rsidTr="0014199C">
        <w:trPr>
          <w:trHeight w:val="480"/>
        </w:trPr>
        <w:tc>
          <w:tcPr>
            <w:tcW w:w="3794" w:type="dxa"/>
          </w:tcPr>
          <w:p w14:paraId="4EE4D718" w14:textId="77777777" w:rsidR="00531F9D" w:rsidRPr="00C371E9" w:rsidRDefault="00531F9D" w:rsidP="0014199C">
            <w:r w:rsidRPr="00C371E9">
              <w:t>Daily accommodation payments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C1CA277" w14:textId="77777777" w:rsidR="00531F9D" w:rsidRPr="00C371E9" w:rsidRDefault="00531F9D" w:rsidP="0014199C">
            <w:r w:rsidRPr="00C371E9">
              <w:t>$10.62</w:t>
            </w:r>
          </w:p>
        </w:tc>
      </w:tr>
      <w:tr w:rsidR="00531F9D" w:rsidRPr="00C371E9" w14:paraId="4B432165" w14:textId="77777777" w:rsidTr="0014199C">
        <w:trPr>
          <w:trHeight w:val="454"/>
        </w:trPr>
        <w:tc>
          <w:tcPr>
            <w:tcW w:w="3794" w:type="dxa"/>
          </w:tcPr>
          <w:p w14:paraId="3430ACA6" w14:textId="77777777" w:rsidR="00531F9D" w:rsidRPr="00C371E9" w:rsidRDefault="0014199C" w:rsidP="0014199C">
            <w:r w:rsidRPr="00C371E9">
              <w:t>Accommodation</w:t>
            </w:r>
            <w:r w:rsidR="00531F9D" w:rsidRPr="00C371E9">
              <w:t xml:space="preserve"> charges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A5C1FF7" w14:textId="77777777" w:rsidR="00531F9D" w:rsidRPr="00C371E9" w:rsidRDefault="00531F9D" w:rsidP="0014199C">
            <w:r w:rsidRPr="00C371E9">
              <w:t>$1.39</w:t>
            </w:r>
          </w:p>
        </w:tc>
      </w:tr>
      <w:tr w:rsidR="00531F9D" w:rsidRPr="00C371E9" w14:paraId="148C60AF" w14:textId="77777777" w:rsidTr="0014199C">
        <w:trPr>
          <w:trHeight w:val="454"/>
        </w:trPr>
        <w:tc>
          <w:tcPr>
            <w:tcW w:w="3794" w:type="dxa"/>
          </w:tcPr>
          <w:p w14:paraId="6964F149" w14:textId="77777777" w:rsidR="00531F9D" w:rsidRPr="00C371E9" w:rsidRDefault="00531F9D" w:rsidP="0014199C">
            <w:r w:rsidRPr="00C371E9">
              <w:t>Finance income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089764D" w14:textId="77777777" w:rsidR="00531F9D" w:rsidRPr="00C371E9" w:rsidRDefault="00531F9D" w:rsidP="0014199C">
            <w:r w:rsidRPr="00C371E9">
              <w:t>$3.24</w:t>
            </w:r>
          </w:p>
        </w:tc>
      </w:tr>
      <w:tr w:rsidR="00531F9D" w:rsidRPr="00C371E9" w14:paraId="1D961834" w14:textId="77777777" w:rsidTr="0014199C">
        <w:trPr>
          <w:trHeight w:val="340"/>
        </w:trPr>
        <w:tc>
          <w:tcPr>
            <w:tcW w:w="3794" w:type="dxa"/>
          </w:tcPr>
          <w:p w14:paraId="6865E4F3" w14:textId="77777777" w:rsidR="00531F9D" w:rsidRPr="00C371E9" w:rsidRDefault="00531F9D" w:rsidP="0014199C">
            <w:r w:rsidRPr="00C371E9">
              <w:t>Other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80D3424" w14:textId="77777777" w:rsidR="00531F9D" w:rsidRPr="00C371E9" w:rsidRDefault="00531F9D" w:rsidP="0014199C">
            <w:r w:rsidRPr="00C371E9">
              <w:t>$1.32</w:t>
            </w:r>
          </w:p>
        </w:tc>
      </w:tr>
      <w:tr w:rsidR="00531F9D" w:rsidRPr="00C371E9" w14:paraId="2973B532" w14:textId="77777777" w:rsidTr="0014199C">
        <w:trPr>
          <w:trHeight w:val="472"/>
        </w:trPr>
        <w:tc>
          <w:tcPr>
            <w:tcW w:w="3794" w:type="dxa"/>
          </w:tcPr>
          <w:p w14:paraId="222B558A" w14:textId="77777777" w:rsidR="00531F9D" w:rsidRPr="0014199C" w:rsidRDefault="00531F9D" w:rsidP="0014199C">
            <w:pPr>
              <w:rPr>
                <w:rStyle w:val="Strong"/>
              </w:rPr>
            </w:pPr>
            <w:r w:rsidRPr="0014199C">
              <w:rPr>
                <w:rStyle w:val="Strong"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37D5005" w14:textId="77777777" w:rsidR="00531F9D" w:rsidRPr="00C371E9" w:rsidRDefault="00531F9D" w:rsidP="0014199C">
            <w:r w:rsidRPr="00C371E9">
              <w:t>$36.60</w:t>
            </w:r>
          </w:p>
        </w:tc>
      </w:tr>
      <w:tr w:rsidR="00531F9D" w:rsidRPr="00C371E9" w14:paraId="21A17500" w14:textId="77777777" w:rsidTr="0014199C">
        <w:trPr>
          <w:trHeight w:val="256"/>
        </w:trPr>
        <w:tc>
          <w:tcPr>
            <w:tcW w:w="379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B0FDC" w14:textId="77777777" w:rsidR="00531F9D" w:rsidRPr="00C371E9" w:rsidRDefault="00531F9D" w:rsidP="0014199C">
            <w:r w:rsidRPr="00C371E9">
              <w:t>Depreciation, rent and other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9C5CCF" w14:textId="77777777" w:rsidR="00531F9D" w:rsidRPr="00C371E9" w:rsidRDefault="00531F9D" w:rsidP="0014199C">
            <w:r w:rsidRPr="00C371E9">
              <w:t>$27.33</w:t>
            </w:r>
          </w:p>
        </w:tc>
      </w:tr>
      <w:tr w:rsidR="00531F9D" w:rsidRPr="00C371E9" w14:paraId="77675E3B" w14:textId="77777777" w:rsidTr="0014199C">
        <w:trPr>
          <w:trHeight w:val="611"/>
        </w:trPr>
        <w:tc>
          <w:tcPr>
            <w:tcW w:w="37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1247F5" w14:textId="77777777" w:rsidR="00531F9D" w:rsidRPr="00C371E9" w:rsidRDefault="00531F9D" w:rsidP="0014199C">
            <w:r w:rsidRPr="00C371E9">
              <w:t>Routine maintenance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5F5C5E" w14:textId="77777777" w:rsidR="00531F9D" w:rsidRPr="00C371E9" w:rsidRDefault="00531F9D" w:rsidP="0014199C">
            <w:r w:rsidRPr="00C371E9">
              <w:t>$9.27</w:t>
            </w:r>
          </w:p>
        </w:tc>
      </w:tr>
      <w:tr w:rsidR="00531F9D" w:rsidRPr="00C371E9" w14:paraId="7B88159F" w14:textId="77777777" w:rsidTr="001419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tcW w:w="3794" w:type="dxa"/>
            <w:tcBorders>
              <w:bottom w:val="single" w:sz="4" w:space="0" w:color="BFBFBF" w:themeColor="background1" w:themeShade="BF"/>
            </w:tcBorders>
          </w:tcPr>
          <w:p w14:paraId="539706B4" w14:textId="6CF4697E" w:rsidR="00531F9D" w:rsidRPr="00C371E9" w:rsidRDefault="00531F9D" w:rsidP="0014199C">
            <w:r w:rsidRPr="00C371E9">
              <w:t>Result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BFBFBF" w:themeColor="background1" w:themeShade="BF"/>
            </w:tcBorders>
          </w:tcPr>
          <w:p w14:paraId="63E8F83D" w14:textId="77777777" w:rsidR="00531F9D" w:rsidRPr="00C371E9" w:rsidRDefault="00531F9D" w:rsidP="0014199C">
            <w:r w:rsidRPr="00C371E9">
              <w:t>($0.64)</w:t>
            </w:r>
          </w:p>
        </w:tc>
      </w:tr>
    </w:tbl>
    <w:tbl>
      <w:tblPr>
        <w:tblStyle w:val="TableGridLight"/>
        <w:tblpPr w:leftFromText="180" w:rightFromText="180" w:vertAnchor="text" w:horzAnchor="margin" w:tblpXSpec="center" w:tblpY="104"/>
        <w:tblW w:w="0" w:type="auto"/>
        <w:tblLook w:val="01E0" w:firstRow="1" w:lastRow="1" w:firstColumn="1" w:lastColumn="1" w:noHBand="0" w:noVBand="0"/>
      </w:tblPr>
      <w:tblGrid>
        <w:gridCol w:w="3361"/>
        <w:gridCol w:w="1109"/>
      </w:tblGrid>
      <w:tr w:rsidR="00531F9D" w:rsidRPr="00FF53E1" w14:paraId="0E8BC180" w14:textId="77777777" w:rsidTr="0014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5"/>
          <w:tblHeader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8" w:type="dxa"/>
            <w:gridSpan w:val="2"/>
            <w:tcBorders>
              <w:top w:val="single" w:sz="4" w:space="0" w:color="BFBFBF" w:themeColor="background1" w:themeShade="BF"/>
            </w:tcBorders>
          </w:tcPr>
          <w:p w14:paraId="2EB27052" w14:textId="77777777" w:rsidR="00531F9D" w:rsidRPr="00FF53E1" w:rsidRDefault="00531F9D" w:rsidP="0014199C">
            <w:pPr>
              <w:jc w:val="center"/>
            </w:pPr>
            <w:r w:rsidRPr="00FF53E1">
              <w:t>E. COVID-19 result</w:t>
            </w:r>
          </w:p>
        </w:tc>
      </w:tr>
      <w:tr w:rsidR="00531F9D" w:rsidRPr="00C371E9" w14:paraId="37CD54AD" w14:textId="77777777" w:rsidTr="0014199C">
        <w:trPr>
          <w:trHeight w:val="583"/>
        </w:trPr>
        <w:tc>
          <w:tcPr>
            <w:tcW w:w="3793" w:type="dxa"/>
          </w:tcPr>
          <w:p w14:paraId="228AF876" w14:textId="77777777" w:rsidR="00531F9D" w:rsidRPr="0014199C" w:rsidRDefault="00531F9D" w:rsidP="00531F9D">
            <w:pPr>
              <w:rPr>
                <w:rStyle w:val="Strong"/>
              </w:rPr>
            </w:pPr>
            <w:r w:rsidRPr="0014199C">
              <w:rPr>
                <w:rStyle w:val="Strong"/>
              </w:rPr>
              <w:t>Revenue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486A79BE" w14:textId="77777777" w:rsidR="00531F9D" w:rsidRPr="00C371E9" w:rsidRDefault="00531F9D" w:rsidP="00531F9D">
            <w:r w:rsidRPr="00C371E9">
              <w:t>$10.93</w:t>
            </w:r>
          </w:p>
        </w:tc>
      </w:tr>
      <w:tr w:rsidR="00531F9D" w:rsidRPr="00C371E9" w14:paraId="1874DD98" w14:textId="77777777" w:rsidTr="0014199C">
        <w:trPr>
          <w:trHeight w:val="2211"/>
        </w:trPr>
        <w:tc>
          <w:tcPr>
            <w:tcW w:w="3793" w:type="dxa"/>
          </w:tcPr>
          <w:p w14:paraId="5B3644D7" w14:textId="77777777" w:rsidR="00531F9D" w:rsidRPr="00C371E9" w:rsidRDefault="00531F9D" w:rsidP="00531F9D">
            <w:r w:rsidRPr="00C371E9">
              <w:t>COVID-19 income grants and subsidies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4BFBDDB2" w14:textId="77777777" w:rsidR="00531F9D" w:rsidRPr="00C371E9" w:rsidRDefault="00531F9D" w:rsidP="00531F9D">
            <w:r w:rsidRPr="00C371E9">
              <w:t>$10.93</w:t>
            </w:r>
          </w:p>
        </w:tc>
      </w:tr>
      <w:tr w:rsidR="00531F9D" w:rsidRPr="00C371E9" w14:paraId="11EFF73E" w14:textId="77777777" w:rsidTr="0014199C">
        <w:trPr>
          <w:trHeight w:val="472"/>
        </w:trPr>
        <w:tc>
          <w:tcPr>
            <w:tcW w:w="3793" w:type="dxa"/>
          </w:tcPr>
          <w:p w14:paraId="5665C139" w14:textId="77777777" w:rsidR="00531F9D" w:rsidRPr="005A0F50" w:rsidRDefault="00531F9D" w:rsidP="00531F9D">
            <w:pPr>
              <w:rPr>
                <w:b/>
                <w:bCs/>
              </w:rPr>
            </w:pPr>
            <w:r w:rsidRPr="005A0F50">
              <w:rPr>
                <w:b/>
                <w:bCs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18B2799B" w14:textId="77777777" w:rsidR="00531F9D" w:rsidRPr="00C371E9" w:rsidRDefault="00531F9D" w:rsidP="00531F9D">
            <w:r w:rsidRPr="00C371E9">
              <w:t>$8.42</w:t>
            </w:r>
          </w:p>
        </w:tc>
      </w:tr>
      <w:tr w:rsidR="00531F9D" w:rsidRPr="00C371E9" w14:paraId="751638E1" w14:textId="77777777" w:rsidTr="0014199C">
        <w:trPr>
          <w:trHeight w:val="1231"/>
        </w:trPr>
        <w:tc>
          <w:tcPr>
            <w:tcW w:w="3793" w:type="dxa"/>
          </w:tcPr>
          <w:p w14:paraId="3DECC763" w14:textId="77777777" w:rsidR="00531F9D" w:rsidRPr="00C371E9" w:rsidRDefault="00531F9D" w:rsidP="00531F9D">
            <w:r w:rsidRPr="00C371E9">
              <w:t>COVID-19 expense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3FA9EDD7" w14:textId="77777777" w:rsidR="00531F9D" w:rsidRPr="00C371E9" w:rsidRDefault="00531F9D" w:rsidP="00531F9D">
            <w:r w:rsidRPr="00C371E9">
              <w:t>$8.42</w:t>
            </w:r>
          </w:p>
        </w:tc>
      </w:tr>
      <w:tr w:rsidR="00531F9D" w:rsidRPr="00C371E9" w14:paraId="1411681F" w14:textId="77777777" w:rsidTr="001419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tcW w:w="3793" w:type="dxa"/>
          </w:tcPr>
          <w:p w14:paraId="7090FF87" w14:textId="113658AC" w:rsidR="00531F9D" w:rsidRPr="00C371E9" w:rsidRDefault="00531F9D" w:rsidP="00531F9D">
            <w:r w:rsidRPr="00C371E9">
              <w:t>Result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05A7DE8D" w14:textId="77777777" w:rsidR="00531F9D" w:rsidRPr="00C371E9" w:rsidRDefault="00531F9D" w:rsidP="00531F9D">
            <w:r w:rsidRPr="00C371E9">
              <w:t>$2.51</w:t>
            </w:r>
          </w:p>
        </w:tc>
      </w:tr>
    </w:tbl>
    <w:p w14:paraId="7AD416C5" w14:textId="77777777" w:rsidR="00B93FF7" w:rsidRDefault="00B93FF7" w:rsidP="00B93FF7">
      <w:pPr>
        <w:sectPr w:rsidR="00B93FF7" w:rsidSect="00B93FF7">
          <w:type w:val="continuous"/>
          <w:pgSz w:w="16840" w:h="23820"/>
          <w:pgMar w:top="720" w:right="980" w:bottom="280" w:left="980" w:header="720" w:footer="720" w:gutter="0"/>
          <w:cols w:num="3" w:space="720"/>
        </w:sectPr>
      </w:pPr>
    </w:p>
    <w:p w14:paraId="357A7589" w14:textId="77777777" w:rsidR="00531F9D" w:rsidRPr="0014199C" w:rsidRDefault="00531F9D" w:rsidP="00B00B95">
      <w:pPr>
        <w:pStyle w:val="Boxtext"/>
        <w:tabs>
          <w:tab w:val="left" w:pos="5529"/>
          <w:tab w:val="left" w:pos="6096"/>
        </w:tabs>
      </w:pPr>
      <w:r w:rsidRPr="0014199C">
        <w:t>C+D+E+F=G</w:t>
      </w:r>
      <w:r w:rsidRPr="0014199C">
        <w:tab/>
      </w:r>
      <w:proofErr w:type="spellStart"/>
      <w:r w:rsidRPr="0014199C">
        <w:t>G</w:t>
      </w:r>
      <w:proofErr w:type="spellEnd"/>
      <w:r w:rsidRPr="0014199C">
        <w:t>.</w:t>
      </w:r>
      <w:r w:rsidRPr="0014199C">
        <w:tab/>
        <w:t>Operating profit/ (loss): ($10.32)</w:t>
      </w:r>
    </w:p>
    <w:tbl>
      <w:tblPr>
        <w:tblStyle w:val="TableGridLight"/>
        <w:tblW w:w="0" w:type="auto"/>
        <w:tblLook w:val="04E0" w:firstRow="1" w:lastRow="1" w:firstColumn="1" w:lastColumn="0" w:noHBand="0" w:noVBand="1"/>
      </w:tblPr>
      <w:tblGrid>
        <w:gridCol w:w="3512"/>
        <w:gridCol w:w="1076"/>
      </w:tblGrid>
      <w:tr w:rsidR="0014199C" w14:paraId="6B8599CF" w14:textId="77777777" w:rsidTr="00030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  <w:tblHeader/>
        </w:trPr>
        <w:tc>
          <w:tcPr>
            <w:tcW w:w="0" w:type="auto"/>
            <w:gridSpan w:val="2"/>
          </w:tcPr>
          <w:p w14:paraId="1709BC32" w14:textId="77777777" w:rsidR="0014199C" w:rsidRDefault="0014199C" w:rsidP="00030546">
            <w:pPr>
              <w:pageBreakBefore/>
            </w:pPr>
            <w:r w:rsidRPr="0014199C">
              <w:lastRenderedPageBreak/>
              <w:t>H. Non-recurrent income and expenses</w:t>
            </w:r>
          </w:p>
        </w:tc>
      </w:tr>
      <w:tr w:rsidR="0014199C" w14:paraId="50385BDC" w14:textId="77777777" w:rsidTr="0014199C">
        <w:trPr>
          <w:trHeight w:val="454"/>
        </w:trPr>
        <w:tc>
          <w:tcPr>
            <w:tcW w:w="0" w:type="auto"/>
          </w:tcPr>
          <w:p w14:paraId="7F6A9D9F" w14:textId="77777777" w:rsidR="0014199C" w:rsidRPr="0014199C" w:rsidRDefault="0014199C" w:rsidP="0014199C">
            <w:pPr>
              <w:rPr>
                <w:rStyle w:val="Strong"/>
              </w:rPr>
            </w:pPr>
            <w:r w:rsidRPr="0014199C">
              <w:rPr>
                <w:rStyle w:val="Strong"/>
              </w:rPr>
              <w:t>Revenue</w:t>
            </w:r>
          </w:p>
        </w:tc>
        <w:tc>
          <w:tcPr>
            <w:tcW w:w="0" w:type="auto"/>
          </w:tcPr>
          <w:p w14:paraId="382DCDAE" w14:textId="77777777" w:rsidR="0014199C" w:rsidRPr="0014199C" w:rsidRDefault="0014199C" w:rsidP="0014199C">
            <w:r w:rsidRPr="0014199C">
              <w:t>$13.60</w:t>
            </w:r>
          </w:p>
        </w:tc>
      </w:tr>
      <w:tr w:rsidR="0014199C" w14:paraId="6F2DC646" w14:textId="77777777" w:rsidTr="0014199C">
        <w:trPr>
          <w:trHeight w:val="454"/>
        </w:trPr>
        <w:tc>
          <w:tcPr>
            <w:tcW w:w="0" w:type="auto"/>
          </w:tcPr>
          <w:p w14:paraId="1D28E3FC" w14:textId="77777777" w:rsidR="0014199C" w:rsidRPr="0014199C" w:rsidRDefault="0014199C" w:rsidP="0014199C">
            <w:r w:rsidRPr="0014199C">
              <w:t>Adoption of AASB 16 Leases</w:t>
            </w:r>
          </w:p>
        </w:tc>
        <w:tc>
          <w:tcPr>
            <w:tcW w:w="0" w:type="auto"/>
          </w:tcPr>
          <w:p w14:paraId="44BF04F3" w14:textId="77777777" w:rsidR="0014199C" w:rsidRPr="0014199C" w:rsidRDefault="0014199C" w:rsidP="0014199C">
            <w:r w:rsidRPr="0014199C">
              <w:t>$7.38</w:t>
            </w:r>
          </w:p>
        </w:tc>
      </w:tr>
      <w:tr w:rsidR="0014199C" w14:paraId="51FD5A61" w14:textId="77777777" w:rsidTr="0014199C">
        <w:trPr>
          <w:trHeight w:val="454"/>
        </w:trPr>
        <w:tc>
          <w:tcPr>
            <w:tcW w:w="0" w:type="auto"/>
          </w:tcPr>
          <w:p w14:paraId="4A1C7021" w14:textId="77777777" w:rsidR="0014199C" w:rsidRPr="0014199C" w:rsidRDefault="0014199C" w:rsidP="0014199C">
            <w:r w:rsidRPr="0014199C">
              <w:t>Other</w:t>
            </w:r>
          </w:p>
        </w:tc>
        <w:tc>
          <w:tcPr>
            <w:tcW w:w="0" w:type="auto"/>
          </w:tcPr>
          <w:p w14:paraId="40066FD7" w14:textId="77777777" w:rsidR="0014199C" w:rsidRPr="0014199C" w:rsidRDefault="0014199C" w:rsidP="0014199C">
            <w:r w:rsidRPr="0014199C">
              <w:t>$6.22</w:t>
            </w:r>
          </w:p>
        </w:tc>
      </w:tr>
      <w:tr w:rsidR="0014199C" w14:paraId="216B17BD" w14:textId="77777777" w:rsidTr="0014199C">
        <w:trPr>
          <w:trHeight w:val="454"/>
        </w:trPr>
        <w:tc>
          <w:tcPr>
            <w:tcW w:w="0" w:type="auto"/>
          </w:tcPr>
          <w:p w14:paraId="7F811BD1" w14:textId="77777777" w:rsidR="0014199C" w:rsidRPr="002F70CE" w:rsidRDefault="0014199C" w:rsidP="0014199C">
            <w:pPr>
              <w:rPr>
                <w:b/>
                <w:bCs/>
              </w:rPr>
            </w:pPr>
            <w:r w:rsidRPr="002F70CE">
              <w:rPr>
                <w:b/>
                <w:bCs/>
              </w:rPr>
              <w:t>Expenses</w:t>
            </w:r>
          </w:p>
        </w:tc>
        <w:tc>
          <w:tcPr>
            <w:tcW w:w="0" w:type="auto"/>
          </w:tcPr>
          <w:p w14:paraId="1715264D" w14:textId="77777777" w:rsidR="0014199C" w:rsidRPr="0014199C" w:rsidRDefault="0014199C" w:rsidP="0014199C">
            <w:r w:rsidRPr="0014199C">
              <w:t>$15.66</w:t>
            </w:r>
          </w:p>
        </w:tc>
      </w:tr>
      <w:tr w:rsidR="0014199C" w14:paraId="0EE2AE1A" w14:textId="77777777" w:rsidTr="0014199C">
        <w:trPr>
          <w:trHeight w:val="454"/>
        </w:trPr>
        <w:tc>
          <w:tcPr>
            <w:tcW w:w="0" w:type="auto"/>
          </w:tcPr>
          <w:p w14:paraId="247A773E" w14:textId="77777777" w:rsidR="0014199C" w:rsidRPr="0014199C" w:rsidRDefault="0014199C" w:rsidP="0014199C">
            <w:r w:rsidRPr="0014199C">
              <w:t>Adoption of AASB 16 Leases</w:t>
            </w:r>
          </w:p>
        </w:tc>
        <w:tc>
          <w:tcPr>
            <w:tcW w:w="0" w:type="auto"/>
          </w:tcPr>
          <w:p w14:paraId="093D473D" w14:textId="77777777" w:rsidR="0014199C" w:rsidRPr="0014199C" w:rsidRDefault="0014199C" w:rsidP="0014199C">
            <w:r w:rsidRPr="0014199C">
              <w:t>$7.01</w:t>
            </w:r>
          </w:p>
        </w:tc>
      </w:tr>
      <w:tr w:rsidR="0014199C" w14:paraId="589EAFCE" w14:textId="77777777" w:rsidTr="0014199C">
        <w:trPr>
          <w:trHeight w:val="454"/>
        </w:trPr>
        <w:tc>
          <w:tcPr>
            <w:tcW w:w="0" w:type="auto"/>
          </w:tcPr>
          <w:p w14:paraId="293DE51A" w14:textId="77777777" w:rsidR="0014199C" w:rsidRPr="0014199C" w:rsidRDefault="0014199C" w:rsidP="0014199C">
            <w:r w:rsidRPr="0014199C">
              <w:t>Impairment losses</w:t>
            </w:r>
          </w:p>
        </w:tc>
        <w:tc>
          <w:tcPr>
            <w:tcW w:w="0" w:type="auto"/>
          </w:tcPr>
          <w:p w14:paraId="468ADF20" w14:textId="77777777" w:rsidR="0014199C" w:rsidRPr="0014199C" w:rsidRDefault="0014199C" w:rsidP="0014199C">
            <w:r w:rsidRPr="0014199C">
              <w:t>$5.25</w:t>
            </w:r>
          </w:p>
        </w:tc>
      </w:tr>
      <w:tr w:rsidR="0014199C" w14:paraId="362F31CC" w14:textId="77777777" w:rsidTr="0014199C">
        <w:trPr>
          <w:trHeight w:val="454"/>
        </w:trPr>
        <w:tc>
          <w:tcPr>
            <w:tcW w:w="0" w:type="auto"/>
          </w:tcPr>
          <w:p w14:paraId="5ACB623A" w14:textId="77777777" w:rsidR="0014199C" w:rsidRPr="0014199C" w:rsidRDefault="0014199C" w:rsidP="0014199C">
            <w:r w:rsidRPr="0014199C">
              <w:t>Other</w:t>
            </w:r>
          </w:p>
        </w:tc>
        <w:tc>
          <w:tcPr>
            <w:tcW w:w="0" w:type="auto"/>
          </w:tcPr>
          <w:p w14:paraId="47843698" w14:textId="77777777" w:rsidR="0014199C" w:rsidRPr="0014199C" w:rsidRDefault="0014199C" w:rsidP="0014199C">
            <w:r w:rsidRPr="0014199C">
              <w:t>$3.40</w:t>
            </w:r>
          </w:p>
        </w:tc>
      </w:tr>
      <w:tr w:rsidR="0014199C" w14:paraId="33F6BB01" w14:textId="77777777" w:rsidTr="001419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0" w:type="auto"/>
          </w:tcPr>
          <w:p w14:paraId="4B962B03" w14:textId="0159E775" w:rsidR="0014199C" w:rsidRPr="0014199C" w:rsidRDefault="0014199C" w:rsidP="0014199C">
            <w:r w:rsidRPr="0014199C">
              <w:t>Result</w:t>
            </w:r>
          </w:p>
        </w:tc>
        <w:tc>
          <w:tcPr>
            <w:tcW w:w="0" w:type="auto"/>
          </w:tcPr>
          <w:p w14:paraId="5AFCEC01" w14:textId="77777777" w:rsidR="0014199C" w:rsidRPr="0014199C" w:rsidRDefault="0014199C" w:rsidP="0014199C">
            <w:r w:rsidRPr="0014199C">
              <w:t>($2.06)</w:t>
            </w:r>
          </w:p>
        </w:tc>
      </w:tr>
    </w:tbl>
    <w:p w14:paraId="55E61773" w14:textId="77777777" w:rsidR="00FC4423" w:rsidRPr="00D8776E" w:rsidRDefault="00531F9D" w:rsidP="00531F9D">
      <w:pPr>
        <w:pStyle w:val="Boxtext"/>
        <w:tabs>
          <w:tab w:val="left" w:pos="4395"/>
        </w:tabs>
      </w:pPr>
      <w:r>
        <w:t>G</w:t>
      </w:r>
      <w:r w:rsidRPr="00B0598C">
        <w:t>+</w:t>
      </w:r>
      <w:r>
        <w:t>H</w:t>
      </w:r>
      <w:r w:rsidRPr="00B0598C">
        <w:t>=</w:t>
      </w:r>
      <w:r>
        <w:t>I</w:t>
      </w:r>
      <w:r w:rsidRPr="00B0598C">
        <w:tab/>
      </w:r>
      <w:proofErr w:type="spellStart"/>
      <w:r>
        <w:t>I</w:t>
      </w:r>
      <w:proofErr w:type="spellEnd"/>
      <w:r w:rsidRPr="00B0598C">
        <w:t>.</w:t>
      </w:r>
      <w:r>
        <w:tab/>
        <w:t>Net profit / (loss): ($12.38)</w:t>
      </w:r>
    </w:p>
    <w:sectPr w:rsidR="00FC4423" w:rsidRPr="00D8776E" w:rsidSect="00B93FF7">
      <w:type w:val="continuous"/>
      <w:pgSz w:w="16840" w:h="23820"/>
      <w:pgMar w:top="7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1C81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C6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B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50A3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F09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7ABBD4"/>
    <w:lvl w:ilvl="0">
      <w:start w:val="1"/>
      <w:numFmt w:val="bullet"/>
      <w:pStyle w:val="ListBullet3"/>
      <w:lvlText w:val="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E6D7A6"/>
    <w:lvl w:ilvl="0">
      <w:start w:val="1"/>
      <w:numFmt w:val="bullet"/>
      <w:pStyle w:val="ListBullet2"/>
      <w:lvlText w:val="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A855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81AC6"/>
    <w:multiLevelType w:val="hybridMultilevel"/>
    <w:tmpl w:val="1EEEE0D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70C3B"/>
    <w:multiLevelType w:val="hybridMultilevel"/>
    <w:tmpl w:val="BB3A3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9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7"/>
    <w:lvlOverride w:ilvl="0">
      <w:startOverride w:val="1"/>
    </w:lvlOverride>
  </w:num>
  <w:num w:numId="19">
    <w:abstractNumId w:val="7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B6"/>
    <w:rsid w:val="00001773"/>
    <w:rsid w:val="0001313B"/>
    <w:rsid w:val="00030546"/>
    <w:rsid w:val="00067E14"/>
    <w:rsid w:val="00075EEF"/>
    <w:rsid w:val="000904F8"/>
    <w:rsid w:val="000B3DC1"/>
    <w:rsid w:val="000C3342"/>
    <w:rsid w:val="000D037B"/>
    <w:rsid w:val="00133A77"/>
    <w:rsid w:val="00133F66"/>
    <w:rsid w:val="0014199C"/>
    <w:rsid w:val="001513FE"/>
    <w:rsid w:val="0015268C"/>
    <w:rsid w:val="00177ED0"/>
    <w:rsid w:val="001B1B58"/>
    <w:rsid w:val="001D7770"/>
    <w:rsid w:val="002149C5"/>
    <w:rsid w:val="00256F46"/>
    <w:rsid w:val="002602B6"/>
    <w:rsid w:val="00263339"/>
    <w:rsid w:val="00272E8E"/>
    <w:rsid w:val="002B7077"/>
    <w:rsid w:val="002D0A13"/>
    <w:rsid w:val="002E5CAF"/>
    <w:rsid w:val="002F70CE"/>
    <w:rsid w:val="003058C6"/>
    <w:rsid w:val="00325B00"/>
    <w:rsid w:val="00326F47"/>
    <w:rsid w:val="003966AA"/>
    <w:rsid w:val="00396B62"/>
    <w:rsid w:val="0039754E"/>
    <w:rsid w:val="003B19CD"/>
    <w:rsid w:val="003D5B04"/>
    <w:rsid w:val="003D7FF5"/>
    <w:rsid w:val="00425D13"/>
    <w:rsid w:val="00434505"/>
    <w:rsid w:val="00444549"/>
    <w:rsid w:val="004B1514"/>
    <w:rsid w:val="004B5010"/>
    <w:rsid w:val="004D0E1C"/>
    <w:rsid w:val="004F7DDA"/>
    <w:rsid w:val="00527A76"/>
    <w:rsid w:val="00531F9D"/>
    <w:rsid w:val="00597051"/>
    <w:rsid w:val="005A0F50"/>
    <w:rsid w:val="005B5634"/>
    <w:rsid w:val="005B58B2"/>
    <w:rsid w:val="006516BB"/>
    <w:rsid w:val="00682861"/>
    <w:rsid w:val="0069346D"/>
    <w:rsid w:val="00700BCA"/>
    <w:rsid w:val="00710CC2"/>
    <w:rsid w:val="007829D7"/>
    <w:rsid w:val="007B275A"/>
    <w:rsid w:val="007C11B9"/>
    <w:rsid w:val="007C5BEC"/>
    <w:rsid w:val="007E3808"/>
    <w:rsid w:val="00857055"/>
    <w:rsid w:val="008A224C"/>
    <w:rsid w:val="008A3695"/>
    <w:rsid w:val="008C45E1"/>
    <w:rsid w:val="008C6D5B"/>
    <w:rsid w:val="008E17D6"/>
    <w:rsid w:val="009118EF"/>
    <w:rsid w:val="00971DC5"/>
    <w:rsid w:val="009B7172"/>
    <w:rsid w:val="00A02FEC"/>
    <w:rsid w:val="00A16BAE"/>
    <w:rsid w:val="00A658DC"/>
    <w:rsid w:val="00A76021"/>
    <w:rsid w:val="00AE0A28"/>
    <w:rsid w:val="00B00B95"/>
    <w:rsid w:val="00B0598C"/>
    <w:rsid w:val="00B0799A"/>
    <w:rsid w:val="00B14F4B"/>
    <w:rsid w:val="00B22F0D"/>
    <w:rsid w:val="00B25831"/>
    <w:rsid w:val="00B614DD"/>
    <w:rsid w:val="00B76DE5"/>
    <w:rsid w:val="00B7743A"/>
    <w:rsid w:val="00B8466E"/>
    <w:rsid w:val="00B85B71"/>
    <w:rsid w:val="00B93FF7"/>
    <w:rsid w:val="00B9485A"/>
    <w:rsid w:val="00BA14C1"/>
    <w:rsid w:val="00BA6C9F"/>
    <w:rsid w:val="00BC116A"/>
    <w:rsid w:val="00BC62ED"/>
    <w:rsid w:val="00BD497F"/>
    <w:rsid w:val="00BE3618"/>
    <w:rsid w:val="00C371E9"/>
    <w:rsid w:val="00D025A9"/>
    <w:rsid w:val="00D76988"/>
    <w:rsid w:val="00D8776E"/>
    <w:rsid w:val="00DA715C"/>
    <w:rsid w:val="00E15267"/>
    <w:rsid w:val="00E417AA"/>
    <w:rsid w:val="00E47890"/>
    <w:rsid w:val="00E50D2D"/>
    <w:rsid w:val="00E7295B"/>
    <w:rsid w:val="00E737D9"/>
    <w:rsid w:val="00EE204A"/>
    <w:rsid w:val="00EF79E1"/>
    <w:rsid w:val="00F32927"/>
    <w:rsid w:val="00F438B4"/>
    <w:rsid w:val="00F5592C"/>
    <w:rsid w:val="00F84A55"/>
    <w:rsid w:val="00FB5E09"/>
    <w:rsid w:val="00FC4423"/>
    <w:rsid w:val="00FD5048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2F10"/>
  <w15:docId w15:val="{188F5E75-7966-44F1-82FD-79E4AA16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B95"/>
    <w:pPr>
      <w:spacing w:before="120" w:after="120"/>
    </w:pPr>
    <w:rPr>
      <w:rFonts w:ascii="Lucida Sans" w:eastAsia="Lucida Sans" w:hAnsi="Lucida Sans" w:cs="Lucida Sans"/>
    </w:rPr>
  </w:style>
  <w:style w:type="paragraph" w:styleId="Heading1">
    <w:name w:val="heading 1"/>
    <w:basedOn w:val="Title"/>
    <w:next w:val="Normal"/>
    <w:link w:val="Heading1Char"/>
    <w:uiPriority w:val="9"/>
    <w:qFormat/>
    <w:rsid w:val="00B0598C"/>
    <w:pPr>
      <w:keepNext/>
      <w:keepLines/>
      <w:spacing w:before="120"/>
      <w:ind w:left="0" w:right="0"/>
      <w:outlineLvl w:val="0"/>
    </w:pPr>
    <w:rPr>
      <w:rFonts w:asciiTheme="minorHAnsi" w:eastAsiaTheme="majorEastAsia" w:hAnsiTheme="minorHAnsi" w:cstheme="majorBidi"/>
      <w:sz w:val="4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7"/>
      <w:ind w:left="3958" w:right="3918"/>
      <w:jc w:val="center"/>
    </w:pPr>
    <w:rPr>
      <w:sz w:val="48"/>
      <w:szCs w:val="48"/>
    </w:rPr>
  </w:style>
  <w:style w:type="paragraph" w:styleId="ListParagraph">
    <w:name w:val="List Paragraph"/>
    <w:aliases w:val="#List Paragraph,Recommendation,List Paragraph1,List Paragraph11,L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1419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1F497D" w:themeFill="text2"/>
        <w:vAlign w:val="center"/>
      </w:tcPr>
    </w:tblStylePr>
    <w:tblStylePr w:type="lastRow">
      <w:rPr>
        <w:rFonts w:ascii="Calibri" w:hAnsi="Calibri"/>
        <w:b/>
        <w:sz w:val="22"/>
      </w:rPr>
    </w:tblStylePr>
    <w:tblStylePr w:type="lastCol">
      <w:pPr>
        <w:jc w:val="right"/>
      </w:pPr>
    </w:tblStylePr>
  </w:style>
  <w:style w:type="paragraph" w:styleId="ListBullet">
    <w:name w:val="List Bullet"/>
    <w:basedOn w:val="Normal"/>
    <w:uiPriority w:val="99"/>
    <w:unhideWhenUsed/>
    <w:rsid w:val="00D8776E"/>
    <w:pPr>
      <w:numPr>
        <w:numId w:val="1"/>
      </w:numPr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sid w:val="00D8776E"/>
    <w:rPr>
      <w:rFonts w:ascii="Lucida Sans" w:eastAsia="Lucida Sans" w:hAnsi="Lucida Sans" w:cs="Lucida Sans"/>
      <w:sz w:val="18"/>
      <w:szCs w:val="18"/>
    </w:rPr>
  </w:style>
  <w:style w:type="paragraph" w:styleId="ListBullet2">
    <w:name w:val="List Bullet 2"/>
    <w:basedOn w:val="Normal"/>
    <w:uiPriority w:val="99"/>
    <w:unhideWhenUsed/>
    <w:rsid w:val="00D8776E"/>
    <w:pPr>
      <w:numPr>
        <w:numId w:val="2"/>
      </w:numPr>
      <w:contextualSpacing/>
    </w:pPr>
  </w:style>
  <w:style w:type="paragraph" w:styleId="ListBullet3">
    <w:name w:val="List Bullet 3"/>
    <w:basedOn w:val="ListBullet2"/>
    <w:uiPriority w:val="99"/>
    <w:unhideWhenUsed/>
    <w:rsid w:val="00D8776E"/>
    <w:pPr>
      <w:numPr>
        <w:numId w:val="3"/>
      </w:numPr>
      <w:ind w:left="357" w:hanging="357"/>
    </w:pPr>
  </w:style>
  <w:style w:type="table" w:styleId="TableGrid">
    <w:name w:val="Table Grid"/>
    <w:basedOn w:val="TableNormal"/>
    <w:uiPriority w:val="39"/>
    <w:rsid w:val="00B00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C9A164"/>
      </w:tcPr>
    </w:tblStylePr>
    <w:tblStylePr w:type="firstCol">
      <w:rPr>
        <w:b/>
      </w:rPr>
      <w:tblPr/>
      <w:tcPr>
        <w:shd w:val="clear" w:color="auto" w:fill="C9A16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598C"/>
    <w:rPr>
      <w:rFonts w:eastAsiaTheme="majorEastAsia" w:cstheme="majorBidi"/>
      <w:sz w:val="44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1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1E9"/>
    <w:rPr>
      <w:rFonts w:ascii="Lucida Sans" w:eastAsia="Lucida Sans" w:hAnsi="Lucida Sans" w:cs="Lucida Sans"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C371E9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C371E9"/>
    <w:rPr>
      <w:smallCaps/>
      <w:color w:val="5A5A5A" w:themeColor="text1" w:themeTint="A5"/>
    </w:rPr>
  </w:style>
  <w:style w:type="paragraph" w:styleId="Quote">
    <w:name w:val="Quote"/>
    <w:next w:val="Normal"/>
    <w:link w:val="QuoteChar"/>
    <w:uiPriority w:val="29"/>
    <w:qFormat/>
    <w:rsid w:val="00C371E9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1F497D" w:themeFill="text2"/>
      <w:spacing w:before="200" w:after="200" w:line="276" w:lineRule="auto"/>
      <w:ind w:left="862" w:right="862"/>
      <w:jc w:val="center"/>
    </w:pPr>
    <w:rPr>
      <w:rFonts w:ascii="Lucida Sans" w:eastAsia="Lucida Sans" w:hAnsi="Lucida Sans" w:cs="Lucida Sans"/>
      <w:b/>
      <w:iCs/>
      <w:color w:val="FFFFFF" w:themeColor="background1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C371E9"/>
    <w:rPr>
      <w:rFonts w:ascii="Lucida Sans" w:eastAsia="Lucida Sans" w:hAnsi="Lucida Sans" w:cs="Lucida Sans"/>
      <w:b/>
      <w:iCs/>
      <w:color w:val="FFFFFF" w:themeColor="background1"/>
      <w:sz w:val="32"/>
      <w:shd w:val="clear" w:color="auto" w:fill="1F497D" w:themeFill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C3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E9"/>
    <w:rPr>
      <w:rFonts w:ascii="Lucida Sans" w:eastAsia="Lucida Sans" w:hAnsi="Lucida Sans" w:cs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E9"/>
    <w:rPr>
      <w:rFonts w:ascii="Lucida Sans" w:eastAsia="Lucida Sans" w:hAnsi="Lucida Sans" w:cs="Lucida Sans"/>
      <w:b/>
      <w:bCs/>
      <w:sz w:val="20"/>
      <w:szCs w:val="20"/>
    </w:rPr>
  </w:style>
  <w:style w:type="table" w:styleId="ListTable3-Accent1">
    <w:name w:val="List Table 3 Accent 1"/>
    <w:basedOn w:val="TableNormal"/>
    <w:uiPriority w:val="48"/>
    <w:rsid w:val="00B0598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ListParagraphChar">
    <w:name w:val="List Paragraph Char"/>
    <w:aliases w:val="#List Paragraph Char,Recommendation Char,List Paragraph1 Char,List Paragraph11 Char,L Char"/>
    <w:basedOn w:val="DefaultParagraphFont"/>
    <w:link w:val="ListParagraph"/>
    <w:uiPriority w:val="34"/>
    <w:locked/>
    <w:rsid w:val="00B0598C"/>
    <w:rPr>
      <w:rFonts w:ascii="Lucida Sans" w:eastAsia="Lucida Sans" w:hAnsi="Lucida Sans" w:cs="Lucida Sans"/>
    </w:rPr>
  </w:style>
  <w:style w:type="paragraph" w:customStyle="1" w:styleId="Boxtext">
    <w:name w:val="Box text"/>
    <w:basedOn w:val="Normal"/>
    <w:link w:val="BoxtextChar"/>
    <w:qFormat/>
    <w:rsid w:val="00B00B95"/>
    <w:p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hd w:val="clear" w:color="auto" w:fill="008080"/>
    </w:pPr>
    <w:rPr>
      <w:color w:val="FFFFFF" w:themeColor="background1"/>
      <w:sz w:val="36"/>
    </w:rPr>
  </w:style>
  <w:style w:type="character" w:customStyle="1" w:styleId="BoxtextChar">
    <w:name w:val="Box text Char"/>
    <w:basedOn w:val="DefaultParagraphFont"/>
    <w:link w:val="Boxtext"/>
    <w:rsid w:val="00B00B95"/>
    <w:rPr>
      <w:rFonts w:ascii="Lucida Sans" w:eastAsia="Lucida Sans" w:hAnsi="Lucida Sans" w:cs="Lucida Sans"/>
      <w:color w:val="FFFFFF" w:themeColor="background1"/>
      <w:sz w:val="36"/>
      <w:shd w:val="clear" w:color="auto" w:fill="008080"/>
    </w:rPr>
  </w:style>
  <w:style w:type="paragraph" w:styleId="Revision">
    <w:name w:val="Revision"/>
    <w:hidden/>
    <w:uiPriority w:val="99"/>
    <w:semiHidden/>
    <w:rsid w:val="00E7295B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Strong">
    <w:name w:val="Strong"/>
    <w:basedOn w:val="DefaultParagraphFont"/>
    <w:uiPriority w:val="22"/>
    <w:qFormat/>
    <w:rsid w:val="00531F9D"/>
    <w:rPr>
      <w:b/>
      <w:bCs/>
    </w:rPr>
  </w:style>
  <w:style w:type="table" w:styleId="GridTable5Dark-Accent6">
    <w:name w:val="Grid Table 5 Dark Accent 6"/>
    <w:basedOn w:val="TableNormal"/>
    <w:uiPriority w:val="50"/>
    <w:rsid w:val="00256F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styleId="NoSpacing">
    <w:name w:val="No Spacing"/>
    <w:uiPriority w:val="1"/>
    <w:qFormat/>
    <w:rsid w:val="00030546"/>
    <w:pPr>
      <w:contextualSpacing/>
    </w:pPr>
    <w:rPr>
      <w:rFonts w:ascii="Lucida Sans" w:eastAsia="Lucida Sans" w:hAnsi="Lucida Sans" w:cs="Lucida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3" ma:contentTypeDescription="Create a new document." ma:contentTypeScope="" ma:versionID="049590118f2ff75f3ddb1c192eb51600">
  <xsd:schema xmlns:xsd="http://www.w3.org/2001/XMLSchema" xmlns:xs="http://www.w3.org/2001/XMLSchema" xmlns:p="http://schemas.microsoft.com/office/2006/metadata/properties" xmlns:ns2="b8d296df-c91f-46ec-882c-a5f320b081a8" xmlns:ns3="2c0b4a26-a0a6-442a-a800-f5fe1d9f3f5b" targetNamespace="http://schemas.microsoft.com/office/2006/metadata/properties" ma:root="true" ma:fieldsID="821a8ffe6f2ca5905b84d3bbefcd05d1" ns2:_="" ns3:_="">
    <xsd:import namespace="b8d296df-c91f-46ec-882c-a5f320b081a8"/>
    <xsd:import namespace="2c0b4a26-a0a6-442a-a800-f5fe1d9f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ff34dd-cd16-418c-a046-53030a50621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308869E2-3AE6-4C79-8A7E-939A67C57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FECD6-E94D-4D0B-BBC4-D6FABD9CF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296df-c91f-46ec-882c-a5f320b081a8"/>
    <ds:schemaRef ds:uri="2c0b4a26-a0a6-442a-a800-f5fe1d9f3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35577-50C4-4F21-8EDF-212C52D64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F5AC5-1356-47F3-85F6-9969AE5CE4F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2c0b4a26-a0a6-442a-a800-f5fe1d9f3f5b"/>
    <ds:schemaRef ds:uri="b8d296df-c91f-46ec-882c-a5f320b081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findings – Financial report on the Australian aged care sector 2020-21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findings – Financial report on the Australian aged care sector 2020-21</dc:title>
  <dc:subject>Aged Care</dc:subject>
  <dc:creator>Australian Government Department of Healh and Aged Care</dc:creator>
  <cp:keywords>Financial; aged care; Commonwealth Home Support Programme; CHSP; Home care</cp:keywords>
  <cp:lastModifiedBy>Department of Health and Aged Care</cp:lastModifiedBy>
  <cp:revision>2</cp:revision>
  <cp:lastPrinted>2022-11-15T03:54:00Z</cp:lastPrinted>
  <dcterms:created xsi:type="dcterms:W3CDTF">2022-12-02T05:54:00Z</dcterms:created>
  <dcterms:modified xsi:type="dcterms:W3CDTF">2022-12-02T05:54:00Z</dcterms:modified>
</cp:coreProperties>
</file>