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DF1E6" w14:textId="3AADDD84" w:rsidR="003056A3" w:rsidRPr="00BF30A6" w:rsidRDefault="00790E1E" w:rsidP="00E5773B">
      <w:pPr>
        <w:pStyle w:val="CoverTitle"/>
      </w:pPr>
      <w:r>
        <w:t>F</w:t>
      </w:r>
      <w:r w:rsidR="008A4E23">
        <w:t>ood and Nutrition Report</w:t>
      </w:r>
      <w:r w:rsidR="00F919ED">
        <w:t xml:space="preserve"> 2021-2022</w:t>
      </w:r>
    </w:p>
    <w:p w14:paraId="1734274D" w14:textId="504EBED3" w:rsidR="00A61363" w:rsidRDefault="008A4E23" w:rsidP="00E5773B">
      <w:pPr>
        <w:pStyle w:val="CoverSubtitle"/>
        <w:sectPr w:rsidR="00A61363" w:rsidSect="00FD31D5">
          <w:headerReference w:type="even" r:id="rId11"/>
          <w:headerReference w:type="default" r:id="rId12"/>
          <w:footerReference w:type="even" r:id="rId13"/>
          <w:footerReference w:type="default" r:id="rId14"/>
          <w:headerReference w:type="first" r:id="rId15"/>
          <w:footerReference w:type="first" r:id="rId16"/>
          <w:type w:val="continuous"/>
          <w:pgSz w:w="11910" w:h="16840"/>
          <w:pgMar w:top="8506" w:right="1021" w:bottom="278" w:left="1021" w:header="23" w:footer="720" w:gutter="0"/>
          <w:cols w:space="720"/>
          <w:titlePg/>
        </w:sectPr>
      </w:pPr>
      <w:r>
        <w:t>Report on 2021 Basic Daily Fee Supplement in Residential Aged Care</w:t>
      </w:r>
    </w:p>
    <w:p w14:paraId="6E211DAC" w14:textId="5043ED9D" w:rsidR="003056A3" w:rsidRPr="00BF30A6" w:rsidRDefault="00592259" w:rsidP="00BF30A6">
      <w:r w:rsidRPr="00BF30A6">
        <w:rPr>
          <w:noProof/>
        </w:rPr>
        <w:lastRenderedPageBreak/>
        <w:drawing>
          <wp:anchor distT="0" distB="0" distL="114300" distR="114300" simplePos="0" relativeHeight="487320064" behindDoc="0" locked="0" layoutInCell="1" allowOverlap="1" wp14:anchorId="6A38D5BA" wp14:editId="7CA60CD9">
            <wp:simplePos x="0" y="0"/>
            <wp:positionH relativeFrom="column">
              <wp:posOffset>-626110</wp:posOffset>
            </wp:positionH>
            <wp:positionV relativeFrom="paragraph">
              <wp:posOffset>0</wp:posOffset>
            </wp:positionV>
            <wp:extent cx="7531631" cy="10651490"/>
            <wp:effectExtent l="0" t="0" r="0" b="0"/>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31631" cy="1065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C65A0" w14:textId="77777777" w:rsidR="00F17372" w:rsidRPr="00BF30A6" w:rsidRDefault="00F17372" w:rsidP="00BF30A6">
      <w:pPr>
        <w:sectPr w:rsidR="00F17372" w:rsidRPr="00BF30A6" w:rsidSect="00D63D2E">
          <w:pgSz w:w="11910" w:h="16840"/>
          <w:pgMar w:top="28" w:right="1021" w:bottom="278" w:left="1021" w:header="720" w:footer="720" w:gutter="0"/>
          <w:cols w:space="720"/>
        </w:sectPr>
      </w:pPr>
    </w:p>
    <w:sdt>
      <w:sdtPr>
        <w:rPr>
          <w:rFonts w:eastAsia="Proxima Nova" w:cs="Proxima Nova"/>
          <w:b w:val="0"/>
          <w:bCs w:val="0"/>
          <w:color w:val="1E1545" w:themeColor="text2"/>
          <w:sz w:val="22"/>
          <w:szCs w:val="22"/>
        </w:rPr>
        <w:id w:val="-1521391684"/>
        <w:docPartObj>
          <w:docPartGallery w:val="Table of Contents"/>
          <w:docPartUnique/>
        </w:docPartObj>
      </w:sdtPr>
      <w:sdtEndPr>
        <w:rPr>
          <w:sz w:val="24"/>
        </w:rPr>
      </w:sdtEndPr>
      <w:sdtContent>
        <w:p w14:paraId="3AF8BE87" w14:textId="6B73C065" w:rsidR="00E03442" w:rsidRDefault="00E03442" w:rsidP="00BD02C9">
          <w:pPr>
            <w:pStyle w:val="TOAHeading"/>
          </w:pPr>
          <w:r>
            <w:t>Contents</w:t>
          </w:r>
        </w:p>
        <w:p w14:paraId="387B9DC8" w14:textId="6D12368E" w:rsidR="00614C2B" w:rsidRDefault="00E03442">
          <w:pPr>
            <w:pStyle w:val="TOC1"/>
            <w:rPr>
              <w:rFonts w:asciiTheme="minorHAnsi" w:eastAsiaTheme="minorEastAsia" w:hAnsiTheme="minorHAnsi" w:cstheme="minorBidi"/>
              <w:noProof/>
              <w:color w:val="auto"/>
              <w:sz w:val="22"/>
              <w:lang w:val="en-AU" w:eastAsia="en-AU"/>
            </w:rPr>
          </w:pPr>
          <w:r w:rsidRPr="009C7881">
            <w:rPr>
              <w:szCs w:val="24"/>
            </w:rPr>
            <w:fldChar w:fldCharType="begin"/>
          </w:r>
          <w:r w:rsidRPr="009C7881">
            <w:rPr>
              <w:szCs w:val="24"/>
            </w:rPr>
            <w:instrText xml:space="preserve"> TOC \o "1-3" \h \z \u </w:instrText>
          </w:r>
          <w:r w:rsidRPr="009C7881">
            <w:rPr>
              <w:szCs w:val="24"/>
            </w:rPr>
            <w:fldChar w:fldCharType="separate"/>
          </w:r>
          <w:hyperlink w:anchor="_Toc120291067" w:history="1">
            <w:r w:rsidR="00614C2B" w:rsidRPr="00084E7E">
              <w:rPr>
                <w:rStyle w:val="Hyperlink"/>
                <w:noProof/>
              </w:rPr>
              <w:t>1</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Summary</w:t>
            </w:r>
            <w:r w:rsidR="00614C2B">
              <w:rPr>
                <w:noProof/>
                <w:webHidden/>
              </w:rPr>
              <w:tab/>
            </w:r>
            <w:r w:rsidR="00614C2B">
              <w:rPr>
                <w:noProof/>
                <w:webHidden/>
              </w:rPr>
              <w:fldChar w:fldCharType="begin"/>
            </w:r>
            <w:r w:rsidR="00614C2B">
              <w:rPr>
                <w:noProof/>
                <w:webHidden/>
              </w:rPr>
              <w:instrText xml:space="preserve"> PAGEREF _Toc120291067 \h </w:instrText>
            </w:r>
            <w:r w:rsidR="00614C2B">
              <w:rPr>
                <w:noProof/>
                <w:webHidden/>
              </w:rPr>
            </w:r>
            <w:r w:rsidR="00614C2B">
              <w:rPr>
                <w:noProof/>
                <w:webHidden/>
              </w:rPr>
              <w:fldChar w:fldCharType="separate"/>
            </w:r>
            <w:r w:rsidR="00614C2B">
              <w:rPr>
                <w:noProof/>
                <w:webHidden/>
              </w:rPr>
              <w:t>4</w:t>
            </w:r>
            <w:r w:rsidR="00614C2B">
              <w:rPr>
                <w:noProof/>
                <w:webHidden/>
              </w:rPr>
              <w:fldChar w:fldCharType="end"/>
            </w:r>
          </w:hyperlink>
        </w:p>
        <w:p w14:paraId="7960D679" w14:textId="5D996064" w:rsidR="00614C2B" w:rsidRDefault="00BE0D75">
          <w:pPr>
            <w:pStyle w:val="TOC1"/>
            <w:rPr>
              <w:rFonts w:asciiTheme="minorHAnsi" w:eastAsiaTheme="minorEastAsia" w:hAnsiTheme="minorHAnsi" w:cstheme="minorBidi"/>
              <w:noProof/>
              <w:color w:val="auto"/>
              <w:sz w:val="22"/>
              <w:lang w:val="en-AU" w:eastAsia="en-AU"/>
            </w:rPr>
          </w:pPr>
          <w:hyperlink w:anchor="_Toc120291068" w:history="1">
            <w:r w:rsidR="00614C2B" w:rsidRPr="00084E7E">
              <w:rPr>
                <w:rStyle w:val="Hyperlink"/>
                <w:noProof/>
              </w:rPr>
              <w:t>2</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2021 Basic Daily Fee Supplement</w:t>
            </w:r>
            <w:r w:rsidR="00614C2B">
              <w:rPr>
                <w:noProof/>
                <w:webHidden/>
              </w:rPr>
              <w:tab/>
            </w:r>
            <w:r w:rsidR="00614C2B">
              <w:rPr>
                <w:noProof/>
                <w:webHidden/>
              </w:rPr>
              <w:fldChar w:fldCharType="begin"/>
            </w:r>
            <w:r w:rsidR="00614C2B">
              <w:rPr>
                <w:noProof/>
                <w:webHidden/>
              </w:rPr>
              <w:instrText xml:space="preserve"> PAGEREF _Toc120291068 \h </w:instrText>
            </w:r>
            <w:r w:rsidR="00614C2B">
              <w:rPr>
                <w:noProof/>
                <w:webHidden/>
              </w:rPr>
            </w:r>
            <w:r w:rsidR="00614C2B">
              <w:rPr>
                <w:noProof/>
                <w:webHidden/>
              </w:rPr>
              <w:fldChar w:fldCharType="separate"/>
            </w:r>
            <w:r w:rsidR="00614C2B">
              <w:rPr>
                <w:noProof/>
                <w:webHidden/>
              </w:rPr>
              <w:t>5</w:t>
            </w:r>
            <w:r w:rsidR="00614C2B">
              <w:rPr>
                <w:noProof/>
                <w:webHidden/>
              </w:rPr>
              <w:fldChar w:fldCharType="end"/>
            </w:r>
          </w:hyperlink>
        </w:p>
        <w:p w14:paraId="1310D17A" w14:textId="1D1B9504" w:rsidR="00614C2B" w:rsidRDefault="00BE0D75">
          <w:pPr>
            <w:pStyle w:val="TOC1"/>
            <w:rPr>
              <w:rFonts w:asciiTheme="minorHAnsi" w:eastAsiaTheme="minorEastAsia" w:hAnsiTheme="minorHAnsi" w:cstheme="minorBidi"/>
              <w:noProof/>
              <w:color w:val="auto"/>
              <w:sz w:val="22"/>
              <w:lang w:val="en-AU" w:eastAsia="en-AU"/>
            </w:rPr>
          </w:pPr>
          <w:hyperlink w:anchor="_Toc120291069" w:history="1">
            <w:r w:rsidR="00614C2B" w:rsidRPr="00084E7E">
              <w:rPr>
                <w:rStyle w:val="Hyperlink"/>
                <w:noProof/>
              </w:rPr>
              <w:t>3</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Data Definitions</w:t>
            </w:r>
            <w:r w:rsidR="00614C2B">
              <w:rPr>
                <w:noProof/>
                <w:webHidden/>
              </w:rPr>
              <w:tab/>
            </w:r>
            <w:r w:rsidR="00614C2B">
              <w:rPr>
                <w:noProof/>
                <w:webHidden/>
              </w:rPr>
              <w:fldChar w:fldCharType="begin"/>
            </w:r>
            <w:r w:rsidR="00614C2B">
              <w:rPr>
                <w:noProof/>
                <w:webHidden/>
              </w:rPr>
              <w:instrText xml:space="preserve"> PAGEREF _Toc120291069 \h </w:instrText>
            </w:r>
            <w:r w:rsidR="00614C2B">
              <w:rPr>
                <w:noProof/>
                <w:webHidden/>
              </w:rPr>
            </w:r>
            <w:r w:rsidR="00614C2B">
              <w:rPr>
                <w:noProof/>
                <w:webHidden/>
              </w:rPr>
              <w:fldChar w:fldCharType="separate"/>
            </w:r>
            <w:r w:rsidR="00614C2B">
              <w:rPr>
                <w:noProof/>
                <w:webHidden/>
              </w:rPr>
              <w:t>6</w:t>
            </w:r>
            <w:r w:rsidR="00614C2B">
              <w:rPr>
                <w:noProof/>
                <w:webHidden/>
              </w:rPr>
              <w:fldChar w:fldCharType="end"/>
            </w:r>
          </w:hyperlink>
        </w:p>
        <w:p w14:paraId="0740EFFE" w14:textId="018CE8EE" w:rsidR="00614C2B" w:rsidRDefault="00BE0D75">
          <w:pPr>
            <w:pStyle w:val="TOC1"/>
            <w:rPr>
              <w:rFonts w:asciiTheme="minorHAnsi" w:eastAsiaTheme="minorEastAsia" w:hAnsiTheme="minorHAnsi" w:cstheme="minorBidi"/>
              <w:noProof/>
              <w:color w:val="auto"/>
              <w:sz w:val="22"/>
              <w:lang w:val="en-AU" w:eastAsia="en-AU"/>
            </w:rPr>
          </w:pPr>
          <w:hyperlink w:anchor="_Toc120291070" w:history="1">
            <w:r w:rsidR="00614C2B" w:rsidRPr="00084E7E">
              <w:rPr>
                <w:rStyle w:val="Hyperlink"/>
                <w:noProof/>
              </w:rPr>
              <w:t>4</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Data Quality and service response</w:t>
            </w:r>
            <w:r w:rsidR="00614C2B">
              <w:rPr>
                <w:noProof/>
                <w:webHidden/>
              </w:rPr>
              <w:tab/>
            </w:r>
            <w:r w:rsidR="00614C2B">
              <w:rPr>
                <w:noProof/>
                <w:webHidden/>
              </w:rPr>
              <w:fldChar w:fldCharType="begin"/>
            </w:r>
            <w:r w:rsidR="00614C2B">
              <w:rPr>
                <w:noProof/>
                <w:webHidden/>
              </w:rPr>
              <w:instrText xml:space="preserve"> PAGEREF _Toc120291070 \h </w:instrText>
            </w:r>
            <w:r w:rsidR="00614C2B">
              <w:rPr>
                <w:noProof/>
                <w:webHidden/>
              </w:rPr>
            </w:r>
            <w:r w:rsidR="00614C2B">
              <w:rPr>
                <w:noProof/>
                <w:webHidden/>
              </w:rPr>
              <w:fldChar w:fldCharType="separate"/>
            </w:r>
            <w:r w:rsidR="00614C2B">
              <w:rPr>
                <w:noProof/>
                <w:webHidden/>
              </w:rPr>
              <w:t>8</w:t>
            </w:r>
            <w:r w:rsidR="00614C2B">
              <w:rPr>
                <w:noProof/>
                <w:webHidden/>
              </w:rPr>
              <w:fldChar w:fldCharType="end"/>
            </w:r>
          </w:hyperlink>
        </w:p>
        <w:p w14:paraId="61439F5D" w14:textId="527979A5" w:rsidR="00614C2B" w:rsidRDefault="00BE0D75">
          <w:pPr>
            <w:pStyle w:val="TOC1"/>
            <w:rPr>
              <w:rFonts w:asciiTheme="minorHAnsi" w:eastAsiaTheme="minorEastAsia" w:hAnsiTheme="minorHAnsi" w:cstheme="minorBidi"/>
              <w:noProof/>
              <w:color w:val="auto"/>
              <w:sz w:val="22"/>
              <w:lang w:val="en-AU" w:eastAsia="en-AU"/>
            </w:rPr>
          </w:pPr>
          <w:hyperlink w:anchor="_Toc120291071" w:history="1">
            <w:r w:rsidR="00614C2B" w:rsidRPr="00084E7E">
              <w:rPr>
                <w:rStyle w:val="Hyperlink"/>
                <w:noProof/>
              </w:rPr>
              <w:t>5</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Responses to Food and Nutrition Report questions</w:t>
            </w:r>
            <w:r w:rsidR="00614C2B">
              <w:rPr>
                <w:noProof/>
                <w:webHidden/>
              </w:rPr>
              <w:tab/>
            </w:r>
            <w:r w:rsidR="00614C2B">
              <w:rPr>
                <w:noProof/>
                <w:webHidden/>
              </w:rPr>
              <w:fldChar w:fldCharType="begin"/>
            </w:r>
            <w:r w:rsidR="00614C2B">
              <w:rPr>
                <w:noProof/>
                <w:webHidden/>
              </w:rPr>
              <w:instrText xml:space="preserve"> PAGEREF _Toc120291071 \h </w:instrText>
            </w:r>
            <w:r w:rsidR="00614C2B">
              <w:rPr>
                <w:noProof/>
                <w:webHidden/>
              </w:rPr>
            </w:r>
            <w:r w:rsidR="00614C2B">
              <w:rPr>
                <w:noProof/>
                <w:webHidden/>
              </w:rPr>
              <w:fldChar w:fldCharType="separate"/>
            </w:r>
            <w:r w:rsidR="00614C2B">
              <w:rPr>
                <w:noProof/>
                <w:webHidden/>
              </w:rPr>
              <w:t>9</w:t>
            </w:r>
            <w:r w:rsidR="00614C2B">
              <w:rPr>
                <w:noProof/>
                <w:webHidden/>
              </w:rPr>
              <w:fldChar w:fldCharType="end"/>
            </w:r>
          </w:hyperlink>
        </w:p>
        <w:p w14:paraId="7A45A68C" w14:textId="23342136" w:rsidR="00614C2B" w:rsidRDefault="00BE0D75">
          <w:pPr>
            <w:pStyle w:val="TOC1"/>
            <w:rPr>
              <w:rFonts w:asciiTheme="minorHAnsi" w:eastAsiaTheme="minorEastAsia" w:hAnsiTheme="minorHAnsi" w:cstheme="minorBidi"/>
              <w:noProof/>
              <w:color w:val="auto"/>
              <w:sz w:val="22"/>
              <w:lang w:val="en-AU" w:eastAsia="en-AU"/>
            </w:rPr>
          </w:pPr>
          <w:hyperlink w:anchor="_Toc120291072" w:history="1">
            <w:r w:rsidR="00614C2B" w:rsidRPr="00084E7E">
              <w:rPr>
                <w:rStyle w:val="Hyperlink"/>
                <w:noProof/>
              </w:rPr>
              <w:t>6</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Analysis of reported expenditure on food and nutrition</w:t>
            </w:r>
            <w:r w:rsidR="00614C2B">
              <w:rPr>
                <w:noProof/>
                <w:webHidden/>
              </w:rPr>
              <w:tab/>
            </w:r>
            <w:r w:rsidR="00614C2B">
              <w:rPr>
                <w:noProof/>
                <w:webHidden/>
              </w:rPr>
              <w:fldChar w:fldCharType="begin"/>
            </w:r>
            <w:r w:rsidR="00614C2B">
              <w:rPr>
                <w:noProof/>
                <w:webHidden/>
              </w:rPr>
              <w:instrText xml:space="preserve"> PAGEREF _Toc120291072 \h </w:instrText>
            </w:r>
            <w:r w:rsidR="00614C2B">
              <w:rPr>
                <w:noProof/>
                <w:webHidden/>
              </w:rPr>
            </w:r>
            <w:r w:rsidR="00614C2B">
              <w:rPr>
                <w:noProof/>
                <w:webHidden/>
              </w:rPr>
              <w:fldChar w:fldCharType="separate"/>
            </w:r>
            <w:r w:rsidR="00614C2B">
              <w:rPr>
                <w:noProof/>
                <w:webHidden/>
              </w:rPr>
              <w:t>10</w:t>
            </w:r>
            <w:r w:rsidR="00614C2B">
              <w:rPr>
                <w:noProof/>
                <w:webHidden/>
              </w:rPr>
              <w:fldChar w:fldCharType="end"/>
            </w:r>
          </w:hyperlink>
        </w:p>
        <w:p w14:paraId="5D133B0C" w14:textId="5E621B2F" w:rsidR="00614C2B" w:rsidRDefault="00BE0D75">
          <w:pPr>
            <w:pStyle w:val="TOC2"/>
            <w:rPr>
              <w:rFonts w:asciiTheme="minorHAnsi" w:eastAsiaTheme="minorEastAsia" w:hAnsiTheme="minorHAnsi" w:cstheme="minorBidi"/>
              <w:noProof/>
              <w:color w:val="auto"/>
              <w:sz w:val="22"/>
              <w:lang w:val="en-AU" w:eastAsia="en-AU"/>
            </w:rPr>
          </w:pPr>
          <w:hyperlink w:anchor="_Toc120291073" w:history="1">
            <w:r w:rsidR="00614C2B" w:rsidRPr="00084E7E">
              <w:rPr>
                <w:rStyle w:val="Hyperlink"/>
                <w:noProof/>
              </w:rPr>
              <w:t>Food expenditure, average daily spend per resident per day</w:t>
            </w:r>
            <w:r w:rsidR="00614C2B">
              <w:rPr>
                <w:noProof/>
                <w:webHidden/>
              </w:rPr>
              <w:tab/>
            </w:r>
            <w:r w:rsidR="00614C2B">
              <w:rPr>
                <w:noProof/>
                <w:webHidden/>
              </w:rPr>
              <w:fldChar w:fldCharType="begin"/>
            </w:r>
            <w:r w:rsidR="00614C2B">
              <w:rPr>
                <w:noProof/>
                <w:webHidden/>
              </w:rPr>
              <w:instrText xml:space="preserve"> PAGEREF _Toc120291073 \h </w:instrText>
            </w:r>
            <w:r w:rsidR="00614C2B">
              <w:rPr>
                <w:noProof/>
                <w:webHidden/>
              </w:rPr>
            </w:r>
            <w:r w:rsidR="00614C2B">
              <w:rPr>
                <w:noProof/>
                <w:webHidden/>
              </w:rPr>
              <w:fldChar w:fldCharType="separate"/>
            </w:r>
            <w:r w:rsidR="00614C2B">
              <w:rPr>
                <w:noProof/>
                <w:webHidden/>
              </w:rPr>
              <w:t>10</w:t>
            </w:r>
            <w:r w:rsidR="00614C2B">
              <w:rPr>
                <w:noProof/>
                <w:webHidden/>
              </w:rPr>
              <w:fldChar w:fldCharType="end"/>
            </w:r>
          </w:hyperlink>
        </w:p>
        <w:p w14:paraId="45CD34AB" w14:textId="6340B4B4" w:rsidR="00614C2B" w:rsidRDefault="00BE0D75">
          <w:pPr>
            <w:pStyle w:val="TOC2"/>
            <w:rPr>
              <w:rFonts w:asciiTheme="minorHAnsi" w:eastAsiaTheme="minorEastAsia" w:hAnsiTheme="minorHAnsi" w:cstheme="minorBidi"/>
              <w:noProof/>
              <w:color w:val="auto"/>
              <w:sz w:val="22"/>
              <w:lang w:val="en-AU" w:eastAsia="en-AU"/>
            </w:rPr>
          </w:pPr>
          <w:hyperlink w:anchor="_Toc120291074" w:history="1">
            <w:r w:rsidR="00614C2B" w:rsidRPr="00084E7E">
              <w:rPr>
                <w:rStyle w:val="Hyperlink"/>
                <w:noProof/>
              </w:rPr>
              <w:t>Expenditure on food and ingredients only</w:t>
            </w:r>
            <w:r w:rsidR="00614C2B">
              <w:rPr>
                <w:noProof/>
                <w:webHidden/>
              </w:rPr>
              <w:tab/>
            </w:r>
            <w:r w:rsidR="00614C2B">
              <w:rPr>
                <w:noProof/>
                <w:webHidden/>
              </w:rPr>
              <w:fldChar w:fldCharType="begin"/>
            </w:r>
            <w:r w:rsidR="00614C2B">
              <w:rPr>
                <w:noProof/>
                <w:webHidden/>
              </w:rPr>
              <w:instrText xml:space="preserve"> PAGEREF _Toc120291074 \h </w:instrText>
            </w:r>
            <w:r w:rsidR="00614C2B">
              <w:rPr>
                <w:noProof/>
                <w:webHidden/>
              </w:rPr>
            </w:r>
            <w:r w:rsidR="00614C2B">
              <w:rPr>
                <w:noProof/>
                <w:webHidden/>
              </w:rPr>
              <w:fldChar w:fldCharType="separate"/>
            </w:r>
            <w:r w:rsidR="00614C2B">
              <w:rPr>
                <w:noProof/>
                <w:webHidden/>
              </w:rPr>
              <w:t>10</w:t>
            </w:r>
            <w:r w:rsidR="00614C2B">
              <w:rPr>
                <w:noProof/>
                <w:webHidden/>
              </w:rPr>
              <w:fldChar w:fldCharType="end"/>
            </w:r>
          </w:hyperlink>
        </w:p>
        <w:p w14:paraId="6C6A60E1" w14:textId="69C9F3BC" w:rsidR="00614C2B" w:rsidRDefault="00BE0D75">
          <w:pPr>
            <w:pStyle w:val="TOC2"/>
            <w:rPr>
              <w:rFonts w:asciiTheme="minorHAnsi" w:eastAsiaTheme="minorEastAsia" w:hAnsiTheme="minorHAnsi" w:cstheme="minorBidi"/>
              <w:noProof/>
              <w:color w:val="auto"/>
              <w:sz w:val="22"/>
              <w:lang w:val="en-AU" w:eastAsia="en-AU"/>
            </w:rPr>
          </w:pPr>
          <w:hyperlink w:anchor="_Toc120291075" w:history="1">
            <w:r w:rsidR="00614C2B" w:rsidRPr="00084E7E">
              <w:rPr>
                <w:rStyle w:val="Hyperlink"/>
                <w:noProof/>
              </w:rPr>
              <w:t>Expenditure on contract catering only</w:t>
            </w:r>
            <w:r w:rsidR="00614C2B">
              <w:rPr>
                <w:noProof/>
                <w:webHidden/>
              </w:rPr>
              <w:tab/>
            </w:r>
            <w:r w:rsidR="00614C2B">
              <w:rPr>
                <w:noProof/>
                <w:webHidden/>
              </w:rPr>
              <w:fldChar w:fldCharType="begin"/>
            </w:r>
            <w:r w:rsidR="00614C2B">
              <w:rPr>
                <w:noProof/>
                <w:webHidden/>
              </w:rPr>
              <w:instrText xml:space="preserve"> PAGEREF _Toc120291075 \h </w:instrText>
            </w:r>
            <w:r w:rsidR="00614C2B">
              <w:rPr>
                <w:noProof/>
                <w:webHidden/>
              </w:rPr>
            </w:r>
            <w:r w:rsidR="00614C2B">
              <w:rPr>
                <w:noProof/>
                <w:webHidden/>
              </w:rPr>
              <w:fldChar w:fldCharType="separate"/>
            </w:r>
            <w:r w:rsidR="00614C2B">
              <w:rPr>
                <w:noProof/>
                <w:webHidden/>
              </w:rPr>
              <w:t>11</w:t>
            </w:r>
            <w:r w:rsidR="00614C2B">
              <w:rPr>
                <w:noProof/>
                <w:webHidden/>
              </w:rPr>
              <w:fldChar w:fldCharType="end"/>
            </w:r>
          </w:hyperlink>
        </w:p>
        <w:p w14:paraId="481392FF" w14:textId="223266BC" w:rsidR="00614C2B" w:rsidRDefault="00BE0D75">
          <w:pPr>
            <w:pStyle w:val="TOC2"/>
            <w:rPr>
              <w:rFonts w:asciiTheme="minorHAnsi" w:eastAsiaTheme="minorEastAsia" w:hAnsiTheme="minorHAnsi" w:cstheme="minorBidi"/>
              <w:noProof/>
              <w:color w:val="auto"/>
              <w:sz w:val="22"/>
              <w:lang w:val="en-AU" w:eastAsia="en-AU"/>
            </w:rPr>
          </w:pPr>
          <w:hyperlink w:anchor="_Toc120291076" w:history="1">
            <w:r w:rsidR="00614C2B" w:rsidRPr="00084E7E">
              <w:rPr>
                <w:rStyle w:val="Hyperlink"/>
                <w:noProof/>
              </w:rPr>
              <w:t>Expenditure on a combination of food and ingredients and contract catering</w:t>
            </w:r>
            <w:r w:rsidR="00614C2B">
              <w:rPr>
                <w:noProof/>
                <w:webHidden/>
              </w:rPr>
              <w:tab/>
            </w:r>
            <w:r w:rsidR="00614C2B">
              <w:rPr>
                <w:noProof/>
                <w:webHidden/>
              </w:rPr>
              <w:fldChar w:fldCharType="begin"/>
            </w:r>
            <w:r w:rsidR="00614C2B">
              <w:rPr>
                <w:noProof/>
                <w:webHidden/>
              </w:rPr>
              <w:instrText xml:space="preserve"> PAGEREF _Toc120291076 \h </w:instrText>
            </w:r>
            <w:r w:rsidR="00614C2B">
              <w:rPr>
                <w:noProof/>
                <w:webHidden/>
              </w:rPr>
            </w:r>
            <w:r w:rsidR="00614C2B">
              <w:rPr>
                <w:noProof/>
                <w:webHidden/>
              </w:rPr>
              <w:fldChar w:fldCharType="separate"/>
            </w:r>
            <w:r w:rsidR="00614C2B">
              <w:rPr>
                <w:noProof/>
                <w:webHidden/>
              </w:rPr>
              <w:t>11</w:t>
            </w:r>
            <w:r w:rsidR="00614C2B">
              <w:rPr>
                <w:noProof/>
                <w:webHidden/>
              </w:rPr>
              <w:fldChar w:fldCharType="end"/>
            </w:r>
          </w:hyperlink>
        </w:p>
        <w:p w14:paraId="31FB12D6" w14:textId="7D08A825" w:rsidR="00614C2B" w:rsidRDefault="00BE0D75">
          <w:pPr>
            <w:pStyle w:val="TOC2"/>
            <w:rPr>
              <w:rFonts w:asciiTheme="minorHAnsi" w:eastAsiaTheme="minorEastAsia" w:hAnsiTheme="minorHAnsi" w:cstheme="minorBidi"/>
              <w:noProof/>
              <w:color w:val="auto"/>
              <w:sz w:val="22"/>
              <w:lang w:val="en-AU" w:eastAsia="en-AU"/>
            </w:rPr>
          </w:pPr>
          <w:hyperlink w:anchor="_Toc120291077" w:history="1">
            <w:r w:rsidR="00614C2B" w:rsidRPr="00084E7E">
              <w:rPr>
                <w:rStyle w:val="Hyperlink"/>
                <w:noProof/>
                <w:lang w:val="en-AU" w:eastAsia="zh-CN"/>
              </w:rPr>
              <w:t>Residential services spending more than $10 per day</w:t>
            </w:r>
            <w:r w:rsidR="00614C2B">
              <w:rPr>
                <w:noProof/>
                <w:webHidden/>
              </w:rPr>
              <w:tab/>
            </w:r>
            <w:r w:rsidR="00614C2B">
              <w:rPr>
                <w:noProof/>
                <w:webHidden/>
              </w:rPr>
              <w:fldChar w:fldCharType="begin"/>
            </w:r>
            <w:r w:rsidR="00614C2B">
              <w:rPr>
                <w:noProof/>
                <w:webHidden/>
              </w:rPr>
              <w:instrText xml:space="preserve"> PAGEREF _Toc120291077 \h </w:instrText>
            </w:r>
            <w:r w:rsidR="00614C2B">
              <w:rPr>
                <w:noProof/>
                <w:webHidden/>
              </w:rPr>
            </w:r>
            <w:r w:rsidR="00614C2B">
              <w:rPr>
                <w:noProof/>
                <w:webHidden/>
              </w:rPr>
              <w:fldChar w:fldCharType="separate"/>
            </w:r>
            <w:r w:rsidR="00614C2B">
              <w:rPr>
                <w:noProof/>
                <w:webHidden/>
              </w:rPr>
              <w:t>11</w:t>
            </w:r>
            <w:r w:rsidR="00614C2B">
              <w:rPr>
                <w:noProof/>
                <w:webHidden/>
              </w:rPr>
              <w:fldChar w:fldCharType="end"/>
            </w:r>
          </w:hyperlink>
        </w:p>
        <w:p w14:paraId="080E5930" w14:textId="429FE6CA" w:rsidR="00614C2B" w:rsidRDefault="00BE0D75">
          <w:pPr>
            <w:pStyle w:val="TOC2"/>
            <w:rPr>
              <w:rFonts w:asciiTheme="minorHAnsi" w:eastAsiaTheme="minorEastAsia" w:hAnsiTheme="minorHAnsi" w:cstheme="minorBidi"/>
              <w:noProof/>
              <w:color w:val="auto"/>
              <w:sz w:val="22"/>
              <w:lang w:val="en-AU" w:eastAsia="en-AU"/>
            </w:rPr>
          </w:pPr>
          <w:hyperlink w:anchor="_Toc120291078" w:history="1">
            <w:r w:rsidR="00614C2B" w:rsidRPr="00084E7E">
              <w:rPr>
                <w:rStyle w:val="Hyperlink"/>
                <w:noProof/>
                <w:lang w:val="en-AU" w:eastAsia="zh-CN"/>
              </w:rPr>
              <w:t>Residential services spending less than $6 per day</w:t>
            </w:r>
            <w:r w:rsidR="00614C2B">
              <w:rPr>
                <w:noProof/>
                <w:webHidden/>
              </w:rPr>
              <w:tab/>
            </w:r>
            <w:r w:rsidR="00614C2B">
              <w:rPr>
                <w:noProof/>
                <w:webHidden/>
              </w:rPr>
              <w:fldChar w:fldCharType="begin"/>
            </w:r>
            <w:r w:rsidR="00614C2B">
              <w:rPr>
                <w:noProof/>
                <w:webHidden/>
              </w:rPr>
              <w:instrText xml:space="preserve"> PAGEREF _Toc120291078 \h </w:instrText>
            </w:r>
            <w:r w:rsidR="00614C2B">
              <w:rPr>
                <w:noProof/>
                <w:webHidden/>
              </w:rPr>
            </w:r>
            <w:r w:rsidR="00614C2B">
              <w:rPr>
                <w:noProof/>
                <w:webHidden/>
              </w:rPr>
              <w:fldChar w:fldCharType="separate"/>
            </w:r>
            <w:r w:rsidR="00614C2B">
              <w:rPr>
                <w:noProof/>
                <w:webHidden/>
              </w:rPr>
              <w:t>12</w:t>
            </w:r>
            <w:r w:rsidR="00614C2B">
              <w:rPr>
                <w:noProof/>
                <w:webHidden/>
              </w:rPr>
              <w:fldChar w:fldCharType="end"/>
            </w:r>
          </w:hyperlink>
        </w:p>
        <w:p w14:paraId="298037D1" w14:textId="0A5E60F1" w:rsidR="00614C2B" w:rsidRDefault="00BE0D75">
          <w:pPr>
            <w:pStyle w:val="TOC2"/>
            <w:rPr>
              <w:rFonts w:asciiTheme="minorHAnsi" w:eastAsiaTheme="minorEastAsia" w:hAnsiTheme="minorHAnsi" w:cstheme="minorBidi"/>
              <w:noProof/>
              <w:color w:val="auto"/>
              <w:sz w:val="22"/>
              <w:lang w:val="en-AU" w:eastAsia="en-AU"/>
            </w:rPr>
          </w:pPr>
          <w:hyperlink w:anchor="_Toc120291079" w:history="1">
            <w:r w:rsidR="00614C2B" w:rsidRPr="00084E7E">
              <w:rPr>
                <w:rStyle w:val="Hyperlink"/>
                <w:noProof/>
                <w:lang w:val="en-AU" w:eastAsia="zh-CN"/>
              </w:rPr>
              <w:t>Other insights</w:t>
            </w:r>
            <w:r w:rsidR="00614C2B">
              <w:rPr>
                <w:noProof/>
                <w:webHidden/>
              </w:rPr>
              <w:tab/>
            </w:r>
            <w:r w:rsidR="00614C2B">
              <w:rPr>
                <w:noProof/>
                <w:webHidden/>
              </w:rPr>
              <w:fldChar w:fldCharType="begin"/>
            </w:r>
            <w:r w:rsidR="00614C2B">
              <w:rPr>
                <w:noProof/>
                <w:webHidden/>
              </w:rPr>
              <w:instrText xml:space="preserve"> PAGEREF _Toc120291079 \h </w:instrText>
            </w:r>
            <w:r w:rsidR="00614C2B">
              <w:rPr>
                <w:noProof/>
                <w:webHidden/>
              </w:rPr>
            </w:r>
            <w:r w:rsidR="00614C2B">
              <w:rPr>
                <w:noProof/>
                <w:webHidden/>
              </w:rPr>
              <w:fldChar w:fldCharType="separate"/>
            </w:r>
            <w:r w:rsidR="00614C2B">
              <w:rPr>
                <w:noProof/>
                <w:webHidden/>
              </w:rPr>
              <w:t>12</w:t>
            </w:r>
            <w:r w:rsidR="00614C2B">
              <w:rPr>
                <w:noProof/>
                <w:webHidden/>
              </w:rPr>
              <w:fldChar w:fldCharType="end"/>
            </w:r>
          </w:hyperlink>
        </w:p>
        <w:p w14:paraId="36EA1B4D" w14:textId="6C454832" w:rsidR="00614C2B" w:rsidRDefault="00BE0D75">
          <w:pPr>
            <w:pStyle w:val="TOC1"/>
            <w:rPr>
              <w:rFonts w:asciiTheme="minorHAnsi" w:eastAsiaTheme="minorEastAsia" w:hAnsiTheme="minorHAnsi" w:cstheme="minorBidi"/>
              <w:noProof/>
              <w:color w:val="auto"/>
              <w:sz w:val="22"/>
              <w:lang w:val="en-AU" w:eastAsia="en-AU"/>
            </w:rPr>
          </w:pPr>
          <w:hyperlink w:anchor="_Toc120291080" w:history="1">
            <w:r w:rsidR="00614C2B" w:rsidRPr="00084E7E">
              <w:rPr>
                <w:rStyle w:val="Hyperlink"/>
                <w:noProof/>
              </w:rPr>
              <w:t>7</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Creative and innovative practices reported</w:t>
            </w:r>
            <w:r w:rsidR="00614C2B">
              <w:rPr>
                <w:noProof/>
                <w:webHidden/>
              </w:rPr>
              <w:tab/>
            </w:r>
            <w:r w:rsidR="00614C2B">
              <w:rPr>
                <w:noProof/>
                <w:webHidden/>
              </w:rPr>
              <w:fldChar w:fldCharType="begin"/>
            </w:r>
            <w:r w:rsidR="00614C2B">
              <w:rPr>
                <w:noProof/>
                <w:webHidden/>
              </w:rPr>
              <w:instrText xml:space="preserve"> PAGEREF _Toc120291080 \h </w:instrText>
            </w:r>
            <w:r w:rsidR="00614C2B">
              <w:rPr>
                <w:noProof/>
                <w:webHidden/>
              </w:rPr>
            </w:r>
            <w:r w:rsidR="00614C2B">
              <w:rPr>
                <w:noProof/>
                <w:webHidden/>
              </w:rPr>
              <w:fldChar w:fldCharType="separate"/>
            </w:r>
            <w:r w:rsidR="00614C2B">
              <w:rPr>
                <w:noProof/>
                <w:webHidden/>
              </w:rPr>
              <w:t>13</w:t>
            </w:r>
            <w:r w:rsidR="00614C2B">
              <w:rPr>
                <w:noProof/>
                <w:webHidden/>
              </w:rPr>
              <w:fldChar w:fldCharType="end"/>
            </w:r>
          </w:hyperlink>
        </w:p>
        <w:p w14:paraId="4E2632A9" w14:textId="110A158C" w:rsidR="00614C2B" w:rsidRDefault="00BE0D75">
          <w:pPr>
            <w:pStyle w:val="TOC1"/>
            <w:rPr>
              <w:rFonts w:asciiTheme="minorHAnsi" w:eastAsiaTheme="minorEastAsia" w:hAnsiTheme="minorHAnsi" w:cstheme="minorBidi"/>
              <w:noProof/>
              <w:color w:val="auto"/>
              <w:sz w:val="22"/>
              <w:lang w:val="en-AU" w:eastAsia="en-AU"/>
            </w:rPr>
          </w:pPr>
          <w:hyperlink w:anchor="_Toc120291081" w:history="1">
            <w:r w:rsidR="00614C2B" w:rsidRPr="00084E7E">
              <w:rPr>
                <w:rStyle w:val="Hyperlink"/>
                <w:noProof/>
              </w:rPr>
              <w:t>8</w:t>
            </w:r>
            <w:r w:rsidR="00614C2B">
              <w:rPr>
                <w:rFonts w:asciiTheme="minorHAnsi" w:eastAsiaTheme="minorEastAsia" w:hAnsiTheme="minorHAnsi" w:cstheme="minorBidi"/>
                <w:noProof/>
                <w:color w:val="auto"/>
                <w:sz w:val="22"/>
                <w:lang w:val="en-AU" w:eastAsia="en-AU"/>
              </w:rPr>
              <w:tab/>
            </w:r>
            <w:r w:rsidR="00614C2B" w:rsidRPr="00084E7E">
              <w:rPr>
                <w:rStyle w:val="Hyperlink"/>
                <w:noProof/>
              </w:rPr>
              <w:t>Continuous improvement of Food and Nutrition in Aged Care</w:t>
            </w:r>
            <w:r w:rsidR="00614C2B">
              <w:rPr>
                <w:noProof/>
                <w:webHidden/>
              </w:rPr>
              <w:tab/>
            </w:r>
            <w:r w:rsidR="00614C2B">
              <w:rPr>
                <w:noProof/>
                <w:webHidden/>
              </w:rPr>
              <w:fldChar w:fldCharType="begin"/>
            </w:r>
            <w:r w:rsidR="00614C2B">
              <w:rPr>
                <w:noProof/>
                <w:webHidden/>
              </w:rPr>
              <w:instrText xml:space="preserve"> PAGEREF _Toc120291081 \h </w:instrText>
            </w:r>
            <w:r w:rsidR="00614C2B">
              <w:rPr>
                <w:noProof/>
                <w:webHidden/>
              </w:rPr>
            </w:r>
            <w:r w:rsidR="00614C2B">
              <w:rPr>
                <w:noProof/>
                <w:webHidden/>
              </w:rPr>
              <w:fldChar w:fldCharType="separate"/>
            </w:r>
            <w:r w:rsidR="00614C2B">
              <w:rPr>
                <w:noProof/>
                <w:webHidden/>
              </w:rPr>
              <w:t>14</w:t>
            </w:r>
            <w:r w:rsidR="00614C2B">
              <w:rPr>
                <w:noProof/>
                <w:webHidden/>
              </w:rPr>
              <w:fldChar w:fldCharType="end"/>
            </w:r>
          </w:hyperlink>
        </w:p>
        <w:p w14:paraId="2A72677F" w14:textId="1374340D" w:rsidR="00614C2B" w:rsidRDefault="00BE0D75">
          <w:pPr>
            <w:pStyle w:val="TOC1"/>
            <w:rPr>
              <w:rFonts w:asciiTheme="minorHAnsi" w:eastAsiaTheme="minorEastAsia" w:hAnsiTheme="minorHAnsi" w:cstheme="minorBidi"/>
              <w:noProof/>
              <w:color w:val="auto"/>
              <w:sz w:val="22"/>
              <w:lang w:val="en-AU" w:eastAsia="en-AU"/>
            </w:rPr>
          </w:pPr>
          <w:hyperlink w:anchor="_Toc120291082" w:history="1">
            <w:r w:rsidR="00614C2B" w:rsidRPr="00084E7E">
              <w:rPr>
                <w:rStyle w:val="Hyperlink"/>
                <w:noProof/>
              </w:rPr>
              <w:t>Appendix A: Data tables</w:t>
            </w:r>
            <w:r w:rsidR="00614C2B">
              <w:rPr>
                <w:noProof/>
                <w:webHidden/>
              </w:rPr>
              <w:tab/>
            </w:r>
            <w:r w:rsidR="00614C2B">
              <w:rPr>
                <w:noProof/>
                <w:webHidden/>
              </w:rPr>
              <w:fldChar w:fldCharType="begin"/>
            </w:r>
            <w:r w:rsidR="00614C2B">
              <w:rPr>
                <w:noProof/>
                <w:webHidden/>
              </w:rPr>
              <w:instrText xml:space="preserve"> PAGEREF _Toc120291082 \h </w:instrText>
            </w:r>
            <w:r w:rsidR="00614C2B">
              <w:rPr>
                <w:noProof/>
                <w:webHidden/>
              </w:rPr>
            </w:r>
            <w:r w:rsidR="00614C2B">
              <w:rPr>
                <w:noProof/>
                <w:webHidden/>
              </w:rPr>
              <w:fldChar w:fldCharType="separate"/>
            </w:r>
            <w:r w:rsidR="00614C2B">
              <w:rPr>
                <w:noProof/>
                <w:webHidden/>
              </w:rPr>
              <w:t>15</w:t>
            </w:r>
            <w:r w:rsidR="00614C2B">
              <w:rPr>
                <w:noProof/>
                <w:webHidden/>
              </w:rPr>
              <w:fldChar w:fldCharType="end"/>
            </w:r>
          </w:hyperlink>
        </w:p>
        <w:p w14:paraId="73B20EE4" w14:textId="01F92E69" w:rsidR="00E03442" w:rsidRPr="00BF30A6" w:rsidRDefault="00E03442" w:rsidP="009E2B3F">
          <w:r w:rsidRPr="009C7881">
            <w:rPr>
              <w:noProof/>
              <w:szCs w:val="24"/>
            </w:rPr>
            <w:fldChar w:fldCharType="end"/>
          </w:r>
        </w:p>
      </w:sdtContent>
    </w:sdt>
    <w:p w14:paraId="4D690DD2" w14:textId="77777777" w:rsidR="005B384B" w:rsidRPr="005B384B" w:rsidRDefault="005B384B"/>
    <w:p w14:paraId="18A1B96D" w14:textId="16B617C8" w:rsidR="004C5B2E" w:rsidRPr="00BF30A6" w:rsidRDefault="004C5B2E" w:rsidP="00BF30A6">
      <w:pPr>
        <w:sectPr w:rsidR="004C5B2E" w:rsidRPr="00BF30A6" w:rsidSect="00C92242">
          <w:pgSz w:w="11910" w:h="16840"/>
          <w:pgMar w:top="993" w:right="1021" w:bottom="278" w:left="1021" w:header="720" w:footer="720" w:gutter="0"/>
          <w:cols w:space="720"/>
        </w:sectPr>
      </w:pPr>
    </w:p>
    <w:p w14:paraId="0AA64997" w14:textId="0085B204" w:rsidR="00962F0A" w:rsidRPr="00AE57FA" w:rsidRDefault="00962F0A" w:rsidP="00FD31D5">
      <w:pPr>
        <w:pStyle w:val="Heading1"/>
      </w:pPr>
      <w:bookmarkStart w:id="0" w:name="_Toc120291067"/>
      <w:r>
        <w:lastRenderedPageBreak/>
        <w:t>Summary</w:t>
      </w:r>
      <w:bookmarkEnd w:id="0"/>
    </w:p>
    <w:p w14:paraId="2A974B47" w14:textId="1820D10C" w:rsidR="00A4637C" w:rsidRPr="00BF30A6" w:rsidRDefault="00727D0E" w:rsidP="00BF30A6">
      <w:r w:rsidRPr="00BF30A6">
        <w:t xml:space="preserve">This Food and Nutrition </w:t>
      </w:r>
      <w:r w:rsidR="00335C63" w:rsidRPr="00BF30A6">
        <w:t xml:space="preserve">Report </w:t>
      </w:r>
      <w:r w:rsidRPr="00BF30A6">
        <w:t>details</w:t>
      </w:r>
      <w:r w:rsidR="00E41273" w:rsidRPr="00BF30A6">
        <w:t xml:space="preserve"> </w:t>
      </w:r>
      <w:r w:rsidRPr="00BF30A6">
        <w:t xml:space="preserve">reporting outcomes and trend analysis from the </w:t>
      </w:r>
      <w:r w:rsidR="00A4637C" w:rsidRPr="00BF30A6">
        <w:t xml:space="preserve">2021 </w:t>
      </w:r>
      <w:r w:rsidRPr="00BF30A6">
        <w:t>Basic Daily Fe</w:t>
      </w:r>
      <w:r w:rsidR="00D129FC" w:rsidRPr="00BF30A6">
        <w:t>e</w:t>
      </w:r>
      <w:r w:rsidRPr="00BF30A6">
        <w:t xml:space="preserve"> </w:t>
      </w:r>
      <w:r w:rsidR="00335C63" w:rsidRPr="00BF30A6">
        <w:t xml:space="preserve">(BDF) </w:t>
      </w:r>
      <w:r w:rsidR="00A4637C" w:rsidRPr="00BF30A6">
        <w:t>S</w:t>
      </w:r>
      <w:r w:rsidRPr="00BF30A6">
        <w:t>upplement paid to aged care providers</w:t>
      </w:r>
      <w:r w:rsidR="001F14F6" w:rsidRPr="00BF30A6">
        <w:t xml:space="preserve"> in the 2021-2022 financial year</w:t>
      </w:r>
      <w:r w:rsidRPr="00BF30A6">
        <w:t xml:space="preserve">. </w:t>
      </w:r>
    </w:p>
    <w:p w14:paraId="5C57A162" w14:textId="685A9158" w:rsidR="00790F61" w:rsidRPr="00BF30A6" w:rsidRDefault="004A7B0B" w:rsidP="00BF30A6">
      <w:r w:rsidRPr="00BF30A6">
        <w:t xml:space="preserve">The first Food and Nutrition </w:t>
      </w:r>
      <w:r w:rsidR="00335C63" w:rsidRPr="00BF30A6">
        <w:t xml:space="preserve">Report </w:t>
      </w:r>
      <w:r w:rsidRPr="00BF30A6">
        <w:t>was published on 28 March 2022 and captured reporting outcomes for the first six months of the B</w:t>
      </w:r>
      <w:r w:rsidR="007345B8" w:rsidRPr="00BF30A6">
        <w:t>DF</w:t>
      </w:r>
      <w:r w:rsidRPr="00BF30A6">
        <w:t xml:space="preserve">. </w:t>
      </w:r>
      <w:r w:rsidR="00727D0E" w:rsidRPr="00BF30A6">
        <w:t xml:space="preserve">This report is the second </w:t>
      </w:r>
      <w:r w:rsidR="00D91A3E" w:rsidRPr="00BF30A6">
        <w:t>report</w:t>
      </w:r>
      <w:r w:rsidR="007E0F50" w:rsidRPr="00BF30A6">
        <w:t xml:space="preserve"> and </w:t>
      </w:r>
      <w:r w:rsidR="00F919ED" w:rsidRPr="00BF30A6">
        <w:t>captures</w:t>
      </w:r>
      <w:r w:rsidR="00A4637C" w:rsidRPr="00BF30A6">
        <w:t xml:space="preserve"> </w:t>
      </w:r>
      <w:r w:rsidR="00F919ED" w:rsidRPr="00BF30A6">
        <w:t>reporting outcomes</w:t>
      </w:r>
      <w:r w:rsidR="00A4637C" w:rsidRPr="00BF30A6">
        <w:t xml:space="preserve"> across </w:t>
      </w:r>
      <w:r w:rsidR="00614B7E" w:rsidRPr="00BF30A6">
        <w:t xml:space="preserve">the </w:t>
      </w:r>
      <w:r w:rsidR="00A4637C" w:rsidRPr="00BF30A6">
        <w:t>full</w:t>
      </w:r>
      <w:r w:rsidR="00596FCD" w:rsidRPr="00BF30A6">
        <w:t xml:space="preserve"> 2021-2022</w:t>
      </w:r>
      <w:r w:rsidR="00A4637C" w:rsidRPr="00BF30A6">
        <w:t xml:space="preserve"> financial</w:t>
      </w:r>
      <w:r w:rsidR="00B33F77" w:rsidRPr="00BF30A6">
        <w:t xml:space="preserve"> year</w:t>
      </w:r>
      <w:r w:rsidR="00727D0E" w:rsidRPr="00BF30A6">
        <w:t>.</w:t>
      </w:r>
    </w:p>
    <w:p w14:paraId="1F583835" w14:textId="2AE9D9F0" w:rsidR="004420B3" w:rsidRPr="00FD31D5" w:rsidRDefault="006B6098" w:rsidP="00BF30A6">
      <w:r w:rsidRPr="00BF30A6">
        <w:t xml:space="preserve">The </w:t>
      </w:r>
      <w:r w:rsidR="00570909" w:rsidRPr="00BF30A6">
        <w:t>BDF</w:t>
      </w:r>
      <w:r w:rsidRPr="00BF30A6">
        <w:t xml:space="preserve"> supplement</w:t>
      </w:r>
      <w:r w:rsidR="00837A85" w:rsidRPr="00BF30A6">
        <w:t xml:space="preserve"> commenced on 1 Jul</w:t>
      </w:r>
      <w:r w:rsidR="00055191" w:rsidRPr="00BF30A6">
        <w:t>y 2021 and</w:t>
      </w:r>
      <w:r w:rsidRPr="00BF30A6">
        <w:t xml:space="preserve"> provide</w:t>
      </w:r>
      <w:r w:rsidR="00B152B7" w:rsidRPr="00BF30A6">
        <w:t>d</w:t>
      </w:r>
      <w:r w:rsidRPr="00BF30A6">
        <w:t xml:space="preserve"> an additional $10 per resident per day to residential aged care providers.</w:t>
      </w:r>
    </w:p>
    <w:p w14:paraId="575CDD80" w14:textId="70E84259" w:rsidR="006E226D" w:rsidRPr="00FD31D5" w:rsidRDefault="00335C63" w:rsidP="00FD31D5">
      <w:r w:rsidRPr="00FD31D5">
        <w:t xml:space="preserve">As </w:t>
      </w:r>
      <w:proofErr w:type="gramStart"/>
      <w:r w:rsidR="00596FCD" w:rsidRPr="00FD31D5">
        <w:t>at</w:t>
      </w:r>
      <w:proofErr w:type="gramEnd"/>
      <w:r w:rsidRPr="00FD31D5">
        <w:t xml:space="preserve"> </w:t>
      </w:r>
      <w:r w:rsidR="006E226D" w:rsidRPr="00FD31D5">
        <w:t>30 June 2022:</w:t>
      </w:r>
    </w:p>
    <w:p w14:paraId="67BF7A8E" w14:textId="17A09874" w:rsidR="00CD7C4F" w:rsidRPr="009C7881" w:rsidRDefault="00CD7C4F" w:rsidP="009E2B3F">
      <w:pPr>
        <w:pStyle w:val="ListBullet"/>
      </w:pPr>
      <w:bookmarkStart w:id="1" w:name="_Hlk115094956"/>
      <w:r w:rsidRPr="009C7881">
        <w:t>99%</w:t>
      </w:r>
      <w:r w:rsidR="006014C7">
        <w:t xml:space="preserve"> </w:t>
      </w:r>
      <w:r w:rsidRPr="009C7881">
        <w:t>of</w:t>
      </w:r>
      <w:r w:rsidR="006014C7">
        <w:t xml:space="preserve"> </w:t>
      </w:r>
      <w:r w:rsidR="00962F0A" w:rsidRPr="009C7881">
        <w:t>providers</w:t>
      </w:r>
      <w:r w:rsidR="006014C7" w:rsidRPr="00C9244F">
        <w:t xml:space="preserve"> </w:t>
      </w:r>
      <w:r w:rsidR="00962F0A" w:rsidRPr="009C7881">
        <w:t xml:space="preserve">signed up for the </w:t>
      </w:r>
      <w:r w:rsidR="00D91A3E" w:rsidRPr="009C7881">
        <w:t>BDF</w:t>
      </w:r>
      <w:r w:rsidR="00962F0A" w:rsidRPr="009C7881">
        <w:t xml:space="preserve"> </w:t>
      </w:r>
      <w:r w:rsidR="006B6098" w:rsidRPr="009C7881">
        <w:t>s</w:t>
      </w:r>
      <w:r w:rsidR="00962F0A" w:rsidRPr="009C7881">
        <w:t>upplement</w:t>
      </w:r>
      <w:r w:rsidR="006014C7">
        <w:t>,</w:t>
      </w:r>
      <w:r w:rsidR="007C1A1D" w:rsidRPr="009C7881">
        <w:t xml:space="preserve"> and those providers received $699.7</w:t>
      </w:r>
      <w:bookmarkStart w:id="2" w:name="_Hlk116304340"/>
      <w:r w:rsidR="007C1A1D" w:rsidRPr="00D77F2D">
        <w:rPr>
          <w:vertAlign w:val="superscript"/>
        </w:rPr>
        <w:footnoteReference w:id="2"/>
      </w:r>
      <w:r w:rsidR="007C1A1D" w:rsidRPr="00D77F2D">
        <w:rPr>
          <w:vertAlign w:val="superscript"/>
        </w:rPr>
        <w:t xml:space="preserve"> </w:t>
      </w:r>
      <w:bookmarkEnd w:id="2"/>
      <w:r w:rsidR="007C1A1D" w:rsidRPr="009C7881">
        <w:t>million.</w:t>
      </w:r>
    </w:p>
    <w:bookmarkEnd w:id="1"/>
    <w:p w14:paraId="06CEB01B" w14:textId="0AD39B74" w:rsidR="00BB1EFC" w:rsidRPr="009C7881" w:rsidRDefault="0052580F" w:rsidP="009E2B3F">
      <w:pPr>
        <w:pStyle w:val="ListBullet"/>
      </w:pPr>
      <w:r w:rsidRPr="002D06D0">
        <w:t>Over 2,</w:t>
      </w:r>
      <w:r w:rsidR="00573391" w:rsidRPr="009C7881">
        <w:t>7</w:t>
      </w:r>
      <w:r w:rsidRPr="002D06D0">
        <w:t xml:space="preserve">00 </w:t>
      </w:r>
      <w:r w:rsidR="006E226D" w:rsidRPr="009C7881">
        <w:t xml:space="preserve">individual </w:t>
      </w:r>
      <w:r w:rsidR="00962F0A" w:rsidRPr="009C7881">
        <w:t>services receiv</w:t>
      </w:r>
      <w:r w:rsidR="004477D9" w:rsidRPr="009C7881">
        <w:t>ed</w:t>
      </w:r>
      <w:r w:rsidR="00962F0A" w:rsidRPr="009C7881">
        <w:t xml:space="preserve"> the additional $10 per person per day</w:t>
      </w:r>
      <w:r w:rsidR="00935C28" w:rsidRPr="00D77F2D">
        <w:rPr>
          <w:vertAlign w:val="superscript"/>
        </w:rPr>
        <w:footnoteReference w:id="3"/>
      </w:r>
      <w:r w:rsidR="00962F0A" w:rsidRPr="009C7881">
        <w:t xml:space="preserve">. </w:t>
      </w:r>
    </w:p>
    <w:p w14:paraId="0CF81AA2" w14:textId="4DF1E24E" w:rsidR="00E058F2" w:rsidRPr="009C7881" w:rsidRDefault="007E0F50" w:rsidP="009E2B3F">
      <w:pPr>
        <w:pStyle w:val="ListBullet"/>
      </w:pPr>
      <w:r w:rsidRPr="009C7881">
        <w:t>S</w:t>
      </w:r>
      <w:r w:rsidR="00D129FC" w:rsidRPr="009C7881">
        <w:t>ix</w:t>
      </w:r>
      <w:r w:rsidR="0069576D" w:rsidRPr="00D77F2D">
        <w:rPr>
          <w:vertAlign w:val="superscript"/>
        </w:rPr>
        <w:footnoteReference w:id="4"/>
      </w:r>
      <w:r w:rsidR="00D129FC" w:rsidRPr="009C7881">
        <w:t xml:space="preserve"> providers (&lt;1%) did not sign the undertaking</w:t>
      </w:r>
      <w:r w:rsidRPr="009C7881">
        <w:t xml:space="preserve"> and did not receive the BDF supplement as a result.</w:t>
      </w:r>
    </w:p>
    <w:p w14:paraId="5C8F5452" w14:textId="601E3259" w:rsidR="00053DB6" w:rsidRPr="00BF30A6" w:rsidRDefault="00DB3F9E" w:rsidP="00BF30A6">
      <w:r w:rsidRPr="00BF30A6">
        <w:t xml:space="preserve">To receive the BDF supplement, providers were required to undertake food and nutrition reporting each quarter. </w:t>
      </w:r>
      <w:r w:rsidR="00053DB6" w:rsidRPr="00BF30A6">
        <w:t xml:space="preserve">Key observations from this reporting includes: </w:t>
      </w:r>
    </w:p>
    <w:p w14:paraId="13824EA7" w14:textId="22CA2E6A" w:rsidR="00F12E44" w:rsidRDefault="001E54EB" w:rsidP="009E2B3F">
      <w:pPr>
        <w:pStyle w:val="ListBullet"/>
      </w:pPr>
      <w:r w:rsidRPr="009C7881">
        <w:t xml:space="preserve">An average of </w:t>
      </w:r>
      <w:r w:rsidRPr="00FD31D5">
        <w:t>$14.46</w:t>
      </w:r>
      <w:r w:rsidRPr="009C7881">
        <w:t xml:space="preserve"> was spent on food</w:t>
      </w:r>
      <w:r w:rsidR="00716B3E" w:rsidRPr="00D77F2D">
        <w:rPr>
          <w:vertAlign w:val="superscript"/>
        </w:rPr>
        <w:footnoteReference w:id="5"/>
      </w:r>
      <w:r w:rsidRPr="009C7881">
        <w:t xml:space="preserve"> per resident per day</w:t>
      </w:r>
      <w:r w:rsidR="000B5D92" w:rsidRPr="009C7881">
        <w:t xml:space="preserve"> (Table A1)</w:t>
      </w:r>
      <w:r w:rsidR="007856DE">
        <w:t xml:space="preserve"> in 2021-22</w:t>
      </w:r>
      <w:r w:rsidR="000B5D92" w:rsidRPr="009C7881">
        <w:t>.</w:t>
      </w:r>
      <w:r w:rsidRPr="009C7881">
        <w:t xml:space="preserve">  </w:t>
      </w:r>
    </w:p>
    <w:p w14:paraId="514465C5" w14:textId="5A6B8273" w:rsidR="00CB5140" w:rsidRPr="009C7881" w:rsidRDefault="007856DE" w:rsidP="009E2B3F">
      <w:pPr>
        <w:pStyle w:val="ListBullet"/>
      </w:pPr>
      <w:r>
        <w:t>75</w:t>
      </w:r>
      <w:r w:rsidR="00CB5140">
        <w:t xml:space="preserve">% of </w:t>
      </w:r>
      <w:r w:rsidR="001F0349">
        <w:t xml:space="preserve">services, </w:t>
      </w:r>
      <w:r w:rsidR="002D2EAA">
        <w:t xml:space="preserve">when reporting on </w:t>
      </w:r>
      <w:r w:rsidR="001F0349">
        <w:t xml:space="preserve">expenditure on </w:t>
      </w:r>
      <w:r w:rsidR="001F0349" w:rsidRPr="00FD31D5">
        <w:t>food and ingredients only</w:t>
      </w:r>
      <w:r w:rsidR="001F0349">
        <w:t>,</w:t>
      </w:r>
      <w:r w:rsidR="00CB5140">
        <w:t xml:space="preserve"> spent more than $10 a day </w:t>
      </w:r>
      <w:r>
        <w:t xml:space="preserve">in the six months to June 2022 </w:t>
      </w:r>
      <w:r w:rsidR="00CB5140">
        <w:t xml:space="preserve">(up from </w:t>
      </w:r>
      <w:r w:rsidR="00296CA3">
        <w:t>67% in previous six months</w:t>
      </w:r>
      <w:r w:rsidR="001F0349">
        <w:t>).</w:t>
      </w:r>
    </w:p>
    <w:p w14:paraId="16CEEC25" w14:textId="77777777" w:rsidR="00DA3ADA" w:rsidRDefault="00716B3E" w:rsidP="00BF30A6">
      <w:pPr>
        <w:pStyle w:val="ListBullet"/>
      </w:pPr>
      <w:r w:rsidRPr="009C7881">
        <w:t xml:space="preserve">The average </w:t>
      </w:r>
      <w:proofErr w:type="gramStart"/>
      <w:r w:rsidRPr="009C7881">
        <w:t>spend</w:t>
      </w:r>
      <w:proofErr w:type="gramEnd"/>
      <w:r w:rsidRPr="009C7881">
        <w:t xml:space="preserve"> per resident </w:t>
      </w:r>
      <w:r w:rsidR="0089160E">
        <w:t xml:space="preserve">per day </w:t>
      </w:r>
      <w:r w:rsidRPr="009C7881">
        <w:t xml:space="preserve">increased quarter on quarter for all expenditure </w:t>
      </w:r>
      <w:r w:rsidR="004513BF">
        <w:t>models</w:t>
      </w:r>
      <w:r w:rsidRPr="009C7881">
        <w:t xml:space="preserve">, with </w:t>
      </w:r>
      <w:r w:rsidR="002D2EAA">
        <w:t>Q</w:t>
      </w:r>
      <w:r w:rsidRPr="009C7881">
        <w:t xml:space="preserve">uarter 3 showing a substantial increase of over 8% for services reporting expenditure on contract catering (Tables A2-A4). </w:t>
      </w:r>
    </w:p>
    <w:p w14:paraId="07C50DF0" w14:textId="381B9FD1" w:rsidR="00202037" w:rsidRPr="00BA7608" w:rsidRDefault="00F12E44" w:rsidP="00BF30A6">
      <w:pPr>
        <w:pStyle w:val="ListBullet"/>
      </w:pPr>
      <w:r w:rsidRPr="009C7881">
        <w:t xml:space="preserve">Food </w:t>
      </w:r>
      <w:r w:rsidR="006859C1">
        <w:t>expenditure</w:t>
      </w:r>
      <w:r w:rsidR="006859C1" w:rsidRPr="009C7881">
        <w:t xml:space="preserve"> </w:t>
      </w:r>
      <w:r w:rsidRPr="009C7881">
        <w:t xml:space="preserve">models did not change much across the year, with the proportion of services reporting expenditure </w:t>
      </w:r>
      <w:r w:rsidR="00716B3E" w:rsidRPr="009C7881">
        <w:t>on</w:t>
      </w:r>
      <w:r w:rsidRPr="009C7881">
        <w:t xml:space="preserve"> food and ingredients</w:t>
      </w:r>
      <w:r w:rsidR="00716B3E" w:rsidRPr="009C7881">
        <w:t xml:space="preserve"> </w:t>
      </w:r>
      <w:r w:rsidR="0055112D" w:rsidRPr="009C7881">
        <w:t>only</w:t>
      </w:r>
      <w:r w:rsidR="00131E6F" w:rsidRPr="009C7881">
        <w:t>,</w:t>
      </w:r>
      <w:r w:rsidR="0055112D" w:rsidRPr="009C7881">
        <w:t xml:space="preserve"> and the proportion of services reporting</w:t>
      </w:r>
      <w:r w:rsidR="00716B3E" w:rsidRPr="009C7881">
        <w:t xml:space="preserve"> </w:t>
      </w:r>
      <w:r w:rsidRPr="009C7881">
        <w:t>expenditure on contract cater</w:t>
      </w:r>
      <w:r w:rsidR="002E7535" w:rsidRPr="009C7881">
        <w:t>ing</w:t>
      </w:r>
      <w:r w:rsidR="00555781" w:rsidRPr="009C7881">
        <w:t xml:space="preserve"> remaining consistent</w:t>
      </w:r>
      <w:r w:rsidR="00CD4391" w:rsidRPr="009C7881">
        <w:t xml:space="preserve"> (Figure 1)</w:t>
      </w:r>
      <w:r w:rsidR="00555781" w:rsidRPr="009C7881">
        <w:t>.</w:t>
      </w:r>
    </w:p>
    <w:p w14:paraId="6EE27047" w14:textId="4B6A45D7" w:rsidR="00114E96" w:rsidRPr="00BF30A6" w:rsidRDefault="001E6D9D" w:rsidP="00BF30A6">
      <w:r w:rsidRPr="00BF30A6">
        <w:t xml:space="preserve">The </w:t>
      </w:r>
      <w:r w:rsidR="00236F5E" w:rsidRPr="00BF30A6">
        <w:t>reporting</w:t>
      </w:r>
      <w:r w:rsidRPr="00BF30A6">
        <w:t xml:space="preserve"> </w:t>
      </w:r>
      <w:r w:rsidR="00236F5E" w:rsidRPr="00BF30A6">
        <w:t xml:space="preserve">has also </w:t>
      </w:r>
      <w:r w:rsidRPr="00BF30A6">
        <w:t xml:space="preserve">provided insight into </w:t>
      </w:r>
      <w:r w:rsidR="00E41273" w:rsidRPr="00BF30A6">
        <w:t xml:space="preserve">some of </w:t>
      </w:r>
      <w:r w:rsidRPr="00BF30A6">
        <w:t>the creative and innovative practices being implemented by residential aged care services in the food, nutrition, and dining experience space</w:t>
      </w:r>
      <w:r w:rsidR="00C944B0" w:rsidRPr="00BF30A6">
        <w:t xml:space="preserve">. </w:t>
      </w:r>
    </w:p>
    <w:p w14:paraId="69303E97" w14:textId="77777777" w:rsidR="00DA3ADA" w:rsidRDefault="00C944B0" w:rsidP="00BF30A6">
      <w:pPr>
        <w:sectPr w:rsidR="00DA3ADA" w:rsidSect="007013A9">
          <w:pgSz w:w="11910" w:h="16840"/>
          <w:pgMar w:top="737" w:right="1021" w:bottom="816" w:left="1021" w:header="720" w:footer="720" w:gutter="0"/>
          <w:cols w:space="720"/>
        </w:sectPr>
      </w:pPr>
      <w:r w:rsidRPr="00BF30A6">
        <w:t>Examples</w:t>
      </w:r>
      <w:r w:rsidR="00E41273" w:rsidRPr="00BF30A6">
        <w:t xml:space="preserve"> includ</w:t>
      </w:r>
      <w:r w:rsidRPr="00BF30A6">
        <w:t xml:space="preserve">e </w:t>
      </w:r>
      <w:r w:rsidR="00F82437" w:rsidRPr="00BF30A6">
        <w:t xml:space="preserve">enhanced use of kitchen gardens, the </w:t>
      </w:r>
      <w:r w:rsidR="00201F79" w:rsidRPr="00BF30A6">
        <w:t>expansion of digital technology</w:t>
      </w:r>
      <w:r w:rsidRPr="00BF30A6">
        <w:t xml:space="preserve"> to support resident meal</w:t>
      </w:r>
      <w:r w:rsidR="00131E6F" w:rsidRPr="00BF30A6">
        <w:t xml:space="preserve"> </w:t>
      </w:r>
      <w:r w:rsidRPr="00BF30A6">
        <w:t>choice</w:t>
      </w:r>
      <w:r w:rsidR="00201F79" w:rsidRPr="00BF30A6">
        <w:t xml:space="preserve"> and a focus on measuring the mealtime experience.</w:t>
      </w:r>
    </w:p>
    <w:p w14:paraId="418F26F6" w14:textId="38338108" w:rsidR="003056A3" w:rsidRPr="00B04617" w:rsidRDefault="00891184" w:rsidP="00FD31D5">
      <w:pPr>
        <w:pStyle w:val="Heading1"/>
        <w:keepNext/>
        <w:widowControl/>
      </w:pPr>
      <w:bookmarkStart w:id="3" w:name="_Toc120291068"/>
      <w:r w:rsidRPr="00B04617">
        <w:lastRenderedPageBreak/>
        <w:t xml:space="preserve">2021 </w:t>
      </w:r>
      <w:r w:rsidR="00833300" w:rsidRPr="00B04617">
        <w:t>Ba</w:t>
      </w:r>
      <w:r w:rsidRPr="00B04617">
        <w:t>sic Daily Fee Supplement</w:t>
      </w:r>
      <w:bookmarkEnd w:id="3"/>
    </w:p>
    <w:p w14:paraId="12D40FCA" w14:textId="1F6989B9" w:rsidR="00A47554" w:rsidRPr="00BF30A6" w:rsidRDefault="00A47554" w:rsidP="00FD31D5">
      <w:r w:rsidRPr="00BF30A6">
        <w:t>Residential aged care providers</w:t>
      </w:r>
      <w:r w:rsidR="00181434" w:rsidRPr="00BF30A6">
        <w:t xml:space="preserve"> </w:t>
      </w:r>
      <w:r w:rsidRPr="00BF30A6">
        <w:t>are required to comply with the Aged Care Quality Standards</w:t>
      </w:r>
      <w:r w:rsidR="000935FA" w:rsidRPr="00BF30A6">
        <w:t>, which includes</w:t>
      </w:r>
      <w:r w:rsidRPr="00BF30A6">
        <w:t xml:space="preserve"> providing varied meals of suitable quality and quantity to ensure consumers have enough nutrition</w:t>
      </w:r>
      <w:r w:rsidR="000935FA" w:rsidRPr="00BF30A6">
        <w:t xml:space="preserve">, </w:t>
      </w:r>
      <w:r w:rsidRPr="00BF30A6">
        <w:t>good health and reduce</w:t>
      </w:r>
      <w:r w:rsidR="000935FA" w:rsidRPr="00BF30A6">
        <w:t>d</w:t>
      </w:r>
      <w:r w:rsidRPr="00BF30A6">
        <w:t xml:space="preserve"> risk of malnutrition and dehydration.</w:t>
      </w:r>
    </w:p>
    <w:p w14:paraId="6C6E7E83" w14:textId="4E55799E" w:rsidR="00A47554" w:rsidRPr="00B04617" w:rsidRDefault="00A47554" w:rsidP="00FD31D5">
      <w:r w:rsidRPr="00B04617">
        <w:t>Providers are also required to collect quarterly data on crucial areas of care, where food and nutrition can also have a direct impact, including unplanned weight loss, and report these through the National Aged Care Mandatory Quality Indicator Program (QI Program).</w:t>
      </w:r>
    </w:p>
    <w:p w14:paraId="7BC76FD4" w14:textId="24E978E4" w:rsidR="006B6098" w:rsidRPr="00B95BA1" w:rsidRDefault="00A47554" w:rsidP="00FD31D5">
      <w:r w:rsidRPr="00B04617">
        <w:t xml:space="preserve">Further to this, and in </w:t>
      </w:r>
      <w:r w:rsidR="006B6098" w:rsidRPr="00B04617">
        <w:t>response</w:t>
      </w:r>
      <w:r w:rsidR="006B6098" w:rsidRPr="00B95BA1">
        <w:t xml:space="preserve"> to recommendation 112 of the Royal Commission into Aged Care Quality and Safety, the Department of Health and Aged Care</w:t>
      </w:r>
      <w:r w:rsidR="002A0E95" w:rsidRPr="00B95BA1">
        <w:t xml:space="preserve"> (Department)</w:t>
      </w:r>
      <w:r w:rsidR="006B6098" w:rsidRPr="00B95BA1">
        <w:t xml:space="preserve"> </w:t>
      </w:r>
      <w:r w:rsidR="00570909" w:rsidRPr="00B95BA1">
        <w:t xml:space="preserve">introduced </w:t>
      </w:r>
      <w:r w:rsidR="006B6098" w:rsidRPr="00B95BA1">
        <w:t xml:space="preserve">the 2021 Basic Daily Fee </w:t>
      </w:r>
      <w:r w:rsidR="00CA7254" w:rsidRPr="00B95BA1">
        <w:t xml:space="preserve">(BDF) </w:t>
      </w:r>
      <w:r w:rsidR="006B6098" w:rsidRPr="00B95BA1">
        <w:t>supplement to support aged care providers to deliver better care and services to older Australians receiv</w:t>
      </w:r>
      <w:r w:rsidR="00D91A3E" w:rsidRPr="00B95BA1">
        <w:t>ing</w:t>
      </w:r>
      <w:r w:rsidR="006B6098" w:rsidRPr="00B95BA1">
        <w:t xml:space="preserve"> aged care services, with a focus on food and nutrition.</w:t>
      </w:r>
    </w:p>
    <w:p w14:paraId="0FBB9D15" w14:textId="3FDEDE16" w:rsidR="00164A4A" w:rsidRPr="00BF30A6" w:rsidRDefault="00164A4A" w:rsidP="00FD31D5">
      <w:r w:rsidRPr="00BF30A6">
        <w:t xml:space="preserve">To receive the </w:t>
      </w:r>
      <w:r w:rsidR="00340E6F" w:rsidRPr="00BF30A6">
        <w:t>BDF</w:t>
      </w:r>
      <w:r w:rsidRPr="00BF30A6">
        <w:t xml:space="preserve"> </w:t>
      </w:r>
      <w:r w:rsidR="000935FA" w:rsidRPr="00BF30A6">
        <w:t xml:space="preserve">supplement, </w:t>
      </w:r>
      <w:r w:rsidRPr="00BF30A6">
        <w:t>providers were required to</w:t>
      </w:r>
      <w:r w:rsidR="008E7185" w:rsidRPr="00BF30A6">
        <w:t xml:space="preserve"> </w:t>
      </w:r>
      <w:r w:rsidRPr="00BF30A6">
        <w:t>give a formal undertaking to deliver good</w:t>
      </w:r>
      <w:r w:rsidR="008E7185" w:rsidRPr="00BF30A6">
        <w:t xml:space="preserve"> </w:t>
      </w:r>
      <w:r w:rsidRPr="00BF30A6">
        <w:t>quality and quantity goods and services to meet the living needs of residents, with a focus on food and nutrition.</w:t>
      </w:r>
      <w:r w:rsidR="00161634" w:rsidRPr="00BF30A6">
        <w:t xml:space="preserve"> Providers were also required to report </w:t>
      </w:r>
      <w:r w:rsidR="00891184" w:rsidRPr="00BF30A6">
        <w:t xml:space="preserve">quarterly </w:t>
      </w:r>
      <w:r w:rsidR="00161634" w:rsidRPr="00BF30A6">
        <w:t>to the Department about their food and nutrition expenditure.</w:t>
      </w:r>
    </w:p>
    <w:p w14:paraId="78EBA67E" w14:textId="604B8D98" w:rsidR="00436739" w:rsidRPr="00B95BA1" w:rsidRDefault="00436739" w:rsidP="00FD31D5">
      <w:r w:rsidRPr="00B95BA1">
        <w:t xml:space="preserve">The 2021 BDF supplement </w:t>
      </w:r>
      <w:r w:rsidR="00570909" w:rsidRPr="00B95BA1">
        <w:t>was</w:t>
      </w:r>
      <w:r w:rsidRPr="00B95BA1">
        <w:t xml:space="preserve"> available to:</w:t>
      </w:r>
    </w:p>
    <w:p w14:paraId="0B42303A" w14:textId="4D83F063" w:rsidR="00FD4727" w:rsidRPr="009E2B3F" w:rsidRDefault="00436739" w:rsidP="009E2B3F">
      <w:pPr>
        <w:pStyle w:val="ListBullet"/>
      </w:pPr>
      <w:r w:rsidRPr="00BA7608">
        <w:t>r</w:t>
      </w:r>
      <w:r w:rsidRPr="009E2B3F">
        <w:t>esidential and respite aged care services</w:t>
      </w:r>
    </w:p>
    <w:p w14:paraId="740FDA22" w14:textId="5366DCDD" w:rsidR="00FD4727" w:rsidRPr="009E2B3F" w:rsidRDefault="00436739" w:rsidP="009E2B3F">
      <w:pPr>
        <w:pStyle w:val="ListBullet"/>
      </w:pPr>
      <w:r w:rsidRPr="009E2B3F">
        <w:t>flexible care services that are Multi-Purpose Services (MPS)</w:t>
      </w:r>
      <w:r w:rsidR="00161634" w:rsidRPr="009E2B3F">
        <w:t>, and</w:t>
      </w:r>
    </w:p>
    <w:p w14:paraId="5E296B3E" w14:textId="29D74633" w:rsidR="00436739" w:rsidRPr="009E2B3F" w:rsidRDefault="00436739" w:rsidP="009E2B3F">
      <w:pPr>
        <w:pStyle w:val="ListBullet"/>
      </w:pPr>
      <w:r w:rsidRPr="009E2B3F">
        <w:t>services providing residential care under the National Aboriginal and Torres Strait Islander Flexible Aged Care Program (NATSIFACP)</w:t>
      </w:r>
      <w:r w:rsidR="00161634" w:rsidRPr="009E2B3F">
        <w:t>.</w:t>
      </w:r>
    </w:p>
    <w:p w14:paraId="33A750F4" w14:textId="413E06D4" w:rsidR="00436739" w:rsidRPr="00BF30A6" w:rsidRDefault="00436739" w:rsidP="00BF30A6">
      <w:r w:rsidRPr="00BF30A6">
        <w:t xml:space="preserve">If an eligible </w:t>
      </w:r>
      <w:r w:rsidR="006B1A84" w:rsidRPr="00BF30A6">
        <w:t xml:space="preserve">aged care </w:t>
      </w:r>
      <w:r w:rsidRPr="00BF30A6">
        <w:t>service did not provide an undertaking or failed to submit their food and nutrition</w:t>
      </w:r>
      <w:r w:rsidR="00FD4727" w:rsidRPr="00BF30A6">
        <w:t xml:space="preserve"> </w:t>
      </w:r>
      <w:r w:rsidRPr="00BF30A6">
        <w:t>report by the advised deadline, payments were ceased until the undertaking was received and report</w:t>
      </w:r>
      <w:r w:rsidR="00A47554" w:rsidRPr="00BF30A6">
        <w:t>ing</w:t>
      </w:r>
      <w:r w:rsidRPr="00BF30A6">
        <w:t xml:space="preserve"> </w:t>
      </w:r>
      <w:r w:rsidR="00A47554" w:rsidRPr="00BF30A6">
        <w:t>was completed</w:t>
      </w:r>
      <w:r w:rsidRPr="00BF30A6">
        <w:t>. No back-payments for the period of non-reporting were provided.</w:t>
      </w:r>
    </w:p>
    <w:p w14:paraId="35BD929B" w14:textId="5F7B1884" w:rsidR="00937D18" w:rsidRPr="00BF30A6" w:rsidRDefault="002A0E95" w:rsidP="00BF30A6">
      <w:r w:rsidRPr="00BF30A6">
        <w:t>The BDF supplement was designed to be flexible. Providers could spend the additional funds on any improvements for residents</w:t>
      </w:r>
      <w:r w:rsidR="00A47554" w:rsidRPr="00BF30A6">
        <w:t xml:space="preserve"> and</w:t>
      </w:r>
      <w:r w:rsidRPr="00BF30A6">
        <w:t xml:space="preserve"> not just</w:t>
      </w:r>
      <w:r w:rsidR="00A47554" w:rsidRPr="00BF30A6">
        <w:t xml:space="preserve"> on</w:t>
      </w:r>
      <w:r w:rsidRPr="00BF30A6">
        <w:t xml:space="preserve"> food and nutrition</w:t>
      </w:r>
      <w:r w:rsidR="00A47554" w:rsidRPr="00BF30A6">
        <w:t>, for example,</w:t>
      </w:r>
      <w:r w:rsidRPr="00BF30A6">
        <w:t xml:space="preserve"> </w:t>
      </w:r>
      <w:r w:rsidR="00A47554" w:rsidRPr="00BF30A6">
        <w:t xml:space="preserve">an increase in </w:t>
      </w:r>
      <w:r w:rsidRPr="00BF30A6">
        <w:t>staffing levels. However, the new reporting requirements made food and nutrition a particular focus.</w:t>
      </w:r>
    </w:p>
    <w:p w14:paraId="57FF9D33" w14:textId="77777777" w:rsidR="00937D18" w:rsidRPr="007807D2" w:rsidRDefault="00937D18" w:rsidP="007807D2">
      <w:pPr>
        <w:sectPr w:rsidR="00937D18" w:rsidRPr="007807D2" w:rsidSect="007013A9">
          <w:pgSz w:w="11910" w:h="16840"/>
          <w:pgMar w:top="737" w:right="1021" w:bottom="816" w:left="1021" w:header="720" w:footer="720" w:gutter="0"/>
          <w:cols w:space="720"/>
        </w:sectPr>
      </w:pPr>
    </w:p>
    <w:p w14:paraId="59F3967B" w14:textId="42ACE1E0" w:rsidR="00F919ED" w:rsidRPr="00F919ED" w:rsidRDefault="004D2471" w:rsidP="00FD31D5">
      <w:pPr>
        <w:pStyle w:val="Heading1"/>
      </w:pPr>
      <w:bookmarkStart w:id="4" w:name="_Toc120291069"/>
      <w:r w:rsidRPr="00BF30A6">
        <w:rPr>
          <w:noProof/>
        </w:rPr>
        <w:lastRenderedPageBreak/>
        <w:drawing>
          <wp:anchor distT="0" distB="0" distL="114300" distR="114300" simplePos="0" relativeHeight="487323136" behindDoc="0" locked="0" layoutInCell="1" allowOverlap="1" wp14:anchorId="70CA22AA" wp14:editId="3E39E9D3">
            <wp:simplePos x="0" y="0"/>
            <wp:positionH relativeFrom="page">
              <wp:posOffset>19050</wp:posOffset>
            </wp:positionH>
            <wp:positionV relativeFrom="paragraph">
              <wp:posOffset>0</wp:posOffset>
            </wp:positionV>
            <wp:extent cx="7537450" cy="4486275"/>
            <wp:effectExtent l="0" t="0" r="6350" b="9525"/>
            <wp:wrapSquare wrapText="bothSides"/>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37450" cy="448627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 w:name="_Toc116309610"/>
      <w:bookmarkStart w:id="6" w:name="_Toc116309611"/>
      <w:bookmarkStart w:id="7" w:name="_Toc116309612"/>
      <w:bookmarkStart w:id="8" w:name="_Toc116309613"/>
      <w:bookmarkStart w:id="9" w:name="_Toc116309614"/>
      <w:bookmarkStart w:id="10" w:name="_Toc116309615"/>
      <w:bookmarkStart w:id="11" w:name="_Toc116309616"/>
      <w:bookmarkEnd w:id="5"/>
      <w:bookmarkEnd w:id="6"/>
      <w:bookmarkEnd w:id="7"/>
      <w:bookmarkEnd w:id="8"/>
      <w:bookmarkEnd w:id="9"/>
      <w:bookmarkEnd w:id="10"/>
      <w:bookmarkEnd w:id="11"/>
      <w:r w:rsidR="00F919ED" w:rsidRPr="00F919ED">
        <w:t>Data Definitions</w:t>
      </w:r>
      <w:bookmarkEnd w:id="4"/>
    </w:p>
    <w:p w14:paraId="70E0C16D" w14:textId="77777777" w:rsidR="00F919ED" w:rsidRPr="00FD31D5" w:rsidRDefault="00F919ED" w:rsidP="00BE0D75">
      <w:pPr>
        <w:pStyle w:val="ListBullet4"/>
      </w:pPr>
      <w:r w:rsidRPr="00FD31D5">
        <w:t>The following definitions have been used in this report:</w:t>
      </w:r>
      <w:r w:rsidRPr="00FD31D5" w:rsidDel="0068369F">
        <w:t xml:space="preserve"> </w:t>
      </w:r>
    </w:p>
    <w:p w14:paraId="79695D24" w14:textId="77777777" w:rsidR="00F919ED" w:rsidRDefault="00F919ED" w:rsidP="00BE0D75">
      <w:pPr>
        <w:pStyle w:val="ListBullet4"/>
      </w:pPr>
      <w:r w:rsidRPr="00FD31D5">
        <w:t>Average daily spend</w:t>
      </w:r>
      <w:r w:rsidRPr="00BA7608">
        <w:t xml:space="preserve"> is derived from sum of expenditure greater than zero divided by number of occupied bed days in the quarter.</w:t>
      </w:r>
    </w:p>
    <w:p w14:paraId="5A2739AB" w14:textId="2247816D" w:rsidR="00F919ED" w:rsidRPr="008E2281" w:rsidRDefault="00F919ED" w:rsidP="00BE0D75">
      <w:pPr>
        <w:pStyle w:val="ListBullet4"/>
      </w:pPr>
      <w:r w:rsidRPr="00FD31D5">
        <w:t>Contract catering</w:t>
      </w:r>
      <w:r w:rsidRPr="00BA7608">
        <w:t xml:space="preserve"> refers to expenditure on pre-prepared and bought-in main meals </w:t>
      </w:r>
      <w:r w:rsidR="00755D78">
        <w:t xml:space="preserve">as a part of a contract arrangement </w:t>
      </w:r>
      <w:r w:rsidRPr="00BA7608">
        <w:t>(</w:t>
      </w:r>
      <w:r w:rsidRPr="0052580F">
        <w:t xml:space="preserve">Question </w:t>
      </w:r>
      <w:r w:rsidRPr="0069576D">
        <w:t>2</w:t>
      </w:r>
      <w:r w:rsidRPr="008E2281">
        <w:t>).</w:t>
      </w:r>
    </w:p>
    <w:p w14:paraId="43ADC6D7" w14:textId="62BB0C91" w:rsidR="00780806" w:rsidRPr="000B5D92" w:rsidRDefault="00F919ED" w:rsidP="00BE0D75">
      <w:pPr>
        <w:pStyle w:val="ListBullet4"/>
      </w:pPr>
      <w:r w:rsidRPr="00FD31D5">
        <w:t>Contract catering only</w:t>
      </w:r>
      <w:r w:rsidRPr="00130641">
        <w:t xml:space="preserve"> refers to services that only reported their food </w:t>
      </w:r>
      <w:r w:rsidRPr="000B5D92">
        <w:t>expenditure on pre-prepared and bought-in main meals</w:t>
      </w:r>
      <w:r w:rsidR="00755D78">
        <w:t xml:space="preserve"> as a part of a contract arrangement</w:t>
      </w:r>
      <w:r w:rsidRPr="000B5D92">
        <w:t xml:space="preserve"> (Question 2 only).</w:t>
      </w:r>
    </w:p>
    <w:p w14:paraId="754CCAA7" w14:textId="77777777" w:rsidR="00F919ED" w:rsidRPr="000B5D92" w:rsidRDefault="00F919ED" w:rsidP="00BE0D75">
      <w:pPr>
        <w:pStyle w:val="ListBullet4"/>
      </w:pPr>
      <w:r w:rsidRPr="00FD31D5">
        <w:t>Food and ingredients</w:t>
      </w:r>
      <w:r w:rsidRPr="000B5D92">
        <w:t xml:space="preserve"> </w:t>
      </w:r>
      <w:proofErr w:type="gramStart"/>
      <w:r w:rsidRPr="000B5D92">
        <w:t>refers</w:t>
      </w:r>
      <w:proofErr w:type="gramEnd"/>
      <w:r w:rsidRPr="000B5D92">
        <w:t xml:space="preserve"> to expenditure on food and ingredients used to prepare meals and snacks on-site (Question 1).</w:t>
      </w:r>
    </w:p>
    <w:p w14:paraId="1E076BB8" w14:textId="77777777" w:rsidR="00F919ED" w:rsidRPr="000B5D92" w:rsidRDefault="00F919ED" w:rsidP="00BE0D75">
      <w:pPr>
        <w:pStyle w:val="ListBullet4"/>
      </w:pPr>
      <w:r w:rsidRPr="00FD31D5">
        <w:t>Food and ingredients</w:t>
      </w:r>
      <w:r w:rsidRPr="000B5D92">
        <w:t xml:space="preserve"> </w:t>
      </w:r>
      <w:r w:rsidRPr="00FD31D5">
        <w:t>only</w:t>
      </w:r>
      <w:r w:rsidRPr="000B5D92">
        <w:t xml:space="preserve"> </w:t>
      </w:r>
      <w:proofErr w:type="gramStart"/>
      <w:r w:rsidRPr="000B5D92">
        <w:t>refers</w:t>
      </w:r>
      <w:proofErr w:type="gramEnd"/>
      <w:r w:rsidRPr="000B5D92">
        <w:t xml:space="preserve"> to services that only reported their food expenditure on food and ingredients used to prepare meals and snacks on-site (Question 1 only).</w:t>
      </w:r>
    </w:p>
    <w:p w14:paraId="1DBC3FD9" w14:textId="77777777" w:rsidR="00F919ED" w:rsidRPr="00FD31D5" w:rsidRDefault="00F919ED" w:rsidP="00BE0D75">
      <w:pPr>
        <w:pStyle w:val="ListBullet4"/>
      </w:pPr>
      <w:r w:rsidRPr="00FD31D5">
        <w:t>Food expenditure</w:t>
      </w:r>
      <w:r w:rsidRPr="000B5D92">
        <w:t xml:space="preserve"> refers to total </w:t>
      </w:r>
      <w:r w:rsidRPr="000B5D92">
        <w:rPr>
          <w:lang w:val="en-US"/>
        </w:rPr>
        <w:t>expenditure for food and ingredients used to prepare meals and snacks on-site including expenditure for pre-prepared and bought-in main meals (total of Questions 1 and 2).</w:t>
      </w:r>
    </w:p>
    <w:p w14:paraId="59EA1EAE" w14:textId="77777777" w:rsidR="00F919ED" w:rsidRPr="00FD31D5" w:rsidRDefault="00F919ED" w:rsidP="00BE0D75">
      <w:pPr>
        <w:pStyle w:val="ListBullet4"/>
      </w:pPr>
      <w:r w:rsidRPr="00FD31D5">
        <w:t>Provider</w:t>
      </w:r>
      <w:r w:rsidRPr="00181434">
        <w:t xml:space="preserve"> </w:t>
      </w:r>
      <w:r w:rsidRPr="009C7881">
        <w:t xml:space="preserve">refers to </w:t>
      </w:r>
      <w:r>
        <w:t xml:space="preserve">an </w:t>
      </w:r>
      <w:r w:rsidRPr="009C7881">
        <w:t>aged care provider</w:t>
      </w:r>
      <w:r>
        <w:t xml:space="preserve"> that delivers Commonwealth funded residential, MPS or NATSIFACP services.</w:t>
      </w:r>
    </w:p>
    <w:p w14:paraId="05A7D18E" w14:textId="77777777" w:rsidR="00F919ED" w:rsidRPr="00FD31D5" w:rsidRDefault="00F919ED" w:rsidP="00BE0D75">
      <w:pPr>
        <w:pStyle w:val="ListBullet4"/>
      </w:pPr>
      <w:r w:rsidRPr="00FD31D5">
        <w:t>Service</w:t>
      </w:r>
      <w:r w:rsidRPr="00181434">
        <w:t xml:space="preserve"> </w:t>
      </w:r>
      <w:r w:rsidRPr="00F64826">
        <w:t xml:space="preserve">refers to </w:t>
      </w:r>
      <w:r>
        <w:t xml:space="preserve">an </w:t>
      </w:r>
      <w:r w:rsidRPr="00F64826">
        <w:t xml:space="preserve">aged care </w:t>
      </w:r>
      <w:r>
        <w:t>service that delivers Commonwealth funded residential aged care only (RACF).</w:t>
      </w:r>
    </w:p>
    <w:p w14:paraId="121EEDFC" w14:textId="3376D879" w:rsidR="00F919ED" w:rsidRDefault="00F919ED" w:rsidP="00BE0D75">
      <w:pPr>
        <w:pStyle w:val="ListBullet4"/>
      </w:pPr>
      <w:r w:rsidRPr="00FD31D5">
        <w:lastRenderedPageBreak/>
        <w:t>Total responses</w:t>
      </w:r>
      <w:r w:rsidRPr="00181434">
        <w:t xml:space="preserve"> </w:t>
      </w:r>
      <w:proofErr w:type="gramStart"/>
      <w:r w:rsidRPr="00FD31D5">
        <w:t>includes</w:t>
      </w:r>
      <w:proofErr w:type="gramEnd"/>
      <w:r w:rsidRPr="00BA7608">
        <w:t xml:space="preserve"> zero valu</w:t>
      </w:r>
      <w:r w:rsidRPr="00FD31D5">
        <w:t>es.</w:t>
      </w:r>
    </w:p>
    <w:p w14:paraId="479C9544" w14:textId="57DC2FEF" w:rsidR="00F919ED" w:rsidRDefault="00F919ED" w:rsidP="00BE0D75">
      <w:pPr>
        <w:pStyle w:val="ListBullet4"/>
      </w:pPr>
      <w:r w:rsidRPr="00FD31D5">
        <w:t>Sep 21 / Q1 refers to 1 July 2021 – 30 September 2021.</w:t>
      </w:r>
    </w:p>
    <w:p w14:paraId="02D4DAFB" w14:textId="77777777" w:rsidR="00BE0D75" w:rsidRPr="00FD31D5" w:rsidRDefault="00BE0D75" w:rsidP="00BE0D75">
      <w:pPr>
        <w:pStyle w:val="ListBullet4"/>
      </w:pPr>
      <w:r w:rsidRPr="00FD31D5">
        <w:t>Dec 21 / Q2 refers to 1 October 2021 – 31 December 2021.</w:t>
      </w:r>
    </w:p>
    <w:p w14:paraId="3AE18E46" w14:textId="77777777" w:rsidR="00BE0D75" w:rsidRPr="00FD31D5" w:rsidRDefault="00BE0D75" w:rsidP="00BE0D75">
      <w:pPr>
        <w:pStyle w:val="ListBullet4"/>
      </w:pPr>
      <w:r w:rsidRPr="00FD31D5">
        <w:t>Mar 22 / Q3 refers to 1 January 2022 – 31 March 2022.</w:t>
      </w:r>
    </w:p>
    <w:p w14:paraId="7A1BEB05" w14:textId="4ECC0643" w:rsidR="00BE0D75" w:rsidRDefault="00BE0D75" w:rsidP="00BE0D75">
      <w:pPr>
        <w:pStyle w:val="ListBullet4"/>
        <w:sectPr w:rsidR="00BE0D75" w:rsidSect="00F17372">
          <w:pgSz w:w="11910" w:h="16840"/>
          <w:pgMar w:top="0" w:right="1021" w:bottom="278" w:left="1021" w:header="720" w:footer="720" w:gutter="0"/>
          <w:cols w:space="720"/>
        </w:sectPr>
      </w:pPr>
      <w:r w:rsidRPr="00FD31D5">
        <w:t>Jun 22 / Q4 refers to 1 April 2022 – 30 June 2022</w:t>
      </w:r>
      <w:r>
        <w:t>.</w:t>
      </w:r>
    </w:p>
    <w:p w14:paraId="3527C0BC" w14:textId="77777777" w:rsidR="00BE0D75" w:rsidRPr="00FD31D5" w:rsidRDefault="00BE0D75" w:rsidP="00BE0D75">
      <w:pPr>
        <w:pStyle w:val="ListBullet4"/>
        <w:numPr>
          <w:ilvl w:val="0"/>
          <w:numId w:val="0"/>
        </w:numPr>
      </w:pPr>
    </w:p>
    <w:p w14:paraId="00C9B6D8" w14:textId="67A002EE" w:rsidR="003056A3" w:rsidRPr="009C7881" w:rsidRDefault="002E2624" w:rsidP="00FD31D5">
      <w:pPr>
        <w:pStyle w:val="Heading1"/>
      </w:pPr>
      <w:bookmarkStart w:id="12" w:name="_Toc120291070"/>
      <w:r w:rsidRPr="00FD31D5">
        <w:rPr>
          <w:noProof/>
        </w:rPr>
        <w:drawing>
          <wp:anchor distT="0" distB="0" distL="114300" distR="114300" simplePos="0" relativeHeight="487322112" behindDoc="0" locked="0" layoutInCell="1" allowOverlap="1" wp14:anchorId="39438A26" wp14:editId="59462C55">
            <wp:simplePos x="0" y="0"/>
            <wp:positionH relativeFrom="column">
              <wp:posOffset>-648335</wp:posOffset>
            </wp:positionH>
            <wp:positionV relativeFrom="paragraph">
              <wp:posOffset>0</wp:posOffset>
            </wp:positionV>
            <wp:extent cx="7558392" cy="1984047"/>
            <wp:effectExtent l="0" t="0" r="5080" b="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58392" cy="1984047"/>
                    </a:xfrm>
                    <a:prstGeom prst="rect">
                      <a:avLst/>
                    </a:prstGeom>
                    <a:noFill/>
                  </pic:spPr>
                </pic:pic>
              </a:graphicData>
            </a:graphic>
            <wp14:sizeRelH relativeFrom="page">
              <wp14:pctWidth>0</wp14:pctWidth>
            </wp14:sizeRelH>
            <wp14:sizeRelV relativeFrom="page">
              <wp14:pctHeight>0</wp14:pctHeight>
            </wp14:sizeRelV>
          </wp:anchor>
        </w:drawing>
      </w:r>
      <w:r w:rsidR="00F919ED">
        <w:t>D</w:t>
      </w:r>
      <w:r w:rsidR="000935FA" w:rsidRPr="009C7881">
        <w:t>ata</w:t>
      </w:r>
      <w:r w:rsidR="00F919ED">
        <w:t xml:space="preserve"> Quality</w:t>
      </w:r>
      <w:r w:rsidR="000935FA" w:rsidRPr="009C7881">
        <w:t xml:space="preserve"> </w:t>
      </w:r>
      <w:r w:rsidR="00E03442" w:rsidRPr="009C7881">
        <w:t>and service response</w:t>
      </w:r>
      <w:bookmarkStart w:id="13" w:name="_Hlk113355707"/>
      <w:bookmarkEnd w:id="12"/>
    </w:p>
    <w:p w14:paraId="73E2D12E" w14:textId="5122BD5B" w:rsidR="00937D18" w:rsidRPr="00FD31D5" w:rsidRDefault="00C6259B" w:rsidP="00FD31D5">
      <w:bookmarkStart w:id="14" w:name="_Hlk116303954"/>
      <w:bookmarkEnd w:id="13"/>
      <w:r w:rsidRPr="00FD31D5">
        <w:t xml:space="preserve">This </w:t>
      </w:r>
      <w:r w:rsidR="00C2796A" w:rsidRPr="00FD31D5">
        <w:t xml:space="preserve">report has been compiled from </w:t>
      </w:r>
      <w:r w:rsidR="00327696" w:rsidRPr="00FD31D5">
        <w:t>self-reported data</w:t>
      </w:r>
      <w:bookmarkStart w:id="15" w:name="_Hlk116304123"/>
      <w:r w:rsidR="001449E6" w:rsidRPr="00D77F2D">
        <w:rPr>
          <w:vertAlign w:val="superscript"/>
        </w:rPr>
        <w:footnoteReference w:id="6"/>
      </w:r>
      <w:bookmarkEnd w:id="15"/>
      <w:r w:rsidR="00327696" w:rsidRPr="00FD31D5">
        <w:t xml:space="preserve"> by residential </w:t>
      </w:r>
      <w:r w:rsidR="006B1A84" w:rsidRPr="00FD31D5">
        <w:t xml:space="preserve">aged care </w:t>
      </w:r>
      <w:r w:rsidR="00327696" w:rsidRPr="00FD31D5">
        <w:t xml:space="preserve">services through the My Aged Care Provider Portal and includes forms submitted to </w:t>
      </w:r>
      <w:hyperlink r:id="rId20" w:history="1">
        <w:r w:rsidR="00327696" w:rsidRPr="00FD31D5">
          <w:t>NutritioninAgedCare@health.gov.au</w:t>
        </w:r>
      </w:hyperlink>
      <w:r w:rsidR="00937D18" w:rsidRPr="00FD31D5">
        <w:t>.</w:t>
      </w:r>
    </w:p>
    <w:bookmarkEnd w:id="14"/>
    <w:p w14:paraId="4F0D96AA" w14:textId="11E5D082" w:rsidR="003874E8" w:rsidRPr="00FD31D5" w:rsidRDefault="004D0A2C" w:rsidP="00FD31D5">
      <w:r w:rsidRPr="00FD31D5">
        <w:t xml:space="preserve">The self-reported data consists of responses to </w:t>
      </w:r>
      <w:r w:rsidR="00AD7053" w:rsidRPr="00FD31D5">
        <w:t>questions</w:t>
      </w:r>
      <w:r w:rsidRPr="00FD31D5">
        <w:t xml:space="preserve"> that</w:t>
      </w:r>
      <w:r w:rsidR="00AD7053" w:rsidRPr="00FD31D5">
        <w:t xml:space="preserve"> </w:t>
      </w:r>
      <w:r w:rsidR="002D06D0" w:rsidRPr="00FD31D5">
        <w:t>were</w:t>
      </w:r>
      <w:r w:rsidRPr="00FD31D5">
        <w:t xml:space="preserve"> both</w:t>
      </w:r>
      <w:r w:rsidR="002D06D0" w:rsidRPr="00FD31D5">
        <w:t xml:space="preserve"> </w:t>
      </w:r>
      <w:r w:rsidR="00AD7053" w:rsidRPr="00FD31D5">
        <w:t xml:space="preserve">mandatory </w:t>
      </w:r>
      <w:r w:rsidRPr="00FD31D5">
        <w:t>and non</w:t>
      </w:r>
      <w:r w:rsidR="002D2EAA" w:rsidRPr="00FD31D5">
        <w:t>-</w:t>
      </w:r>
      <w:r w:rsidRPr="00FD31D5">
        <w:t>mandatory</w:t>
      </w:r>
      <w:r w:rsidR="00AD7053" w:rsidRPr="00FD31D5">
        <w:t xml:space="preserve"> (See Ta</w:t>
      </w:r>
      <w:r w:rsidR="007B023B" w:rsidRPr="00FD31D5">
        <w:t>ble 1</w:t>
      </w:r>
      <w:r w:rsidR="00AD7053" w:rsidRPr="00FD31D5">
        <w:t xml:space="preserve">). </w:t>
      </w:r>
    </w:p>
    <w:p w14:paraId="0B55474A" w14:textId="60655CE1" w:rsidR="00AD7053" w:rsidRPr="00FD31D5" w:rsidRDefault="004D0A2C" w:rsidP="00FD31D5">
      <w:r w:rsidRPr="00FD31D5">
        <w:t>Data quality was limited by the v</w:t>
      </w:r>
      <w:r w:rsidR="00AD7053" w:rsidRPr="00FD31D5">
        <w:t>ar</w:t>
      </w:r>
      <w:r w:rsidR="00876EFD" w:rsidRPr="00FD31D5">
        <w:t>iable</w:t>
      </w:r>
      <w:r w:rsidR="00AD7053" w:rsidRPr="00FD31D5">
        <w:t xml:space="preserve"> responses</w:t>
      </w:r>
      <w:r w:rsidR="00161634" w:rsidRPr="00FD31D5">
        <w:t xml:space="preserve"> on non</w:t>
      </w:r>
      <w:r w:rsidR="00AD7053" w:rsidRPr="00FD31D5">
        <w:t>-</w:t>
      </w:r>
      <w:r w:rsidR="00161634" w:rsidRPr="00FD31D5">
        <w:t>mandatory</w:t>
      </w:r>
      <w:r w:rsidR="00AD7053" w:rsidRPr="00FD31D5">
        <w:t xml:space="preserve"> questions across quarters</w:t>
      </w:r>
      <w:r w:rsidR="003874E8" w:rsidRPr="00FD31D5">
        <w:t>, specifically in relation to</w:t>
      </w:r>
      <w:r w:rsidRPr="00FD31D5">
        <w:t xml:space="preserve"> hours for</w:t>
      </w:r>
      <w:r w:rsidR="003874E8" w:rsidRPr="00FD31D5">
        <w:t xml:space="preserve"> food service staff. As a result, questions about staffing hours are not included in this analysis (Question 5 &amp; 6 – Table 1).</w:t>
      </w:r>
    </w:p>
    <w:p w14:paraId="43F586C0" w14:textId="2D872AFD" w:rsidR="00070352" w:rsidRPr="00FD31D5" w:rsidRDefault="004D0A2C" w:rsidP="009E2B3F">
      <w:r w:rsidRPr="00FD31D5">
        <w:t xml:space="preserve">There was also some variation in </w:t>
      </w:r>
      <w:r w:rsidR="003874E8" w:rsidRPr="00FD31D5">
        <w:t xml:space="preserve">the </w:t>
      </w:r>
      <w:r w:rsidRPr="00FD31D5">
        <w:t>responses</w:t>
      </w:r>
      <w:r w:rsidR="00070352" w:rsidRPr="00FD31D5">
        <w:t xml:space="preserve"> relating to contract catering</w:t>
      </w:r>
      <w:r w:rsidR="003874E8" w:rsidRPr="00FD31D5">
        <w:t xml:space="preserve">, </w:t>
      </w:r>
      <w:r w:rsidRPr="00FD31D5">
        <w:t xml:space="preserve">with some responses including costs related </w:t>
      </w:r>
      <w:r w:rsidR="00F919ED" w:rsidRPr="00FD31D5">
        <w:t>to</w:t>
      </w:r>
      <w:r w:rsidR="00070352" w:rsidRPr="00FD31D5">
        <w:t xml:space="preserve"> transport, </w:t>
      </w:r>
      <w:proofErr w:type="spellStart"/>
      <w:r w:rsidR="00070352" w:rsidRPr="00FD31D5">
        <w:t>labour</w:t>
      </w:r>
      <w:proofErr w:type="spellEnd"/>
      <w:r w:rsidR="00070352" w:rsidRPr="00FD31D5">
        <w:t xml:space="preserve">, </w:t>
      </w:r>
      <w:r w:rsidR="003874E8" w:rsidRPr="00FD31D5">
        <w:t xml:space="preserve">and </w:t>
      </w:r>
      <w:r w:rsidR="00070352" w:rsidRPr="00FD31D5">
        <w:t>administration costs</w:t>
      </w:r>
      <w:r w:rsidRPr="00FD31D5">
        <w:t xml:space="preserve">. Some services were unable to split the costs of </w:t>
      </w:r>
      <w:proofErr w:type="spellStart"/>
      <w:r w:rsidRPr="00FD31D5">
        <w:t>labour</w:t>
      </w:r>
      <w:proofErr w:type="spellEnd"/>
      <w:r w:rsidRPr="00FD31D5">
        <w:t xml:space="preserve"> in their contract catering but were able to provide some information on food and ingredients used to prepare meals and snacks on site. This</w:t>
      </w:r>
      <w:r w:rsidR="00070352" w:rsidRPr="00FD31D5">
        <w:t xml:space="preserve"> result</w:t>
      </w:r>
      <w:r w:rsidRPr="00FD31D5">
        <w:t>ed</w:t>
      </w:r>
      <w:r w:rsidR="00070352" w:rsidRPr="00FD31D5">
        <w:t xml:space="preserve"> in a lack of comparability with services </w:t>
      </w:r>
      <w:r w:rsidRPr="00FD31D5">
        <w:t xml:space="preserve">that reported </w:t>
      </w:r>
      <w:r w:rsidR="00070352" w:rsidRPr="00FD31D5">
        <w:t>food and ingredients only.</w:t>
      </w:r>
      <w:r w:rsidR="00AD7053" w:rsidRPr="00FD31D5">
        <w:t xml:space="preserve"> </w:t>
      </w:r>
    </w:p>
    <w:p w14:paraId="22060EE2" w14:textId="4BF1EA45" w:rsidR="00564D76" w:rsidRPr="00FD31D5" w:rsidRDefault="004D0A2C" w:rsidP="009E2B3F">
      <w:bookmarkStart w:id="16" w:name="_Hlk116304281"/>
      <w:r w:rsidRPr="00FD31D5">
        <w:t xml:space="preserve">Providers of </w:t>
      </w:r>
      <w:r w:rsidR="00564D76" w:rsidRPr="00FD31D5">
        <w:t xml:space="preserve">NATSIFACP and MPS </w:t>
      </w:r>
      <w:r w:rsidRPr="00FD31D5">
        <w:t xml:space="preserve">services </w:t>
      </w:r>
      <w:r w:rsidR="00564D76" w:rsidRPr="00FD31D5">
        <w:t>received the BDF supplement,</w:t>
      </w:r>
      <w:r w:rsidRPr="00FD31D5">
        <w:t xml:space="preserve"> however</w:t>
      </w:r>
      <w:r w:rsidR="00564D76" w:rsidRPr="00FD31D5">
        <w:t xml:space="preserve"> the</w:t>
      </w:r>
      <w:r w:rsidRPr="00FD31D5">
        <w:t xml:space="preserve">re were some quality issues with this data. As a result, these reporting </w:t>
      </w:r>
      <w:r w:rsidR="00564D76" w:rsidRPr="00FD31D5">
        <w:t xml:space="preserve">outcomes are excluded </w:t>
      </w:r>
      <w:r w:rsidRPr="00FD31D5">
        <w:t>in this report</w:t>
      </w:r>
      <w:r w:rsidR="00564D76" w:rsidRPr="00FD31D5">
        <w:t xml:space="preserve">. </w:t>
      </w:r>
    </w:p>
    <w:bookmarkEnd w:id="16"/>
    <w:p w14:paraId="04C1E095" w14:textId="77777777" w:rsidR="00D116A7" w:rsidRDefault="00D116A7">
      <w:pPr>
        <w:sectPr w:rsidR="00D116A7" w:rsidSect="002E2624">
          <w:pgSz w:w="11910" w:h="16840"/>
          <w:pgMar w:top="0" w:right="1021" w:bottom="1418" w:left="1021" w:header="720" w:footer="720" w:gutter="0"/>
          <w:cols w:space="720"/>
        </w:sectPr>
      </w:pPr>
    </w:p>
    <w:p w14:paraId="44817811" w14:textId="6AE8747A" w:rsidR="00327696" w:rsidRPr="000935FA" w:rsidRDefault="00485486" w:rsidP="00FD31D5">
      <w:pPr>
        <w:pStyle w:val="Heading1"/>
      </w:pPr>
      <w:bookmarkStart w:id="17" w:name="_Toc120291071"/>
      <w:r w:rsidRPr="000935FA">
        <w:lastRenderedPageBreak/>
        <w:t>Responses to Food and Nutrition Report questions</w:t>
      </w:r>
      <w:bookmarkEnd w:id="17"/>
    </w:p>
    <w:p w14:paraId="4D2CBDC1" w14:textId="31BD9A20" w:rsidR="00485486" w:rsidRPr="00FD31D5" w:rsidRDefault="00485486" w:rsidP="00FD31D5">
      <w:r w:rsidRPr="00FD31D5">
        <w:t>Each service</w:t>
      </w:r>
      <w:r w:rsidR="007F22A1" w:rsidRPr="00FD31D5">
        <w:t xml:space="preserve"> </w:t>
      </w:r>
      <w:r w:rsidR="002A0E95" w:rsidRPr="00FD31D5">
        <w:t xml:space="preserve">was </w:t>
      </w:r>
      <w:r w:rsidRPr="00FD31D5">
        <w:t>required to answer up to nine question</w:t>
      </w:r>
      <w:r w:rsidR="009D69D3" w:rsidRPr="00FD31D5">
        <w:t>s</w:t>
      </w:r>
      <w:r w:rsidRPr="00FD31D5">
        <w:t xml:space="preserve"> in the Food and Nutrition </w:t>
      </w:r>
      <w:r w:rsidR="00F41E98" w:rsidRPr="00FD31D5">
        <w:t>Report</w:t>
      </w:r>
      <w:r w:rsidR="002A0E95" w:rsidRPr="00FD31D5">
        <w:t>, comprising of:</w:t>
      </w:r>
    </w:p>
    <w:p w14:paraId="7B846245" w14:textId="51CE8508" w:rsidR="00485486" w:rsidRPr="000B5D92" w:rsidRDefault="00485486" w:rsidP="00DA3ADA">
      <w:pPr>
        <w:pStyle w:val="ListBullet"/>
      </w:pPr>
      <w:r w:rsidRPr="00BA7608">
        <w:t>Seven quantitative</w:t>
      </w:r>
      <w:r w:rsidR="002A0E95" w:rsidRPr="00BA7608">
        <w:t xml:space="preserve"> questions</w:t>
      </w:r>
      <w:r w:rsidRPr="00BA7608">
        <w:t xml:space="preserve">, </w:t>
      </w:r>
      <w:r w:rsidR="009D69D3" w:rsidRPr="00BA7608">
        <w:t>of which 2 were mandatory</w:t>
      </w:r>
      <w:r w:rsidR="00F41E98" w:rsidRPr="009C7881">
        <w:t>, and</w:t>
      </w:r>
    </w:p>
    <w:p w14:paraId="55E8DFEC" w14:textId="7AD261B7" w:rsidR="009D69D3" w:rsidRPr="000B5D92" w:rsidRDefault="009D69D3" w:rsidP="00DA3ADA">
      <w:pPr>
        <w:pStyle w:val="ListBullet"/>
      </w:pPr>
      <w:r w:rsidRPr="000B5D92">
        <w:t>Two mandatory qualitative</w:t>
      </w:r>
      <w:r w:rsidR="007013A9" w:rsidRPr="000B5D92">
        <w:t xml:space="preserve"> free-text</w:t>
      </w:r>
      <w:r w:rsidRPr="000B5D92">
        <w:t xml:space="preserve"> questions</w:t>
      </w:r>
      <w:r w:rsidR="00F41E98" w:rsidRPr="009C7881">
        <w:t>.</w:t>
      </w:r>
    </w:p>
    <w:p w14:paraId="58062F8C" w14:textId="318E39F0" w:rsidR="00485486" w:rsidRPr="00FD31D5" w:rsidRDefault="00485486" w:rsidP="00DA3ADA">
      <w:r w:rsidRPr="00FD31D5">
        <w:t>In the six months to 30 June 2022, all non-mandatory questions saw</w:t>
      </w:r>
      <w:r w:rsidR="009D69D3" w:rsidRPr="00FD31D5">
        <w:t xml:space="preserve"> </w:t>
      </w:r>
      <w:r w:rsidR="00D2031D" w:rsidRPr="00FD31D5">
        <w:t>an increased response rate</w:t>
      </w:r>
      <w:r w:rsidR="007F22A0" w:rsidRPr="00D77F2D">
        <w:rPr>
          <w:vertAlign w:val="superscript"/>
        </w:rPr>
        <w:footnoteReference w:id="7"/>
      </w:r>
      <w:r w:rsidR="007F22A0" w:rsidRPr="00FD31D5">
        <w:t xml:space="preserve"> </w:t>
      </w:r>
      <w:r w:rsidRPr="00FD31D5">
        <w:t>compared to the previous six months (Table 1).</w:t>
      </w:r>
    </w:p>
    <w:p w14:paraId="5E91F2F5" w14:textId="3244D1FD" w:rsidR="0012010B" w:rsidRPr="00BF30A6" w:rsidRDefault="009B51F6" w:rsidP="009B51F6">
      <w:pPr>
        <w:pStyle w:val="Caption"/>
      </w:pPr>
      <w:r>
        <w:t xml:space="preserve">Table </w:t>
      </w:r>
      <w:fldSimple w:instr=" SEQ Table \* ARABIC ">
        <w:r>
          <w:rPr>
            <w:noProof/>
          </w:rPr>
          <w:t>1</w:t>
        </w:r>
      </w:fldSimple>
      <w:r w:rsidR="0012010B" w:rsidRPr="00BF30A6">
        <w:t xml:space="preserve">: Residential service response rate against mandatory and non-mandatory questions, six monthly, 1 July 2021 </w:t>
      </w:r>
      <w:r w:rsidR="00F41E98" w:rsidRPr="00BF30A6">
        <w:t>-</w:t>
      </w:r>
      <w:r w:rsidR="0012010B" w:rsidRPr="00BF30A6">
        <w:t xml:space="preserve"> 30 June 2022</w:t>
      </w:r>
      <w:r w:rsidR="00F41E98" w:rsidRPr="00BF30A6">
        <w:t>.</w:t>
      </w:r>
    </w:p>
    <w:tbl>
      <w:tblPr>
        <w:tblStyle w:val="ListTable3"/>
        <w:tblW w:w="9747" w:type="dxa"/>
        <w:tblLook w:val="04A0" w:firstRow="1" w:lastRow="0" w:firstColumn="1" w:lastColumn="0" w:noHBand="0" w:noVBand="1"/>
      </w:tblPr>
      <w:tblGrid>
        <w:gridCol w:w="4928"/>
        <w:gridCol w:w="1984"/>
        <w:gridCol w:w="1418"/>
        <w:gridCol w:w="1417"/>
      </w:tblGrid>
      <w:tr w:rsidR="00DA3ADA" w:rsidRPr="00DA3ADA" w14:paraId="5C3D1B27" w14:textId="77777777" w:rsidTr="00DA3ADA">
        <w:trPr>
          <w:cnfStyle w:val="100000000000" w:firstRow="1" w:lastRow="0" w:firstColumn="0" w:lastColumn="0" w:oddVBand="0" w:evenVBand="0" w:oddHBand="0" w:evenHBand="0" w:firstRowFirstColumn="0" w:firstRowLastColumn="0" w:lastRowFirstColumn="0" w:lastRowLastColumn="0"/>
          <w:trHeight w:val="780"/>
          <w:tblHeader/>
        </w:trPr>
        <w:tc>
          <w:tcPr>
            <w:cnfStyle w:val="001000000100" w:firstRow="0" w:lastRow="0" w:firstColumn="1" w:lastColumn="0" w:oddVBand="0" w:evenVBand="0" w:oddHBand="0" w:evenHBand="0" w:firstRowFirstColumn="1" w:firstRowLastColumn="0" w:lastRowFirstColumn="0" w:lastRowLastColumn="0"/>
            <w:tcW w:w="4928" w:type="dxa"/>
            <w:hideMark/>
          </w:tcPr>
          <w:p w14:paraId="169F2F18" w14:textId="77777777" w:rsidR="0012010B" w:rsidRPr="00DA3ADA" w:rsidRDefault="0012010B" w:rsidP="00DA3ADA">
            <w:pPr>
              <w:pStyle w:val="TableofAuthorities"/>
            </w:pPr>
            <w:r w:rsidRPr="00DA3ADA">
              <w:t>Question</w:t>
            </w:r>
          </w:p>
        </w:tc>
        <w:tc>
          <w:tcPr>
            <w:tcW w:w="1984" w:type="dxa"/>
            <w:hideMark/>
          </w:tcPr>
          <w:p w14:paraId="73DE5AB2" w14:textId="77777777" w:rsidR="0012010B" w:rsidRPr="00DA3ADA" w:rsidRDefault="0012010B" w:rsidP="00DA3ADA">
            <w:pPr>
              <w:pStyle w:val="TableofAuthorities"/>
              <w:cnfStyle w:val="100000000000" w:firstRow="1" w:lastRow="0" w:firstColumn="0" w:lastColumn="0" w:oddVBand="0" w:evenVBand="0" w:oddHBand="0" w:evenHBand="0" w:firstRowFirstColumn="0" w:firstRowLastColumn="0" w:lastRowFirstColumn="0" w:lastRowLastColumn="0"/>
            </w:pPr>
            <w:r w:rsidRPr="00DA3ADA">
              <w:t>Question type</w:t>
            </w:r>
          </w:p>
        </w:tc>
        <w:tc>
          <w:tcPr>
            <w:tcW w:w="1418" w:type="dxa"/>
            <w:hideMark/>
          </w:tcPr>
          <w:p w14:paraId="344A5A99" w14:textId="77777777" w:rsidR="0012010B" w:rsidRPr="00DA3ADA" w:rsidRDefault="0012010B" w:rsidP="00DA3ADA">
            <w:pPr>
              <w:pStyle w:val="TableofAuthorities"/>
              <w:cnfStyle w:val="100000000000" w:firstRow="1" w:lastRow="0" w:firstColumn="0" w:lastColumn="0" w:oddVBand="0" w:evenVBand="0" w:oddHBand="0" w:evenHBand="0" w:firstRowFirstColumn="0" w:firstRowLastColumn="0" w:lastRowFirstColumn="0" w:lastRowLastColumn="0"/>
            </w:pPr>
            <w:r w:rsidRPr="00DA3ADA">
              <w:t>6 months to 31 Dec 2022</w:t>
            </w:r>
          </w:p>
        </w:tc>
        <w:tc>
          <w:tcPr>
            <w:tcW w:w="1417" w:type="dxa"/>
            <w:hideMark/>
          </w:tcPr>
          <w:p w14:paraId="238263D8" w14:textId="5861280C" w:rsidR="0012010B" w:rsidRPr="00DA3ADA" w:rsidRDefault="0012010B" w:rsidP="00DA3ADA">
            <w:pPr>
              <w:pStyle w:val="TableofAuthorities"/>
              <w:cnfStyle w:val="100000000000" w:firstRow="1" w:lastRow="0" w:firstColumn="0" w:lastColumn="0" w:oddVBand="0" w:evenVBand="0" w:oddHBand="0" w:evenHBand="0" w:firstRowFirstColumn="0" w:firstRowLastColumn="0" w:lastRowFirstColumn="0" w:lastRowLastColumn="0"/>
            </w:pPr>
            <w:r w:rsidRPr="00DA3ADA">
              <w:t>6</w:t>
            </w:r>
            <w:r w:rsidR="00F41E98" w:rsidRPr="00DA3ADA">
              <w:t xml:space="preserve"> </w:t>
            </w:r>
            <w:r w:rsidRPr="00DA3ADA">
              <w:t>months to 30 Jun 2022</w:t>
            </w:r>
          </w:p>
        </w:tc>
      </w:tr>
      <w:tr w:rsidR="0012010B" w:rsidRPr="00DA3ADA" w14:paraId="53FC774F" w14:textId="77777777" w:rsidTr="00DA3ADA">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4928" w:type="dxa"/>
            <w:hideMark/>
          </w:tcPr>
          <w:p w14:paraId="2F477E29" w14:textId="77777777" w:rsidR="0012010B" w:rsidRPr="00DA3ADA" w:rsidRDefault="0012010B" w:rsidP="00DA3ADA">
            <w:r w:rsidRPr="00DA3ADA">
              <w:t>Question 1: Expenditure on food and ingredients used to prepare meals and snacks on-site</w:t>
            </w:r>
          </w:p>
        </w:tc>
        <w:tc>
          <w:tcPr>
            <w:tcW w:w="1984" w:type="dxa"/>
            <w:hideMark/>
          </w:tcPr>
          <w:p w14:paraId="64BFC050"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Mandatory</w:t>
            </w:r>
          </w:p>
        </w:tc>
        <w:tc>
          <w:tcPr>
            <w:tcW w:w="1418" w:type="dxa"/>
            <w:hideMark/>
          </w:tcPr>
          <w:p w14:paraId="2B41999A"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100%</w:t>
            </w:r>
          </w:p>
        </w:tc>
        <w:tc>
          <w:tcPr>
            <w:tcW w:w="1417" w:type="dxa"/>
            <w:hideMark/>
          </w:tcPr>
          <w:p w14:paraId="0EAE68F0"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100%</w:t>
            </w:r>
          </w:p>
        </w:tc>
      </w:tr>
      <w:tr w:rsidR="0012010B" w:rsidRPr="00DA3ADA" w14:paraId="249728AA" w14:textId="77777777" w:rsidTr="00DA3ADA">
        <w:trPr>
          <w:trHeight w:val="760"/>
        </w:trPr>
        <w:tc>
          <w:tcPr>
            <w:cnfStyle w:val="001000000000" w:firstRow="0" w:lastRow="0" w:firstColumn="1" w:lastColumn="0" w:oddVBand="0" w:evenVBand="0" w:oddHBand="0" w:evenHBand="0" w:firstRowFirstColumn="0" w:firstRowLastColumn="0" w:lastRowFirstColumn="0" w:lastRowLastColumn="0"/>
            <w:tcW w:w="4928" w:type="dxa"/>
            <w:hideMark/>
          </w:tcPr>
          <w:p w14:paraId="1779ED6A" w14:textId="77777777" w:rsidR="0012010B" w:rsidRPr="00DA3ADA" w:rsidRDefault="0012010B" w:rsidP="00DA3ADA">
            <w:r w:rsidRPr="00DA3ADA">
              <w:t>Question 2: Expenditure on pre-prepared and bought-in main meals</w:t>
            </w:r>
          </w:p>
        </w:tc>
        <w:tc>
          <w:tcPr>
            <w:tcW w:w="1984" w:type="dxa"/>
            <w:hideMark/>
          </w:tcPr>
          <w:p w14:paraId="3B95BB92" w14:textId="6AAA6641"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Mandatory</w:t>
            </w:r>
          </w:p>
        </w:tc>
        <w:tc>
          <w:tcPr>
            <w:tcW w:w="1418" w:type="dxa"/>
            <w:hideMark/>
          </w:tcPr>
          <w:p w14:paraId="7A49B57D"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100%</w:t>
            </w:r>
          </w:p>
        </w:tc>
        <w:tc>
          <w:tcPr>
            <w:tcW w:w="1417" w:type="dxa"/>
            <w:hideMark/>
          </w:tcPr>
          <w:p w14:paraId="78C47A5D"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100%</w:t>
            </w:r>
          </w:p>
        </w:tc>
      </w:tr>
      <w:tr w:rsidR="0012010B" w:rsidRPr="00DA3ADA" w14:paraId="586C5938" w14:textId="77777777" w:rsidTr="00DA3AD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4928" w:type="dxa"/>
            <w:hideMark/>
          </w:tcPr>
          <w:p w14:paraId="55FFC45E" w14:textId="77777777" w:rsidR="0012010B" w:rsidRPr="00DA3ADA" w:rsidRDefault="0012010B" w:rsidP="00DA3ADA">
            <w:r w:rsidRPr="00DA3ADA">
              <w:t>Question 3: Expenditure on oral nutritional supplements</w:t>
            </w:r>
          </w:p>
        </w:tc>
        <w:tc>
          <w:tcPr>
            <w:tcW w:w="1984" w:type="dxa"/>
            <w:hideMark/>
          </w:tcPr>
          <w:p w14:paraId="501D3658"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Non-Mandatory</w:t>
            </w:r>
          </w:p>
        </w:tc>
        <w:tc>
          <w:tcPr>
            <w:tcW w:w="1418" w:type="dxa"/>
            <w:hideMark/>
          </w:tcPr>
          <w:p w14:paraId="0BBAB2E7"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69%</w:t>
            </w:r>
          </w:p>
        </w:tc>
        <w:tc>
          <w:tcPr>
            <w:tcW w:w="1417" w:type="dxa"/>
            <w:hideMark/>
          </w:tcPr>
          <w:p w14:paraId="146DEEBC"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70%</w:t>
            </w:r>
          </w:p>
        </w:tc>
      </w:tr>
      <w:tr w:rsidR="0012010B" w:rsidRPr="00DA3ADA" w14:paraId="5D9E8ABF" w14:textId="77777777" w:rsidTr="00DA3ADA">
        <w:trPr>
          <w:trHeight w:val="570"/>
        </w:trPr>
        <w:tc>
          <w:tcPr>
            <w:cnfStyle w:val="001000000000" w:firstRow="0" w:lastRow="0" w:firstColumn="1" w:lastColumn="0" w:oddVBand="0" w:evenVBand="0" w:oddHBand="0" w:evenHBand="0" w:firstRowFirstColumn="0" w:firstRowLastColumn="0" w:lastRowFirstColumn="0" w:lastRowLastColumn="0"/>
            <w:tcW w:w="4928" w:type="dxa"/>
            <w:hideMark/>
          </w:tcPr>
          <w:p w14:paraId="4FA798A7" w14:textId="77777777" w:rsidR="0012010B" w:rsidRPr="00DA3ADA" w:rsidRDefault="0012010B" w:rsidP="00DA3ADA">
            <w:r w:rsidRPr="00DA3ADA">
              <w:t>Question 4: Expenditure on oral health living expenses</w:t>
            </w:r>
          </w:p>
        </w:tc>
        <w:tc>
          <w:tcPr>
            <w:tcW w:w="1984" w:type="dxa"/>
            <w:hideMark/>
          </w:tcPr>
          <w:p w14:paraId="6B981A4E"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Non-Mandatory</w:t>
            </w:r>
          </w:p>
        </w:tc>
        <w:tc>
          <w:tcPr>
            <w:tcW w:w="1418" w:type="dxa"/>
            <w:hideMark/>
          </w:tcPr>
          <w:p w14:paraId="453601CB"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51%</w:t>
            </w:r>
          </w:p>
        </w:tc>
        <w:tc>
          <w:tcPr>
            <w:tcW w:w="1417" w:type="dxa"/>
            <w:hideMark/>
          </w:tcPr>
          <w:p w14:paraId="43EFB278"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53%</w:t>
            </w:r>
          </w:p>
        </w:tc>
      </w:tr>
      <w:tr w:rsidR="0012010B" w:rsidRPr="00DA3ADA" w14:paraId="6F70E9A3" w14:textId="77777777" w:rsidTr="00DA3AD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4928" w:type="dxa"/>
            <w:hideMark/>
          </w:tcPr>
          <w:p w14:paraId="263DA378" w14:textId="77777777" w:rsidR="0012010B" w:rsidRPr="00DA3ADA" w:rsidRDefault="0012010B" w:rsidP="00DA3ADA">
            <w:r w:rsidRPr="00DA3ADA">
              <w:t>Question 5: Hours for cooks and chefs</w:t>
            </w:r>
          </w:p>
        </w:tc>
        <w:tc>
          <w:tcPr>
            <w:tcW w:w="1984" w:type="dxa"/>
            <w:hideMark/>
          </w:tcPr>
          <w:p w14:paraId="25B50385"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Non-Mandatory</w:t>
            </w:r>
          </w:p>
        </w:tc>
        <w:tc>
          <w:tcPr>
            <w:tcW w:w="1418" w:type="dxa"/>
            <w:hideMark/>
          </w:tcPr>
          <w:p w14:paraId="2C54BF63"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67%</w:t>
            </w:r>
          </w:p>
        </w:tc>
        <w:tc>
          <w:tcPr>
            <w:tcW w:w="1417" w:type="dxa"/>
            <w:hideMark/>
          </w:tcPr>
          <w:p w14:paraId="4A3F0A09"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69%</w:t>
            </w:r>
          </w:p>
        </w:tc>
      </w:tr>
      <w:tr w:rsidR="0012010B" w:rsidRPr="00DA3ADA" w14:paraId="57CD6C4A" w14:textId="77777777" w:rsidTr="00DA3ADA">
        <w:trPr>
          <w:trHeight w:val="760"/>
        </w:trPr>
        <w:tc>
          <w:tcPr>
            <w:cnfStyle w:val="001000000000" w:firstRow="0" w:lastRow="0" w:firstColumn="1" w:lastColumn="0" w:oddVBand="0" w:evenVBand="0" w:oddHBand="0" w:evenHBand="0" w:firstRowFirstColumn="0" w:firstRowLastColumn="0" w:lastRowFirstColumn="0" w:lastRowLastColumn="0"/>
            <w:tcW w:w="4928" w:type="dxa"/>
            <w:hideMark/>
          </w:tcPr>
          <w:p w14:paraId="59C00168" w14:textId="77777777" w:rsidR="0012010B" w:rsidRPr="00DA3ADA" w:rsidRDefault="0012010B" w:rsidP="00DA3ADA">
            <w:r w:rsidRPr="00DA3ADA">
              <w:t>Question 6: Hours for other food management and/or food service staff</w:t>
            </w:r>
          </w:p>
        </w:tc>
        <w:tc>
          <w:tcPr>
            <w:tcW w:w="1984" w:type="dxa"/>
            <w:hideMark/>
          </w:tcPr>
          <w:p w14:paraId="3602E1E7"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Non-Mandatory</w:t>
            </w:r>
          </w:p>
        </w:tc>
        <w:tc>
          <w:tcPr>
            <w:tcW w:w="1418" w:type="dxa"/>
            <w:hideMark/>
          </w:tcPr>
          <w:p w14:paraId="27A11CB5"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71%</w:t>
            </w:r>
          </w:p>
        </w:tc>
        <w:tc>
          <w:tcPr>
            <w:tcW w:w="1417" w:type="dxa"/>
            <w:hideMark/>
          </w:tcPr>
          <w:p w14:paraId="6AD711A9"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72%</w:t>
            </w:r>
          </w:p>
        </w:tc>
      </w:tr>
      <w:tr w:rsidR="0012010B" w:rsidRPr="00DA3ADA" w14:paraId="0A565ECA" w14:textId="77777777" w:rsidTr="00DA3ADA">
        <w:trPr>
          <w:cnfStyle w:val="000000100000" w:firstRow="0" w:lastRow="0" w:firstColumn="0" w:lastColumn="0" w:oddVBand="0" w:evenVBand="0" w:oddHBand="1" w:evenHBand="0" w:firstRowFirstColumn="0" w:firstRowLastColumn="0" w:lastRowFirstColumn="0" w:lastRowLastColumn="0"/>
          <w:trHeight w:val="1128"/>
        </w:trPr>
        <w:tc>
          <w:tcPr>
            <w:cnfStyle w:val="001000000000" w:firstRow="0" w:lastRow="0" w:firstColumn="1" w:lastColumn="0" w:oddVBand="0" w:evenVBand="0" w:oddHBand="0" w:evenHBand="0" w:firstRowFirstColumn="0" w:firstRowLastColumn="0" w:lastRowFirstColumn="0" w:lastRowLastColumn="0"/>
            <w:tcW w:w="4928" w:type="dxa"/>
            <w:hideMark/>
          </w:tcPr>
          <w:p w14:paraId="7EC0424C" w14:textId="77777777" w:rsidR="0012010B" w:rsidRPr="00DA3ADA" w:rsidRDefault="0012010B" w:rsidP="00DA3ADA">
            <w:r w:rsidRPr="00DA3ADA">
              <w:t>Question 7: Expenditure on allied health support (such as dietitians, speech pathologists and oral health practitioners) for residents to improve their nutritional wellbeing</w:t>
            </w:r>
          </w:p>
        </w:tc>
        <w:tc>
          <w:tcPr>
            <w:tcW w:w="1984" w:type="dxa"/>
            <w:hideMark/>
          </w:tcPr>
          <w:p w14:paraId="30BC61A2"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Non-Mandatory</w:t>
            </w:r>
          </w:p>
        </w:tc>
        <w:tc>
          <w:tcPr>
            <w:tcW w:w="1418" w:type="dxa"/>
            <w:hideMark/>
          </w:tcPr>
          <w:p w14:paraId="45FA5FCA"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67%</w:t>
            </w:r>
          </w:p>
        </w:tc>
        <w:tc>
          <w:tcPr>
            <w:tcW w:w="1417" w:type="dxa"/>
            <w:hideMark/>
          </w:tcPr>
          <w:p w14:paraId="31399D5A"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68%</w:t>
            </w:r>
          </w:p>
        </w:tc>
      </w:tr>
      <w:tr w:rsidR="0012010B" w:rsidRPr="00DA3ADA" w14:paraId="419A65C6" w14:textId="77777777" w:rsidTr="00DA3ADA">
        <w:trPr>
          <w:trHeight w:val="691"/>
        </w:trPr>
        <w:tc>
          <w:tcPr>
            <w:cnfStyle w:val="001000000000" w:firstRow="0" w:lastRow="0" w:firstColumn="1" w:lastColumn="0" w:oddVBand="0" w:evenVBand="0" w:oddHBand="0" w:evenHBand="0" w:firstRowFirstColumn="0" w:firstRowLastColumn="0" w:lastRowFirstColumn="0" w:lastRowLastColumn="0"/>
            <w:tcW w:w="4928" w:type="dxa"/>
            <w:hideMark/>
          </w:tcPr>
          <w:p w14:paraId="2E7F1DBC" w14:textId="77777777" w:rsidR="0012010B" w:rsidRPr="00DA3ADA" w:rsidRDefault="0012010B" w:rsidP="00DA3ADA">
            <w:r w:rsidRPr="00DA3ADA">
              <w:t>Question 8: How do you ensure you are providing an appropriate standard of daily living services?</w:t>
            </w:r>
          </w:p>
        </w:tc>
        <w:tc>
          <w:tcPr>
            <w:tcW w:w="1984" w:type="dxa"/>
            <w:hideMark/>
          </w:tcPr>
          <w:p w14:paraId="5DA49188"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Mandatory</w:t>
            </w:r>
          </w:p>
        </w:tc>
        <w:tc>
          <w:tcPr>
            <w:tcW w:w="1418" w:type="dxa"/>
            <w:hideMark/>
          </w:tcPr>
          <w:p w14:paraId="0D6FFF40"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100%</w:t>
            </w:r>
          </w:p>
        </w:tc>
        <w:tc>
          <w:tcPr>
            <w:tcW w:w="1417" w:type="dxa"/>
            <w:hideMark/>
          </w:tcPr>
          <w:p w14:paraId="1CA002DC" w14:textId="77777777" w:rsidR="0012010B" w:rsidRPr="00DA3ADA" w:rsidRDefault="0012010B" w:rsidP="00DA3ADA">
            <w:pPr>
              <w:cnfStyle w:val="000000000000" w:firstRow="0" w:lastRow="0" w:firstColumn="0" w:lastColumn="0" w:oddVBand="0" w:evenVBand="0" w:oddHBand="0" w:evenHBand="0" w:firstRowFirstColumn="0" w:firstRowLastColumn="0" w:lastRowFirstColumn="0" w:lastRowLastColumn="0"/>
            </w:pPr>
            <w:r w:rsidRPr="00DA3ADA">
              <w:t>100%</w:t>
            </w:r>
          </w:p>
        </w:tc>
      </w:tr>
      <w:tr w:rsidR="0012010B" w:rsidRPr="00DA3ADA" w14:paraId="37160AF8" w14:textId="77777777" w:rsidTr="00DA3ADA">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4928" w:type="dxa"/>
            <w:hideMark/>
          </w:tcPr>
          <w:p w14:paraId="5B3F2B14" w14:textId="77777777" w:rsidR="0012010B" w:rsidRPr="00DA3ADA" w:rsidRDefault="0012010B" w:rsidP="00DA3ADA">
            <w:r w:rsidRPr="00DA3ADA">
              <w:t>Question 9: Do you have any plans to review or improve your provision of daily living services?</w:t>
            </w:r>
          </w:p>
        </w:tc>
        <w:tc>
          <w:tcPr>
            <w:tcW w:w="1984" w:type="dxa"/>
            <w:hideMark/>
          </w:tcPr>
          <w:p w14:paraId="2164896A"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Mandatory</w:t>
            </w:r>
          </w:p>
        </w:tc>
        <w:tc>
          <w:tcPr>
            <w:tcW w:w="1418" w:type="dxa"/>
            <w:hideMark/>
          </w:tcPr>
          <w:p w14:paraId="28F8779C"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100%</w:t>
            </w:r>
          </w:p>
        </w:tc>
        <w:tc>
          <w:tcPr>
            <w:tcW w:w="1417" w:type="dxa"/>
            <w:hideMark/>
          </w:tcPr>
          <w:p w14:paraId="5F1155D1" w14:textId="77777777" w:rsidR="0012010B" w:rsidRPr="00DA3ADA" w:rsidRDefault="0012010B" w:rsidP="00DA3ADA">
            <w:pPr>
              <w:cnfStyle w:val="000000100000" w:firstRow="0" w:lastRow="0" w:firstColumn="0" w:lastColumn="0" w:oddVBand="0" w:evenVBand="0" w:oddHBand="1" w:evenHBand="0" w:firstRowFirstColumn="0" w:firstRowLastColumn="0" w:lastRowFirstColumn="0" w:lastRowLastColumn="0"/>
            </w:pPr>
            <w:r w:rsidRPr="00DA3ADA">
              <w:t>100%</w:t>
            </w:r>
          </w:p>
        </w:tc>
      </w:tr>
    </w:tbl>
    <w:p w14:paraId="76251921" w14:textId="77777777" w:rsidR="00240AD4" w:rsidRPr="00BF30A6" w:rsidRDefault="00240AD4" w:rsidP="00BF30A6">
      <w:r>
        <w:br w:type="page"/>
      </w:r>
    </w:p>
    <w:p w14:paraId="36637D69" w14:textId="0A161D07" w:rsidR="00C6259B" w:rsidRDefault="00C6259B" w:rsidP="00FD31D5">
      <w:pPr>
        <w:pStyle w:val="Heading1"/>
      </w:pPr>
      <w:bookmarkStart w:id="18" w:name="_Toc120291072"/>
      <w:r>
        <w:lastRenderedPageBreak/>
        <w:t xml:space="preserve">Analysis of </w:t>
      </w:r>
      <w:r w:rsidR="002C0AA4">
        <w:t>reported</w:t>
      </w:r>
      <w:r w:rsidR="007500E4">
        <w:t xml:space="preserve"> expenditure on food and nutrition</w:t>
      </w:r>
      <w:bookmarkEnd w:id="18"/>
    </w:p>
    <w:p w14:paraId="57F01A01" w14:textId="156EC79F" w:rsidR="00556003" w:rsidRPr="000B5D92" w:rsidRDefault="00556003" w:rsidP="00FD31D5">
      <w:pPr>
        <w:pStyle w:val="Heading2"/>
      </w:pPr>
      <w:bookmarkStart w:id="19" w:name="_Toc120291073"/>
      <w:r w:rsidRPr="000B5D92">
        <w:t>Food expenditure, average daily spend per resident</w:t>
      </w:r>
      <w:r w:rsidR="0089160E">
        <w:t xml:space="preserve"> per day</w:t>
      </w:r>
      <w:bookmarkEnd w:id="19"/>
    </w:p>
    <w:p w14:paraId="7CB935B1" w14:textId="76967287" w:rsidR="00C6259B" w:rsidRPr="00FD31D5" w:rsidRDefault="007558DD" w:rsidP="00FD31D5">
      <w:r w:rsidRPr="00FD31D5">
        <w:t xml:space="preserve">In 2021-22 </w:t>
      </w:r>
      <w:r w:rsidR="00181434" w:rsidRPr="00FD31D5">
        <w:t xml:space="preserve">residential </w:t>
      </w:r>
      <w:r w:rsidRPr="00FD31D5">
        <w:t>services spent an average of $14.46 per resident per day on food expenditure.</w:t>
      </w:r>
    </w:p>
    <w:p w14:paraId="25853352" w14:textId="3DD65BB2" w:rsidR="00F3640A" w:rsidRPr="00F919ED" w:rsidRDefault="007B66F4" w:rsidP="009B51F6">
      <w:pPr>
        <w:pStyle w:val="ListBullet"/>
      </w:pPr>
      <w:r w:rsidRPr="00BA7608">
        <w:t>T</w:t>
      </w:r>
      <w:r w:rsidR="00F3640A" w:rsidRPr="00BA7608">
        <w:t xml:space="preserve">he </w:t>
      </w:r>
      <w:r w:rsidR="003E1EB8" w:rsidRPr="00BA7608">
        <w:t xml:space="preserve">average </w:t>
      </w:r>
      <w:proofErr w:type="gramStart"/>
      <w:r w:rsidR="003E1EB8" w:rsidRPr="00D2031D">
        <w:t>spend</w:t>
      </w:r>
      <w:proofErr w:type="gramEnd"/>
      <w:r w:rsidR="00277088" w:rsidRPr="00D2031D">
        <w:t xml:space="preserve"> per resident</w:t>
      </w:r>
      <w:r w:rsidR="00F3640A" w:rsidRPr="00D2031D">
        <w:t xml:space="preserve"> </w:t>
      </w:r>
      <w:r w:rsidR="0089160E" w:rsidRPr="00D2031D">
        <w:t xml:space="preserve">per day </w:t>
      </w:r>
      <w:r w:rsidR="00F3640A" w:rsidRPr="00D2031D">
        <w:t xml:space="preserve">for food expenditure </w:t>
      </w:r>
      <w:r w:rsidR="000C5900" w:rsidRPr="00D2031D">
        <w:t xml:space="preserve">increased each quarter, </w:t>
      </w:r>
      <w:r w:rsidR="003E1EB8" w:rsidRPr="00D2031D">
        <w:t xml:space="preserve">from $13.94 in </w:t>
      </w:r>
      <w:r w:rsidR="00277088" w:rsidRPr="00D2031D">
        <w:t>Q1</w:t>
      </w:r>
      <w:r w:rsidR="003E1EB8" w:rsidRPr="00D2031D">
        <w:t xml:space="preserve"> to $15.0</w:t>
      </w:r>
      <w:r w:rsidR="00990F5E" w:rsidRPr="00D2031D">
        <w:t>0</w:t>
      </w:r>
      <w:r w:rsidR="003E1EB8" w:rsidRPr="00D2031D">
        <w:t xml:space="preserve"> in Q4</w:t>
      </w:r>
      <w:r w:rsidRPr="00D2031D">
        <w:t xml:space="preserve"> (Table A1</w:t>
      </w:r>
      <w:r w:rsidRPr="00F919ED">
        <w:t xml:space="preserve">). </w:t>
      </w:r>
    </w:p>
    <w:p w14:paraId="3DA31E37" w14:textId="207F7AA3" w:rsidR="00277088" w:rsidRPr="00FD31D5" w:rsidRDefault="006B3E48" w:rsidP="00FD31D5">
      <w:r w:rsidRPr="00FD31D5">
        <w:t xml:space="preserve">The food expenses reported by </w:t>
      </w:r>
      <w:r w:rsidR="00181434" w:rsidRPr="00FD31D5">
        <w:t>residential</w:t>
      </w:r>
      <w:r w:rsidR="006B1A84" w:rsidRPr="00FD31D5">
        <w:t xml:space="preserve"> </w:t>
      </w:r>
      <w:r w:rsidRPr="00FD31D5">
        <w:t xml:space="preserve">services in 2021-22, </w:t>
      </w:r>
      <w:r w:rsidR="00286DE4" w:rsidRPr="00FD31D5">
        <w:t>are</w:t>
      </w:r>
      <w:r w:rsidR="00D2031D" w:rsidRPr="00FD31D5">
        <w:t xml:space="preserve"> </w:t>
      </w:r>
      <w:proofErr w:type="spellStart"/>
      <w:r w:rsidR="00D2031D" w:rsidRPr="00FD31D5">
        <w:t>categorised</w:t>
      </w:r>
      <w:proofErr w:type="spellEnd"/>
      <w:r w:rsidR="00D2031D" w:rsidRPr="00FD31D5">
        <w:t xml:space="preserve"> into</w:t>
      </w:r>
      <w:r w:rsidRPr="00FD31D5">
        <w:t xml:space="preserve"> the following</w:t>
      </w:r>
      <w:r w:rsidR="00A2165D" w:rsidRPr="00FD31D5">
        <w:t>:</w:t>
      </w:r>
    </w:p>
    <w:p w14:paraId="052CC54B" w14:textId="77777777" w:rsidR="000C5900" w:rsidRPr="00F919ED" w:rsidRDefault="006B3E48" w:rsidP="004D2471">
      <w:pPr>
        <w:pStyle w:val="ListBullet"/>
      </w:pPr>
      <w:r w:rsidRPr="00F919ED">
        <w:t>food and ingredients only</w:t>
      </w:r>
    </w:p>
    <w:p w14:paraId="1153CA58" w14:textId="56864239" w:rsidR="000C5900" w:rsidRPr="00F919ED" w:rsidRDefault="000C5900" w:rsidP="009B51F6">
      <w:pPr>
        <w:pStyle w:val="ListBullet"/>
      </w:pPr>
      <w:r w:rsidRPr="00F919ED">
        <w:t>contract catering only</w:t>
      </w:r>
    </w:p>
    <w:p w14:paraId="7B52F6F1" w14:textId="14F1D845" w:rsidR="006B3E48" w:rsidRPr="00F919ED" w:rsidRDefault="006B3E48" w:rsidP="009B51F6">
      <w:pPr>
        <w:pStyle w:val="ListBullet"/>
      </w:pPr>
      <w:r w:rsidRPr="00F919ED">
        <w:t>combination of food and ingredients, and contract catering</w:t>
      </w:r>
      <w:r w:rsidR="00B95BA1" w:rsidRPr="00F919ED">
        <w:t>.</w:t>
      </w:r>
    </w:p>
    <w:p w14:paraId="5598CF9C" w14:textId="23756BFD" w:rsidR="00AB2121" w:rsidRPr="00FD31D5" w:rsidRDefault="008C0B25" w:rsidP="00FD31D5">
      <w:r w:rsidRPr="00FD31D5">
        <w:t>In 2021-22,</w:t>
      </w:r>
      <w:r w:rsidR="00FF5866" w:rsidRPr="00FD31D5">
        <w:t xml:space="preserve"> </w:t>
      </w:r>
      <w:r w:rsidR="006B3E48" w:rsidRPr="00FD31D5">
        <w:t>76%</w:t>
      </w:r>
      <w:r w:rsidR="002D7D35" w:rsidRPr="00FD31D5">
        <w:t xml:space="preserve"> </w:t>
      </w:r>
      <w:r w:rsidR="006B3E48" w:rsidRPr="00FD31D5">
        <w:t xml:space="preserve">of </w:t>
      </w:r>
      <w:r w:rsidR="00181434" w:rsidRPr="00FD31D5">
        <w:t xml:space="preserve">residential </w:t>
      </w:r>
      <w:r w:rsidR="006B3E48" w:rsidRPr="00FD31D5">
        <w:t>services</w:t>
      </w:r>
      <w:r w:rsidR="00FF5866" w:rsidRPr="00FD31D5">
        <w:t xml:space="preserve"> </w:t>
      </w:r>
      <w:r w:rsidR="006B3E48" w:rsidRPr="00FD31D5">
        <w:t xml:space="preserve">reported </w:t>
      </w:r>
      <w:r w:rsidR="002D7D35" w:rsidRPr="00FD31D5">
        <w:t>their expenditure as</w:t>
      </w:r>
      <w:r w:rsidR="006B3E48" w:rsidRPr="00FD31D5">
        <w:t xml:space="preserve"> food and ingredients only</w:t>
      </w:r>
      <w:r w:rsidR="00B95BA1" w:rsidRPr="00FD31D5">
        <w:t>,</w:t>
      </w:r>
      <w:r w:rsidR="002D7D35" w:rsidRPr="00FD31D5">
        <w:t xml:space="preserve"> followed by 22% reporting a combination of food and ingredients and contract catering</w:t>
      </w:r>
      <w:r w:rsidR="00556003" w:rsidRPr="00FD31D5">
        <w:t xml:space="preserve">, with </w:t>
      </w:r>
      <w:r w:rsidR="002D7D35" w:rsidRPr="00FD31D5">
        <w:t xml:space="preserve">the remaining 2% reporting </w:t>
      </w:r>
      <w:r w:rsidR="00D70C8A" w:rsidRPr="00FD31D5">
        <w:t>contract catering</w:t>
      </w:r>
      <w:r w:rsidR="002D7D35" w:rsidRPr="00FD31D5">
        <w:t xml:space="preserve"> only</w:t>
      </w:r>
      <w:r w:rsidR="00D70C8A" w:rsidRPr="00FD31D5">
        <w:t xml:space="preserve"> </w:t>
      </w:r>
      <w:r w:rsidRPr="00FD31D5">
        <w:t>(Figure 1)</w:t>
      </w:r>
      <w:r w:rsidR="00D70C8A" w:rsidRPr="00FD31D5">
        <w:t>.</w:t>
      </w:r>
      <w:r w:rsidR="00EC2E2B" w:rsidRPr="00FD31D5">
        <w:t xml:space="preserve"> </w:t>
      </w:r>
    </w:p>
    <w:p w14:paraId="6C0855F4" w14:textId="21868CF7" w:rsidR="006B3E48" w:rsidRPr="00FD31D5" w:rsidRDefault="00AB2121" w:rsidP="00FD31D5">
      <w:r w:rsidRPr="00FD31D5">
        <w:t>76% of services in</w:t>
      </w:r>
      <w:r w:rsidR="00C856FC" w:rsidRPr="00FD31D5">
        <w:t xml:space="preserve"> the 6 months to June 2022, </w:t>
      </w:r>
      <w:r w:rsidRPr="00FD31D5">
        <w:t xml:space="preserve">reported their expenditure as food and ingredients only, an upward shift of </w:t>
      </w:r>
      <w:r w:rsidR="005F65D2" w:rsidRPr="00FD31D5">
        <w:t>around 1</w:t>
      </w:r>
      <w:r w:rsidRPr="00FD31D5">
        <w:t>% compared to 75% in the previous 6 months. This corresponds to</w:t>
      </w:r>
      <w:r w:rsidR="005F65D2" w:rsidRPr="00FD31D5">
        <w:t xml:space="preserve"> a similar </w:t>
      </w:r>
      <w:r w:rsidRPr="00FD31D5">
        <w:t>downward shift for services reporting expenditure in the other contract catering categories.</w:t>
      </w:r>
      <w:r w:rsidR="008C0B25" w:rsidRPr="00FD31D5">
        <w:t xml:space="preserve"> </w:t>
      </w:r>
      <w:r w:rsidRPr="00FD31D5">
        <w:t>Tables A2 – A4 show t</w:t>
      </w:r>
      <w:r w:rsidR="00DF013C" w:rsidRPr="00FD31D5">
        <w:t>hese proportions have remained</w:t>
      </w:r>
      <w:r w:rsidRPr="00FD31D5">
        <w:t xml:space="preserve"> </w:t>
      </w:r>
      <w:r w:rsidR="00DF013C" w:rsidRPr="00FD31D5">
        <w:t>stable quarter on quarter</w:t>
      </w:r>
      <w:r w:rsidRPr="00FD31D5">
        <w:t>.</w:t>
      </w:r>
    </w:p>
    <w:p w14:paraId="7062277D" w14:textId="04C6AEDB" w:rsidR="001E40A2" w:rsidRPr="00F919ED" w:rsidRDefault="009B51F6" w:rsidP="009B51F6">
      <w:pPr>
        <w:pStyle w:val="Caption"/>
        <w:rPr>
          <w:szCs w:val="24"/>
        </w:rPr>
      </w:pPr>
      <w:r>
        <w:t xml:space="preserve">Figure </w:t>
      </w:r>
      <w:fldSimple w:instr=" SEQ Figure \* ARABIC ">
        <w:r>
          <w:rPr>
            <w:noProof/>
          </w:rPr>
          <w:t>1</w:t>
        </w:r>
      </w:fldSimple>
      <w:r w:rsidR="001E40A2" w:rsidRPr="00F919ED">
        <w:rPr>
          <w:szCs w:val="24"/>
        </w:rPr>
        <w:t xml:space="preserve">. Share of food expenditure by </w:t>
      </w:r>
      <w:r w:rsidR="006859C1" w:rsidRPr="00F919ED">
        <w:rPr>
          <w:szCs w:val="24"/>
        </w:rPr>
        <w:t>model type</w:t>
      </w:r>
      <w:r w:rsidR="001E40A2" w:rsidRPr="00F919ED">
        <w:rPr>
          <w:szCs w:val="24"/>
        </w:rPr>
        <w:t>, 2021-22</w:t>
      </w:r>
      <w:r w:rsidR="00B95BA1" w:rsidRPr="00F919ED">
        <w:rPr>
          <w:szCs w:val="24"/>
        </w:rPr>
        <w:t>.</w:t>
      </w:r>
    </w:p>
    <w:p w14:paraId="57CBB618" w14:textId="1997BBEA" w:rsidR="00FD49CC" w:rsidRPr="00BF30A6" w:rsidRDefault="00661A4E" w:rsidP="00BF30A6">
      <w:r w:rsidRPr="00BF30A6">
        <w:rPr>
          <w:noProof/>
        </w:rPr>
        <w:drawing>
          <wp:inline distT="0" distB="0" distL="0" distR="0" wp14:anchorId="5863F938" wp14:editId="44F06D59">
            <wp:extent cx="4434267" cy="2171700"/>
            <wp:effectExtent l="0" t="0" r="4445" b="0"/>
            <wp:docPr id="18" name="Picture 18" descr="Figure 1 is donut chart model expenditure by model type between 2021-22.  The data is:   &#10;76% food and ingredients only &#10;2% contract catering only &#10;22% both food and ingredients, and contact cate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 is donut chart model expenditure by model type between 2021-22.  The data is:   &#10;76% food and ingredients only &#10;2% contract catering only &#10;22% both food and ingredients, and contact catering "/>
                    <pic:cNvPicPr/>
                  </pic:nvPicPr>
                  <pic:blipFill>
                    <a:blip r:embed="rId21"/>
                    <a:stretch>
                      <a:fillRect/>
                    </a:stretch>
                  </pic:blipFill>
                  <pic:spPr>
                    <a:xfrm>
                      <a:off x="0" y="0"/>
                      <a:ext cx="4480696" cy="2194439"/>
                    </a:xfrm>
                    <a:prstGeom prst="rect">
                      <a:avLst/>
                    </a:prstGeom>
                  </pic:spPr>
                </pic:pic>
              </a:graphicData>
            </a:graphic>
          </wp:inline>
        </w:drawing>
      </w:r>
    </w:p>
    <w:p w14:paraId="6DCA3BF9" w14:textId="67A48870" w:rsidR="00A2165D" w:rsidRPr="00BF30A6" w:rsidRDefault="00A2165D" w:rsidP="00BF30A6">
      <w:r w:rsidRPr="00BF30A6">
        <w:t xml:space="preserve">The following analysis provides more detail separating these </w:t>
      </w:r>
      <w:r w:rsidR="008E2281" w:rsidRPr="00BF30A6">
        <w:t>costs</w:t>
      </w:r>
      <w:r w:rsidR="005A05DD" w:rsidRPr="00BF30A6">
        <w:t xml:space="preserve"> by model type</w:t>
      </w:r>
      <w:r w:rsidRPr="00BF30A6">
        <w:t>.</w:t>
      </w:r>
    </w:p>
    <w:p w14:paraId="2276F3C8" w14:textId="3CDFF1FC" w:rsidR="00D2031D" w:rsidRDefault="00D2031D" w:rsidP="00FD31D5">
      <w:pPr>
        <w:pStyle w:val="Heading2"/>
      </w:pPr>
      <w:bookmarkStart w:id="20" w:name="_Toc120291074"/>
      <w:r>
        <w:t>Expenditure on food and ingredients only</w:t>
      </w:r>
      <w:bookmarkEnd w:id="20"/>
    </w:p>
    <w:p w14:paraId="1499371F" w14:textId="6DCB042C" w:rsidR="00A2165D" w:rsidRPr="00D2031D" w:rsidRDefault="00A2165D" w:rsidP="004D2471">
      <w:pPr>
        <w:pStyle w:val="ListBullet4"/>
      </w:pPr>
      <w:r w:rsidRPr="00D2031D">
        <w:t xml:space="preserve">76% of residential services reported </w:t>
      </w:r>
      <w:r w:rsidR="00D2031D" w:rsidRPr="00D2031D">
        <w:t>in this category</w:t>
      </w:r>
      <w:r w:rsidR="004513BF">
        <w:t xml:space="preserve"> only</w:t>
      </w:r>
      <w:r w:rsidR="00D2031D" w:rsidRPr="00D2031D">
        <w:t xml:space="preserve">, </w:t>
      </w:r>
      <w:r w:rsidRPr="00D2031D">
        <w:t xml:space="preserve">with an average spend of $12.54 per resident </w:t>
      </w:r>
      <w:r w:rsidR="0089160E" w:rsidRPr="00D2031D">
        <w:t xml:space="preserve">per day </w:t>
      </w:r>
      <w:r w:rsidRPr="00D2031D">
        <w:t>in 2021-22.</w:t>
      </w:r>
      <w:r w:rsidR="00D70C8A" w:rsidRPr="00D2031D">
        <w:t xml:space="preserve"> </w:t>
      </w:r>
    </w:p>
    <w:p w14:paraId="1A96C608" w14:textId="76DB3CE4" w:rsidR="00A2165D" w:rsidRPr="009B51F6" w:rsidRDefault="00D2031D" w:rsidP="009B51F6">
      <w:pPr>
        <w:pStyle w:val="ListBullet2"/>
      </w:pPr>
      <w:r w:rsidRPr="009B51F6">
        <w:t xml:space="preserve">This average </w:t>
      </w:r>
      <w:proofErr w:type="gramStart"/>
      <w:r w:rsidRPr="009B51F6">
        <w:t>spend</w:t>
      </w:r>
      <w:proofErr w:type="gramEnd"/>
      <w:r w:rsidR="00283102" w:rsidRPr="009B51F6">
        <w:t xml:space="preserve"> increased</w:t>
      </w:r>
      <w:r w:rsidR="00A2165D" w:rsidRPr="009B51F6">
        <w:t xml:space="preserve"> </w:t>
      </w:r>
      <w:r w:rsidR="00FF5866" w:rsidRPr="009B51F6">
        <w:t xml:space="preserve">each quarter, </w:t>
      </w:r>
      <w:r w:rsidR="00A2165D" w:rsidRPr="009B51F6">
        <w:t>from $12.25</w:t>
      </w:r>
      <w:r w:rsidR="00283102" w:rsidRPr="009B51F6">
        <w:t xml:space="preserve"> </w:t>
      </w:r>
      <w:r w:rsidR="00A2165D" w:rsidRPr="009B51F6">
        <w:t xml:space="preserve">in </w:t>
      </w:r>
      <w:r w:rsidR="00283102" w:rsidRPr="009B51F6">
        <w:t>Q1</w:t>
      </w:r>
      <w:r w:rsidR="00A2165D" w:rsidRPr="009B51F6">
        <w:t xml:space="preserve"> to $12.93 in </w:t>
      </w:r>
      <w:r w:rsidR="00283102" w:rsidRPr="009B51F6">
        <w:t>Q4</w:t>
      </w:r>
      <w:r w:rsidR="00BA1D31" w:rsidRPr="009B51F6">
        <w:t xml:space="preserve"> (Figure 2 and Table A2).</w:t>
      </w:r>
    </w:p>
    <w:p w14:paraId="2131A3E8" w14:textId="47EA912F" w:rsidR="00782B01" w:rsidRPr="009B51F6" w:rsidRDefault="00005C81" w:rsidP="009B51F6">
      <w:pPr>
        <w:pStyle w:val="ListBullet2"/>
      </w:pPr>
      <w:r w:rsidRPr="009B51F6">
        <w:lastRenderedPageBreak/>
        <w:t>Q4 saw the largest quarterly increase in th</w:t>
      </w:r>
      <w:r w:rsidR="00D2031D" w:rsidRPr="009B51F6">
        <w:t>is</w:t>
      </w:r>
      <w:r w:rsidRPr="009B51F6">
        <w:t xml:space="preserve"> average spend up 3% to $12.93 from $12.56 in Q3 (Table A2).</w:t>
      </w:r>
    </w:p>
    <w:p w14:paraId="24F701AF" w14:textId="09B5C2CD" w:rsidR="00005C81" w:rsidRPr="007807D2" w:rsidRDefault="004513BF" w:rsidP="007807D2">
      <w:pPr>
        <w:pStyle w:val="Heading2"/>
      </w:pPr>
      <w:bookmarkStart w:id="21" w:name="_Toc120291075"/>
      <w:r w:rsidRPr="00FD31D5">
        <w:t xml:space="preserve">Expenditure on </w:t>
      </w:r>
      <w:r w:rsidR="00755D78" w:rsidRPr="00FD31D5">
        <w:t>c</w:t>
      </w:r>
      <w:r w:rsidR="00782B01" w:rsidRPr="00FD31D5">
        <w:t xml:space="preserve">ontract </w:t>
      </w:r>
      <w:r w:rsidR="00755D78" w:rsidRPr="00FD31D5">
        <w:t>c</w:t>
      </w:r>
      <w:r w:rsidR="00782B01" w:rsidRPr="00FD31D5">
        <w:t>atering</w:t>
      </w:r>
      <w:r w:rsidRPr="00FD31D5">
        <w:t xml:space="preserve"> only</w:t>
      </w:r>
      <w:bookmarkEnd w:id="21"/>
    </w:p>
    <w:p w14:paraId="69849E2E" w14:textId="2FC222E7" w:rsidR="0090670B" w:rsidRPr="004513BF" w:rsidRDefault="0090670B" w:rsidP="004D2471">
      <w:pPr>
        <w:pStyle w:val="ListBullet4"/>
      </w:pPr>
      <w:r w:rsidRPr="004513BF">
        <w:t xml:space="preserve">2% of residential services reported </w:t>
      </w:r>
      <w:r w:rsidR="004513BF">
        <w:t>in this category</w:t>
      </w:r>
      <w:r w:rsidRPr="004513BF">
        <w:t xml:space="preserve"> only, with an average spend of $26.67 per resident </w:t>
      </w:r>
      <w:r w:rsidR="0089160E" w:rsidRPr="004513BF">
        <w:t xml:space="preserve">per day </w:t>
      </w:r>
      <w:r w:rsidRPr="004513BF">
        <w:t>in 2021-22.</w:t>
      </w:r>
      <w:r w:rsidR="007558DD" w:rsidRPr="004513BF">
        <w:t xml:space="preserve"> </w:t>
      </w:r>
    </w:p>
    <w:p w14:paraId="1FB537BC" w14:textId="4CFD30F7" w:rsidR="0090670B" w:rsidRPr="009B51F6" w:rsidRDefault="00BA1D31" w:rsidP="009B51F6">
      <w:pPr>
        <w:pStyle w:val="ListBullet2"/>
      </w:pPr>
      <w:r w:rsidRPr="009B51F6">
        <w:t>Th</w:t>
      </w:r>
      <w:r w:rsidR="00755D78" w:rsidRPr="009B51F6">
        <w:t xml:space="preserve">is average </w:t>
      </w:r>
      <w:proofErr w:type="gramStart"/>
      <w:r w:rsidR="00755D78" w:rsidRPr="009B51F6">
        <w:t>spend</w:t>
      </w:r>
      <w:proofErr w:type="gramEnd"/>
      <w:r w:rsidR="0090670B" w:rsidRPr="009B51F6">
        <w:t xml:space="preserve"> increased </w:t>
      </w:r>
      <w:r w:rsidR="00FF5866" w:rsidRPr="009B51F6">
        <w:t xml:space="preserve">each quarter, </w:t>
      </w:r>
      <w:r w:rsidR="0090670B" w:rsidRPr="009B51F6">
        <w:t>from $25.15 in Q1 to $28.62 in Q4</w:t>
      </w:r>
      <w:r w:rsidRPr="009B51F6">
        <w:t xml:space="preserve"> (Figure 2</w:t>
      </w:r>
      <w:r w:rsidR="00221FB0" w:rsidRPr="009B51F6">
        <w:t xml:space="preserve"> and Table A3</w:t>
      </w:r>
      <w:r w:rsidRPr="009B51F6">
        <w:t>)</w:t>
      </w:r>
      <w:r w:rsidR="00E52B8F" w:rsidRPr="009B51F6">
        <w:t>.</w:t>
      </w:r>
      <w:r w:rsidR="00CB2DBB" w:rsidRPr="009B51F6">
        <w:t xml:space="preserve"> </w:t>
      </w:r>
    </w:p>
    <w:p w14:paraId="2B906BB5" w14:textId="2CC6DF01" w:rsidR="00755D78" w:rsidRPr="009B51F6" w:rsidRDefault="00CB2DBB" w:rsidP="009B51F6">
      <w:pPr>
        <w:pStyle w:val="ListBullet2"/>
      </w:pPr>
      <w:bookmarkStart w:id="22" w:name="_Hlk114053455"/>
      <w:r w:rsidRPr="009B51F6">
        <w:t xml:space="preserve">Q3 saw the largest </w:t>
      </w:r>
      <w:r w:rsidR="00B813F6" w:rsidRPr="009B51F6">
        <w:t>quarterly increase</w:t>
      </w:r>
      <w:r w:rsidRPr="009B51F6">
        <w:t xml:space="preserve"> in th</w:t>
      </w:r>
      <w:r w:rsidR="00755D78" w:rsidRPr="009B51F6">
        <w:t>is</w:t>
      </w:r>
      <w:r w:rsidRPr="009B51F6">
        <w:t xml:space="preserve"> average spend, </w:t>
      </w:r>
      <w:r w:rsidR="00B813F6" w:rsidRPr="009B51F6">
        <w:t>up</w:t>
      </w:r>
      <w:r w:rsidRPr="009B51F6">
        <w:t xml:space="preserve"> 8.7%</w:t>
      </w:r>
      <w:r w:rsidR="00B813F6" w:rsidRPr="009B51F6">
        <w:t xml:space="preserve"> to $27.84 from</w:t>
      </w:r>
      <w:r w:rsidRPr="009B51F6">
        <w:t xml:space="preserve"> $2</w:t>
      </w:r>
      <w:r w:rsidR="00B813F6" w:rsidRPr="009B51F6">
        <w:t xml:space="preserve">5.61 </w:t>
      </w:r>
      <w:r w:rsidRPr="009B51F6">
        <w:t>in Q2 (Table A3).</w:t>
      </w:r>
    </w:p>
    <w:p w14:paraId="2343CDF8" w14:textId="25281F08" w:rsidR="00755D78" w:rsidRPr="00755D78" w:rsidRDefault="00755D78" w:rsidP="00FD31D5">
      <w:pPr>
        <w:pStyle w:val="Heading2"/>
      </w:pPr>
      <w:bookmarkStart w:id="23" w:name="_Toc120291076"/>
      <w:r w:rsidRPr="00755D78">
        <w:t xml:space="preserve">Expenditure on </w:t>
      </w:r>
      <w:r>
        <w:t>a combination of food and ingredients and c</w:t>
      </w:r>
      <w:r w:rsidRPr="00755D78">
        <w:t xml:space="preserve">ontract </w:t>
      </w:r>
      <w:r>
        <w:t>c</w:t>
      </w:r>
      <w:r w:rsidRPr="00755D78">
        <w:t>atering</w:t>
      </w:r>
      <w:bookmarkEnd w:id="23"/>
    </w:p>
    <w:bookmarkEnd w:id="22"/>
    <w:p w14:paraId="44F9137D" w14:textId="373BA40F" w:rsidR="0090670B" w:rsidRPr="00755D78" w:rsidRDefault="0090670B" w:rsidP="004D2471">
      <w:pPr>
        <w:pStyle w:val="ListBullet4"/>
      </w:pPr>
      <w:r w:rsidRPr="00755D78">
        <w:t xml:space="preserve">22% of residential services reported expenditure </w:t>
      </w:r>
      <w:r w:rsidR="000D0000">
        <w:t>in this category</w:t>
      </w:r>
      <w:r w:rsidRPr="00755D78">
        <w:t xml:space="preserve">, with an average spend of $19.80 per resident </w:t>
      </w:r>
      <w:r w:rsidR="0089160E" w:rsidRPr="00755D78">
        <w:t xml:space="preserve">per day </w:t>
      </w:r>
      <w:r w:rsidRPr="00755D78">
        <w:t>in 2021-22.</w:t>
      </w:r>
    </w:p>
    <w:p w14:paraId="4850B59C" w14:textId="06119BC2" w:rsidR="003F4654" w:rsidRPr="00FD31D5" w:rsidRDefault="00BA1D31" w:rsidP="009B51F6">
      <w:pPr>
        <w:pStyle w:val="ListBullet2"/>
      </w:pPr>
      <w:r w:rsidRPr="00FD31D5">
        <w:t>The</w:t>
      </w:r>
      <w:r w:rsidR="0090670B" w:rsidRPr="00FD31D5">
        <w:t xml:space="preserve"> average </w:t>
      </w:r>
      <w:proofErr w:type="gramStart"/>
      <w:r w:rsidR="0090670B" w:rsidRPr="00FD31D5">
        <w:t>spend</w:t>
      </w:r>
      <w:proofErr w:type="gramEnd"/>
      <w:r w:rsidR="0090670B" w:rsidRPr="00FD31D5">
        <w:t xml:space="preserve"> increased </w:t>
      </w:r>
      <w:r w:rsidR="00FF5866" w:rsidRPr="00FD31D5">
        <w:t xml:space="preserve">each quarter, </w:t>
      </w:r>
      <w:r w:rsidR="0090670B" w:rsidRPr="00FD31D5">
        <w:t>from $18.63 per resident</w:t>
      </w:r>
      <w:r w:rsidR="0089160E" w:rsidRPr="00FD31D5">
        <w:t xml:space="preserve"> per day</w:t>
      </w:r>
      <w:r w:rsidR="0090670B" w:rsidRPr="00FD31D5">
        <w:t xml:space="preserve"> in Q1 to $20.95 in Q4</w:t>
      </w:r>
      <w:r w:rsidRPr="00FD31D5">
        <w:t xml:space="preserve"> (Figure 2</w:t>
      </w:r>
      <w:r w:rsidR="00221FB0" w:rsidRPr="00FD31D5">
        <w:t xml:space="preserve"> and Table A4</w:t>
      </w:r>
      <w:r w:rsidRPr="00FD31D5">
        <w:t>)</w:t>
      </w:r>
      <w:r w:rsidR="00E52B8F" w:rsidRPr="00FD31D5">
        <w:t>.</w:t>
      </w:r>
      <w:r w:rsidR="00B813F6" w:rsidRPr="00FD31D5">
        <w:t xml:space="preserve"> </w:t>
      </w:r>
    </w:p>
    <w:p w14:paraId="4D8457D4" w14:textId="4A14FC4C" w:rsidR="00CB2DBB" w:rsidRPr="00FD31D5" w:rsidRDefault="00CB2DBB" w:rsidP="009B51F6">
      <w:pPr>
        <w:pStyle w:val="ListBullet2"/>
      </w:pPr>
      <w:r w:rsidRPr="00FD31D5">
        <w:t xml:space="preserve">Q3 saw the largest </w:t>
      </w:r>
      <w:r w:rsidR="00B813F6" w:rsidRPr="00FD31D5">
        <w:t>quarterly increase</w:t>
      </w:r>
      <w:r w:rsidRPr="00FD31D5">
        <w:t xml:space="preserve"> in the average spend, </w:t>
      </w:r>
      <w:r w:rsidR="00B813F6" w:rsidRPr="00FD31D5">
        <w:t>up</w:t>
      </w:r>
      <w:r w:rsidRPr="00FD31D5">
        <w:t xml:space="preserve"> 8.5% </w:t>
      </w:r>
      <w:r w:rsidR="00B813F6" w:rsidRPr="00FD31D5">
        <w:t>to $20.64 from</w:t>
      </w:r>
      <w:r w:rsidRPr="00FD31D5">
        <w:t xml:space="preserve"> $19.02 in Q2 (Table A4).</w:t>
      </w:r>
    </w:p>
    <w:p w14:paraId="7196F7B2" w14:textId="10A66030" w:rsidR="00031344" w:rsidRDefault="009B51F6" w:rsidP="004D2471">
      <w:r>
        <w:t xml:space="preserve">Figure </w:t>
      </w:r>
      <w:fldSimple w:instr=" SEQ Figure \* ARABIC ">
        <w:r>
          <w:rPr>
            <w:noProof/>
          </w:rPr>
          <w:t>2</w:t>
        </w:r>
      </w:fldSimple>
      <w:r w:rsidR="001E40A2" w:rsidRPr="00BF30A6">
        <w:t xml:space="preserve">. Average daily </w:t>
      </w:r>
      <w:proofErr w:type="gramStart"/>
      <w:r w:rsidR="001E40A2" w:rsidRPr="00BF30A6">
        <w:t>spend</w:t>
      </w:r>
      <w:proofErr w:type="gramEnd"/>
      <w:r w:rsidR="001E40A2" w:rsidRPr="00BF30A6">
        <w:t xml:space="preserve"> per resident </w:t>
      </w:r>
      <w:r w:rsidR="00221FB0" w:rsidRPr="00BF30A6">
        <w:t xml:space="preserve">per day </w:t>
      </w:r>
      <w:r w:rsidR="001E40A2" w:rsidRPr="00BF30A6">
        <w:t>by expenditure</w:t>
      </w:r>
      <w:r w:rsidR="002460B8" w:rsidRPr="00BF30A6">
        <w:t xml:space="preserve"> model</w:t>
      </w:r>
      <w:r w:rsidR="001E40A2" w:rsidRPr="00BF30A6">
        <w:t xml:space="preserve"> 2021-22, quarterly</w:t>
      </w:r>
      <w:r w:rsidR="00221FB0" w:rsidRPr="00BF30A6">
        <w:t>.</w:t>
      </w:r>
    </w:p>
    <w:p w14:paraId="59C4CB81" w14:textId="2D62326A" w:rsidR="006665A7" w:rsidRPr="00BF30A6" w:rsidRDefault="006665A7" w:rsidP="004D2471">
      <w:r w:rsidRPr="004D2471">
        <w:rPr>
          <w:noProof/>
        </w:rPr>
        <w:drawing>
          <wp:inline distT="0" distB="0" distL="0" distR="0" wp14:anchorId="2B34D125" wp14:editId="24483A9B">
            <wp:extent cx="6112510" cy="2276475"/>
            <wp:effectExtent l="19050" t="19050" r="21590" b="28575"/>
            <wp:docPr id="14" name="Picture 14" descr="Figure 2 is comparison bar graph showing the average spend per resident per day by expenditure model 2021-22, quarterly.  The data for each quarter by food and ingredients only: &#10;Q1 $12.25 &#10;Q2 $12.44 &#10;Q3 $12.56&#10;Q4 12.93 &#10;&#10;Contract catering only &#10;Q1 $25.15 &#10;Q2 $25.61 &#10;Q3 $27.84 &#10;Q4 $28.62 &#10;&#10;Both food and ingredients and contract catering &#10;Q1 $18.63 &#10;Q2 $19.02 &#10;Q3 $20.64 &#10;Q4 $20.95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2 is comparison bar graph showing the average spend per resident per day by expenditure model 2021-22, quarterly.  The data for each quarter by food and ingredients only: &#10;Q1 $12.25 &#10;Q2 $12.44 &#10;Q3 $12.56&#10;Q4 12.93 &#10;&#10;Contract catering only &#10;Q1 $25.15 &#10;Q2 $25.61 &#10;Q3 $27.84 &#10;Q4 $28.62 &#10;&#10;Both food and ingredients and contract catering &#10;Q1 $18.63 &#10;Q2 $19.02 &#10;Q3 $20.64 &#10;Q4 $20.95 ">
                      <a:extLst>
                        <a:ext uri="{C183D7F6-B498-43B3-948B-1728B52AA6E4}">
                          <adec:decorative xmlns:adec="http://schemas.microsoft.com/office/drawing/2017/decorative" val="0"/>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2510" cy="2276475"/>
                    </a:xfrm>
                    <a:prstGeom prst="rect">
                      <a:avLst/>
                    </a:prstGeom>
                    <a:noFill/>
                    <a:ln>
                      <a:solidFill>
                        <a:schemeClr val="bg1">
                          <a:lumMod val="65000"/>
                        </a:schemeClr>
                      </a:solidFill>
                    </a:ln>
                  </pic:spPr>
                </pic:pic>
              </a:graphicData>
            </a:graphic>
          </wp:inline>
        </w:drawing>
      </w:r>
    </w:p>
    <w:p w14:paraId="308E3F93" w14:textId="0851CB1F" w:rsidR="007558DD" w:rsidRPr="00B95BA1" w:rsidRDefault="00125D32" w:rsidP="00FD31D5">
      <w:pPr>
        <w:pStyle w:val="Heading2"/>
        <w:rPr>
          <w:lang w:val="en-AU" w:eastAsia="zh-CN"/>
        </w:rPr>
      </w:pPr>
      <w:bookmarkStart w:id="24" w:name="_Toc120291077"/>
      <w:r w:rsidRPr="00B95BA1">
        <w:rPr>
          <w:lang w:val="en-AU" w:eastAsia="zh-CN"/>
        </w:rPr>
        <w:t>Residential</w:t>
      </w:r>
      <w:r w:rsidR="007558DD" w:rsidRPr="00B95BA1">
        <w:rPr>
          <w:lang w:val="en-AU" w:eastAsia="zh-CN"/>
        </w:rPr>
        <w:t xml:space="preserve"> services spending more than $10 per day</w:t>
      </w:r>
      <w:bookmarkStart w:id="25" w:name="_Hlk112857526"/>
      <w:bookmarkEnd w:id="24"/>
    </w:p>
    <w:p w14:paraId="60305884" w14:textId="77777777" w:rsidR="001F0349" w:rsidRPr="00FD31D5" w:rsidRDefault="001F0349" w:rsidP="00FD31D5">
      <w:bookmarkStart w:id="26" w:name="_Hlk116303773"/>
      <w:bookmarkEnd w:id="25"/>
      <w:r w:rsidRPr="00FD31D5">
        <w:t>75% of residential services, with expenditure on food and ingredients only, reported an average spend of more than $10 per resident per day in the six months to 30 June 2022, up from 67% reported</w:t>
      </w:r>
      <w:r w:rsidRPr="00D77F2D">
        <w:rPr>
          <w:vertAlign w:val="superscript"/>
        </w:rPr>
        <w:footnoteReference w:id="8"/>
      </w:r>
      <w:r w:rsidRPr="00FD31D5">
        <w:t xml:space="preserve"> in the six months to 31 December 2021.</w:t>
      </w:r>
    </w:p>
    <w:bookmarkEnd w:id="26"/>
    <w:p w14:paraId="1A86B8BD" w14:textId="086BB43C" w:rsidR="004C7B3F" w:rsidRPr="00FD31D5" w:rsidRDefault="007558DD" w:rsidP="00FD31D5">
      <w:r w:rsidRPr="00FD31D5">
        <w:t xml:space="preserve">Services spending less than $10 per </w:t>
      </w:r>
      <w:r w:rsidR="0089160E" w:rsidRPr="00FD31D5">
        <w:t xml:space="preserve">resident per </w:t>
      </w:r>
      <w:r w:rsidRPr="00FD31D5">
        <w:t xml:space="preserve">day have been </w:t>
      </w:r>
      <w:r w:rsidR="00891781">
        <w:t>referred to</w:t>
      </w:r>
      <w:r w:rsidRPr="00FD31D5">
        <w:t xml:space="preserve"> the Aged Care </w:t>
      </w:r>
      <w:r w:rsidRPr="00FD31D5">
        <w:lastRenderedPageBreak/>
        <w:t>Quality and Safety Commission (the Commission) to consider as part of its broader regulatory intelligence which is used to inform ongoing sector monitoring.</w:t>
      </w:r>
    </w:p>
    <w:p w14:paraId="436B4839" w14:textId="3F082A10" w:rsidR="00C16E8A" w:rsidRPr="00B95BA1" w:rsidRDefault="00C16E8A" w:rsidP="00FD31D5">
      <w:pPr>
        <w:pStyle w:val="Heading2"/>
        <w:rPr>
          <w:lang w:val="en-AU" w:eastAsia="zh-CN"/>
        </w:rPr>
      </w:pPr>
      <w:bookmarkStart w:id="27" w:name="_Toc120291078"/>
      <w:r w:rsidRPr="00B95BA1">
        <w:rPr>
          <w:lang w:val="en-AU" w:eastAsia="zh-CN"/>
        </w:rPr>
        <w:t>Residential services spending less than $6 per day</w:t>
      </w:r>
      <w:bookmarkEnd w:id="27"/>
    </w:p>
    <w:p w14:paraId="4DB82D19" w14:textId="0175A488" w:rsidR="00E766B1" w:rsidRPr="00BF30A6" w:rsidRDefault="00C16E8A" w:rsidP="00BF30A6">
      <w:r w:rsidRPr="00BF30A6">
        <w:t xml:space="preserve">1% of residential services, with expenditure on food and ingredients only, reported an average spend of less than $6 per </w:t>
      </w:r>
      <w:r w:rsidR="001F34F5" w:rsidRPr="00BF30A6">
        <w:t xml:space="preserve">resident per </w:t>
      </w:r>
      <w:r w:rsidRPr="00BF30A6">
        <w:t xml:space="preserve">day in </w:t>
      </w:r>
      <w:r w:rsidR="00D875B6" w:rsidRPr="00BF30A6">
        <w:t xml:space="preserve">the </w:t>
      </w:r>
      <w:r w:rsidR="00C14DA9" w:rsidRPr="00BF30A6">
        <w:t>six</w:t>
      </w:r>
      <w:r w:rsidR="00D875B6" w:rsidRPr="00BF30A6">
        <w:t xml:space="preserve"> months to 30 June 202</w:t>
      </w:r>
      <w:r w:rsidR="00B95BA1" w:rsidRPr="00BF30A6">
        <w:t>2</w:t>
      </w:r>
      <w:r w:rsidR="00B57820" w:rsidRPr="00BF30A6">
        <w:t>, down from 2</w:t>
      </w:r>
      <w:r w:rsidRPr="00BF30A6">
        <w:t xml:space="preserve">% </w:t>
      </w:r>
      <w:r w:rsidR="00B57820" w:rsidRPr="00BF30A6">
        <w:t>reported in</w:t>
      </w:r>
      <w:r w:rsidRPr="00BF30A6">
        <w:t xml:space="preserve"> the first </w:t>
      </w:r>
      <w:r w:rsidR="00C14DA9" w:rsidRPr="00BF30A6">
        <w:t>six</w:t>
      </w:r>
      <w:r w:rsidRPr="00BF30A6">
        <w:t xml:space="preserve"> months to 31 December 2021.</w:t>
      </w:r>
    </w:p>
    <w:p w14:paraId="2DA6E808" w14:textId="4655B402" w:rsidR="00E766B1" w:rsidRPr="00B95BA1" w:rsidRDefault="00E766B1" w:rsidP="00FD31D5">
      <w:pPr>
        <w:pStyle w:val="Heading2"/>
        <w:rPr>
          <w:lang w:val="en-AU" w:eastAsia="zh-CN"/>
        </w:rPr>
      </w:pPr>
      <w:bookmarkStart w:id="28" w:name="_Toc111645871"/>
      <w:bookmarkStart w:id="29" w:name="_Toc120291079"/>
      <w:r w:rsidRPr="00B95BA1">
        <w:rPr>
          <w:lang w:val="en-AU" w:eastAsia="zh-CN"/>
        </w:rPr>
        <w:t>Other insights</w:t>
      </w:r>
      <w:bookmarkEnd w:id="28"/>
      <w:bookmarkEnd w:id="29"/>
    </w:p>
    <w:p w14:paraId="1EDF173A" w14:textId="1372233F" w:rsidR="00C23054" w:rsidRPr="00BF30A6" w:rsidRDefault="00C23054" w:rsidP="00BF30A6">
      <w:r w:rsidRPr="00BF30A6">
        <w:t xml:space="preserve">Table </w:t>
      </w:r>
      <w:r w:rsidR="002A1EA8" w:rsidRPr="00BF30A6">
        <w:t>A</w:t>
      </w:r>
      <w:r w:rsidR="00E10CFD" w:rsidRPr="00BF30A6">
        <w:t>5</w:t>
      </w:r>
      <w:r w:rsidRPr="00BF30A6">
        <w:t xml:space="preserve"> shows in 2021-22, the average </w:t>
      </w:r>
      <w:proofErr w:type="gramStart"/>
      <w:r w:rsidRPr="00BF30A6">
        <w:t>spend</w:t>
      </w:r>
      <w:proofErr w:type="gramEnd"/>
      <w:r w:rsidRPr="00BF30A6">
        <w:t xml:space="preserve"> per resident</w:t>
      </w:r>
      <w:r w:rsidR="001F34F5" w:rsidRPr="00BF30A6">
        <w:t xml:space="preserve"> per day</w:t>
      </w:r>
      <w:r w:rsidRPr="00BF30A6">
        <w:t xml:space="preserve"> for other items to support improved food and nutrition were:</w:t>
      </w:r>
    </w:p>
    <w:p w14:paraId="5CFEC264" w14:textId="72ACFF1E" w:rsidR="00C23054" w:rsidRPr="00FD31D5" w:rsidRDefault="00C23054" w:rsidP="00431775">
      <w:pPr>
        <w:pStyle w:val="ListBullet4"/>
      </w:pPr>
      <w:r w:rsidRPr="00FD31D5">
        <w:t>$0.71 for oral supplements.</w:t>
      </w:r>
    </w:p>
    <w:p w14:paraId="3B2609B3" w14:textId="46A0017A" w:rsidR="00C23054" w:rsidRPr="00FD31D5" w:rsidRDefault="00C23054" w:rsidP="00431775">
      <w:pPr>
        <w:pStyle w:val="ListBullet4"/>
      </w:pPr>
      <w:r w:rsidRPr="00FD31D5">
        <w:t>$0.08 for oral health living expenses.</w:t>
      </w:r>
    </w:p>
    <w:p w14:paraId="5A36B01F" w14:textId="248083BE" w:rsidR="00FD1002" w:rsidRPr="00FD31D5" w:rsidRDefault="00C23054" w:rsidP="00431775">
      <w:pPr>
        <w:pStyle w:val="ListBullet4"/>
      </w:pPr>
      <w:r w:rsidRPr="00FD31D5">
        <w:t>$1.20 for allied health support</w:t>
      </w:r>
      <w:r w:rsidR="00D238F8" w:rsidRPr="00FD31D5">
        <w:t>.</w:t>
      </w:r>
    </w:p>
    <w:p w14:paraId="0CAC1FE3" w14:textId="6E83282E" w:rsidR="006B6371" w:rsidRPr="00BF30A6" w:rsidRDefault="79E944A7" w:rsidP="004D2471">
      <w:pPr>
        <w:jc w:val="center"/>
      </w:pPr>
      <w:r w:rsidRPr="00BF30A6">
        <w:rPr>
          <w:noProof/>
        </w:rPr>
        <w:lastRenderedPageBreak/>
        <w:drawing>
          <wp:inline distT="0" distB="0" distL="0" distR="0" wp14:anchorId="62B06B6B" wp14:editId="2ECEEC45">
            <wp:extent cx="5964731" cy="6581775"/>
            <wp:effectExtent l="0" t="0" r="0" b="0"/>
            <wp:docPr id="985303609" name="Picture 98530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303609" name="Picture 985303609">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5983987" cy="6603023"/>
                    </a:xfrm>
                    <a:prstGeom prst="rect">
                      <a:avLst/>
                    </a:prstGeom>
                  </pic:spPr>
                </pic:pic>
              </a:graphicData>
            </a:graphic>
          </wp:inline>
        </w:drawing>
      </w:r>
    </w:p>
    <w:p w14:paraId="58156887" w14:textId="7031E768" w:rsidR="001D3616" w:rsidRPr="00BF30A6" w:rsidRDefault="001D3616" w:rsidP="00BF30A6">
      <w:pPr>
        <w:sectPr w:rsidR="001D3616" w:rsidRPr="00BF30A6" w:rsidSect="00C92242">
          <w:pgSz w:w="11910" w:h="16840"/>
          <w:pgMar w:top="851" w:right="1021" w:bottom="1418" w:left="1021" w:header="720" w:footer="720" w:gutter="0"/>
          <w:cols w:space="720"/>
        </w:sectPr>
      </w:pPr>
    </w:p>
    <w:p w14:paraId="117CF1C7" w14:textId="38A96160" w:rsidR="00C23054" w:rsidRPr="00E76916" w:rsidRDefault="00C23054" w:rsidP="00FD31D5">
      <w:pPr>
        <w:pStyle w:val="Heading1"/>
      </w:pPr>
      <w:bookmarkStart w:id="30" w:name="_Toc120291080"/>
      <w:r w:rsidRPr="009C7881">
        <w:lastRenderedPageBreak/>
        <w:t>Creative and innovative practices reported</w:t>
      </w:r>
      <w:bookmarkEnd w:id="30"/>
    </w:p>
    <w:p w14:paraId="631F7515" w14:textId="2E9E5208" w:rsidR="00E76916" w:rsidRPr="00FD31D5" w:rsidRDefault="00E76916" w:rsidP="00FD31D5">
      <w:r w:rsidRPr="00FD31D5">
        <w:t>The below table provides some examples</w:t>
      </w:r>
      <w:r w:rsidR="00D47E13" w:rsidRPr="00FD31D5">
        <w:t xml:space="preserve"> of</w:t>
      </w:r>
      <w:r w:rsidRPr="00FD31D5">
        <w:t xml:space="preserve"> innovative practices that have been reported by providers across 2021-22. These are captured here to highlight some of the positive stories of how services are improving food and nutrition for older Australians. </w:t>
      </w:r>
    </w:p>
    <w:tbl>
      <w:tblPr>
        <w:tblStyle w:val="ListTable3"/>
        <w:tblW w:w="14884" w:type="dxa"/>
        <w:tblLook w:val="0420" w:firstRow="1" w:lastRow="0" w:firstColumn="0" w:lastColumn="0" w:noHBand="0" w:noVBand="1"/>
        <w:tblDescription w:val="This table list examples of the innovative practices reported for 2021-22. The table contains 2 heading columns: column 1 is a list of innovations and column 2 is examples. "/>
      </w:tblPr>
      <w:tblGrid>
        <w:gridCol w:w="2552"/>
        <w:gridCol w:w="12332"/>
      </w:tblGrid>
      <w:tr w:rsidR="00E76916" w:rsidRPr="00A41F93" w14:paraId="29372489" w14:textId="77777777" w:rsidTr="007807D2">
        <w:trPr>
          <w:cnfStyle w:val="100000000000" w:firstRow="1" w:lastRow="0" w:firstColumn="0" w:lastColumn="0" w:oddVBand="0" w:evenVBand="0" w:oddHBand="0" w:evenHBand="0" w:firstRowFirstColumn="0" w:firstRowLastColumn="0" w:lastRowFirstColumn="0" w:lastRowLastColumn="0"/>
          <w:trHeight w:val="454"/>
          <w:tblHeader/>
        </w:trPr>
        <w:tc>
          <w:tcPr>
            <w:tcW w:w="2552" w:type="dxa"/>
          </w:tcPr>
          <w:p w14:paraId="71950527" w14:textId="3F004144" w:rsidR="00E76916" w:rsidRPr="00BF30A6" w:rsidRDefault="00E76916" w:rsidP="007807D2">
            <w:pPr>
              <w:pStyle w:val="TableofAuthorities"/>
            </w:pPr>
            <w:r w:rsidRPr="00BF30A6">
              <w:t>Innovation</w:t>
            </w:r>
          </w:p>
        </w:tc>
        <w:tc>
          <w:tcPr>
            <w:tcW w:w="12332" w:type="dxa"/>
          </w:tcPr>
          <w:p w14:paraId="7CF39F67" w14:textId="649145E0" w:rsidR="00E76916" w:rsidRPr="00BF30A6" w:rsidRDefault="00E76916" w:rsidP="007807D2">
            <w:pPr>
              <w:pStyle w:val="TableofAuthorities"/>
            </w:pPr>
            <w:r w:rsidRPr="00BF30A6">
              <w:t>Examples</w:t>
            </w:r>
          </w:p>
        </w:tc>
      </w:tr>
      <w:tr w:rsidR="00E76916" w:rsidRPr="005F1B0A" w14:paraId="7315F479" w14:textId="77777777" w:rsidTr="0064716B">
        <w:trPr>
          <w:cnfStyle w:val="000000100000" w:firstRow="0" w:lastRow="0" w:firstColumn="0" w:lastColumn="0" w:oddVBand="0" w:evenVBand="0" w:oddHBand="1" w:evenHBand="0" w:firstRowFirstColumn="0" w:firstRowLastColumn="0" w:lastRowFirstColumn="0" w:lastRowLastColumn="0"/>
          <w:trHeight w:val="806"/>
        </w:trPr>
        <w:tc>
          <w:tcPr>
            <w:tcW w:w="2552" w:type="dxa"/>
          </w:tcPr>
          <w:p w14:paraId="438167D2" w14:textId="080FCC88" w:rsidR="00E76916" w:rsidRPr="00BF30A6" w:rsidRDefault="00E76916" w:rsidP="00D77F2D">
            <w:pPr>
              <w:jc w:val="left"/>
            </w:pPr>
            <w:r w:rsidRPr="00BF30A6">
              <w:t>Improved use of technology</w:t>
            </w:r>
          </w:p>
        </w:tc>
        <w:tc>
          <w:tcPr>
            <w:tcW w:w="12332" w:type="dxa"/>
          </w:tcPr>
          <w:p w14:paraId="12A8ECBF" w14:textId="517B2FBB" w:rsidR="00E76916" w:rsidRPr="00FD31D5" w:rsidRDefault="00E76916" w:rsidP="0064716B">
            <w:pPr>
              <w:pStyle w:val="ListBullet3"/>
              <w:jc w:val="left"/>
            </w:pPr>
            <w:r w:rsidRPr="00FD31D5">
              <w:t>A digital ‘Look Book’ where photos are taken of meal options to assist in meal choice for residents (particularly residents living with dementia or with reading impairment) and to help staff know how to prepare/present the meals out of hours when needed</w:t>
            </w:r>
          </w:p>
          <w:p w14:paraId="5678CB23" w14:textId="1B3C090C" w:rsidR="00E76916" w:rsidRPr="00FD31D5" w:rsidRDefault="00E76916" w:rsidP="0064716B">
            <w:pPr>
              <w:pStyle w:val="ListBullet3"/>
              <w:jc w:val="left"/>
            </w:pPr>
            <w:r w:rsidRPr="00FD31D5">
              <w:t xml:space="preserve">Using an iPad to personalise menu options when ordering meals and/or snacks </w:t>
            </w:r>
            <w:r w:rsidR="00AB1E06" w:rsidRPr="00FD31D5">
              <w:t xml:space="preserve">and </w:t>
            </w:r>
            <w:r w:rsidRPr="00FD31D5">
              <w:t>to assist in nutrition monitoring of individual residents</w:t>
            </w:r>
          </w:p>
        </w:tc>
      </w:tr>
      <w:tr w:rsidR="00E76916" w:rsidRPr="005F1B0A" w14:paraId="711C4FA4" w14:textId="77777777" w:rsidTr="0064716B">
        <w:trPr>
          <w:trHeight w:val="1234"/>
        </w:trPr>
        <w:tc>
          <w:tcPr>
            <w:tcW w:w="2552" w:type="dxa"/>
          </w:tcPr>
          <w:p w14:paraId="2C50C257" w14:textId="0F9133A0" w:rsidR="00E76916" w:rsidRPr="00BF30A6" w:rsidRDefault="00E76916" w:rsidP="00D77F2D">
            <w:pPr>
              <w:jc w:val="left"/>
            </w:pPr>
            <w:r w:rsidRPr="00BF30A6">
              <w:t>Inclu</w:t>
            </w:r>
            <w:r w:rsidR="00D47E13" w:rsidRPr="00BF30A6">
              <w:t>sion of</w:t>
            </w:r>
            <w:r w:rsidRPr="00BF30A6">
              <w:t xml:space="preserve"> cultural or religious values</w:t>
            </w:r>
          </w:p>
        </w:tc>
        <w:tc>
          <w:tcPr>
            <w:tcW w:w="12332" w:type="dxa"/>
          </w:tcPr>
          <w:p w14:paraId="13B05419" w14:textId="29B3467A" w:rsidR="00E76916" w:rsidRPr="00FD31D5" w:rsidRDefault="00E76916" w:rsidP="0064716B">
            <w:pPr>
              <w:pStyle w:val="ListBullet3"/>
              <w:jc w:val="left"/>
            </w:pPr>
            <w:r w:rsidRPr="00FD31D5">
              <w:t xml:space="preserve">Celebrating national and international special events like St Patrick’s Day, Maltese Independence </w:t>
            </w:r>
            <w:proofErr w:type="gramStart"/>
            <w:r w:rsidRPr="00FD31D5">
              <w:t>Day</w:t>
            </w:r>
            <w:proofErr w:type="gramEnd"/>
            <w:r w:rsidRPr="00FD31D5">
              <w:t xml:space="preserve"> and Melbourne Cup luncheon </w:t>
            </w:r>
          </w:p>
          <w:p w14:paraId="6E96EC37" w14:textId="7DE30880" w:rsidR="00E76916" w:rsidRPr="00FD31D5" w:rsidRDefault="00E76916" w:rsidP="0064716B">
            <w:pPr>
              <w:pStyle w:val="ListBullet3"/>
              <w:jc w:val="left"/>
            </w:pPr>
            <w:r w:rsidRPr="00FD31D5">
              <w:t>Hiring chefs with specific cultural backgrounds to ensure meals are culturally authentic</w:t>
            </w:r>
          </w:p>
          <w:p w14:paraId="25EAD860" w14:textId="1E14113A" w:rsidR="00E76916" w:rsidRPr="00FD31D5" w:rsidRDefault="00E76916" w:rsidP="0064716B">
            <w:pPr>
              <w:pStyle w:val="ListBullet3"/>
              <w:jc w:val="left"/>
            </w:pPr>
            <w:r w:rsidRPr="00FD31D5">
              <w:t>Introducing BBQ lunches or dinners and offering various choices such as kangaroo tail to provide options for First Nation residents</w:t>
            </w:r>
          </w:p>
          <w:p w14:paraId="313C4B2A" w14:textId="25BF4CA1" w:rsidR="00E76916" w:rsidRPr="00FD31D5" w:rsidRDefault="00E76916" w:rsidP="0064716B">
            <w:pPr>
              <w:pStyle w:val="ListBullet3"/>
              <w:jc w:val="left"/>
            </w:pPr>
            <w:r w:rsidRPr="00FD31D5">
              <w:t>Presenting menus that are translated into other languages when needed</w:t>
            </w:r>
          </w:p>
        </w:tc>
      </w:tr>
      <w:tr w:rsidR="00E76916" w:rsidRPr="005F1B0A" w14:paraId="1F2FE113" w14:textId="77777777" w:rsidTr="0064716B">
        <w:trPr>
          <w:cnfStyle w:val="000000100000" w:firstRow="0" w:lastRow="0" w:firstColumn="0" w:lastColumn="0" w:oddVBand="0" w:evenVBand="0" w:oddHBand="1" w:evenHBand="0" w:firstRowFirstColumn="0" w:firstRowLastColumn="0" w:lastRowFirstColumn="0" w:lastRowLastColumn="0"/>
          <w:trHeight w:val="819"/>
        </w:trPr>
        <w:tc>
          <w:tcPr>
            <w:tcW w:w="2552" w:type="dxa"/>
          </w:tcPr>
          <w:p w14:paraId="3F6A1570" w14:textId="1479886A" w:rsidR="00E76916" w:rsidRPr="00BF30A6" w:rsidRDefault="00E76916" w:rsidP="00D77F2D">
            <w:pPr>
              <w:jc w:val="left"/>
            </w:pPr>
            <w:r w:rsidRPr="00BF30A6">
              <w:t>Further education and training</w:t>
            </w:r>
          </w:p>
        </w:tc>
        <w:tc>
          <w:tcPr>
            <w:tcW w:w="12332" w:type="dxa"/>
          </w:tcPr>
          <w:p w14:paraId="1127D8CD" w14:textId="6933CBBA" w:rsidR="00E76916" w:rsidRPr="00FD31D5" w:rsidRDefault="00E76916" w:rsidP="0064716B">
            <w:pPr>
              <w:pStyle w:val="ListBullet3"/>
              <w:jc w:val="left"/>
            </w:pPr>
            <w:r w:rsidRPr="00FD31D5">
              <w:t>Supporting chefs and facility staff by training ‘nutrition champions’ through online platforms</w:t>
            </w:r>
          </w:p>
          <w:p w14:paraId="63C53284" w14:textId="36EB8445" w:rsidR="00E76916" w:rsidRPr="00FD31D5" w:rsidRDefault="00E76916" w:rsidP="0064716B">
            <w:pPr>
              <w:pStyle w:val="ListBullet3"/>
              <w:jc w:val="left"/>
            </w:pPr>
            <w:r w:rsidRPr="00FD31D5">
              <w:t xml:space="preserve">Allocating specific tasks on aged care nutrition, meal environments and healthy eating to ensure engagement, momentum for change and sustainability for food, </w:t>
            </w:r>
            <w:proofErr w:type="gramStart"/>
            <w:r w:rsidRPr="00FD31D5">
              <w:t>nutrition</w:t>
            </w:r>
            <w:proofErr w:type="gramEnd"/>
            <w:r w:rsidRPr="00FD31D5">
              <w:t xml:space="preserve"> and dining experiences over time</w:t>
            </w:r>
          </w:p>
        </w:tc>
      </w:tr>
      <w:tr w:rsidR="00E76916" w:rsidRPr="005F1B0A" w14:paraId="36B0ED71" w14:textId="77777777" w:rsidTr="0064716B">
        <w:trPr>
          <w:trHeight w:val="1142"/>
        </w:trPr>
        <w:tc>
          <w:tcPr>
            <w:tcW w:w="2552" w:type="dxa"/>
          </w:tcPr>
          <w:p w14:paraId="6E4CC826" w14:textId="7946EA0A" w:rsidR="00E76916" w:rsidRPr="00BF30A6" w:rsidRDefault="00E76916" w:rsidP="00D77F2D">
            <w:pPr>
              <w:jc w:val="left"/>
            </w:pPr>
            <w:r w:rsidRPr="00BF30A6">
              <w:t>Development of a tool to measure food wastage</w:t>
            </w:r>
          </w:p>
        </w:tc>
        <w:tc>
          <w:tcPr>
            <w:tcW w:w="12332" w:type="dxa"/>
          </w:tcPr>
          <w:p w14:paraId="308D8AAE" w14:textId="031B8B85" w:rsidR="00E76916" w:rsidRPr="00FD31D5" w:rsidRDefault="00E76916" w:rsidP="0064716B">
            <w:pPr>
              <w:pStyle w:val="ListBullet3"/>
              <w:jc w:val="left"/>
            </w:pPr>
            <w:r w:rsidRPr="00FD31D5">
              <w:t>Ensur</w:t>
            </w:r>
            <w:r w:rsidR="00AB1E06" w:rsidRPr="00FD31D5">
              <w:t>ing</w:t>
            </w:r>
            <w:r w:rsidRPr="00FD31D5">
              <w:t xml:space="preserve"> effective food management processes are adhered to</w:t>
            </w:r>
          </w:p>
          <w:p w14:paraId="34CA112B" w14:textId="52C424D6" w:rsidR="00E76916" w:rsidRPr="00FD31D5" w:rsidRDefault="00E76916" w:rsidP="003375BD">
            <w:pPr>
              <w:pStyle w:val="ListBullet3"/>
              <w:jc w:val="left"/>
            </w:pPr>
            <w:r w:rsidRPr="00FD31D5">
              <w:t>Ensur</w:t>
            </w:r>
            <w:r w:rsidR="00AB1E06" w:rsidRPr="00FD31D5">
              <w:t>ing</w:t>
            </w:r>
            <w:r w:rsidRPr="00FD31D5">
              <w:t xml:space="preserve"> </w:t>
            </w:r>
            <w:r w:rsidRPr="003375BD">
              <w:t>residents</w:t>
            </w:r>
            <w:r w:rsidRPr="00FD31D5">
              <w:t xml:space="preserve"> are happy with the meals offered and verified which meals were not enjoyed</w:t>
            </w:r>
          </w:p>
          <w:p w14:paraId="12A7493A" w14:textId="4417034B" w:rsidR="00E76916" w:rsidRPr="00FD31D5" w:rsidRDefault="00E76916" w:rsidP="0064716B">
            <w:pPr>
              <w:pStyle w:val="ListBullet3"/>
              <w:jc w:val="left"/>
            </w:pPr>
            <w:r w:rsidRPr="00FD31D5">
              <w:t>Assess</w:t>
            </w:r>
            <w:r w:rsidR="00AB1E06" w:rsidRPr="00FD31D5">
              <w:t>ing</w:t>
            </w:r>
            <w:r w:rsidRPr="00FD31D5">
              <w:t xml:space="preserve"> individual resident food consumption to further target specific food preferences, including the way the food is cooked</w:t>
            </w:r>
          </w:p>
        </w:tc>
      </w:tr>
      <w:tr w:rsidR="00E76916" w:rsidRPr="005F1B0A" w14:paraId="689492BF" w14:textId="77777777" w:rsidTr="0064716B">
        <w:trPr>
          <w:cnfStyle w:val="000000100000" w:firstRow="0" w:lastRow="0" w:firstColumn="0" w:lastColumn="0" w:oddVBand="0" w:evenVBand="0" w:oddHBand="1" w:evenHBand="0" w:firstRowFirstColumn="0" w:firstRowLastColumn="0" w:lastRowFirstColumn="0" w:lastRowLastColumn="0"/>
          <w:trHeight w:val="521"/>
        </w:trPr>
        <w:tc>
          <w:tcPr>
            <w:tcW w:w="2552" w:type="dxa"/>
          </w:tcPr>
          <w:p w14:paraId="57FB75E1" w14:textId="55355699" w:rsidR="00E76916" w:rsidRPr="00BF30A6" w:rsidRDefault="00E76916" w:rsidP="00D77F2D">
            <w:pPr>
              <w:jc w:val="left"/>
            </w:pPr>
            <w:r w:rsidRPr="00BF30A6">
              <w:t>Implementation of ‘Food Focus Committees’</w:t>
            </w:r>
          </w:p>
        </w:tc>
        <w:tc>
          <w:tcPr>
            <w:tcW w:w="12332" w:type="dxa"/>
          </w:tcPr>
          <w:p w14:paraId="64E60D2E" w14:textId="49C61670" w:rsidR="00E76916" w:rsidRPr="00FD31D5" w:rsidRDefault="00E76916" w:rsidP="0064716B">
            <w:pPr>
              <w:pStyle w:val="ListBullet3"/>
              <w:jc w:val="left"/>
            </w:pPr>
            <w:r w:rsidRPr="00FD31D5">
              <w:t>Involv</w:t>
            </w:r>
            <w:r w:rsidR="00AB1E06" w:rsidRPr="00FD31D5">
              <w:t>ing</w:t>
            </w:r>
            <w:r w:rsidRPr="00FD31D5">
              <w:t xml:space="preserve"> chefs, residents of all physical or cognitive abilities, their families, and facility staff to support cohesion, idea sharing and continuous improvement of meals and dining experiences</w:t>
            </w:r>
          </w:p>
        </w:tc>
      </w:tr>
      <w:tr w:rsidR="00E76916" w:rsidRPr="005F1B0A" w14:paraId="6E710D93" w14:textId="77777777" w:rsidTr="007807D2">
        <w:trPr>
          <w:trHeight w:val="398"/>
        </w:trPr>
        <w:tc>
          <w:tcPr>
            <w:tcW w:w="2552" w:type="dxa"/>
          </w:tcPr>
          <w:p w14:paraId="30E672F6" w14:textId="50763606" w:rsidR="00E76916" w:rsidRPr="00BF30A6" w:rsidRDefault="00D47E13" w:rsidP="00D77F2D">
            <w:pPr>
              <w:jc w:val="left"/>
            </w:pPr>
            <w:r w:rsidRPr="00BF30A6">
              <w:t>Improving clinical outcomes</w:t>
            </w:r>
          </w:p>
        </w:tc>
        <w:tc>
          <w:tcPr>
            <w:tcW w:w="12332" w:type="dxa"/>
          </w:tcPr>
          <w:p w14:paraId="13D506C2" w14:textId="62036729" w:rsidR="00E76916" w:rsidRPr="00FD31D5" w:rsidRDefault="00E76916" w:rsidP="0064716B">
            <w:pPr>
              <w:pStyle w:val="ListBullet3"/>
              <w:jc w:val="left"/>
            </w:pPr>
            <w:r w:rsidRPr="00FD31D5">
              <w:t>Using a colourful musical trolley to deliver cold drinks and</w:t>
            </w:r>
            <w:r w:rsidR="00D47E13" w:rsidRPr="00FD31D5">
              <w:t xml:space="preserve"> flavoured</w:t>
            </w:r>
            <w:r w:rsidRPr="00FD31D5">
              <w:t xml:space="preserve"> ice blocks</w:t>
            </w:r>
            <w:r w:rsidR="00D47E13" w:rsidRPr="00FD31D5">
              <w:t xml:space="preserve"> to prevent dehydration in summer</w:t>
            </w:r>
          </w:p>
        </w:tc>
      </w:tr>
    </w:tbl>
    <w:p w14:paraId="66F8CB1D" w14:textId="77777777" w:rsidR="00E76916" w:rsidRPr="00BF30A6" w:rsidRDefault="00E76916" w:rsidP="00BF30A6"/>
    <w:p w14:paraId="475C1026" w14:textId="77777777" w:rsidR="002E49FF" w:rsidRPr="00BF30A6" w:rsidRDefault="002E49FF" w:rsidP="00BF30A6">
      <w:pPr>
        <w:sectPr w:rsidR="002E49FF" w:rsidRPr="00BF30A6" w:rsidSect="001D3616">
          <w:pgSz w:w="16840" w:h="11910" w:orient="landscape"/>
          <w:pgMar w:top="1021" w:right="737" w:bottom="1021" w:left="278" w:header="720" w:footer="720" w:gutter="0"/>
          <w:cols w:space="720"/>
          <w:docGrid w:linePitch="299"/>
        </w:sectPr>
      </w:pPr>
    </w:p>
    <w:p w14:paraId="0697F76A" w14:textId="132C8677" w:rsidR="00863F63" w:rsidRPr="009C7881" w:rsidRDefault="002E49FF" w:rsidP="00FD31D5">
      <w:pPr>
        <w:pStyle w:val="Heading1"/>
      </w:pPr>
      <w:bookmarkStart w:id="31" w:name="_Toc120291081"/>
      <w:r>
        <w:lastRenderedPageBreak/>
        <w:t>Continuous improvement o</w:t>
      </w:r>
      <w:r w:rsidR="00812350">
        <w:t>f</w:t>
      </w:r>
      <w:r>
        <w:t xml:space="preserve"> Food and Nutrition in Aged Care</w:t>
      </w:r>
      <w:bookmarkEnd w:id="31"/>
    </w:p>
    <w:p w14:paraId="079E9D4B" w14:textId="41C4A223" w:rsidR="00E766B1" w:rsidRPr="00437FE9" w:rsidRDefault="00812350" w:rsidP="00437FE9">
      <w:r w:rsidRPr="00437FE9">
        <w:t>As of 1 October 2022, t</w:t>
      </w:r>
      <w:r w:rsidR="00863F63" w:rsidRPr="00437FE9">
        <w:t xml:space="preserve">he 2021 </w:t>
      </w:r>
      <w:r w:rsidR="00A013F5" w:rsidRPr="00437FE9">
        <w:t>BDF</w:t>
      </w:r>
      <w:r w:rsidR="00863F63" w:rsidRPr="00437FE9">
        <w:t xml:space="preserve"> supplement </w:t>
      </w:r>
      <w:r w:rsidRPr="00437FE9">
        <w:t>has been</w:t>
      </w:r>
      <w:r w:rsidR="00863F63" w:rsidRPr="00437FE9">
        <w:t xml:space="preserve"> rolled into the new AN-ACC funding for residential services. MPS and NATSIFACP services will continue to receive the BDF as a discrete payment from 1 October 2022.</w:t>
      </w:r>
    </w:p>
    <w:p w14:paraId="63946D34" w14:textId="5F263F4F" w:rsidR="00863F63" w:rsidRPr="00437FE9" w:rsidRDefault="00863F63" w:rsidP="00437FE9">
      <w:r w:rsidRPr="00437FE9">
        <w:t xml:space="preserve">From </w:t>
      </w:r>
      <w:r w:rsidR="00A013F5" w:rsidRPr="00437FE9">
        <w:t>1</w:t>
      </w:r>
      <w:r w:rsidR="00396256" w:rsidRPr="00437FE9">
        <w:t xml:space="preserve"> July 2022</w:t>
      </w:r>
      <w:r w:rsidR="002E49FF" w:rsidRPr="00437FE9">
        <w:t>,</w:t>
      </w:r>
      <w:r w:rsidRPr="00437FE9">
        <w:t xml:space="preserve"> Food and Nutrition Reporting requirements </w:t>
      </w:r>
      <w:r w:rsidR="002E49FF" w:rsidRPr="00437FE9">
        <w:t>have</w:t>
      </w:r>
      <w:r w:rsidRPr="00437FE9">
        <w:t xml:space="preserve"> be</w:t>
      </w:r>
      <w:r w:rsidR="002E49FF" w:rsidRPr="00437FE9">
        <w:t>en</w:t>
      </w:r>
      <w:r w:rsidRPr="00437FE9">
        <w:t xml:space="preserve"> enhanced as part of strengthened obligations under the Q</w:t>
      </w:r>
      <w:r w:rsidR="002E49FF" w:rsidRPr="00437FE9">
        <w:t xml:space="preserve">uarterly </w:t>
      </w:r>
      <w:r w:rsidRPr="00437FE9">
        <w:t>F</w:t>
      </w:r>
      <w:r w:rsidR="002E49FF" w:rsidRPr="00437FE9">
        <w:t xml:space="preserve">inancial </w:t>
      </w:r>
      <w:r w:rsidRPr="00437FE9">
        <w:t>R</w:t>
      </w:r>
      <w:r w:rsidR="002E49FF" w:rsidRPr="00437FE9">
        <w:t>eport (QFR)</w:t>
      </w:r>
      <w:r w:rsidRPr="00437FE9">
        <w:t xml:space="preserve">. All questions </w:t>
      </w:r>
      <w:r w:rsidR="0052298F" w:rsidRPr="00437FE9">
        <w:t xml:space="preserve">are mandatory in the new QFR, </w:t>
      </w:r>
      <w:r w:rsidRPr="00437FE9">
        <w:t xml:space="preserve">unlike the </w:t>
      </w:r>
      <w:r w:rsidR="0052298F" w:rsidRPr="00437FE9">
        <w:t>BDF r</w:t>
      </w:r>
      <w:r w:rsidRPr="00437FE9">
        <w:t xml:space="preserve">eporting requirements, </w:t>
      </w:r>
      <w:r w:rsidR="00AB1E06" w:rsidRPr="00437FE9">
        <w:t xml:space="preserve">to </w:t>
      </w:r>
      <w:r w:rsidRPr="00437FE9">
        <w:t>provid</w:t>
      </w:r>
      <w:r w:rsidR="00AB1E06" w:rsidRPr="00437FE9">
        <w:t>e greater</w:t>
      </w:r>
      <w:r w:rsidRPr="00437FE9">
        <w:t xml:space="preserve"> transparency of provider expenditure across fresh versus processed food</w:t>
      </w:r>
      <w:r w:rsidR="00AB1E06" w:rsidRPr="00437FE9">
        <w:t>,</w:t>
      </w:r>
      <w:r w:rsidRPr="00437FE9">
        <w:t xml:space="preserve"> and internal</w:t>
      </w:r>
      <w:r w:rsidR="0062195B" w:rsidRPr="00437FE9">
        <w:t xml:space="preserve"> </w:t>
      </w:r>
      <w:r w:rsidRPr="00437FE9">
        <w:t xml:space="preserve">versus contract catering costs. The new reporting requirements can be found on the </w:t>
      </w:r>
      <w:hyperlink r:id="rId24" w:anchor="reporting-requirements-" w:history="1">
        <w:r w:rsidR="00AE5298" w:rsidRPr="00437FE9">
          <w:rPr>
            <w:rStyle w:val="Hyperlink"/>
          </w:rPr>
          <w:t>Department of Health and Aged Care website</w:t>
        </w:r>
      </w:hyperlink>
      <w:r w:rsidRPr="00437FE9">
        <w:t>.</w:t>
      </w:r>
    </w:p>
    <w:p w14:paraId="0541AC67" w14:textId="45468F4B" w:rsidR="00D05316" w:rsidRPr="00FD31D5" w:rsidRDefault="00D05316" w:rsidP="00FD31D5">
      <w:r w:rsidRPr="00FD31D5">
        <w:t xml:space="preserve">The Department will continue to </w:t>
      </w:r>
      <w:proofErr w:type="spellStart"/>
      <w:r w:rsidRPr="00FD31D5">
        <w:t>analyse</w:t>
      </w:r>
      <w:proofErr w:type="spellEnd"/>
      <w:r w:rsidRPr="00FD31D5">
        <w:t xml:space="preserve"> this data against other data sources as these become available. This includes the National Aged Care Mandatory Quality Indicator Program (QI Program) which requires providers to collect quarterly data on crucial areas of care where food and nutrition can also have a direct impact. </w:t>
      </w:r>
      <w:r w:rsidR="002E49FF" w:rsidRPr="00FD31D5">
        <w:t>The QI Program</w:t>
      </w:r>
      <w:r w:rsidRPr="00FD31D5">
        <w:t xml:space="preserve"> includes</w:t>
      </w:r>
      <w:r w:rsidR="002E49FF" w:rsidRPr="00FD31D5">
        <w:t xml:space="preserve"> data on</w:t>
      </w:r>
      <w:r w:rsidRPr="00FD31D5">
        <w:t xml:space="preserve"> unplanned weight loss, consecutive unplanned weight loss, falls and major injury and pressure injury quality indicators. </w:t>
      </w:r>
    </w:p>
    <w:p w14:paraId="437F95FA" w14:textId="7A31CD38" w:rsidR="00D05316" w:rsidRPr="00FD31D5" w:rsidRDefault="00D05316" w:rsidP="00FD31D5">
      <w:r w:rsidRPr="00FD31D5">
        <w:t>These data sources will also include the consumer experience data when it becomes available through Consumer Experience Interviews (CEI</w:t>
      </w:r>
      <w:r w:rsidR="00D152C3" w:rsidRPr="00FD31D5">
        <w:t>s</w:t>
      </w:r>
      <w:r w:rsidRPr="00FD31D5">
        <w:t xml:space="preserve">) conducted this year. Through CEIs </w:t>
      </w:r>
      <w:r w:rsidR="00947454" w:rsidRPr="00FD31D5">
        <w:t>at least 10%</w:t>
      </w:r>
      <w:r w:rsidRPr="00FD31D5">
        <w:t xml:space="preserve"> of </w:t>
      </w:r>
      <w:r w:rsidR="002E49FF" w:rsidRPr="00FD31D5">
        <w:t>older</w:t>
      </w:r>
      <w:r w:rsidRPr="00FD31D5">
        <w:t xml:space="preserve"> Australians will be asked “do you like the food here” and these results will be published through Star Ratings for residential aged care</w:t>
      </w:r>
      <w:r w:rsidR="00AB1E06" w:rsidRPr="00FD31D5">
        <w:t xml:space="preserve"> services</w:t>
      </w:r>
      <w:r w:rsidRPr="00FD31D5">
        <w:t xml:space="preserve">. </w:t>
      </w:r>
    </w:p>
    <w:p w14:paraId="54DA08A2" w14:textId="77777777" w:rsidR="00812350" w:rsidRPr="00437FE9" w:rsidRDefault="00D05316" w:rsidP="00437FE9">
      <w:r w:rsidRPr="00FD31D5">
        <w:t xml:space="preserve">The Food and Nutrition data is being used by the Department to consider policy options to further improve food and nutrition outcomes for </w:t>
      </w:r>
      <w:r w:rsidR="00060EE7" w:rsidRPr="00FD31D5">
        <w:t>older</w:t>
      </w:r>
      <w:r w:rsidRPr="00FD31D5">
        <w:t xml:space="preserve"> Australians. Future policy options to improve transparency for consumers include publishing</w:t>
      </w:r>
      <w:r w:rsidR="00060EE7" w:rsidRPr="00FD31D5">
        <w:t xml:space="preserve"> more Food and Nutrition information </w:t>
      </w:r>
      <w:r w:rsidRPr="00FD31D5">
        <w:t>through</w:t>
      </w:r>
      <w:r w:rsidR="00F70058" w:rsidRPr="00FD31D5">
        <w:t xml:space="preserve"> provider </w:t>
      </w:r>
      <w:r w:rsidR="00F70058" w:rsidRPr="00437FE9">
        <w:t xml:space="preserve">operations reporting </w:t>
      </w:r>
      <w:r w:rsidR="000B5D92" w:rsidRPr="00437FE9">
        <w:t>and</w:t>
      </w:r>
      <w:r w:rsidRPr="00437FE9">
        <w:t xml:space="preserve"> the Star Rating</w:t>
      </w:r>
      <w:r w:rsidR="00F70058" w:rsidRPr="00437FE9">
        <w:t>s</w:t>
      </w:r>
      <w:r w:rsidRPr="00437FE9">
        <w:t xml:space="preserve"> on My</w:t>
      </w:r>
      <w:r w:rsidR="000B5D92" w:rsidRPr="00437FE9">
        <w:t xml:space="preserve"> </w:t>
      </w:r>
      <w:r w:rsidRPr="00437FE9">
        <w:t>Aged</w:t>
      </w:r>
      <w:r w:rsidR="000B5D92" w:rsidRPr="00437FE9">
        <w:t xml:space="preserve"> </w:t>
      </w:r>
      <w:r w:rsidRPr="00437FE9">
        <w:t xml:space="preserve">Care. </w:t>
      </w:r>
    </w:p>
    <w:p w14:paraId="75F759EF" w14:textId="417F446D" w:rsidR="00574F79" w:rsidRPr="00437FE9" w:rsidRDefault="00812350" w:rsidP="00437FE9">
      <w:r w:rsidRPr="00437FE9">
        <w:t xml:space="preserve">The Department is continuing its commitment to the improvement of food </w:t>
      </w:r>
      <w:r w:rsidR="00D152C3" w:rsidRPr="00437FE9">
        <w:t>in aged care</w:t>
      </w:r>
      <w:r w:rsidRPr="00437FE9">
        <w:t>.</w:t>
      </w:r>
      <w:r w:rsidR="00D152C3" w:rsidRPr="00437FE9">
        <w:t xml:space="preserve"> </w:t>
      </w:r>
      <w:r w:rsidRPr="00437FE9">
        <w:t>In addition to strengthening reporting, we are also strengthening accountability by developing a dedicated food and nutrition standard as part of the urgent review of Aged Care Quality Standards, with public consultation to be undertaken in October</w:t>
      </w:r>
      <w:r w:rsidR="00D152C3" w:rsidRPr="00437FE9">
        <w:t xml:space="preserve"> to November 2022</w:t>
      </w:r>
      <w:r w:rsidRPr="00437FE9">
        <w:t xml:space="preserve">. </w:t>
      </w:r>
      <w:r w:rsidR="00D152C3" w:rsidRPr="00437FE9">
        <w:t xml:space="preserve">For more information and to have your say, visit </w:t>
      </w:r>
      <w:hyperlink r:id="rId25" w:history="1">
        <w:r w:rsidR="00574F79" w:rsidRPr="00437FE9">
          <w:rPr>
            <w:rStyle w:val="Hyperlink"/>
          </w:rPr>
          <w:t>Ageing and Aged Care Engagement Hub</w:t>
        </w:r>
      </w:hyperlink>
      <w:r w:rsidR="00F67F01" w:rsidRPr="00437FE9">
        <w:t>.</w:t>
      </w:r>
    </w:p>
    <w:p w14:paraId="3008A9AE" w14:textId="1E77D371" w:rsidR="00D05316" w:rsidRPr="00FD31D5" w:rsidRDefault="00D152C3" w:rsidP="00FD31D5">
      <w:r w:rsidRPr="00FD31D5">
        <w:t>.</w:t>
      </w:r>
      <w:r w:rsidR="00D05316" w:rsidRPr="00FD31D5">
        <w:br w:type="page"/>
      </w:r>
    </w:p>
    <w:p w14:paraId="782405C3" w14:textId="7C632D58" w:rsidR="00FF5866" w:rsidRDefault="00FF5866" w:rsidP="00431775">
      <w:pPr>
        <w:pStyle w:val="Heading1nonumbering"/>
      </w:pPr>
      <w:bookmarkStart w:id="32" w:name="_Toc120291082"/>
      <w:r>
        <w:lastRenderedPageBreak/>
        <w:t>Appendix A</w:t>
      </w:r>
      <w:r w:rsidR="00E52B8F">
        <w:t>: Data tables</w:t>
      </w:r>
      <w:bookmarkEnd w:id="32"/>
    </w:p>
    <w:p w14:paraId="7C295665" w14:textId="630520E0" w:rsidR="00A2165D" w:rsidRPr="00431775" w:rsidRDefault="00A2165D" w:rsidP="00431775">
      <w:pPr>
        <w:rPr>
          <w:rStyle w:val="Strong"/>
        </w:rPr>
      </w:pPr>
      <w:r w:rsidRPr="00431775">
        <w:rPr>
          <w:rStyle w:val="Strong"/>
        </w:rPr>
        <w:t xml:space="preserve">Table </w:t>
      </w:r>
      <w:r w:rsidR="00E52B8F" w:rsidRPr="00431775">
        <w:rPr>
          <w:rStyle w:val="Strong"/>
        </w:rPr>
        <w:t>A1</w:t>
      </w:r>
      <w:r w:rsidRPr="00431775">
        <w:rPr>
          <w:rStyle w:val="Strong"/>
        </w:rPr>
        <w:t xml:space="preserve">: Average </w:t>
      </w:r>
      <w:r w:rsidR="007E39DB" w:rsidRPr="00431775">
        <w:rPr>
          <w:rStyle w:val="Strong"/>
        </w:rPr>
        <w:t xml:space="preserve">food </w:t>
      </w:r>
      <w:r w:rsidRPr="00431775">
        <w:rPr>
          <w:rStyle w:val="Strong"/>
        </w:rPr>
        <w:t>expenditure to support improved food and nutrition</w:t>
      </w:r>
      <w:r w:rsidR="0039191E" w:rsidRPr="00431775">
        <w:rPr>
          <w:rStyle w:val="Strong"/>
        </w:rPr>
        <w:t>,</w:t>
      </w:r>
      <w:r w:rsidRPr="00431775">
        <w:rPr>
          <w:rStyle w:val="Strong"/>
        </w:rPr>
        <w:t xml:space="preserve"> 2021-22, quarterly</w:t>
      </w:r>
    </w:p>
    <w:tbl>
      <w:tblPr>
        <w:tblStyle w:val="ListTable3"/>
        <w:tblW w:w="5000" w:type="pct"/>
        <w:tblLook w:val="04A0" w:firstRow="1" w:lastRow="0" w:firstColumn="1" w:lastColumn="0" w:noHBand="0" w:noVBand="1"/>
        <w:tblDescription w:val="Table A1 is a list average food expenditure to improve food and nutrition for 2021-22 by quarterly.  This table has 6 column headings: column 1. food expenditure, column 2 to 5 is dates by quarter starting at September 2021 and ending June 2022 and column 6. is the total by 2021-22. "/>
      </w:tblPr>
      <w:tblGrid>
        <w:gridCol w:w="4388"/>
        <w:gridCol w:w="1094"/>
        <w:gridCol w:w="1094"/>
        <w:gridCol w:w="1094"/>
        <w:gridCol w:w="1094"/>
        <w:gridCol w:w="1094"/>
      </w:tblGrid>
      <w:tr w:rsidR="00C55F40" w:rsidRPr="003316B7" w14:paraId="10069A6E" w14:textId="77777777" w:rsidTr="0043177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225" w:type="pct"/>
            <w:hideMark/>
          </w:tcPr>
          <w:p w14:paraId="58E46071" w14:textId="31D6FE81" w:rsidR="00A2165D" w:rsidRPr="003316B7" w:rsidRDefault="000C5900" w:rsidP="003316B7">
            <w:pPr>
              <w:pStyle w:val="TableofAuthorities"/>
            </w:pPr>
            <w:r w:rsidRPr="003316B7">
              <w:t>F</w:t>
            </w:r>
            <w:r w:rsidR="00A2165D" w:rsidRPr="003316B7">
              <w:t>ood expenditure</w:t>
            </w:r>
          </w:p>
        </w:tc>
        <w:tc>
          <w:tcPr>
            <w:tcW w:w="555" w:type="pct"/>
            <w:hideMark/>
          </w:tcPr>
          <w:p w14:paraId="4C54C3B7" w14:textId="77777777" w:rsidR="00A2165D" w:rsidRPr="003316B7" w:rsidRDefault="00A2165D"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Sep 21</w:t>
            </w:r>
          </w:p>
        </w:tc>
        <w:tc>
          <w:tcPr>
            <w:tcW w:w="555" w:type="pct"/>
            <w:hideMark/>
          </w:tcPr>
          <w:p w14:paraId="6AE51633" w14:textId="77777777" w:rsidR="00A2165D" w:rsidRPr="003316B7" w:rsidRDefault="00A2165D"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Dec 21</w:t>
            </w:r>
          </w:p>
        </w:tc>
        <w:tc>
          <w:tcPr>
            <w:tcW w:w="555" w:type="pct"/>
            <w:hideMark/>
          </w:tcPr>
          <w:p w14:paraId="719190BF" w14:textId="77777777" w:rsidR="00A2165D" w:rsidRPr="003316B7" w:rsidRDefault="00A2165D"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Mar 22</w:t>
            </w:r>
          </w:p>
        </w:tc>
        <w:tc>
          <w:tcPr>
            <w:tcW w:w="555" w:type="pct"/>
            <w:hideMark/>
          </w:tcPr>
          <w:p w14:paraId="786AD0B7" w14:textId="77777777" w:rsidR="00A2165D" w:rsidRPr="003316B7" w:rsidRDefault="00A2165D"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Jun 22</w:t>
            </w:r>
          </w:p>
        </w:tc>
        <w:tc>
          <w:tcPr>
            <w:tcW w:w="555" w:type="pct"/>
            <w:hideMark/>
          </w:tcPr>
          <w:p w14:paraId="34D5FAE3" w14:textId="77777777" w:rsidR="00A2165D" w:rsidRPr="003316B7" w:rsidRDefault="00A2165D"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2021-22</w:t>
            </w:r>
          </w:p>
        </w:tc>
      </w:tr>
      <w:tr w:rsidR="00A2165D" w:rsidRPr="00431775" w14:paraId="42037842" w14:textId="77777777" w:rsidTr="00431775">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2225" w:type="pct"/>
            <w:hideMark/>
          </w:tcPr>
          <w:p w14:paraId="685F17C5" w14:textId="3531FFE2" w:rsidR="00A2165D" w:rsidRPr="00431775" w:rsidRDefault="00A2165D" w:rsidP="00431775">
            <w:pPr>
              <w:pStyle w:val="TableParagraph"/>
            </w:pPr>
            <w:r w:rsidRPr="00431775">
              <w:t xml:space="preserve">Average </w:t>
            </w:r>
            <w:proofErr w:type="gramStart"/>
            <w:r w:rsidRPr="00431775">
              <w:t>spend</w:t>
            </w:r>
            <w:proofErr w:type="gramEnd"/>
            <w:r w:rsidRPr="00431775">
              <w:t xml:space="preserve"> per resident</w:t>
            </w:r>
            <w:r w:rsidR="001F34F5" w:rsidRPr="00431775">
              <w:t xml:space="preserve"> per day</w:t>
            </w:r>
          </w:p>
        </w:tc>
        <w:tc>
          <w:tcPr>
            <w:tcW w:w="555" w:type="pct"/>
            <w:hideMark/>
          </w:tcPr>
          <w:p w14:paraId="231FC80B" w14:textId="77777777" w:rsidR="00A2165D" w:rsidRPr="00431775" w:rsidRDefault="00A2165D" w:rsidP="00431775">
            <w:pPr>
              <w:pStyle w:val="TableParagraph"/>
              <w:cnfStyle w:val="000000100000" w:firstRow="0" w:lastRow="0" w:firstColumn="0" w:lastColumn="0" w:oddVBand="0" w:evenVBand="0" w:oddHBand="1" w:evenHBand="0" w:firstRowFirstColumn="0" w:firstRowLastColumn="0" w:lastRowFirstColumn="0" w:lastRowLastColumn="0"/>
            </w:pPr>
            <w:r w:rsidRPr="00431775">
              <w:t>$13.94</w:t>
            </w:r>
          </w:p>
        </w:tc>
        <w:tc>
          <w:tcPr>
            <w:tcW w:w="555" w:type="pct"/>
            <w:hideMark/>
          </w:tcPr>
          <w:p w14:paraId="154A21EB" w14:textId="77777777" w:rsidR="00A2165D" w:rsidRPr="00431775" w:rsidRDefault="00A2165D" w:rsidP="00431775">
            <w:pPr>
              <w:pStyle w:val="TableParagraph"/>
              <w:cnfStyle w:val="000000100000" w:firstRow="0" w:lastRow="0" w:firstColumn="0" w:lastColumn="0" w:oddVBand="0" w:evenVBand="0" w:oddHBand="1" w:evenHBand="0" w:firstRowFirstColumn="0" w:firstRowLastColumn="0" w:lastRowFirstColumn="0" w:lastRowLastColumn="0"/>
            </w:pPr>
            <w:r w:rsidRPr="00431775">
              <w:t>$14.27</w:t>
            </w:r>
          </w:p>
        </w:tc>
        <w:tc>
          <w:tcPr>
            <w:tcW w:w="555" w:type="pct"/>
            <w:hideMark/>
          </w:tcPr>
          <w:p w14:paraId="5803F8A1" w14:textId="77777777" w:rsidR="00A2165D" w:rsidRPr="00431775" w:rsidRDefault="00A2165D" w:rsidP="00431775">
            <w:pPr>
              <w:pStyle w:val="TableParagraph"/>
              <w:cnfStyle w:val="000000100000" w:firstRow="0" w:lastRow="0" w:firstColumn="0" w:lastColumn="0" w:oddVBand="0" w:evenVBand="0" w:oddHBand="1" w:evenHBand="0" w:firstRowFirstColumn="0" w:firstRowLastColumn="0" w:lastRowFirstColumn="0" w:lastRowLastColumn="0"/>
            </w:pPr>
            <w:r w:rsidRPr="00431775">
              <w:t>$14.64</w:t>
            </w:r>
          </w:p>
        </w:tc>
        <w:tc>
          <w:tcPr>
            <w:tcW w:w="555" w:type="pct"/>
            <w:hideMark/>
          </w:tcPr>
          <w:p w14:paraId="2B662489" w14:textId="3651923C" w:rsidR="00A2165D" w:rsidRPr="00431775" w:rsidRDefault="00A2165D" w:rsidP="00431775">
            <w:pPr>
              <w:pStyle w:val="TableParagraph"/>
              <w:cnfStyle w:val="000000100000" w:firstRow="0" w:lastRow="0" w:firstColumn="0" w:lastColumn="0" w:oddVBand="0" w:evenVBand="0" w:oddHBand="1" w:evenHBand="0" w:firstRowFirstColumn="0" w:firstRowLastColumn="0" w:lastRowFirstColumn="0" w:lastRowLastColumn="0"/>
            </w:pPr>
            <w:r w:rsidRPr="00431775">
              <w:t>$15.0</w:t>
            </w:r>
            <w:r w:rsidR="00990F5E" w:rsidRPr="00431775">
              <w:t>0</w:t>
            </w:r>
          </w:p>
        </w:tc>
        <w:tc>
          <w:tcPr>
            <w:tcW w:w="555" w:type="pct"/>
            <w:hideMark/>
          </w:tcPr>
          <w:p w14:paraId="089472C4" w14:textId="77777777" w:rsidR="00A2165D" w:rsidRPr="00431775" w:rsidRDefault="00A2165D" w:rsidP="00431775">
            <w:pPr>
              <w:pStyle w:val="TableParagraph"/>
              <w:cnfStyle w:val="000000100000" w:firstRow="0" w:lastRow="0" w:firstColumn="0" w:lastColumn="0" w:oddVBand="0" w:evenVBand="0" w:oddHBand="1" w:evenHBand="0" w:firstRowFirstColumn="0" w:firstRowLastColumn="0" w:lastRowFirstColumn="0" w:lastRowLastColumn="0"/>
            </w:pPr>
            <w:r w:rsidRPr="00431775">
              <w:t>$14.46</w:t>
            </w:r>
          </w:p>
        </w:tc>
      </w:tr>
      <w:tr w:rsidR="00A2165D" w:rsidRPr="00431775" w14:paraId="4388B783" w14:textId="77777777" w:rsidTr="00431775">
        <w:trPr>
          <w:trHeight w:val="372"/>
        </w:trPr>
        <w:tc>
          <w:tcPr>
            <w:cnfStyle w:val="001000000000" w:firstRow="0" w:lastRow="0" w:firstColumn="1" w:lastColumn="0" w:oddVBand="0" w:evenVBand="0" w:oddHBand="0" w:evenHBand="0" w:firstRowFirstColumn="0" w:firstRowLastColumn="0" w:lastRowFirstColumn="0" w:lastRowLastColumn="0"/>
            <w:tcW w:w="2225" w:type="pct"/>
            <w:hideMark/>
          </w:tcPr>
          <w:p w14:paraId="1A295884" w14:textId="5A3249EE" w:rsidR="00A2165D" w:rsidRPr="00431775" w:rsidRDefault="00283102" w:rsidP="00431775">
            <w:pPr>
              <w:pStyle w:val="TableParagraph"/>
            </w:pPr>
            <w:r w:rsidRPr="00431775">
              <w:t xml:space="preserve">Average </w:t>
            </w:r>
            <w:proofErr w:type="gramStart"/>
            <w:r w:rsidRPr="00431775">
              <w:t>spend</w:t>
            </w:r>
            <w:proofErr w:type="gramEnd"/>
            <w:r w:rsidRPr="00431775">
              <w:t>, q</w:t>
            </w:r>
            <w:r w:rsidR="00A2165D" w:rsidRPr="00431775">
              <w:t>uarterly change (%)</w:t>
            </w:r>
          </w:p>
        </w:tc>
        <w:tc>
          <w:tcPr>
            <w:tcW w:w="555" w:type="pct"/>
            <w:hideMark/>
          </w:tcPr>
          <w:p w14:paraId="3F357FF1" w14:textId="77777777" w:rsidR="00A2165D" w:rsidRPr="00431775" w:rsidRDefault="00A2165D" w:rsidP="00431775">
            <w:pPr>
              <w:pStyle w:val="TableParagraph"/>
              <w:cnfStyle w:val="000000000000" w:firstRow="0" w:lastRow="0" w:firstColumn="0" w:lastColumn="0" w:oddVBand="0" w:evenVBand="0" w:oddHBand="0" w:evenHBand="0" w:firstRowFirstColumn="0" w:firstRowLastColumn="0" w:lastRowFirstColumn="0" w:lastRowLastColumn="0"/>
            </w:pPr>
            <w:r w:rsidRPr="00431775">
              <w:t> </w:t>
            </w:r>
          </w:p>
        </w:tc>
        <w:tc>
          <w:tcPr>
            <w:tcW w:w="555" w:type="pct"/>
            <w:hideMark/>
          </w:tcPr>
          <w:p w14:paraId="027A1F0A" w14:textId="77777777" w:rsidR="00A2165D" w:rsidRPr="00431775" w:rsidRDefault="00A2165D" w:rsidP="00431775">
            <w:pPr>
              <w:pStyle w:val="TableParagraph"/>
              <w:cnfStyle w:val="000000000000" w:firstRow="0" w:lastRow="0" w:firstColumn="0" w:lastColumn="0" w:oddVBand="0" w:evenVBand="0" w:oddHBand="0" w:evenHBand="0" w:firstRowFirstColumn="0" w:firstRowLastColumn="0" w:lastRowFirstColumn="0" w:lastRowLastColumn="0"/>
            </w:pPr>
            <w:r w:rsidRPr="00431775">
              <w:t>2.3%</w:t>
            </w:r>
          </w:p>
        </w:tc>
        <w:tc>
          <w:tcPr>
            <w:tcW w:w="555" w:type="pct"/>
            <w:hideMark/>
          </w:tcPr>
          <w:p w14:paraId="220577FC" w14:textId="77777777" w:rsidR="00A2165D" w:rsidRPr="00431775" w:rsidRDefault="00A2165D" w:rsidP="00431775">
            <w:pPr>
              <w:pStyle w:val="TableParagraph"/>
              <w:cnfStyle w:val="000000000000" w:firstRow="0" w:lastRow="0" w:firstColumn="0" w:lastColumn="0" w:oddVBand="0" w:evenVBand="0" w:oddHBand="0" w:evenHBand="0" w:firstRowFirstColumn="0" w:firstRowLastColumn="0" w:lastRowFirstColumn="0" w:lastRowLastColumn="0"/>
            </w:pPr>
            <w:r w:rsidRPr="00431775">
              <w:t>2.6%</w:t>
            </w:r>
          </w:p>
        </w:tc>
        <w:tc>
          <w:tcPr>
            <w:tcW w:w="555" w:type="pct"/>
            <w:hideMark/>
          </w:tcPr>
          <w:p w14:paraId="46D8BE9D" w14:textId="77777777" w:rsidR="00A2165D" w:rsidRPr="00431775" w:rsidRDefault="00A2165D" w:rsidP="00431775">
            <w:pPr>
              <w:pStyle w:val="TableParagraph"/>
              <w:cnfStyle w:val="000000000000" w:firstRow="0" w:lastRow="0" w:firstColumn="0" w:lastColumn="0" w:oddVBand="0" w:evenVBand="0" w:oddHBand="0" w:evenHBand="0" w:firstRowFirstColumn="0" w:firstRowLastColumn="0" w:lastRowFirstColumn="0" w:lastRowLastColumn="0"/>
            </w:pPr>
            <w:r w:rsidRPr="00431775">
              <w:t>2.5%</w:t>
            </w:r>
          </w:p>
        </w:tc>
        <w:tc>
          <w:tcPr>
            <w:tcW w:w="555" w:type="pct"/>
            <w:hideMark/>
          </w:tcPr>
          <w:p w14:paraId="04156322" w14:textId="77777777" w:rsidR="00A2165D" w:rsidRPr="00431775" w:rsidRDefault="00A2165D" w:rsidP="00431775">
            <w:pPr>
              <w:pStyle w:val="TableParagraph"/>
              <w:cnfStyle w:val="000000000000" w:firstRow="0" w:lastRow="0" w:firstColumn="0" w:lastColumn="0" w:oddVBand="0" w:evenVBand="0" w:oddHBand="0" w:evenHBand="0" w:firstRowFirstColumn="0" w:firstRowLastColumn="0" w:lastRowFirstColumn="0" w:lastRowLastColumn="0"/>
            </w:pPr>
            <w:r w:rsidRPr="00431775">
              <w:t> </w:t>
            </w:r>
          </w:p>
        </w:tc>
      </w:tr>
    </w:tbl>
    <w:p w14:paraId="752FC5C5" w14:textId="47CB72EF" w:rsidR="00FF5866" w:rsidRPr="00431775" w:rsidRDefault="00FF5866" w:rsidP="00431775">
      <w:pPr>
        <w:rPr>
          <w:rStyle w:val="Strong"/>
        </w:rPr>
      </w:pPr>
      <w:r w:rsidRPr="00431775">
        <w:rPr>
          <w:rStyle w:val="Strong"/>
        </w:rPr>
        <w:t xml:space="preserve">Table </w:t>
      </w:r>
      <w:r w:rsidR="00E52B8F" w:rsidRPr="00431775">
        <w:rPr>
          <w:rStyle w:val="Strong"/>
        </w:rPr>
        <w:t>A2:</w:t>
      </w:r>
      <w:r w:rsidRPr="00431775">
        <w:rPr>
          <w:rStyle w:val="Strong"/>
        </w:rPr>
        <w:t xml:space="preserve"> Services reporting expenditure for food and ingredient</w:t>
      </w:r>
      <w:r w:rsidR="002A4F50" w:rsidRPr="00431775">
        <w:rPr>
          <w:rStyle w:val="Strong"/>
        </w:rPr>
        <w:t>s</w:t>
      </w:r>
      <w:r w:rsidRPr="00431775">
        <w:rPr>
          <w:rStyle w:val="Strong"/>
        </w:rPr>
        <w:t xml:space="preserve"> only</w:t>
      </w:r>
      <w:r w:rsidR="0039191E" w:rsidRPr="00431775">
        <w:rPr>
          <w:rStyle w:val="Strong"/>
        </w:rPr>
        <w:t>,</w:t>
      </w:r>
      <w:r w:rsidRPr="00431775">
        <w:rPr>
          <w:rStyle w:val="Strong"/>
        </w:rPr>
        <w:t xml:space="preserve"> 2021-22, quarterly</w:t>
      </w:r>
    </w:p>
    <w:tbl>
      <w:tblPr>
        <w:tblStyle w:val="ListTable3"/>
        <w:tblW w:w="5000" w:type="pct"/>
        <w:tblLook w:val="04A0" w:firstRow="1" w:lastRow="0" w:firstColumn="1" w:lastColumn="0" w:noHBand="0" w:noVBand="1"/>
        <w:tblDescription w:val="Table A2 is a list services expenditure for food and ingredients only for 2021-22 by quarterly.  This table has 6 column headings: column 1. food expenditure, column 2 to 5 is dates by quarter starting at September 2021 and ending June 2022 and column 6. is the total by 2021-22. "/>
      </w:tblPr>
      <w:tblGrid>
        <w:gridCol w:w="4307"/>
        <w:gridCol w:w="1178"/>
        <w:gridCol w:w="1179"/>
        <w:gridCol w:w="1179"/>
        <w:gridCol w:w="1126"/>
        <w:gridCol w:w="889"/>
      </w:tblGrid>
      <w:tr w:rsidR="00C55F40" w:rsidRPr="003316B7" w14:paraId="6CD40E58" w14:textId="77777777" w:rsidTr="0043177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275" w:type="pct"/>
            <w:hideMark/>
          </w:tcPr>
          <w:p w14:paraId="44C31E90" w14:textId="77777777" w:rsidR="00FF5866" w:rsidRPr="003316B7" w:rsidRDefault="00FF5866" w:rsidP="003316B7">
            <w:pPr>
              <w:pStyle w:val="TableofAuthorities"/>
            </w:pPr>
            <w:r w:rsidRPr="003316B7">
              <w:t>Food and ingredients only</w:t>
            </w:r>
          </w:p>
        </w:tc>
        <w:tc>
          <w:tcPr>
            <w:tcW w:w="688" w:type="pct"/>
            <w:hideMark/>
          </w:tcPr>
          <w:p w14:paraId="0C7847DE"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Sep 21</w:t>
            </w:r>
          </w:p>
        </w:tc>
        <w:tc>
          <w:tcPr>
            <w:tcW w:w="688" w:type="pct"/>
            <w:hideMark/>
          </w:tcPr>
          <w:p w14:paraId="7D69C30C"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Dec 21</w:t>
            </w:r>
          </w:p>
        </w:tc>
        <w:tc>
          <w:tcPr>
            <w:tcW w:w="688" w:type="pct"/>
            <w:hideMark/>
          </w:tcPr>
          <w:p w14:paraId="5D6C946D"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Mar 22</w:t>
            </w:r>
          </w:p>
        </w:tc>
        <w:tc>
          <w:tcPr>
            <w:tcW w:w="688" w:type="pct"/>
            <w:hideMark/>
          </w:tcPr>
          <w:p w14:paraId="2986F72F"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Jun 22</w:t>
            </w:r>
          </w:p>
        </w:tc>
        <w:tc>
          <w:tcPr>
            <w:tcW w:w="688" w:type="pct"/>
            <w:hideMark/>
          </w:tcPr>
          <w:p w14:paraId="39C59AE5"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2021-22</w:t>
            </w:r>
          </w:p>
        </w:tc>
      </w:tr>
      <w:tr w:rsidR="00FF5866" w:rsidRPr="00283102" w14:paraId="0F6171B6" w14:textId="77777777" w:rsidTr="0043177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75" w:type="pct"/>
            <w:hideMark/>
          </w:tcPr>
          <w:p w14:paraId="1E3726EE" w14:textId="77777777" w:rsidR="00FF5866" w:rsidRPr="00E16428" w:rsidRDefault="00FF5866" w:rsidP="00E16428">
            <w:pPr>
              <w:pStyle w:val="TableParagraph"/>
            </w:pPr>
            <w:r w:rsidRPr="00E16428">
              <w:t>Number of responses</w:t>
            </w:r>
          </w:p>
        </w:tc>
        <w:tc>
          <w:tcPr>
            <w:tcW w:w="688" w:type="pct"/>
            <w:hideMark/>
          </w:tcPr>
          <w:p w14:paraId="44DD2DBC"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2,035</w:t>
            </w:r>
          </w:p>
        </w:tc>
        <w:tc>
          <w:tcPr>
            <w:tcW w:w="688" w:type="pct"/>
            <w:hideMark/>
          </w:tcPr>
          <w:p w14:paraId="743064C1"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1,978</w:t>
            </w:r>
          </w:p>
        </w:tc>
        <w:tc>
          <w:tcPr>
            <w:tcW w:w="688" w:type="pct"/>
            <w:hideMark/>
          </w:tcPr>
          <w:p w14:paraId="7F9629AF"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2,007</w:t>
            </w:r>
          </w:p>
        </w:tc>
        <w:tc>
          <w:tcPr>
            <w:tcW w:w="688" w:type="pct"/>
            <w:hideMark/>
          </w:tcPr>
          <w:p w14:paraId="3ECA1C3B" w14:textId="4E10F9F2"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1,99</w:t>
            </w:r>
            <w:r w:rsidR="002C5FCB" w:rsidRPr="00BF30A6">
              <w:t>6</w:t>
            </w:r>
          </w:p>
        </w:tc>
        <w:tc>
          <w:tcPr>
            <w:tcW w:w="688" w:type="pct"/>
            <w:hideMark/>
          </w:tcPr>
          <w:p w14:paraId="6AA9CE6F" w14:textId="7C519C7E"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8,01</w:t>
            </w:r>
            <w:r w:rsidR="002C5FCB" w:rsidRPr="00BF30A6">
              <w:t>6</w:t>
            </w:r>
          </w:p>
        </w:tc>
      </w:tr>
      <w:tr w:rsidR="00FF5866" w:rsidRPr="00283102" w14:paraId="650E417A" w14:textId="77777777" w:rsidTr="00431775">
        <w:trPr>
          <w:trHeight w:val="345"/>
        </w:trPr>
        <w:tc>
          <w:tcPr>
            <w:cnfStyle w:val="001000000000" w:firstRow="0" w:lastRow="0" w:firstColumn="1" w:lastColumn="0" w:oddVBand="0" w:evenVBand="0" w:oddHBand="0" w:evenHBand="0" w:firstRowFirstColumn="0" w:firstRowLastColumn="0" w:lastRowFirstColumn="0" w:lastRowLastColumn="0"/>
            <w:tcW w:w="2275" w:type="pct"/>
            <w:hideMark/>
          </w:tcPr>
          <w:p w14:paraId="2854107C" w14:textId="77777777" w:rsidR="00FF5866" w:rsidRPr="00BF30A6" w:rsidRDefault="00FF5866" w:rsidP="00431775">
            <w:pPr>
              <w:pStyle w:val="TableParagraph"/>
            </w:pPr>
            <w:r w:rsidRPr="00BF30A6">
              <w:t>Share of total responses</w:t>
            </w:r>
          </w:p>
        </w:tc>
        <w:tc>
          <w:tcPr>
            <w:tcW w:w="688" w:type="pct"/>
            <w:hideMark/>
          </w:tcPr>
          <w:p w14:paraId="3C0935D2"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76%</w:t>
            </w:r>
          </w:p>
        </w:tc>
        <w:tc>
          <w:tcPr>
            <w:tcW w:w="688" w:type="pct"/>
            <w:hideMark/>
          </w:tcPr>
          <w:p w14:paraId="48628BC9"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74%</w:t>
            </w:r>
          </w:p>
        </w:tc>
        <w:tc>
          <w:tcPr>
            <w:tcW w:w="688" w:type="pct"/>
            <w:hideMark/>
          </w:tcPr>
          <w:p w14:paraId="07997756"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76%</w:t>
            </w:r>
          </w:p>
        </w:tc>
        <w:tc>
          <w:tcPr>
            <w:tcW w:w="688" w:type="pct"/>
            <w:hideMark/>
          </w:tcPr>
          <w:p w14:paraId="2583E580"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76%</w:t>
            </w:r>
          </w:p>
        </w:tc>
        <w:tc>
          <w:tcPr>
            <w:tcW w:w="688" w:type="pct"/>
            <w:hideMark/>
          </w:tcPr>
          <w:p w14:paraId="50082F5F"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76%</w:t>
            </w:r>
          </w:p>
        </w:tc>
      </w:tr>
      <w:tr w:rsidR="00FF5866" w:rsidRPr="00283102" w14:paraId="0D86C058" w14:textId="77777777" w:rsidTr="00431775">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275" w:type="pct"/>
            <w:hideMark/>
          </w:tcPr>
          <w:p w14:paraId="6EF2C9B9" w14:textId="564B1E94" w:rsidR="00FF5866" w:rsidRPr="00BF30A6" w:rsidRDefault="00FF5866" w:rsidP="00431775">
            <w:pPr>
              <w:pStyle w:val="TableParagraph"/>
            </w:pPr>
            <w:r w:rsidRPr="00BF30A6">
              <w:t xml:space="preserve">Average </w:t>
            </w:r>
            <w:proofErr w:type="gramStart"/>
            <w:r w:rsidRPr="00BF30A6">
              <w:t>spend</w:t>
            </w:r>
            <w:proofErr w:type="gramEnd"/>
            <w:r w:rsidRPr="00BF30A6">
              <w:t xml:space="preserve"> per resident</w:t>
            </w:r>
            <w:r w:rsidR="001F34F5" w:rsidRPr="00BF30A6">
              <w:t xml:space="preserve"> per day</w:t>
            </w:r>
          </w:p>
        </w:tc>
        <w:tc>
          <w:tcPr>
            <w:tcW w:w="688" w:type="pct"/>
            <w:hideMark/>
          </w:tcPr>
          <w:p w14:paraId="7331A754"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$12.25</w:t>
            </w:r>
          </w:p>
        </w:tc>
        <w:tc>
          <w:tcPr>
            <w:tcW w:w="688" w:type="pct"/>
            <w:hideMark/>
          </w:tcPr>
          <w:p w14:paraId="52ED3BB9"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$12.44</w:t>
            </w:r>
          </w:p>
        </w:tc>
        <w:tc>
          <w:tcPr>
            <w:tcW w:w="688" w:type="pct"/>
            <w:hideMark/>
          </w:tcPr>
          <w:p w14:paraId="72190BEF"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$12.56</w:t>
            </w:r>
          </w:p>
        </w:tc>
        <w:tc>
          <w:tcPr>
            <w:tcW w:w="688" w:type="pct"/>
            <w:hideMark/>
          </w:tcPr>
          <w:p w14:paraId="45EBC6F6"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$12.93</w:t>
            </w:r>
          </w:p>
        </w:tc>
        <w:tc>
          <w:tcPr>
            <w:tcW w:w="688" w:type="pct"/>
            <w:hideMark/>
          </w:tcPr>
          <w:p w14:paraId="013C9E04"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$12.54</w:t>
            </w:r>
          </w:p>
        </w:tc>
      </w:tr>
      <w:tr w:rsidR="00FF5866" w:rsidRPr="00283102" w14:paraId="4A581F5C" w14:textId="77777777" w:rsidTr="00431775">
        <w:trPr>
          <w:trHeight w:val="345"/>
        </w:trPr>
        <w:tc>
          <w:tcPr>
            <w:cnfStyle w:val="001000000000" w:firstRow="0" w:lastRow="0" w:firstColumn="1" w:lastColumn="0" w:oddVBand="0" w:evenVBand="0" w:oddHBand="0" w:evenHBand="0" w:firstRowFirstColumn="0" w:firstRowLastColumn="0" w:lastRowFirstColumn="0" w:lastRowLastColumn="0"/>
            <w:tcW w:w="2275" w:type="pct"/>
            <w:hideMark/>
          </w:tcPr>
          <w:p w14:paraId="058DAEFD" w14:textId="1AE0FBEB" w:rsidR="00FF5866" w:rsidRPr="00BF30A6" w:rsidRDefault="00FF5866" w:rsidP="00431775">
            <w:pPr>
              <w:pStyle w:val="TableParagraph"/>
            </w:pPr>
            <w:r w:rsidRPr="00BF30A6">
              <w:t xml:space="preserve">Average </w:t>
            </w:r>
            <w:proofErr w:type="gramStart"/>
            <w:r w:rsidRPr="00BF30A6">
              <w:t>spend</w:t>
            </w:r>
            <w:proofErr w:type="gramEnd"/>
            <w:r w:rsidRPr="00BF30A6">
              <w:t>, quarterly change (%)</w:t>
            </w:r>
          </w:p>
        </w:tc>
        <w:tc>
          <w:tcPr>
            <w:tcW w:w="688" w:type="pct"/>
            <w:hideMark/>
          </w:tcPr>
          <w:p w14:paraId="277ED5AC"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 </w:t>
            </w:r>
          </w:p>
        </w:tc>
        <w:tc>
          <w:tcPr>
            <w:tcW w:w="688" w:type="pct"/>
            <w:hideMark/>
          </w:tcPr>
          <w:p w14:paraId="47D7FAB1"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1.5%</w:t>
            </w:r>
          </w:p>
        </w:tc>
        <w:tc>
          <w:tcPr>
            <w:tcW w:w="688" w:type="pct"/>
            <w:hideMark/>
          </w:tcPr>
          <w:p w14:paraId="43B93A45"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1.0%</w:t>
            </w:r>
          </w:p>
        </w:tc>
        <w:tc>
          <w:tcPr>
            <w:tcW w:w="688" w:type="pct"/>
            <w:hideMark/>
          </w:tcPr>
          <w:p w14:paraId="33FD42AF"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3.0%</w:t>
            </w:r>
          </w:p>
        </w:tc>
        <w:tc>
          <w:tcPr>
            <w:tcW w:w="688" w:type="pct"/>
            <w:hideMark/>
          </w:tcPr>
          <w:p w14:paraId="15F3F058"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 </w:t>
            </w:r>
          </w:p>
        </w:tc>
      </w:tr>
    </w:tbl>
    <w:p w14:paraId="6606AAE1" w14:textId="442D2C47" w:rsidR="00FF5866" w:rsidRPr="00431775" w:rsidRDefault="00FF5866" w:rsidP="00431775">
      <w:pPr>
        <w:rPr>
          <w:rStyle w:val="Strong"/>
        </w:rPr>
      </w:pPr>
      <w:r w:rsidRPr="00431775">
        <w:rPr>
          <w:rStyle w:val="Strong"/>
        </w:rPr>
        <w:t xml:space="preserve">Table </w:t>
      </w:r>
      <w:r w:rsidR="00E52B8F" w:rsidRPr="00431775">
        <w:rPr>
          <w:rStyle w:val="Strong"/>
        </w:rPr>
        <w:t>A3:</w:t>
      </w:r>
      <w:r w:rsidRPr="00431775">
        <w:rPr>
          <w:rStyle w:val="Strong"/>
        </w:rPr>
        <w:t xml:space="preserve"> Services reporting expenditure for contract catering only</w:t>
      </w:r>
      <w:r w:rsidR="0039191E" w:rsidRPr="00431775">
        <w:rPr>
          <w:rStyle w:val="Strong"/>
        </w:rPr>
        <w:t>,</w:t>
      </w:r>
      <w:r w:rsidRPr="00431775">
        <w:rPr>
          <w:rStyle w:val="Strong"/>
        </w:rPr>
        <w:t xml:space="preserve"> 2021-22,</w:t>
      </w:r>
      <w:r w:rsidR="00A013F5" w:rsidRPr="00431775">
        <w:rPr>
          <w:rStyle w:val="Strong"/>
        </w:rPr>
        <w:t xml:space="preserve"> </w:t>
      </w:r>
      <w:r w:rsidRPr="00431775">
        <w:rPr>
          <w:rStyle w:val="Strong"/>
        </w:rPr>
        <w:t>quarterly</w:t>
      </w:r>
    </w:p>
    <w:tbl>
      <w:tblPr>
        <w:tblStyle w:val="ListTable3"/>
        <w:tblW w:w="5000" w:type="pct"/>
        <w:tblLook w:val="04A0" w:firstRow="1" w:lastRow="0" w:firstColumn="1" w:lastColumn="0" w:noHBand="0" w:noVBand="1"/>
        <w:tblDescription w:val="Table A3 is a list services expenditure for contract catering only for 2021-22 by quarterly.  This table has 6 column headings: column 1. food expenditure, column 2 to 5 is dates by quarter starting at September 2021 and ending June 2022 and column 6. is the total by 2021-22."/>
      </w:tblPr>
      <w:tblGrid>
        <w:gridCol w:w="4402"/>
        <w:gridCol w:w="1074"/>
        <w:gridCol w:w="1075"/>
        <w:gridCol w:w="1061"/>
        <w:gridCol w:w="1061"/>
        <w:gridCol w:w="1185"/>
      </w:tblGrid>
      <w:tr w:rsidR="00FF5866" w:rsidRPr="003316B7" w14:paraId="67FE8C48" w14:textId="77777777" w:rsidTr="00C55F40">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233" w:type="pct"/>
            <w:hideMark/>
          </w:tcPr>
          <w:p w14:paraId="28D66437" w14:textId="77777777" w:rsidR="00FF5866" w:rsidRPr="003316B7" w:rsidRDefault="00FF5866" w:rsidP="003316B7">
            <w:pPr>
              <w:pStyle w:val="TableofAuthorities"/>
            </w:pPr>
            <w:r w:rsidRPr="003316B7">
              <w:t>Contract catering only</w:t>
            </w:r>
          </w:p>
        </w:tc>
        <w:tc>
          <w:tcPr>
            <w:tcW w:w="545" w:type="pct"/>
            <w:hideMark/>
          </w:tcPr>
          <w:p w14:paraId="43CF49BA"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Sep 21</w:t>
            </w:r>
          </w:p>
        </w:tc>
        <w:tc>
          <w:tcPr>
            <w:tcW w:w="545" w:type="pct"/>
            <w:hideMark/>
          </w:tcPr>
          <w:p w14:paraId="024C43CF"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Dec 21</w:t>
            </w:r>
          </w:p>
        </w:tc>
        <w:tc>
          <w:tcPr>
            <w:tcW w:w="538" w:type="pct"/>
            <w:hideMark/>
          </w:tcPr>
          <w:p w14:paraId="42D20A81"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Mar 22</w:t>
            </w:r>
          </w:p>
        </w:tc>
        <w:tc>
          <w:tcPr>
            <w:tcW w:w="538" w:type="pct"/>
            <w:hideMark/>
          </w:tcPr>
          <w:p w14:paraId="0EE9DA73"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Jun 22</w:t>
            </w:r>
          </w:p>
        </w:tc>
        <w:tc>
          <w:tcPr>
            <w:tcW w:w="601" w:type="pct"/>
            <w:hideMark/>
          </w:tcPr>
          <w:p w14:paraId="3C6E2141" w14:textId="77777777" w:rsidR="00FF5866" w:rsidRPr="003316B7" w:rsidRDefault="00FF5866" w:rsidP="003316B7">
            <w:pPr>
              <w:pStyle w:val="TableofAuthorities"/>
              <w:cnfStyle w:val="100000000000" w:firstRow="1" w:lastRow="0" w:firstColumn="0" w:lastColumn="0" w:oddVBand="0" w:evenVBand="0" w:oddHBand="0" w:evenHBand="0" w:firstRowFirstColumn="0" w:firstRowLastColumn="0" w:lastRowFirstColumn="0" w:lastRowLastColumn="0"/>
            </w:pPr>
            <w:r w:rsidRPr="003316B7">
              <w:t>2021-22</w:t>
            </w:r>
          </w:p>
        </w:tc>
      </w:tr>
      <w:tr w:rsidR="00FF5866" w:rsidRPr="0090670B" w14:paraId="086682BE" w14:textId="77777777" w:rsidTr="00C55F4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233" w:type="pct"/>
            <w:hideMark/>
          </w:tcPr>
          <w:p w14:paraId="2B58A5E9" w14:textId="77777777" w:rsidR="00FF5866" w:rsidRPr="00BF30A6" w:rsidRDefault="00FF5866" w:rsidP="00431775">
            <w:pPr>
              <w:pStyle w:val="TableParagraph"/>
            </w:pPr>
            <w:r w:rsidRPr="00BF30A6">
              <w:t>Number of responses</w:t>
            </w:r>
          </w:p>
        </w:tc>
        <w:tc>
          <w:tcPr>
            <w:tcW w:w="545" w:type="pct"/>
            <w:hideMark/>
          </w:tcPr>
          <w:p w14:paraId="02E1A9E0"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77</w:t>
            </w:r>
          </w:p>
        </w:tc>
        <w:tc>
          <w:tcPr>
            <w:tcW w:w="545" w:type="pct"/>
            <w:hideMark/>
          </w:tcPr>
          <w:p w14:paraId="263E9BC4"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65</w:t>
            </w:r>
          </w:p>
        </w:tc>
        <w:tc>
          <w:tcPr>
            <w:tcW w:w="538" w:type="pct"/>
            <w:hideMark/>
          </w:tcPr>
          <w:p w14:paraId="4AEA7A2F"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57</w:t>
            </w:r>
          </w:p>
        </w:tc>
        <w:tc>
          <w:tcPr>
            <w:tcW w:w="538" w:type="pct"/>
            <w:hideMark/>
          </w:tcPr>
          <w:p w14:paraId="205E2E99"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61</w:t>
            </w:r>
          </w:p>
        </w:tc>
        <w:tc>
          <w:tcPr>
            <w:tcW w:w="601" w:type="pct"/>
            <w:hideMark/>
          </w:tcPr>
          <w:p w14:paraId="582E6F09"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260</w:t>
            </w:r>
          </w:p>
        </w:tc>
      </w:tr>
      <w:tr w:rsidR="00FF5866" w:rsidRPr="0090670B" w14:paraId="05FA833F" w14:textId="77777777" w:rsidTr="00C55F40">
        <w:trPr>
          <w:trHeight w:val="365"/>
        </w:trPr>
        <w:tc>
          <w:tcPr>
            <w:cnfStyle w:val="001000000000" w:firstRow="0" w:lastRow="0" w:firstColumn="1" w:lastColumn="0" w:oddVBand="0" w:evenVBand="0" w:oddHBand="0" w:evenHBand="0" w:firstRowFirstColumn="0" w:firstRowLastColumn="0" w:lastRowFirstColumn="0" w:lastRowLastColumn="0"/>
            <w:tcW w:w="2233" w:type="pct"/>
            <w:hideMark/>
          </w:tcPr>
          <w:p w14:paraId="5FB257A9" w14:textId="77777777" w:rsidR="00FF5866" w:rsidRPr="00BF30A6" w:rsidRDefault="00FF5866" w:rsidP="00431775">
            <w:pPr>
              <w:pStyle w:val="TableParagraph"/>
            </w:pPr>
            <w:r w:rsidRPr="00BF30A6">
              <w:t>Share of total responses</w:t>
            </w:r>
          </w:p>
        </w:tc>
        <w:tc>
          <w:tcPr>
            <w:tcW w:w="545" w:type="pct"/>
            <w:hideMark/>
          </w:tcPr>
          <w:p w14:paraId="57D9E7C7"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3%</w:t>
            </w:r>
          </w:p>
        </w:tc>
        <w:tc>
          <w:tcPr>
            <w:tcW w:w="545" w:type="pct"/>
            <w:hideMark/>
          </w:tcPr>
          <w:p w14:paraId="5D9DA105"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w:t>
            </w:r>
          </w:p>
        </w:tc>
        <w:tc>
          <w:tcPr>
            <w:tcW w:w="538" w:type="pct"/>
            <w:hideMark/>
          </w:tcPr>
          <w:p w14:paraId="033733F5"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w:t>
            </w:r>
          </w:p>
        </w:tc>
        <w:tc>
          <w:tcPr>
            <w:tcW w:w="538" w:type="pct"/>
            <w:hideMark/>
          </w:tcPr>
          <w:p w14:paraId="77D0EA22"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w:t>
            </w:r>
          </w:p>
        </w:tc>
        <w:tc>
          <w:tcPr>
            <w:tcW w:w="601" w:type="pct"/>
            <w:hideMark/>
          </w:tcPr>
          <w:p w14:paraId="24B31A09"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w:t>
            </w:r>
          </w:p>
        </w:tc>
      </w:tr>
      <w:tr w:rsidR="00FF5866" w:rsidRPr="0090670B" w14:paraId="3969C2B3" w14:textId="77777777" w:rsidTr="00C55F40">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2233" w:type="pct"/>
            <w:hideMark/>
          </w:tcPr>
          <w:p w14:paraId="7689AF4C" w14:textId="14088BB1" w:rsidR="00FF5866" w:rsidRPr="00BF30A6" w:rsidRDefault="00FF5866" w:rsidP="00431775">
            <w:pPr>
              <w:pStyle w:val="TableParagraph"/>
            </w:pPr>
            <w:r w:rsidRPr="00BF30A6">
              <w:t xml:space="preserve">Average </w:t>
            </w:r>
            <w:proofErr w:type="gramStart"/>
            <w:r w:rsidRPr="00BF30A6">
              <w:t>spend</w:t>
            </w:r>
            <w:proofErr w:type="gramEnd"/>
            <w:r w:rsidRPr="00BF30A6">
              <w:t xml:space="preserve"> per resident</w:t>
            </w:r>
            <w:r w:rsidR="001F34F5" w:rsidRPr="00BF30A6">
              <w:t xml:space="preserve"> per day</w:t>
            </w:r>
          </w:p>
        </w:tc>
        <w:tc>
          <w:tcPr>
            <w:tcW w:w="545" w:type="pct"/>
            <w:hideMark/>
          </w:tcPr>
          <w:p w14:paraId="1B16E548"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$25.15</w:t>
            </w:r>
          </w:p>
        </w:tc>
        <w:tc>
          <w:tcPr>
            <w:tcW w:w="545" w:type="pct"/>
            <w:hideMark/>
          </w:tcPr>
          <w:p w14:paraId="5866B992"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$25.61</w:t>
            </w:r>
          </w:p>
        </w:tc>
        <w:tc>
          <w:tcPr>
            <w:tcW w:w="538" w:type="pct"/>
            <w:hideMark/>
          </w:tcPr>
          <w:p w14:paraId="77E9FBA4"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$27.84</w:t>
            </w:r>
          </w:p>
        </w:tc>
        <w:tc>
          <w:tcPr>
            <w:tcW w:w="538" w:type="pct"/>
            <w:hideMark/>
          </w:tcPr>
          <w:p w14:paraId="6667A81B"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$28.62</w:t>
            </w:r>
          </w:p>
        </w:tc>
        <w:tc>
          <w:tcPr>
            <w:tcW w:w="601" w:type="pct"/>
            <w:hideMark/>
          </w:tcPr>
          <w:p w14:paraId="31A8F272"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$26.67</w:t>
            </w:r>
          </w:p>
        </w:tc>
      </w:tr>
      <w:tr w:rsidR="00FF5866" w:rsidRPr="00BF30A6" w14:paraId="01BBBCE3" w14:textId="77777777" w:rsidTr="00C55F40">
        <w:trPr>
          <w:trHeight w:val="365"/>
        </w:trPr>
        <w:tc>
          <w:tcPr>
            <w:cnfStyle w:val="001000000000" w:firstRow="0" w:lastRow="0" w:firstColumn="1" w:lastColumn="0" w:oddVBand="0" w:evenVBand="0" w:oddHBand="0" w:evenHBand="0" w:firstRowFirstColumn="0" w:firstRowLastColumn="0" w:lastRowFirstColumn="0" w:lastRowLastColumn="0"/>
            <w:tcW w:w="2233" w:type="pct"/>
            <w:hideMark/>
          </w:tcPr>
          <w:p w14:paraId="295F2B37" w14:textId="26E3CE5C" w:rsidR="00FF5866" w:rsidRPr="00BF30A6" w:rsidRDefault="00FF5866" w:rsidP="00431775">
            <w:pPr>
              <w:pStyle w:val="TableParagraph"/>
            </w:pPr>
            <w:r w:rsidRPr="00BF30A6">
              <w:t xml:space="preserve">Average </w:t>
            </w:r>
            <w:proofErr w:type="gramStart"/>
            <w:r w:rsidRPr="00BF30A6">
              <w:t>spend</w:t>
            </w:r>
            <w:proofErr w:type="gramEnd"/>
            <w:r w:rsidRPr="00BF30A6">
              <w:t>, quarterly change (%)</w:t>
            </w:r>
          </w:p>
        </w:tc>
        <w:tc>
          <w:tcPr>
            <w:tcW w:w="545" w:type="pct"/>
            <w:hideMark/>
          </w:tcPr>
          <w:p w14:paraId="43099CD2"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p>
        </w:tc>
        <w:tc>
          <w:tcPr>
            <w:tcW w:w="545" w:type="pct"/>
            <w:hideMark/>
          </w:tcPr>
          <w:p w14:paraId="62D1F4D6"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1.8%</w:t>
            </w:r>
          </w:p>
        </w:tc>
        <w:tc>
          <w:tcPr>
            <w:tcW w:w="538" w:type="pct"/>
            <w:hideMark/>
          </w:tcPr>
          <w:p w14:paraId="2BAA99B3"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8.7%</w:t>
            </w:r>
          </w:p>
        </w:tc>
        <w:tc>
          <w:tcPr>
            <w:tcW w:w="538" w:type="pct"/>
            <w:hideMark/>
          </w:tcPr>
          <w:p w14:paraId="4AD72757"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2.8%</w:t>
            </w:r>
          </w:p>
        </w:tc>
        <w:tc>
          <w:tcPr>
            <w:tcW w:w="601" w:type="pct"/>
            <w:hideMark/>
          </w:tcPr>
          <w:p w14:paraId="3B0D211A"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p>
        </w:tc>
      </w:tr>
    </w:tbl>
    <w:p w14:paraId="7DA65076" w14:textId="0C7056B9" w:rsidR="00FF5866" w:rsidRPr="00431775" w:rsidRDefault="00FF5866" w:rsidP="00431775">
      <w:pPr>
        <w:rPr>
          <w:rStyle w:val="Strong"/>
        </w:rPr>
      </w:pPr>
      <w:r w:rsidRPr="00431775">
        <w:rPr>
          <w:rStyle w:val="Strong"/>
        </w:rPr>
        <w:t xml:space="preserve">Table </w:t>
      </w:r>
      <w:r w:rsidR="00E52B8F" w:rsidRPr="00431775">
        <w:rPr>
          <w:rStyle w:val="Strong"/>
        </w:rPr>
        <w:t>A4:</w:t>
      </w:r>
      <w:r w:rsidRPr="00431775">
        <w:rPr>
          <w:rStyle w:val="Strong"/>
        </w:rPr>
        <w:t xml:space="preserve"> Services reporting expenditure for </w:t>
      </w:r>
      <w:r w:rsidR="00661A4E" w:rsidRPr="00431775">
        <w:rPr>
          <w:rStyle w:val="Strong"/>
        </w:rPr>
        <w:t>combined food and ingredients</w:t>
      </w:r>
      <w:r w:rsidR="00E10CFD" w:rsidRPr="00431775">
        <w:rPr>
          <w:rStyle w:val="Strong"/>
        </w:rPr>
        <w:t>,</w:t>
      </w:r>
      <w:r w:rsidR="00661A4E" w:rsidRPr="00431775">
        <w:rPr>
          <w:rStyle w:val="Strong"/>
        </w:rPr>
        <w:t xml:space="preserve"> and contract </w:t>
      </w:r>
      <w:r w:rsidRPr="00431775">
        <w:rPr>
          <w:rStyle w:val="Strong"/>
        </w:rPr>
        <w:t>catering</w:t>
      </w:r>
      <w:r w:rsidR="0039191E" w:rsidRPr="00431775">
        <w:rPr>
          <w:rStyle w:val="Strong"/>
        </w:rPr>
        <w:t>,</w:t>
      </w:r>
      <w:r w:rsidRPr="00431775">
        <w:rPr>
          <w:rStyle w:val="Strong"/>
        </w:rPr>
        <w:t xml:space="preserve"> 2021-22, quarterly</w:t>
      </w:r>
    </w:p>
    <w:tbl>
      <w:tblPr>
        <w:tblStyle w:val="ListTable3"/>
        <w:tblW w:w="5000" w:type="pct"/>
        <w:tblLook w:val="04A0" w:firstRow="1" w:lastRow="0" w:firstColumn="1" w:lastColumn="0" w:noHBand="0" w:noVBand="1"/>
        <w:tblDescription w:val="Table A4 is a list services expenditure for combined food and ingredients and contract catering 2021-22 by quarterly.  This table has 6 column headings: column 1. food expenditure, column 2 to 5 is dates by quarter starting at September 2021 and ending June 2022 and column 6. is the total by 2021-22."/>
      </w:tblPr>
      <w:tblGrid>
        <w:gridCol w:w="4415"/>
        <w:gridCol w:w="1029"/>
        <w:gridCol w:w="1067"/>
        <w:gridCol w:w="1067"/>
        <w:gridCol w:w="1067"/>
        <w:gridCol w:w="1213"/>
      </w:tblGrid>
      <w:tr w:rsidR="00FF5866" w:rsidRPr="0090670B" w14:paraId="0DBFF119" w14:textId="77777777" w:rsidTr="00C55F40">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239" w:type="pct"/>
            <w:hideMark/>
          </w:tcPr>
          <w:p w14:paraId="2338AE46" w14:textId="1A73F754" w:rsidR="00FF5866" w:rsidRPr="00BF30A6" w:rsidRDefault="00FF5866" w:rsidP="00C55F40">
            <w:pPr>
              <w:pStyle w:val="TableofAuthorities"/>
            </w:pPr>
            <w:r w:rsidRPr="00BF30A6">
              <w:t>Combination of food and ingredients, and contract catering</w:t>
            </w:r>
          </w:p>
        </w:tc>
        <w:tc>
          <w:tcPr>
            <w:tcW w:w="522" w:type="pct"/>
            <w:hideMark/>
          </w:tcPr>
          <w:p w14:paraId="508265DB" w14:textId="77777777" w:rsidR="00FF5866" w:rsidRPr="00BF30A6" w:rsidRDefault="00FF5866"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Sep 21</w:t>
            </w:r>
          </w:p>
        </w:tc>
        <w:tc>
          <w:tcPr>
            <w:tcW w:w="541" w:type="pct"/>
            <w:hideMark/>
          </w:tcPr>
          <w:p w14:paraId="358A65C4" w14:textId="77777777" w:rsidR="00FF5866" w:rsidRPr="00BF30A6" w:rsidRDefault="00FF5866"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Dec 21</w:t>
            </w:r>
          </w:p>
        </w:tc>
        <w:tc>
          <w:tcPr>
            <w:tcW w:w="541" w:type="pct"/>
            <w:hideMark/>
          </w:tcPr>
          <w:p w14:paraId="196ED690" w14:textId="77777777" w:rsidR="00FF5866" w:rsidRPr="00BF30A6" w:rsidRDefault="00FF5866"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Mar 22</w:t>
            </w:r>
          </w:p>
        </w:tc>
        <w:tc>
          <w:tcPr>
            <w:tcW w:w="541" w:type="pct"/>
            <w:hideMark/>
          </w:tcPr>
          <w:p w14:paraId="4C2A1B4B" w14:textId="77777777" w:rsidR="00FF5866" w:rsidRPr="00BF30A6" w:rsidRDefault="00FF5866"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Jun 22</w:t>
            </w:r>
          </w:p>
        </w:tc>
        <w:tc>
          <w:tcPr>
            <w:tcW w:w="615" w:type="pct"/>
            <w:hideMark/>
          </w:tcPr>
          <w:p w14:paraId="0665E2F1" w14:textId="77777777" w:rsidR="00FF5866" w:rsidRPr="00BF30A6" w:rsidRDefault="00FF5866"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2021-22</w:t>
            </w:r>
          </w:p>
        </w:tc>
      </w:tr>
      <w:tr w:rsidR="00CF35AF" w:rsidRPr="0090670B" w14:paraId="16AB54E7" w14:textId="77777777" w:rsidTr="00C55F4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239" w:type="pct"/>
            <w:hideMark/>
          </w:tcPr>
          <w:p w14:paraId="179112BE" w14:textId="77777777" w:rsidR="00FF5866" w:rsidRPr="00BF30A6" w:rsidRDefault="00FF5866" w:rsidP="00431775">
            <w:pPr>
              <w:pStyle w:val="TableParagraph"/>
            </w:pPr>
            <w:r w:rsidRPr="00BF30A6">
              <w:t>Number of responses</w:t>
            </w:r>
          </w:p>
        </w:tc>
        <w:tc>
          <w:tcPr>
            <w:tcW w:w="522" w:type="pct"/>
            <w:hideMark/>
          </w:tcPr>
          <w:p w14:paraId="3388C184"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551</w:t>
            </w:r>
          </w:p>
        </w:tc>
        <w:tc>
          <w:tcPr>
            <w:tcW w:w="541" w:type="pct"/>
            <w:hideMark/>
          </w:tcPr>
          <w:p w14:paraId="2074AB2A"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608</w:t>
            </w:r>
          </w:p>
        </w:tc>
        <w:tc>
          <w:tcPr>
            <w:tcW w:w="541" w:type="pct"/>
            <w:hideMark/>
          </w:tcPr>
          <w:p w14:paraId="36D7254D"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571</w:t>
            </w:r>
          </w:p>
        </w:tc>
        <w:tc>
          <w:tcPr>
            <w:tcW w:w="541" w:type="pct"/>
            <w:hideMark/>
          </w:tcPr>
          <w:p w14:paraId="76BED9E7"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555</w:t>
            </w:r>
          </w:p>
        </w:tc>
        <w:tc>
          <w:tcPr>
            <w:tcW w:w="615" w:type="pct"/>
            <w:hideMark/>
          </w:tcPr>
          <w:p w14:paraId="12BA7871"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2,285</w:t>
            </w:r>
          </w:p>
        </w:tc>
      </w:tr>
      <w:tr w:rsidR="00CF35AF" w:rsidRPr="0090670B" w14:paraId="2519686A" w14:textId="77777777" w:rsidTr="00C55F40">
        <w:trPr>
          <w:trHeight w:val="361"/>
        </w:trPr>
        <w:tc>
          <w:tcPr>
            <w:cnfStyle w:val="001000000000" w:firstRow="0" w:lastRow="0" w:firstColumn="1" w:lastColumn="0" w:oddVBand="0" w:evenVBand="0" w:oddHBand="0" w:evenHBand="0" w:firstRowFirstColumn="0" w:firstRowLastColumn="0" w:lastRowFirstColumn="0" w:lastRowLastColumn="0"/>
            <w:tcW w:w="2239" w:type="pct"/>
            <w:hideMark/>
          </w:tcPr>
          <w:p w14:paraId="45E4F131" w14:textId="77777777" w:rsidR="00FF5866" w:rsidRPr="00BF30A6" w:rsidRDefault="00FF5866" w:rsidP="00431775">
            <w:pPr>
              <w:pStyle w:val="TableParagraph"/>
            </w:pPr>
            <w:r w:rsidRPr="00BF30A6">
              <w:t>Share of total responses</w:t>
            </w:r>
          </w:p>
        </w:tc>
        <w:tc>
          <w:tcPr>
            <w:tcW w:w="522" w:type="pct"/>
            <w:hideMark/>
          </w:tcPr>
          <w:p w14:paraId="7B05C561"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21%</w:t>
            </w:r>
          </w:p>
        </w:tc>
        <w:tc>
          <w:tcPr>
            <w:tcW w:w="541" w:type="pct"/>
            <w:hideMark/>
          </w:tcPr>
          <w:p w14:paraId="27721F9D"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23%</w:t>
            </w:r>
          </w:p>
        </w:tc>
        <w:tc>
          <w:tcPr>
            <w:tcW w:w="541" w:type="pct"/>
            <w:hideMark/>
          </w:tcPr>
          <w:p w14:paraId="603389CC"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22%</w:t>
            </w:r>
          </w:p>
        </w:tc>
        <w:tc>
          <w:tcPr>
            <w:tcW w:w="541" w:type="pct"/>
            <w:hideMark/>
          </w:tcPr>
          <w:p w14:paraId="343A470E"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21%</w:t>
            </w:r>
          </w:p>
        </w:tc>
        <w:tc>
          <w:tcPr>
            <w:tcW w:w="615" w:type="pct"/>
            <w:hideMark/>
          </w:tcPr>
          <w:p w14:paraId="3AC4A5CC"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22%</w:t>
            </w:r>
          </w:p>
        </w:tc>
      </w:tr>
      <w:tr w:rsidR="00CF35AF" w:rsidRPr="0090670B" w14:paraId="79950384" w14:textId="77777777" w:rsidTr="00C55F40">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239" w:type="pct"/>
            <w:hideMark/>
          </w:tcPr>
          <w:p w14:paraId="5AC77429" w14:textId="4CBBACA1" w:rsidR="00FF5866" w:rsidRPr="00BF30A6" w:rsidRDefault="00FF5866" w:rsidP="00431775">
            <w:pPr>
              <w:pStyle w:val="TableParagraph"/>
            </w:pPr>
            <w:r w:rsidRPr="00BF30A6">
              <w:t xml:space="preserve">Average </w:t>
            </w:r>
            <w:proofErr w:type="gramStart"/>
            <w:r w:rsidRPr="00BF30A6">
              <w:t>spend</w:t>
            </w:r>
            <w:proofErr w:type="gramEnd"/>
            <w:r w:rsidRPr="00BF30A6">
              <w:t xml:space="preserve"> per resident</w:t>
            </w:r>
            <w:r w:rsidR="001F34F5" w:rsidRPr="00BF30A6">
              <w:t xml:space="preserve"> per day</w:t>
            </w:r>
          </w:p>
        </w:tc>
        <w:tc>
          <w:tcPr>
            <w:tcW w:w="522" w:type="pct"/>
            <w:hideMark/>
          </w:tcPr>
          <w:p w14:paraId="30C037F1"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$18.63</w:t>
            </w:r>
          </w:p>
        </w:tc>
        <w:tc>
          <w:tcPr>
            <w:tcW w:w="541" w:type="pct"/>
            <w:hideMark/>
          </w:tcPr>
          <w:p w14:paraId="592ED35E"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$19.02</w:t>
            </w:r>
          </w:p>
        </w:tc>
        <w:tc>
          <w:tcPr>
            <w:tcW w:w="541" w:type="pct"/>
            <w:hideMark/>
          </w:tcPr>
          <w:p w14:paraId="746FAD8A"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$20.64</w:t>
            </w:r>
          </w:p>
        </w:tc>
        <w:tc>
          <w:tcPr>
            <w:tcW w:w="541" w:type="pct"/>
            <w:hideMark/>
          </w:tcPr>
          <w:p w14:paraId="7B6172A7"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$20.95</w:t>
            </w:r>
          </w:p>
        </w:tc>
        <w:tc>
          <w:tcPr>
            <w:tcW w:w="615" w:type="pct"/>
            <w:hideMark/>
          </w:tcPr>
          <w:p w14:paraId="647863AE" w14:textId="77777777" w:rsidR="00FF5866" w:rsidRPr="00BF30A6" w:rsidRDefault="00FF5866"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$19.80</w:t>
            </w:r>
          </w:p>
        </w:tc>
      </w:tr>
      <w:tr w:rsidR="00CF35AF" w:rsidRPr="0090670B" w14:paraId="178B1EFE" w14:textId="77777777" w:rsidTr="00C55F40">
        <w:trPr>
          <w:trHeight w:val="361"/>
        </w:trPr>
        <w:tc>
          <w:tcPr>
            <w:cnfStyle w:val="001000000000" w:firstRow="0" w:lastRow="0" w:firstColumn="1" w:lastColumn="0" w:oddVBand="0" w:evenVBand="0" w:oddHBand="0" w:evenHBand="0" w:firstRowFirstColumn="0" w:firstRowLastColumn="0" w:lastRowFirstColumn="0" w:lastRowLastColumn="0"/>
            <w:tcW w:w="2239" w:type="pct"/>
            <w:hideMark/>
          </w:tcPr>
          <w:p w14:paraId="64B4E213" w14:textId="56DA89E2" w:rsidR="00FF5866" w:rsidRPr="00BF30A6" w:rsidRDefault="00FF5866" w:rsidP="00431775">
            <w:pPr>
              <w:pStyle w:val="TableParagraph"/>
            </w:pPr>
            <w:r w:rsidRPr="00BF30A6">
              <w:t xml:space="preserve">Average </w:t>
            </w:r>
            <w:proofErr w:type="gramStart"/>
            <w:r w:rsidRPr="00BF30A6">
              <w:t>spend</w:t>
            </w:r>
            <w:proofErr w:type="gramEnd"/>
            <w:r w:rsidRPr="00BF30A6">
              <w:t>, quarterly change (%)</w:t>
            </w:r>
          </w:p>
        </w:tc>
        <w:tc>
          <w:tcPr>
            <w:tcW w:w="522" w:type="pct"/>
            <w:hideMark/>
          </w:tcPr>
          <w:p w14:paraId="0A51EE50" w14:textId="77777777" w:rsidR="00FF5866" w:rsidRPr="0090670B" w:rsidRDefault="00FF5866" w:rsidP="00431775">
            <w:pPr>
              <w:pStyle w:val="TableParagraph"/>
              <w:cnfStyle w:val="000000000000" w:firstRow="0" w:lastRow="0" w:firstColumn="0" w:lastColumn="0" w:oddVBand="0" w:evenVBand="0" w:oddHBand="0" w:evenHBand="0" w:firstRowFirstColumn="0" w:firstRowLastColumn="0" w:lastRowFirstColumn="0" w:lastRowLastColumn="0"/>
              <w:rPr>
                <w:rFonts w:eastAsia="Times New Roman" w:cs="Arial"/>
                <w:color w:val="1E1545"/>
                <w:szCs w:val="20"/>
                <w:lang w:val="en-AU" w:eastAsia="en-AU"/>
              </w:rPr>
            </w:pPr>
          </w:p>
        </w:tc>
        <w:tc>
          <w:tcPr>
            <w:tcW w:w="541" w:type="pct"/>
            <w:hideMark/>
          </w:tcPr>
          <w:p w14:paraId="04302CC3"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2.1%</w:t>
            </w:r>
          </w:p>
        </w:tc>
        <w:tc>
          <w:tcPr>
            <w:tcW w:w="541" w:type="pct"/>
            <w:hideMark/>
          </w:tcPr>
          <w:p w14:paraId="4731E312"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8.5%</w:t>
            </w:r>
          </w:p>
        </w:tc>
        <w:tc>
          <w:tcPr>
            <w:tcW w:w="541" w:type="pct"/>
            <w:hideMark/>
          </w:tcPr>
          <w:p w14:paraId="5FE10626" w14:textId="77777777" w:rsidR="00FF5866" w:rsidRPr="00BF30A6" w:rsidRDefault="00FF5866"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1.5%</w:t>
            </w:r>
          </w:p>
        </w:tc>
        <w:tc>
          <w:tcPr>
            <w:tcW w:w="615" w:type="pct"/>
            <w:hideMark/>
          </w:tcPr>
          <w:p w14:paraId="56B5CD20" w14:textId="77777777" w:rsidR="00FF5866" w:rsidRPr="0090670B" w:rsidRDefault="00FF5866" w:rsidP="00431775">
            <w:pPr>
              <w:pStyle w:val="TableParagraph"/>
              <w:cnfStyle w:val="000000000000" w:firstRow="0" w:lastRow="0" w:firstColumn="0" w:lastColumn="0" w:oddVBand="0" w:evenVBand="0" w:oddHBand="0" w:evenHBand="0" w:firstRowFirstColumn="0" w:firstRowLastColumn="0" w:lastRowFirstColumn="0" w:lastRowLastColumn="0"/>
              <w:rPr>
                <w:rFonts w:eastAsia="Times New Roman" w:cs="Arial"/>
                <w:color w:val="1E1545"/>
                <w:szCs w:val="20"/>
                <w:lang w:val="en-AU" w:eastAsia="en-AU"/>
              </w:rPr>
            </w:pPr>
          </w:p>
        </w:tc>
      </w:tr>
    </w:tbl>
    <w:p w14:paraId="039494C5" w14:textId="2B2D6E4B" w:rsidR="00C23054" w:rsidRPr="00431775" w:rsidRDefault="00C23054" w:rsidP="00431775">
      <w:pPr>
        <w:rPr>
          <w:rStyle w:val="Strong"/>
        </w:rPr>
      </w:pPr>
      <w:r w:rsidRPr="00431775">
        <w:rPr>
          <w:rStyle w:val="Strong"/>
        </w:rPr>
        <w:t xml:space="preserve">Table </w:t>
      </w:r>
      <w:r w:rsidR="00E52B8F" w:rsidRPr="00431775">
        <w:rPr>
          <w:rStyle w:val="Strong"/>
        </w:rPr>
        <w:t>A5:</w:t>
      </w:r>
      <w:r w:rsidRPr="00431775">
        <w:rPr>
          <w:rStyle w:val="Strong"/>
        </w:rPr>
        <w:t xml:space="preserve"> Average spend per resident </w:t>
      </w:r>
      <w:r w:rsidR="001F34F5" w:rsidRPr="00431775">
        <w:rPr>
          <w:rStyle w:val="Strong"/>
        </w:rPr>
        <w:t xml:space="preserve">per day for </w:t>
      </w:r>
      <w:r w:rsidRPr="00431775">
        <w:rPr>
          <w:rStyle w:val="Strong"/>
        </w:rPr>
        <w:t>other items to support improved food and nutrition</w:t>
      </w:r>
      <w:r w:rsidR="0039191E" w:rsidRPr="00431775">
        <w:rPr>
          <w:rStyle w:val="Strong"/>
        </w:rPr>
        <w:t>,</w:t>
      </w:r>
      <w:r w:rsidR="007E39DB" w:rsidRPr="00431775">
        <w:rPr>
          <w:rStyle w:val="Strong"/>
        </w:rPr>
        <w:t xml:space="preserve"> 2021-22, quarterly</w:t>
      </w:r>
    </w:p>
    <w:tbl>
      <w:tblPr>
        <w:tblStyle w:val="ListTable3"/>
        <w:tblW w:w="5000" w:type="pct"/>
        <w:tblLook w:val="04A0" w:firstRow="1" w:lastRow="0" w:firstColumn="1" w:lastColumn="0" w:noHBand="0" w:noVBand="1"/>
        <w:tblDescription w:val="Table A5 is a list average spend per resident per day for other items to support improved food and nutrition for 2021-22 by quarterly.  This table has 6 column headings: column 1. food expenditure, column 2 to 5 is dates by quarter starting at September 2021 and ending June 2022 and column 6. is the total by 2021-22."/>
      </w:tblPr>
      <w:tblGrid>
        <w:gridCol w:w="4862"/>
        <w:gridCol w:w="984"/>
        <w:gridCol w:w="984"/>
        <w:gridCol w:w="972"/>
        <w:gridCol w:w="972"/>
        <w:gridCol w:w="1084"/>
      </w:tblGrid>
      <w:tr w:rsidR="00C23054" w:rsidRPr="00E766B1" w14:paraId="7CA32B46" w14:textId="77777777" w:rsidTr="00431775">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2466" w:type="pct"/>
            <w:hideMark/>
          </w:tcPr>
          <w:p w14:paraId="761BF03A" w14:textId="77777777" w:rsidR="00C23054" w:rsidRPr="00BF30A6" w:rsidRDefault="00C23054" w:rsidP="00C55F40">
            <w:pPr>
              <w:pStyle w:val="TableofAuthorities"/>
            </w:pPr>
            <w:r w:rsidRPr="00BF30A6">
              <w:t>Other expenditure to support improved food and nutrition</w:t>
            </w:r>
          </w:p>
        </w:tc>
        <w:tc>
          <w:tcPr>
            <w:tcW w:w="499" w:type="pct"/>
            <w:hideMark/>
          </w:tcPr>
          <w:p w14:paraId="28DBD6C9" w14:textId="77777777" w:rsidR="00C23054" w:rsidRPr="00BF30A6" w:rsidRDefault="00C23054"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Sep 21</w:t>
            </w:r>
          </w:p>
        </w:tc>
        <w:tc>
          <w:tcPr>
            <w:tcW w:w="499" w:type="pct"/>
            <w:hideMark/>
          </w:tcPr>
          <w:p w14:paraId="14CB9E49" w14:textId="77777777" w:rsidR="00C23054" w:rsidRPr="00BF30A6" w:rsidRDefault="00C23054"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Dec 21</w:t>
            </w:r>
          </w:p>
        </w:tc>
        <w:tc>
          <w:tcPr>
            <w:tcW w:w="493" w:type="pct"/>
            <w:hideMark/>
          </w:tcPr>
          <w:p w14:paraId="62841203" w14:textId="77777777" w:rsidR="00C23054" w:rsidRPr="00BF30A6" w:rsidRDefault="00C23054"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Mar 22</w:t>
            </w:r>
          </w:p>
        </w:tc>
        <w:tc>
          <w:tcPr>
            <w:tcW w:w="493" w:type="pct"/>
            <w:hideMark/>
          </w:tcPr>
          <w:p w14:paraId="7FB3DF78" w14:textId="77777777" w:rsidR="00C23054" w:rsidRPr="00BF30A6" w:rsidRDefault="00C23054"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Jun 22</w:t>
            </w:r>
          </w:p>
        </w:tc>
        <w:tc>
          <w:tcPr>
            <w:tcW w:w="550" w:type="pct"/>
            <w:hideMark/>
          </w:tcPr>
          <w:p w14:paraId="3290EB64" w14:textId="77777777" w:rsidR="00C23054" w:rsidRPr="00BF30A6" w:rsidRDefault="00C23054" w:rsidP="00C55F40">
            <w:pPr>
              <w:pStyle w:val="TableofAuthorities"/>
              <w:cnfStyle w:val="100000000000" w:firstRow="1" w:lastRow="0" w:firstColumn="0" w:lastColumn="0" w:oddVBand="0" w:evenVBand="0" w:oddHBand="0" w:evenHBand="0" w:firstRowFirstColumn="0" w:firstRowLastColumn="0" w:lastRowFirstColumn="0" w:lastRowLastColumn="0"/>
            </w:pPr>
            <w:r w:rsidRPr="00BF30A6">
              <w:t>2021-22</w:t>
            </w:r>
          </w:p>
        </w:tc>
      </w:tr>
      <w:tr w:rsidR="00C23054" w:rsidRPr="00E766B1" w14:paraId="45F32AE5" w14:textId="77777777" w:rsidTr="00431775">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275" w:type="pct"/>
            <w:hideMark/>
          </w:tcPr>
          <w:p w14:paraId="1AC0155E" w14:textId="77777777" w:rsidR="00C23054" w:rsidRPr="00BF30A6" w:rsidRDefault="00C23054" w:rsidP="00431775">
            <w:pPr>
              <w:pStyle w:val="TableParagraph"/>
            </w:pPr>
            <w:r w:rsidRPr="00BF30A6">
              <w:t>Expenditure on oral nutritional supplements</w:t>
            </w:r>
          </w:p>
        </w:tc>
        <w:tc>
          <w:tcPr>
            <w:tcW w:w="499" w:type="pct"/>
            <w:hideMark/>
          </w:tcPr>
          <w:p w14:paraId="56007138"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$0.76</w:t>
            </w:r>
          </w:p>
        </w:tc>
        <w:tc>
          <w:tcPr>
            <w:tcW w:w="499" w:type="pct"/>
            <w:hideMark/>
          </w:tcPr>
          <w:p w14:paraId="6A04426A"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$0.71</w:t>
            </w:r>
          </w:p>
        </w:tc>
        <w:tc>
          <w:tcPr>
            <w:tcW w:w="493" w:type="pct"/>
            <w:hideMark/>
          </w:tcPr>
          <w:p w14:paraId="4074CAE1"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$0.66</w:t>
            </w:r>
          </w:p>
        </w:tc>
        <w:tc>
          <w:tcPr>
            <w:tcW w:w="493" w:type="pct"/>
            <w:hideMark/>
          </w:tcPr>
          <w:p w14:paraId="5B97E291"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$0.70</w:t>
            </w:r>
          </w:p>
        </w:tc>
        <w:tc>
          <w:tcPr>
            <w:tcW w:w="550" w:type="pct"/>
            <w:hideMark/>
          </w:tcPr>
          <w:p w14:paraId="6CDBC3CB"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$0.71</w:t>
            </w:r>
          </w:p>
        </w:tc>
      </w:tr>
      <w:tr w:rsidR="00C23054" w:rsidRPr="00E766B1" w14:paraId="64923433" w14:textId="77777777" w:rsidTr="00431775">
        <w:trPr>
          <w:trHeight w:val="385"/>
        </w:trPr>
        <w:tc>
          <w:tcPr>
            <w:cnfStyle w:val="001000000000" w:firstRow="0" w:lastRow="0" w:firstColumn="1" w:lastColumn="0" w:oddVBand="0" w:evenVBand="0" w:oddHBand="0" w:evenHBand="0" w:firstRowFirstColumn="0" w:firstRowLastColumn="0" w:lastRowFirstColumn="0" w:lastRowLastColumn="0"/>
            <w:tcW w:w="2275" w:type="pct"/>
            <w:hideMark/>
          </w:tcPr>
          <w:p w14:paraId="1CC17F9D" w14:textId="77777777" w:rsidR="00C23054" w:rsidRPr="00BF30A6" w:rsidRDefault="00C23054" w:rsidP="00431775">
            <w:pPr>
              <w:pStyle w:val="TableParagraph"/>
            </w:pPr>
            <w:r w:rsidRPr="00BF30A6">
              <w:t>Expenditure on oral health living expenses</w:t>
            </w:r>
          </w:p>
        </w:tc>
        <w:tc>
          <w:tcPr>
            <w:tcW w:w="499" w:type="pct"/>
            <w:hideMark/>
          </w:tcPr>
          <w:p w14:paraId="46497D81" w14:textId="77777777" w:rsidR="00C23054" w:rsidRPr="00BF30A6" w:rsidRDefault="00C23054"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$0.07</w:t>
            </w:r>
          </w:p>
        </w:tc>
        <w:tc>
          <w:tcPr>
            <w:tcW w:w="499" w:type="pct"/>
            <w:hideMark/>
          </w:tcPr>
          <w:p w14:paraId="0C60A50B" w14:textId="77777777" w:rsidR="00C23054" w:rsidRPr="00BF30A6" w:rsidRDefault="00C23054"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$0.09</w:t>
            </w:r>
          </w:p>
        </w:tc>
        <w:tc>
          <w:tcPr>
            <w:tcW w:w="493" w:type="pct"/>
            <w:hideMark/>
          </w:tcPr>
          <w:p w14:paraId="72A84F0A" w14:textId="77777777" w:rsidR="00C23054" w:rsidRPr="00BF30A6" w:rsidRDefault="00C23054"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$0.09</w:t>
            </w:r>
          </w:p>
        </w:tc>
        <w:tc>
          <w:tcPr>
            <w:tcW w:w="493" w:type="pct"/>
            <w:hideMark/>
          </w:tcPr>
          <w:p w14:paraId="3DED2DBE" w14:textId="77777777" w:rsidR="00C23054" w:rsidRPr="00BF30A6" w:rsidRDefault="00C23054"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$0.07</w:t>
            </w:r>
          </w:p>
        </w:tc>
        <w:tc>
          <w:tcPr>
            <w:tcW w:w="550" w:type="pct"/>
            <w:hideMark/>
          </w:tcPr>
          <w:p w14:paraId="4F009648" w14:textId="77777777" w:rsidR="00C23054" w:rsidRPr="00BF30A6" w:rsidRDefault="00C23054" w:rsidP="00431775">
            <w:pPr>
              <w:pStyle w:val="TableParagraph"/>
              <w:cnfStyle w:val="000000000000" w:firstRow="0" w:lastRow="0" w:firstColumn="0" w:lastColumn="0" w:oddVBand="0" w:evenVBand="0" w:oddHBand="0" w:evenHBand="0" w:firstRowFirstColumn="0" w:firstRowLastColumn="0" w:lastRowFirstColumn="0" w:lastRowLastColumn="0"/>
            </w:pPr>
            <w:r w:rsidRPr="00BF30A6">
              <w:t>$0.08</w:t>
            </w:r>
          </w:p>
        </w:tc>
      </w:tr>
      <w:tr w:rsidR="00C23054" w:rsidRPr="00E766B1" w14:paraId="48CEAC82" w14:textId="77777777" w:rsidTr="00431775">
        <w:trPr>
          <w:cnfStyle w:val="000000100000" w:firstRow="0" w:lastRow="0" w:firstColumn="0" w:lastColumn="0" w:oddVBand="0" w:evenVBand="0" w:oddHBand="1" w:evenHBand="0" w:firstRowFirstColumn="0" w:firstRowLastColumn="0" w:lastRowFirstColumn="0" w:lastRowLastColumn="0"/>
          <w:trHeight w:val="1112"/>
        </w:trPr>
        <w:tc>
          <w:tcPr>
            <w:cnfStyle w:val="001000000000" w:firstRow="0" w:lastRow="0" w:firstColumn="1" w:lastColumn="0" w:oddVBand="0" w:evenVBand="0" w:oddHBand="0" w:evenHBand="0" w:firstRowFirstColumn="0" w:firstRowLastColumn="0" w:lastRowFirstColumn="0" w:lastRowLastColumn="0"/>
            <w:tcW w:w="2275" w:type="pct"/>
            <w:hideMark/>
          </w:tcPr>
          <w:p w14:paraId="57E985E2" w14:textId="77777777" w:rsidR="00C23054" w:rsidRPr="00BF30A6" w:rsidRDefault="00C23054" w:rsidP="00431775">
            <w:pPr>
              <w:pStyle w:val="TableParagraph"/>
            </w:pPr>
            <w:r w:rsidRPr="00BF30A6">
              <w:t xml:space="preserve">Expenditure on allied health support (such as dietitians, speech pathologists and oral health practitioners) for residents to improve their </w:t>
            </w:r>
            <w:r w:rsidRPr="00BF30A6">
              <w:lastRenderedPageBreak/>
              <w:t>nutritional wellbeing</w:t>
            </w:r>
          </w:p>
        </w:tc>
        <w:tc>
          <w:tcPr>
            <w:tcW w:w="499" w:type="pct"/>
            <w:hideMark/>
          </w:tcPr>
          <w:p w14:paraId="34C20485" w14:textId="4CEE8E55"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lastRenderedPageBreak/>
              <w:t>$1.1</w:t>
            </w:r>
            <w:r w:rsidR="00990F5E" w:rsidRPr="00BF30A6">
              <w:t>2</w:t>
            </w:r>
          </w:p>
        </w:tc>
        <w:tc>
          <w:tcPr>
            <w:tcW w:w="499" w:type="pct"/>
            <w:hideMark/>
          </w:tcPr>
          <w:p w14:paraId="12343EDB"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$1.18</w:t>
            </w:r>
          </w:p>
        </w:tc>
        <w:tc>
          <w:tcPr>
            <w:tcW w:w="493" w:type="pct"/>
            <w:hideMark/>
          </w:tcPr>
          <w:p w14:paraId="795C178B"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$1.12</w:t>
            </w:r>
          </w:p>
        </w:tc>
        <w:tc>
          <w:tcPr>
            <w:tcW w:w="493" w:type="pct"/>
            <w:hideMark/>
          </w:tcPr>
          <w:p w14:paraId="5D003458"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$1.39</w:t>
            </w:r>
          </w:p>
        </w:tc>
        <w:tc>
          <w:tcPr>
            <w:tcW w:w="550" w:type="pct"/>
            <w:hideMark/>
          </w:tcPr>
          <w:p w14:paraId="6BE4EFC1" w14:textId="77777777" w:rsidR="00C23054" w:rsidRPr="00BF30A6" w:rsidRDefault="00C23054" w:rsidP="00431775">
            <w:pPr>
              <w:pStyle w:val="TableParagraph"/>
              <w:cnfStyle w:val="000000100000" w:firstRow="0" w:lastRow="0" w:firstColumn="0" w:lastColumn="0" w:oddVBand="0" w:evenVBand="0" w:oddHBand="1" w:evenHBand="0" w:firstRowFirstColumn="0" w:firstRowLastColumn="0" w:lastRowFirstColumn="0" w:lastRowLastColumn="0"/>
            </w:pPr>
            <w:r w:rsidRPr="00BF30A6">
              <w:t>$1.20</w:t>
            </w:r>
          </w:p>
        </w:tc>
      </w:tr>
    </w:tbl>
    <w:p w14:paraId="3BBCD88F" w14:textId="77777777" w:rsidR="00C23054" w:rsidRPr="00FD31D5" w:rsidRDefault="00C23054" w:rsidP="00FD31D5"/>
    <w:p w14:paraId="35FF867D" w14:textId="77777777" w:rsidR="003056A3" w:rsidRDefault="003056A3">
      <w:pPr>
        <w:sectPr w:rsidR="003056A3" w:rsidSect="00E16428">
          <w:pgSz w:w="11910" w:h="16840"/>
          <w:pgMar w:top="737" w:right="1021" w:bottom="278" w:left="1021" w:header="720" w:footer="288" w:gutter="0"/>
          <w:cols w:space="720"/>
          <w:docGrid w:linePitch="299"/>
        </w:sectPr>
      </w:pPr>
    </w:p>
    <w:p w14:paraId="26D742BA" w14:textId="61ED76F9" w:rsidR="003056A3" w:rsidRPr="00BF30A6" w:rsidRDefault="000075A9" w:rsidP="004D2471">
      <w:pPr>
        <w:sectPr w:rsidR="003056A3" w:rsidRPr="00BF30A6" w:rsidSect="00C92242">
          <w:pgSz w:w="11910" w:h="16840"/>
          <w:pgMar w:top="0" w:right="249" w:bottom="0" w:left="238" w:header="284" w:footer="720" w:gutter="0"/>
          <w:cols w:space="720"/>
        </w:sectPr>
      </w:pPr>
      <w:r w:rsidRPr="004D2471">
        <w:rPr>
          <w:noProof/>
        </w:rPr>
        <w:lastRenderedPageBreak/>
        <w:drawing>
          <wp:anchor distT="0" distB="0" distL="114300" distR="114300" simplePos="0" relativeHeight="487321088" behindDoc="0" locked="0" layoutInCell="1" allowOverlap="1" wp14:anchorId="2DB553DF" wp14:editId="5721E17D">
            <wp:simplePos x="0" y="0"/>
            <wp:positionH relativeFrom="page">
              <wp:align>left</wp:align>
            </wp:positionH>
            <wp:positionV relativeFrom="paragraph">
              <wp:posOffset>0</wp:posOffset>
            </wp:positionV>
            <wp:extent cx="7653474" cy="10677525"/>
            <wp:effectExtent l="0" t="0" r="5080" b="0"/>
            <wp:wrapSquare wrapText="bothSides"/>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53474" cy="10677525"/>
                    </a:xfrm>
                    <a:prstGeom prst="rect">
                      <a:avLst/>
                    </a:prstGeom>
                    <a:noFill/>
                  </pic:spPr>
                </pic:pic>
              </a:graphicData>
            </a:graphic>
            <wp14:sizeRelH relativeFrom="page">
              <wp14:pctWidth>0</wp14:pctWidth>
            </wp14:sizeRelH>
            <wp14:sizeRelV relativeFrom="page">
              <wp14:pctHeight>0</wp14:pctHeight>
            </wp14:sizeRelV>
          </wp:anchor>
        </w:drawing>
      </w:r>
    </w:p>
    <w:p w14:paraId="2A51B4E4" w14:textId="02A8CB8E" w:rsidR="003056A3" w:rsidRPr="00FD31D5" w:rsidRDefault="00BD02C9" w:rsidP="00BD02C9">
      <w:pPr>
        <w:pStyle w:val="BodyText"/>
      </w:pPr>
      <w:r w:rsidRPr="00FD31D5">
        <w:rPr>
          <w:noProof/>
        </w:rPr>
        <w:lastRenderedPageBreak/>
        <mc:AlternateContent>
          <mc:Choice Requires="wpg">
            <w:drawing>
              <wp:anchor distT="0" distB="0" distL="114300" distR="114300" simplePos="0" relativeHeight="15741440" behindDoc="0" locked="0" layoutInCell="1" allowOverlap="1" wp14:anchorId="5FD46278" wp14:editId="15B112FA">
                <wp:simplePos x="0" y="0"/>
                <wp:positionH relativeFrom="page">
                  <wp:posOffset>1628775</wp:posOffset>
                </wp:positionH>
                <wp:positionV relativeFrom="paragraph">
                  <wp:posOffset>179705</wp:posOffset>
                </wp:positionV>
                <wp:extent cx="280035" cy="280035"/>
                <wp:effectExtent l="0" t="0" r="5715" b="5715"/>
                <wp:wrapNone/>
                <wp:docPr id="8" name="docshapegroup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280035"/>
                          <a:chOff x="3579" y="127"/>
                          <a:chExt cx="441" cy="441"/>
                        </a:xfrm>
                      </wpg:grpSpPr>
                      <wps:wsp>
                        <wps:cNvPr id="9" name="docshape35"/>
                        <wps:cNvSpPr>
                          <a:spLocks/>
                        </wps:cNvSpPr>
                        <wps:spPr bwMode="auto">
                          <a:xfrm>
                            <a:off x="3579" y="127"/>
                            <a:ext cx="441" cy="441"/>
                          </a:xfrm>
                          <a:custGeom>
                            <a:avLst/>
                            <a:gdLst>
                              <a:gd name="T0" fmla="+- 0 3799 3579"/>
                              <a:gd name="T1" fmla="*/ T0 w 441"/>
                              <a:gd name="T2" fmla="+- 0 68 68"/>
                              <a:gd name="T3" fmla="*/ 68 h 441"/>
                              <a:gd name="T4" fmla="+- 0 3730 3579"/>
                              <a:gd name="T5" fmla="*/ T4 w 441"/>
                              <a:gd name="T6" fmla="+- 0 79 68"/>
                              <a:gd name="T7" fmla="*/ 79 h 441"/>
                              <a:gd name="T8" fmla="+- 0 3669 3579"/>
                              <a:gd name="T9" fmla="*/ T8 w 441"/>
                              <a:gd name="T10" fmla="+- 0 110 68"/>
                              <a:gd name="T11" fmla="*/ 110 h 441"/>
                              <a:gd name="T12" fmla="+- 0 3622 3579"/>
                              <a:gd name="T13" fmla="*/ T12 w 441"/>
                              <a:gd name="T14" fmla="+- 0 158 68"/>
                              <a:gd name="T15" fmla="*/ 158 h 441"/>
                              <a:gd name="T16" fmla="+- 0 3590 3579"/>
                              <a:gd name="T17" fmla="*/ T16 w 441"/>
                              <a:gd name="T18" fmla="+- 0 218 68"/>
                              <a:gd name="T19" fmla="*/ 218 h 441"/>
                              <a:gd name="T20" fmla="+- 0 3579 3579"/>
                              <a:gd name="T21" fmla="*/ T20 w 441"/>
                              <a:gd name="T22" fmla="+- 0 288 68"/>
                              <a:gd name="T23" fmla="*/ 288 h 441"/>
                              <a:gd name="T24" fmla="+- 0 3590 3579"/>
                              <a:gd name="T25" fmla="*/ T24 w 441"/>
                              <a:gd name="T26" fmla="+- 0 357 68"/>
                              <a:gd name="T27" fmla="*/ 357 h 441"/>
                              <a:gd name="T28" fmla="+- 0 3622 3579"/>
                              <a:gd name="T29" fmla="*/ T28 w 441"/>
                              <a:gd name="T30" fmla="+- 0 418 68"/>
                              <a:gd name="T31" fmla="*/ 418 h 441"/>
                              <a:gd name="T32" fmla="+- 0 3669 3579"/>
                              <a:gd name="T33" fmla="*/ T32 w 441"/>
                              <a:gd name="T34" fmla="+- 0 466 68"/>
                              <a:gd name="T35" fmla="*/ 466 h 441"/>
                              <a:gd name="T36" fmla="+- 0 3730 3579"/>
                              <a:gd name="T37" fmla="*/ T36 w 441"/>
                              <a:gd name="T38" fmla="+- 0 497 68"/>
                              <a:gd name="T39" fmla="*/ 497 h 441"/>
                              <a:gd name="T40" fmla="+- 0 3799 3579"/>
                              <a:gd name="T41" fmla="*/ T40 w 441"/>
                              <a:gd name="T42" fmla="+- 0 508 68"/>
                              <a:gd name="T43" fmla="*/ 508 h 441"/>
                              <a:gd name="T44" fmla="+- 0 3869 3579"/>
                              <a:gd name="T45" fmla="*/ T44 w 441"/>
                              <a:gd name="T46" fmla="+- 0 497 68"/>
                              <a:gd name="T47" fmla="*/ 497 h 441"/>
                              <a:gd name="T48" fmla="+- 0 3929 3579"/>
                              <a:gd name="T49" fmla="*/ T48 w 441"/>
                              <a:gd name="T50" fmla="+- 0 466 68"/>
                              <a:gd name="T51" fmla="*/ 466 h 441"/>
                              <a:gd name="T52" fmla="+- 0 3977 3579"/>
                              <a:gd name="T53" fmla="*/ T52 w 441"/>
                              <a:gd name="T54" fmla="+- 0 418 68"/>
                              <a:gd name="T55" fmla="*/ 418 h 441"/>
                              <a:gd name="T56" fmla="+- 0 4008 3579"/>
                              <a:gd name="T57" fmla="*/ T56 w 441"/>
                              <a:gd name="T58" fmla="+- 0 357 68"/>
                              <a:gd name="T59" fmla="*/ 357 h 441"/>
                              <a:gd name="T60" fmla="+- 0 4020 3579"/>
                              <a:gd name="T61" fmla="*/ T60 w 441"/>
                              <a:gd name="T62" fmla="+- 0 288 68"/>
                              <a:gd name="T63" fmla="*/ 288 h 441"/>
                              <a:gd name="T64" fmla="+- 0 4008 3579"/>
                              <a:gd name="T65" fmla="*/ T64 w 441"/>
                              <a:gd name="T66" fmla="+- 0 218 68"/>
                              <a:gd name="T67" fmla="*/ 218 h 441"/>
                              <a:gd name="T68" fmla="+- 0 3977 3579"/>
                              <a:gd name="T69" fmla="*/ T68 w 441"/>
                              <a:gd name="T70" fmla="+- 0 158 68"/>
                              <a:gd name="T71" fmla="*/ 158 h 441"/>
                              <a:gd name="T72" fmla="+- 0 3929 3579"/>
                              <a:gd name="T73" fmla="*/ T72 w 441"/>
                              <a:gd name="T74" fmla="+- 0 110 68"/>
                              <a:gd name="T75" fmla="*/ 110 h 441"/>
                              <a:gd name="T76" fmla="+- 0 3869 3579"/>
                              <a:gd name="T77" fmla="*/ T76 w 441"/>
                              <a:gd name="T78" fmla="+- 0 79 68"/>
                              <a:gd name="T79" fmla="*/ 79 h 441"/>
                              <a:gd name="T80" fmla="+- 0 3799 3579"/>
                              <a:gd name="T81" fmla="*/ T80 w 441"/>
                              <a:gd name="T82" fmla="+- 0 68 68"/>
                              <a:gd name="T83" fmla="*/ 68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1" h="441">
                                <a:moveTo>
                                  <a:pt x="220" y="0"/>
                                </a:moveTo>
                                <a:lnTo>
                                  <a:pt x="151" y="11"/>
                                </a:lnTo>
                                <a:lnTo>
                                  <a:pt x="90" y="42"/>
                                </a:lnTo>
                                <a:lnTo>
                                  <a:pt x="43" y="90"/>
                                </a:lnTo>
                                <a:lnTo>
                                  <a:pt x="11" y="150"/>
                                </a:lnTo>
                                <a:lnTo>
                                  <a:pt x="0" y="220"/>
                                </a:lnTo>
                                <a:lnTo>
                                  <a:pt x="11" y="289"/>
                                </a:lnTo>
                                <a:lnTo>
                                  <a:pt x="43" y="350"/>
                                </a:lnTo>
                                <a:lnTo>
                                  <a:pt x="90" y="398"/>
                                </a:lnTo>
                                <a:lnTo>
                                  <a:pt x="151" y="429"/>
                                </a:lnTo>
                                <a:lnTo>
                                  <a:pt x="220" y="440"/>
                                </a:lnTo>
                                <a:lnTo>
                                  <a:pt x="290" y="429"/>
                                </a:lnTo>
                                <a:lnTo>
                                  <a:pt x="350" y="398"/>
                                </a:lnTo>
                                <a:lnTo>
                                  <a:pt x="398" y="350"/>
                                </a:lnTo>
                                <a:lnTo>
                                  <a:pt x="429" y="289"/>
                                </a:lnTo>
                                <a:lnTo>
                                  <a:pt x="441" y="220"/>
                                </a:lnTo>
                                <a:lnTo>
                                  <a:pt x="429" y="150"/>
                                </a:lnTo>
                                <a:lnTo>
                                  <a:pt x="398" y="90"/>
                                </a:lnTo>
                                <a:lnTo>
                                  <a:pt x="350" y="42"/>
                                </a:lnTo>
                                <a:lnTo>
                                  <a:pt x="290" y="11"/>
                                </a:lnTo>
                                <a:lnTo>
                                  <a:pt x="220" y="0"/>
                                </a:lnTo>
                                <a:close/>
                              </a:path>
                            </a:pathLst>
                          </a:custGeom>
                          <a:solidFill>
                            <a:srgbClr val="2AB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docshape36"/>
                          <pic:cNvPicPr>
                            <a:picLocks/>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3685" y="176"/>
                            <a:ext cx="22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122E23" id="docshapegroup34" o:spid="_x0000_s1026" alt="&quot;&quot;" style="position:absolute;margin-left:128.25pt;margin-top:14.15pt;width:22.05pt;height:22.05pt;z-index:15741440;mso-position-horizontal-relative:page" coordorigin="3579,127" coordsize="441,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">
                <v:shape id="docshape35" o:spid="_x0000_s1027" style="position:absolute;left:3579;top:127;width:441;height:441;visibility:visible;mso-wrap-style:square;v-text-anchor:top" coordsize="44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" path="m220,l151,11,90,42,43,90,11,150,,220r11,69l43,350r47,48l151,429r69,11l290,429r60,-31l398,350r31,-61l441,220,429,150,398,90,350,42,290,11,220,xe" fillcolor="#2ab1bb" stroked="f">
                  <v:path arrowok="t" o:connecttype="custom" o:connectlocs="220,68;151,79;90,110;43,158;11,218;0,288;11,357;43,418;90,466;151,497;220,508;290,497;350,466;398,418;429,357;441,288;429,218;398,158;350,110;290,79;220,68"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6" o:spid="_x0000_s1028" type="#_x0000_t75" style="position:absolute;left:3685;top:176;width:22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">
                  <v:imagedata r:id="rId32" o:title=""/>
                  <v:path arrowok="t"/>
                  <o:lock v:ext="edit" aspectratio="f"/>
                </v:shape>
                <w10:wrap anchorx="page"/>
              </v:group>
            </w:pict>
          </mc:Fallback>
        </mc:AlternateContent>
      </w:r>
      <w:r w:rsidR="000B5D92" w:rsidRPr="00FD31D5">
        <w:rPr>
          <w:noProof/>
        </w:rPr>
        <mc:AlternateContent>
          <mc:Choice Requires="wps">
            <w:drawing>
              <wp:anchor distT="0" distB="0" distL="114300" distR="114300" simplePos="0" relativeHeight="487319040" behindDoc="1" locked="0" layoutInCell="1" allowOverlap="1" wp14:anchorId="21FADCA8" wp14:editId="1884F983">
                <wp:simplePos x="0" y="0"/>
                <wp:positionH relativeFrom="page">
                  <wp:posOffset>-9728</wp:posOffset>
                </wp:positionH>
                <wp:positionV relativeFrom="page">
                  <wp:posOffset>-466928</wp:posOffset>
                </wp:positionV>
                <wp:extent cx="7647859" cy="11118715"/>
                <wp:effectExtent l="0" t="0" r="0" b="6985"/>
                <wp:wrapNone/>
                <wp:docPr id="11" name="docshape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47859" cy="11118715"/>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F3B9C" id="docshape33" o:spid="_x0000_s1026" alt="&quot;&quot;" style="position:absolute;margin-left:-.75pt;margin-top:-36.75pt;width:602.2pt;height:875.5pt;z-index:-1599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" fillcolor="#f1f2f2" stroked="f">
                <v:path arrowok="t"/>
                <w10:wrap anchorx="page" anchory="page"/>
              </v:rect>
            </w:pict>
          </mc:Fallback>
        </mc:AlternateContent>
      </w:r>
      <w:r w:rsidR="00492AC9" w:rsidRPr="00FD31D5">
        <w:t xml:space="preserve">Visit </w:t>
      </w:r>
      <w:hyperlink r:id="rId33" w:history="1">
        <w:r>
          <w:rPr>
            <w:rStyle w:val="Hyperlink"/>
          </w:rPr>
          <w:t>https://agedcareengagement.health.gov.au/</w:t>
        </w:r>
      </w:hyperlink>
    </w:p>
    <w:p w14:paraId="62BC62E8" w14:textId="50DE9148" w:rsidR="003056A3" w:rsidRPr="00BF30A6" w:rsidRDefault="00BD02C9" w:rsidP="00BD02C9">
      <w:pPr>
        <w:pStyle w:val="BodyText"/>
      </w:pPr>
      <w:r w:rsidRPr="00BF30A6">
        <w:rPr>
          <w:noProof/>
        </w:rPr>
        <mc:AlternateContent>
          <mc:Choice Requires="wpg">
            <w:drawing>
              <wp:anchor distT="0" distB="0" distL="114300" distR="114300" simplePos="0" relativeHeight="15740928" behindDoc="0" locked="0" layoutInCell="1" allowOverlap="1" wp14:anchorId="31320530" wp14:editId="11164AAA">
                <wp:simplePos x="0" y="0"/>
                <wp:positionH relativeFrom="margin">
                  <wp:posOffset>1485900</wp:posOffset>
                </wp:positionH>
                <wp:positionV relativeFrom="paragraph">
                  <wp:posOffset>223520</wp:posOffset>
                </wp:positionV>
                <wp:extent cx="280035" cy="280035"/>
                <wp:effectExtent l="0" t="0" r="5715" b="5715"/>
                <wp:wrapNone/>
                <wp:docPr id="2" name="docshapegroup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035" cy="280035"/>
                          <a:chOff x="3579" y="-47"/>
                          <a:chExt cx="441" cy="441"/>
                        </a:xfrm>
                      </wpg:grpSpPr>
                      <wps:wsp>
                        <wps:cNvPr id="6" name="docshape38"/>
                        <wps:cNvSpPr>
                          <a:spLocks/>
                        </wps:cNvSpPr>
                        <wps:spPr bwMode="auto">
                          <a:xfrm>
                            <a:off x="3579" y="-47"/>
                            <a:ext cx="441" cy="441"/>
                          </a:xfrm>
                          <a:custGeom>
                            <a:avLst/>
                            <a:gdLst>
                              <a:gd name="T0" fmla="+- 0 3799 3579"/>
                              <a:gd name="T1" fmla="*/ T0 w 441"/>
                              <a:gd name="T2" fmla="+- 0 -47 -47"/>
                              <a:gd name="T3" fmla="*/ -47 h 441"/>
                              <a:gd name="T4" fmla="+- 0 3730 3579"/>
                              <a:gd name="T5" fmla="*/ T4 w 441"/>
                              <a:gd name="T6" fmla="+- 0 -36 -47"/>
                              <a:gd name="T7" fmla="*/ -36 h 441"/>
                              <a:gd name="T8" fmla="+- 0 3669 3579"/>
                              <a:gd name="T9" fmla="*/ T8 w 441"/>
                              <a:gd name="T10" fmla="+- 0 -4 -47"/>
                              <a:gd name="T11" fmla="*/ -4 h 441"/>
                              <a:gd name="T12" fmla="+- 0 3622 3579"/>
                              <a:gd name="T13" fmla="*/ T12 w 441"/>
                              <a:gd name="T14" fmla="+- 0 43 -47"/>
                              <a:gd name="T15" fmla="*/ 43 h 441"/>
                              <a:gd name="T16" fmla="+- 0 3590 3579"/>
                              <a:gd name="T17" fmla="*/ T16 w 441"/>
                              <a:gd name="T18" fmla="+- 0 104 -47"/>
                              <a:gd name="T19" fmla="*/ 104 h 441"/>
                              <a:gd name="T20" fmla="+- 0 3579 3579"/>
                              <a:gd name="T21" fmla="*/ T20 w 441"/>
                              <a:gd name="T22" fmla="+- 0 173 -47"/>
                              <a:gd name="T23" fmla="*/ 173 h 441"/>
                              <a:gd name="T24" fmla="+- 0 3590 3579"/>
                              <a:gd name="T25" fmla="*/ T24 w 441"/>
                              <a:gd name="T26" fmla="+- 0 243 -47"/>
                              <a:gd name="T27" fmla="*/ 243 h 441"/>
                              <a:gd name="T28" fmla="+- 0 3622 3579"/>
                              <a:gd name="T29" fmla="*/ T28 w 441"/>
                              <a:gd name="T30" fmla="+- 0 303 -47"/>
                              <a:gd name="T31" fmla="*/ 303 h 441"/>
                              <a:gd name="T32" fmla="+- 0 3669 3579"/>
                              <a:gd name="T33" fmla="*/ T32 w 441"/>
                              <a:gd name="T34" fmla="+- 0 351 -47"/>
                              <a:gd name="T35" fmla="*/ 351 h 441"/>
                              <a:gd name="T36" fmla="+- 0 3730 3579"/>
                              <a:gd name="T37" fmla="*/ T36 w 441"/>
                              <a:gd name="T38" fmla="+- 0 382 -47"/>
                              <a:gd name="T39" fmla="*/ 382 h 441"/>
                              <a:gd name="T40" fmla="+- 0 3799 3579"/>
                              <a:gd name="T41" fmla="*/ T40 w 441"/>
                              <a:gd name="T42" fmla="+- 0 394 -47"/>
                              <a:gd name="T43" fmla="*/ 394 h 441"/>
                              <a:gd name="T44" fmla="+- 0 3869 3579"/>
                              <a:gd name="T45" fmla="*/ T44 w 441"/>
                              <a:gd name="T46" fmla="+- 0 382 -47"/>
                              <a:gd name="T47" fmla="*/ 382 h 441"/>
                              <a:gd name="T48" fmla="+- 0 3929 3579"/>
                              <a:gd name="T49" fmla="*/ T48 w 441"/>
                              <a:gd name="T50" fmla="+- 0 351 -47"/>
                              <a:gd name="T51" fmla="*/ 351 h 441"/>
                              <a:gd name="T52" fmla="+- 0 3977 3579"/>
                              <a:gd name="T53" fmla="*/ T52 w 441"/>
                              <a:gd name="T54" fmla="+- 0 303 -47"/>
                              <a:gd name="T55" fmla="*/ 303 h 441"/>
                              <a:gd name="T56" fmla="+- 0 4008 3579"/>
                              <a:gd name="T57" fmla="*/ T56 w 441"/>
                              <a:gd name="T58" fmla="+- 0 243 -47"/>
                              <a:gd name="T59" fmla="*/ 243 h 441"/>
                              <a:gd name="T60" fmla="+- 0 4020 3579"/>
                              <a:gd name="T61" fmla="*/ T60 w 441"/>
                              <a:gd name="T62" fmla="+- 0 173 -47"/>
                              <a:gd name="T63" fmla="*/ 173 h 441"/>
                              <a:gd name="T64" fmla="+- 0 4008 3579"/>
                              <a:gd name="T65" fmla="*/ T64 w 441"/>
                              <a:gd name="T66" fmla="+- 0 104 -47"/>
                              <a:gd name="T67" fmla="*/ 104 h 441"/>
                              <a:gd name="T68" fmla="+- 0 3977 3579"/>
                              <a:gd name="T69" fmla="*/ T68 w 441"/>
                              <a:gd name="T70" fmla="+- 0 43 -47"/>
                              <a:gd name="T71" fmla="*/ 43 h 441"/>
                              <a:gd name="T72" fmla="+- 0 3929 3579"/>
                              <a:gd name="T73" fmla="*/ T72 w 441"/>
                              <a:gd name="T74" fmla="+- 0 -4 -47"/>
                              <a:gd name="T75" fmla="*/ -4 h 441"/>
                              <a:gd name="T76" fmla="+- 0 3869 3579"/>
                              <a:gd name="T77" fmla="*/ T76 w 441"/>
                              <a:gd name="T78" fmla="+- 0 -36 -47"/>
                              <a:gd name="T79" fmla="*/ -36 h 441"/>
                              <a:gd name="T80" fmla="+- 0 3799 3579"/>
                              <a:gd name="T81" fmla="*/ T80 w 441"/>
                              <a:gd name="T82" fmla="+- 0 -47 -47"/>
                              <a:gd name="T83" fmla="*/ -47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1" h="441">
                                <a:moveTo>
                                  <a:pt x="220" y="0"/>
                                </a:moveTo>
                                <a:lnTo>
                                  <a:pt x="151" y="11"/>
                                </a:lnTo>
                                <a:lnTo>
                                  <a:pt x="90" y="43"/>
                                </a:lnTo>
                                <a:lnTo>
                                  <a:pt x="43" y="90"/>
                                </a:lnTo>
                                <a:lnTo>
                                  <a:pt x="11" y="151"/>
                                </a:lnTo>
                                <a:lnTo>
                                  <a:pt x="0" y="220"/>
                                </a:lnTo>
                                <a:lnTo>
                                  <a:pt x="11" y="290"/>
                                </a:lnTo>
                                <a:lnTo>
                                  <a:pt x="43" y="350"/>
                                </a:lnTo>
                                <a:lnTo>
                                  <a:pt x="90" y="398"/>
                                </a:lnTo>
                                <a:lnTo>
                                  <a:pt x="151" y="429"/>
                                </a:lnTo>
                                <a:lnTo>
                                  <a:pt x="220" y="441"/>
                                </a:lnTo>
                                <a:lnTo>
                                  <a:pt x="290" y="429"/>
                                </a:lnTo>
                                <a:lnTo>
                                  <a:pt x="350" y="398"/>
                                </a:lnTo>
                                <a:lnTo>
                                  <a:pt x="398" y="350"/>
                                </a:lnTo>
                                <a:lnTo>
                                  <a:pt x="429" y="290"/>
                                </a:lnTo>
                                <a:lnTo>
                                  <a:pt x="441" y="220"/>
                                </a:lnTo>
                                <a:lnTo>
                                  <a:pt x="429" y="151"/>
                                </a:lnTo>
                                <a:lnTo>
                                  <a:pt x="398" y="90"/>
                                </a:lnTo>
                                <a:lnTo>
                                  <a:pt x="350" y="43"/>
                                </a:lnTo>
                                <a:lnTo>
                                  <a:pt x="290" y="11"/>
                                </a:lnTo>
                                <a:lnTo>
                                  <a:pt x="220" y="0"/>
                                </a:lnTo>
                                <a:close/>
                              </a:path>
                            </a:pathLst>
                          </a:custGeom>
                          <a:solidFill>
                            <a:srgbClr val="2AB1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docshape39"/>
                          <pic:cNvPicPr>
                            <a:picLocks/>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3687" y="60"/>
                            <a:ext cx="226"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99F590" id="docshapegroup37" o:spid="_x0000_s1026" alt="&quot;&quot;" style="position:absolute;margin-left:117pt;margin-top:17.6pt;width:22.05pt;height:22.05pt;z-index:15740928;mso-position-horizontal-relative:margin" coordorigin="3579,-47" coordsize="441,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">
                <v:shape id="docshape38" o:spid="_x0000_s1027" style="position:absolute;left:3579;top:-47;width:441;height:441;visibility:visible;mso-wrap-style:square;v-text-anchor:top" coordsize="44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" path="m220,l151,11,90,43,43,90,11,151,,220r11,70l43,350r47,48l151,429r69,12l290,429r60,-31l398,350r31,-60l441,220,429,151,398,90,350,43,290,11,220,xe" fillcolor="#2ab1bb" stroked="f">
                  <v:path arrowok="t" o:connecttype="custom" o:connectlocs="220,-47;151,-36;90,-4;43,43;11,104;0,173;11,243;43,303;90,351;151,382;220,394;290,382;350,351;398,303;429,243;441,173;429,104;398,43;350,-4;290,-36;220,-47" o:connectangles="0,0,0,0,0,0,0,0,0,0,0,0,0,0,0,0,0,0,0,0,0"/>
                </v:shape>
                <v:shape id="docshape39" o:spid="_x0000_s1028" type="#_x0000_t75" style="position:absolute;left:3687;top:60;width:22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">
                  <v:imagedata r:id="rId35" o:title=""/>
                  <v:path arrowok="t"/>
                  <o:lock v:ext="edit" aspectratio="f"/>
                </v:shape>
                <w10:wrap anchorx="margin"/>
              </v:group>
            </w:pict>
          </mc:Fallback>
        </mc:AlternateContent>
      </w:r>
      <w:r w:rsidR="00492AC9" w:rsidRPr="00BF30A6">
        <w:t xml:space="preserve">Phone </w:t>
      </w:r>
      <w:r w:rsidR="00492AC9" w:rsidRPr="00BD02C9">
        <w:rPr>
          <w:rStyle w:val="Strong"/>
        </w:rPr>
        <w:t>1800 200 422</w:t>
      </w:r>
      <w:r>
        <w:t xml:space="preserve"> </w:t>
      </w:r>
      <w:r w:rsidR="00492AC9" w:rsidRPr="00BF30A6">
        <w:t>(My Aged Care’s free</w:t>
      </w:r>
      <w:r w:rsidR="00A013F5" w:rsidRPr="00BF30A6">
        <w:t xml:space="preserve"> </w:t>
      </w:r>
      <w:r w:rsidR="00492AC9" w:rsidRPr="00BF30A6">
        <w:t>call phone line)</w:t>
      </w:r>
    </w:p>
    <w:p w14:paraId="72DFC729" w14:textId="77777777" w:rsidR="003056A3" w:rsidRPr="00FD31D5" w:rsidRDefault="00492AC9" w:rsidP="00BD02C9">
      <w:pPr>
        <w:pStyle w:val="NoSpacing"/>
        <w:spacing w:before="480"/>
      </w:pPr>
      <w:r w:rsidRPr="00FD31D5">
        <w:t>For translating and interpreting services, call 131 450 and ask for My Aged Care on 1800 200 422.</w:t>
      </w:r>
    </w:p>
    <w:p w14:paraId="0DE87379" w14:textId="77777777" w:rsidR="003056A3" w:rsidRPr="00BD02C9" w:rsidRDefault="00492AC9" w:rsidP="00BD02C9">
      <w:pPr>
        <w:pStyle w:val="NoSpacing"/>
      </w:pPr>
      <w:r w:rsidRPr="00FD31D5">
        <w:t>To use the National Relay Service, visit nrschat.nrscall.gov.au/</w:t>
      </w:r>
      <w:proofErr w:type="spellStart"/>
      <w:r w:rsidRPr="00FD31D5">
        <w:t>nrs</w:t>
      </w:r>
      <w:proofErr w:type="spellEnd"/>
      <w:r w:rsidRPr="00FD31D5">
        <w:t xml:space="preserve"> or call 1800 555 660.</w:t>
      </w:r>
    </w:p>
    <w:sectPr w:rsidR="003056A3" w:rsidRPr="00BD02C9" w:rsidSect="00FD31D5">
      <w:pgSz w:w="11910" w:h="16840"/>
      <w:pgMar w:top="737" w:right="249" w:bottom="278" w:left="23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862D0C" w14:textId="77777777" w:rsidR="002D1DE0" w:rsidRDefault="002D1DE0" w:rsidP="001D0D47">
      <w:r>
        <w:separator/>
      </w:r>
    </w:p>
  </w:endnote>
  <w:endnote w:type="continuationSeparator" w:id="0">
    <w:p w14:paraId="7CCC1C30" w14:textId="77777777" w:rsidR="002D1DE0" w:rsidRDefault="002D1DE0" w:rsidP="001D0D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oxima Nova">
    <w:altName w:val="Tahoma"/>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28E90" w14:textId="77777777" w:rsidR="00A61363" w:rsidRDefault="00A61363" w:rsidP="00E26EA8">
    <w:pPr>
      <w:framePr w:wrap="none" w:vAnchor="text" w:hAnchor="margin" w:y="1"/>
      <w:rPr>
        <w:rStyle w:val="BodyTextChar"/>
      </w:rPr>
    </w:pPr>
    <w:r>
      <w:rPr>
        <w:rStyle w:val="BodyTextChar"/>
      </w:rPr>
      <w:fldChar w:fldCharType="begin"/>
    </w:r>
    <w:r>
      <w:rPr>
        <w:rStyle w:val="BodyTextChar"/>
      </w:rPr>
      <w:instrText xml:space="preserve"> PAGE </w:instrText>
    </w:r>
    <w:r>
      <w:rPr>
        <w:rStyle w:val="BodyTextChar"/>
      </w:rPr>
      <w:fldChar w:fldCharType="end"/>
    </w:r>
  </w:p>
  <w:p w14:paraId="6D9415AF" w14:textId="77777777" w:rsidR="00A61363" w:rsidRDefault="00A61363" w:rsidP="00A61363">
    <w:pP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BodyTextChar"/>
        <w:b/>
        <w:bCs/>
        <w:sz w:val="20"/>
        <w:szCs w:val="20"/>
      </w:rPr>
      <w:id w:val="905120018"/>
      <w:docPartObj>
        <w:docPartGallery w:val="Page Numbers (Bottom of Page)"/>
        <w:docPartUnique/>
      </w:docPartObj>
    </w:sdtPr>
    <w:sdtEndPr>
      <w:rPr>
        <w:rStyle w:val="BodyTextChar"/>
      </w:rPr>
    </w:sdtEndPr>
    <w:sdtContent>
      <w:p w14:paraId="4E9264E9" w14:textId="3EF6C88F" w:rsidR="00A61363" w:rsidRPr="00B475DF" w:rsidRDefault="00A61363" w:rsidP="00C92242">
        <w:pPr>
          <w:framePr w:wrap="none" w:vAnchor="text" w:hAnchor="page" w:x="1196" w:y="190"/>
          <w:ind w:left="51" w:right="-711"/>
          <w:rPr>
            <w:rStyle w:val="BodyTextChar"/>
            <w:b/>
            <w:bCs/>
            <w:sz w:val="20"/>
            <w:szCs w:val="20"/>
          </w:rPr>
        </w:pPr>
        <w:r w:rsidRPr="00B475DF">
          <w:rPr>
            <w:rStyle w:val="BodyTextChar"/>
            <w:b/>
            <w:bCs/>
            <w:sz w:val="20"/>
            <w:szCs w:val="20"/>
          </w:rPr>
          <w:fldChar w:fldCharType="begin"/>
        </w:r>
        <w:r w:rsidRPr="00B475DF">
          <w:rPr>
            <w:rStyle w:val="BodyTextChar"/>
            <w:b/>
            <w:bCs/>
            <w:sz w:val="20"/>
            <w:szCs w:val="20"/>
          </w:rPr>
          <w:instrText xml:space="preserve"> PAGE </w:instrText>
        </w:r>
        <w:r w:rsidRPr="00B475DF">
          <w:rPr>
            <w:rStyle w:val="BodyTextChar"/>
            <w:b/>
            <w:bCs/>
            <w:sz w:val="20"/>
            <w:szCs w:val="20"/>
          </w:rPr>
          <w:fldChar w:fldCharType="separate"/>
        </w:r>
        <w:r w:rsidRPr="00B475DF">
          <w:rPr>
            <w:rStyle w:val="BodyTextChar"/>
            <w:b/>
            <w:bCs/>
            <w:noProof/>
            <w:sz w:val="20"/>
            <w:szCs w:val="20"/>
          </w:rPr>
          <w:t>6</w:t>
        </w:r>
        <w:r w:rsidRPr="00B475DF">
          <w:rPr>
            <w:rStyle w:val="BodyTextChar"/>
            <w:b/>
            <w:bCs/>
            <w:sz w:val="20"/>
            <w:szCs w:val="20"/>
          </w:rPr>
          <w:fldChar w:fldCharType="end"/>
        </w:r>
      </w:p>
    </w:sdtContent>
  </w:sdt>
  <w:p w14:paraId="613617CF" w14:textId="361D8B42" w:rsidR="001D0D47" w:rsidRPr="00B475DF" w:rsidRDefault="003F4654" w:rsidP="004D2471">
    <w:pPr>
      <w:tabs>
        <w:tab w:val="left" w:pos="1133"/>
        <w:tab w:val="left" w:pos="8080"/>
      </w:tabs>
      <w:spacing w:before="139"/>
      <w:jc w:val="center"/>
      <w:rPr>
        <w:sz w:val="21"/>
        <w:szCs w:val="21"/>
      </w:rPr>
    </w:pPr>
    <w:r>
      <w:rPr>
        <w:sz w:val="21"/>
        <w:szCs w:val="21"/>
      </w:rPr>
      <w:t>2021-2022 Food and Nutrition Report</w:t>
    </w:r>
    <w:r w:rsidR="004D2471">
      <w:rPr>
        <w:sz w:val="21"/>
        <w:szCs w:val="21"/>
      </w:rPr>
      <w:tab/>
    </w:r>
    <w:r w:rsidR="00891781">
      <w:rPr>
        <w:sz w:val="21"/>
        <w:szCs w:val="21"/>
      </w:rPr>
      <w:t>November</w:t>
    </w:r>
    <w:r w:rsidR="00F52FB0">
      <w:rPr>
        <w:sz w:val="21"/>
        <w:szCs w:val="21"/>
      </w:rPr>
      <w:t xml:space="preserve"> 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B55A5" w14:textId="48FB8347" w:rsidR="00A61363" w:rsidRPr="00B04BCF" w:rsidRDefault="00BB6D43" w:rsidP="007E39DB">
    <w:pPr>
      <w:tabs>
        <w:tab w:val="left" w:pos="8364"/>
        <w:tab w:val="left" w:pos="8505"/>
      </w:tabs>
      <w:spacing w:before="145"/>
      <w:ind w:right="87"/>
      <w:jc w:val="right"/>
      <w:rPr>
        <w:rFonts w:cs="Arial"/>
        <w:szCs w:val="21"/>
      </w:rPr>
    </w:pPr>
    <w:r>
      <w:rPr>
        <w:noProof/>
      </w:rPr>
      <mc:AlternateContent>
        <mc:Choice Requires="wps">
          <w:drawing>
            <wp:anchor distT="0" distB="0" distL="114300" distR="114300" simplePos="0" relativeHeight="251661312" behindDoc="0" locked="0" layoutInCell="1" allowOverlap="1" wp14:anchorId="730A0803" wp14:editId="6288879E">
              <wp:simplePos x="0" y="0"/>
              <wp:positionH relativeFrom="column">
                <wp:posOffset>-648335</wp:posOffset>
              </wp:positionH>
              <wp:positionV relativeFrom="paragraph">
                <wp:posOffset>5291840</wp:posOffset>
              </wp:positionV>
              <wp:extent cx="7560310" cy="4583628"/>
              <wp:effectExtent l="0" t="0" r="2540" b="7620"/>
              <wp:wrapNone/>
              <wp:docPr id="16" name="docshap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583628"/>
                      </a:xfrm>
                      <a:prstGeom prst="rect">
                        <a:avLst/>
                      </a:prstGeom>
                      <a:solidFill>
                        <a:srgbClr val="F1F2F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C3545" w14:textId="049AD6E4" w:rsidR="00FD1A43" w:rsidRDefault="00FD1A43" w:rsidP="00FD1A43">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30A0803" id="docshape2" o:spid="_x0000_s1026" alt="&quot;&quot;" style="position:absolute;left:0;text-align:left;margin-left:-51.05pt;margin-top:416.7pt;width:595.3pt;height:360.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" fillcolor="#f1f2f2" stroked="f">
              <v:path arrowok="t"/>
              <v:textbox>
                <w:txbxContent>
                  <w:p w14:paraId="51BC3545" w14:textId="049AD6E4" w:rsidR="00FD1A43" w:rsidRDefault="00FD1A43" w:rsidP="00FD1A43">
                    <w:pPr>
                      <w:jc w:val="center"/>
                    </w:pPr>
                  </w:p>
                </w:txbxContent>
              </v:textbox>
            </v:rect>
          </w:pict>
        </mc:Fallback>
      </mc:AlternateContent>
    </w:r>
    <w:r w:rsidR="00D77F2D">
      <w:rPr>
        <w:rFonts w:cs="Arial"/>
        <w:szCs w:val="21"/>
      </w:rPr>
      <w:t>November</w:t>
    </w:r>
    <w:r w:rsidR="00A61363" w:rsidRPr="00B04BCF">
      <w:rPr>
        <w:rFonts w:cs="Arial"/>
        <w:spacing w:val="-4"/>
        <w:szCs w:val="21"/>
      </w:rPr>
      <w:t xml:space="preserve">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8F3AB4" w14:textId="77777777" w:rsidR="002D1DE0" w:rsidRPr="004D2471" w:rsidRDefault="002D1DE0" w:rsidP="004D2471">
      <w:pPr>
        <w:pStyle w:val="Footer"/>
      </w:pPr>
    </w:p>
  </w:footnote>
  <w:footnote w:type="continuationSeparator" w:id="0">
    <w:p w14:paraId="01488411" w14:textId="77777777" w:rsidR="002D1DE0" w:rsidRDefault="002D1DE0" w:rsidP="001D0D47">
      <w:r>
        <w:continuationSeparator/>
      </w:r>
    </w:p>
  </w:footnote>
  <w:footnote w:type="continuationNotice" w:id="1">
    <w:p w14:paraId="3BEBAE24" w14:textId="77777777" w:rsidR="002D1DE0" w:rsidRPr="00FD31D5" w:rsidRDefault="002D1DE0" w:rsidP="00FD31D5"/>
  </w:footnote>
  <w:footnote w:id="2">
    <w:p w14:paraId="7217E44F" w14:textId="04133CF9" w:rsidR="007C1A1D" w:rsidRPr="004D2471" w:rsidRDefault="007C1A1D" w:rsidP="004D2471">
      <w:pPr>
        <w:pStyle w:val="FootnoteText"/>
      </w:pPr>
      <w:r w:rsidRPr="004D2471">
        <w:footnoteRef/>
      </w:r>
      <w:r w:rsidR="00AD5999">
        <w:t xml:space="preserve"> </w:t>
      </w:r>
      <w:r w:rsidR="00CB5AF2" w:rsidRPr="004D2471">
        <w:t>The total figure includes amounts paid to MPS and NATSIFAC program providers which may not be included in reporting elsewhere. Data are live and subject to change and may not match figures published elsewhere.</w:t>
      </w:r>
    </w:p>
  </w:footnote>
  <w:footnote w:id="3">
    <w:p w14:paraId="18F73E3C" w14:textId="08BE114D" w:rsidR="00935C28" w:rsidRPr="004D2471" w:rsidRDefault="00935C28" w:rsidP="004D2471">
      <w:pPr>
        <w:pStyle w:val="FootnoteText"/>
      </w:pPr>
      <w:r w:rsidRPr="004D2471">
        <w:footnoteRef/>
      </w:r>
      <w:r w:rsidRPr="004D2471">
        <w:t xml:space="preserve"> </w:t>
      </w:r>
      <w:r w:rsidR="00891184" w:rsidRPr="004D2471">
        <w:t>Represented total amount of services who signed the undertaking during the financial year, including</w:t>
      </w:r>
      <w:r w:rsidRPr="004D2471">
        <w:t xml:space="preserve"> </w:t>
      </w:r>
      <w:r w:rsidR="00C87068" w:rsidRPr="004D2471">
        <w:t xml:space="preserve">services that </w:t>
      </w:r>
      <w:r w:rsidR="00066640" w:rsidRPr="004D2471">
        <w:t>were</w:t>
      </w:r>
      <w:r w:rsidR="00596FCD" w:rsidRPr="004D2471">
        <w:t xml:space="preserve"> </w:t>
      </w:r>
      <w:r w:rsidR="00891184" w:rsidRPr="004D2471">
        <w:t xml:space="preserve">or became </w:t>
      </w:r>
      <w:r w:rsidR="00066640" w:rsidRPr="004D2471">
        <w:t>operational</w:t>
      </w:r>
      <w:r w:rsidR="00596FCD" w:rsidRPr="004D2471">
        <w:t xml:space="preserve"> at some stage during the financial year</w:t>
      </w:r>
      <w:r w:rsidR="00891184" w:rsidRPr="004D2471">
        <w:t xml:space="preserve">. Some services have since ceased operations. </w:t>
      </w:r>
      <w:r w:rsidR="00FB3310" w:rsidRPr="004D2471">
        <w:t xml:space="preserve"> </w:t>
      </w:r>
    </w:p>
  </w:footnote>
  <w:footnote w:id="4">
    <w:p w14:paraId="08F2EBB4" w14:textId="7EAA78E8" w:rsidR="0069576D" w:rsidRPr="004D2471" w:rsidRDefault="0069576D" w:rsidP="004D2471">
      <w:pPr>
        <w:pStyle w:val="FootnoteText"/>
      </w:pPr>
      <w:r w:rsidRPr="004D2471">
        <w:footnoteRef/>
      </w:r>
      <w:r w:rsidRPr="004D2471">
        <w:t xml:space="preserve"> One residential, two NATSIFAC and </w:t>
      </w:r>
      <w:r w:rsidR="00891184" w:rsidRPr="004D2471">
        <w:t>three</w:t>
      </w:r>
      <w:r w:rsidRPr="004D2471">
        <w:t xml:space="preserve"> MPS providers did not sign the undertaking.</w:t>
      </w:r>
    </w:p>
  </w:footnote>
  <w:footnote w:id="5">
    <w:p w14:paraId="201A82CD" w14:textId="17A89000" w:rsidR="00716B3E" w:rsidRPr="004D2471" w:rsidRDefault="00716B3E" w:rsidP="004D2471">
      <w:pPr>
        <w:pStyle w:val="FootnoteText"/>
      </w:pPr>
      <w:r w:rsidRPr="004D2471">
        <w:footnoteRef/>
      </w:r>
      <w:r w:rsidRPr="004D2471">
        <w:t xml:space="preserve"> </w:t>
      </w:r>
      <w:r w:rsidR="004B268A" w:rsidRPr="004D2471">
        <w:t>Food expenditure refers to total expenditure for food and ingredients used to prepare meals and snacks on-site including expenditure for pre-prepared and bought-in main meals (total of Questions 1 and 2).</w:t>
      </w:r>
    </w:p>
  </w:footnote>
  <w:footnote w:id="6">
    <w:p w14:paraId="076163EA" w14:textId="6A9021B2" w:rsidR="001449E6" w:rsidRPr="004D2471" w:rsidRDefault="001449E6" w:rsidP="004D2471">
      <w:pPr>
        <w:pStyle w:val="FootnoteText"/>
      </w:pPr>
      <w:r w:rsidRPr="004D2471">
        <w:footnoteRef/>
      </w:r>
      <w:r w:rsidRPr="004D2471">
        <w:t xml:space="preserve"> </w:t>
      </w:r>
      <w:r w:rsidR="005D0CEB" w:rsidRPr="004D2471">
        <w:t xml:space="preserve">Self-reported </w:t>
      </w:r>
      <w:r w:rsidR="008E52A4" w:rsidRPr="004D2471">
        <w:t xml:space="preserve">residential </w:t>
      </w:r>
      <w:r w:rsidR="005D0CEB" w:rsidRPr="004D2471">
        <w:t xml:space="preserve">data </w:t>
      </w:r>
      <w:r w:rsidR="008E52A4" w:rsidRPr="004D2471">
        <w:t xml:space="preserve">(excluding MPS and NATSIFACP) </w:t>
      </w:r>
      <w:r w:rsidR="005D0CEB" w:rsidRPr="004D2471">
        <w:t>as</w:t>
      </w:r>
      <w:r w:rsidR="00250E22" w:rsidRPr="004D2471">
        <w:t xml:space="preserve"> of </w:t>
      </w:r>
      <w:r w:rsidR="005D0CEB" w:rsidRPr="004D2471">
        <w:t>29 August 2022</w:t>
      </w:r>
      <w:r w:rsidR="00250E22" w:rsidRPr="004D2471">
        <w:t xml:space="preserve">. </w:t>
      </w:r>
      <w:r w:rsidR="005D0CEB" w:rsidRPr="004D2471">
        <w:t xml:space="preserve">To determine percentage reported and spend per resident, data was sourced from NAPS Occupancy Report as </w:t>
      </w:r>
      <w:r w:rsidR="00250E22" w:rsidRPr="004D2471">
        <w:t>of</w:t>
      </w:r>
      <w:r w:rsidR="005D0CEB" w:rsidRPr="004D2471">
        <w:t xml:space="preserve"> </w:t>
      </w:r>
      <w:r w:rsidR="00250E22" w:rsidRPr="004D2471">
        <w:t>26 August</w:t>
      </w:r>
      <w:r w:rsidR="005D0CEB" w:rsidRPr="004D2471">
        <w:t xml:space="preserve"> 2022. Services without occupancy information are excluded (</w:t>
      </w:r>
      <w:proofErr w:type="gramStart"/>
      <w:r w:rsidR="005D0CEB" w:rsidRPr="004D2471">
        <w:t>i.e.</w:t>
      </w:r>
      <w:proofErr w:type="gramEnd"/>
      <w:r w:rsidR="005D0CEB" w:rsidRPr="004D2471">
        <w:t xml:space="preserve"> new services, closed services, or facilit</w:t>
      </w:r>
      <w:r w:rsidR="00250E22" w:rsidRPr="004D2471">
        <w:t>ies</w:t>
      </w:r>
      <w:r w:rsidR="005D0CEB" w:rsidRPr="004D2471">
        <w:t xml:space="preserve"> having multiple </w:t>
      </w:r>
      <w:r w:rsidR="008E52A4" w:rsidRPr="004D2471">
        <w:t xml:space="preserve">Service </w:t>
      </w:r>
      <w:r w:rsidR="005D0CEB" w:rsidRPr="004D2471">
        <w:t>NAPS IDs).</w:t>
      </w:r>
    </w:p>
  </w:footnote>
  <w:footnote w:id="7">
    <w:p w14:paraId="2BE06D29" w14:textId="47724C08" w:rsidR="007F22A0" w:rsidRPr="004D2471" w:rsidRDefault="007F22A0" w:rsidP="004D2471">
      <w:pPr>
        <w:pStyle w:val="FootnoteText"/>
      </w:pPr>
      <w:r w:rsidRPr="004D2471">
        <w:footnoteRef/>
      </w:r>
      <w:r w:rsidRPr="004D2471">
        <w:t xml:space="preserve"> </w:t>
      </w:r>
      <w:r w:rsidR="001368BF" w:rsidRPr="004D2471">
        <w:t>Services reporting zero values were consider</w:t>
      </w:r>
      <w:r w:rsidR="00F317D9" w:rsidRPr="004D2471">
        <w:t>ed</w:t>
      </w:r>
      <w:r w:rsidR="001368BF" w:rsidRPr="004D2471">
        <w:t xml:space="preserve"> as submitting and included in the compilation of expenditure rates in this repor</w:t>
      </w:r>
      <w:r w:rsidR="005D0CEB" w:rsidRPr="004D2471">
        <w:t>t. Percentage response rate does not include “not applicable” responses.</w:t>
      </w:r>
    </w:p>
  </w:footnote>
  <w:footnote w:id="8">
    <w:p w14:paraId="39C0B6A4" w14:textId="1C56D226" w:rsidR="001F0349" w:rsidRPr="00297745" w:rsidRDefault="001F0349" w:rsidP="004D2471">
      <w:pPr>
        <w:pStyle w:val="FootnoteText"/>
        <w:rPr>
          <w:sz w:val="16"/>
          <w:szCs w:val="16"/>
          <w:lang w:val="en-AU"/>
        </w:rPr>
      </w:pPr>
      <w:r w:rsidRPr="004D2471">
        <w:footnoteRef/>
      </w:r>
      <w:r w:rsidRPr="004D2471">
        <w:t xml:space="preserve"> </w:t>
      </w:r>
      <w:r w:rsidR="00733E88" w:rsidRPr="004D2471">
        <w:t xml:space="preserve">Refer to the </w:t>
      </w:r>
      <w:r w:rsidRPr="004D2471">
        <w:t>Food and Nutrition Report published 28 March 2022. This report included data from 1 July – 31 December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6690A" w14:textId="77777777" w:rsidR="00D77F2D" w:rsidRDefault="00D77F2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0D090" w14:textId="77777777" w:rsidR="00D77F2D" w:rsidRDefault="00D77F2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B9937" w14:textId="1E92CD01" w:rsidR="001D0D47" w:rsidRDefault="00BB57F6" w:rsidP="00C92242">
    <w:pPr>
      <w:ind w:hanging="993"/>
    </w:pPr>
    <w:r>
      <w:rPr>
        <w:noProof/>
      </w:rPr>
      <w:drawing>
        <wp:anchor distT="0" distB="0" distL="114300" distR="114300" simplePos="0" relativeHeight="251659264" behindDoc="0" locked="0" layoutInCell="1" allowOverlap="1" wp14:anchorId="546B06F1" wp14:editId="7D441D5B">
          <wp:simplePos x="0" y="0"/>
          <wp:positionH relativeFrom="page">
            <wp:align>right</wp:align>
          </wp:positionH>
          <wp:positionV relativeFrom="paragraph">
            <wp:posOffset>-12065</wp:posOffset>
          </wp:positionV>
          <wp:extent cx="7555865" cy="3319101"/>
          <wp:effectExtent l="0" t="0" r="6985"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5865" cy="3319101"/>
                  </a:xfrm>
                  <a:prstGeom prst="rect">
                    <a:avLst/>
                  </a:prstGeom>
                </pic:spPr>
              </pic:pic>
            </a:graphicData>
          </a:graphic>
          <wp14:sizeRelH relativeFrom="page">
            <wp14:pctWidth>0</wp14:pctWidth>
          </wp14:sizeRelH>
          <wp14:sizeRelV relativeFrom="page">
            <wp14:pctHeight>0</wp14:pctHeight>
          </wp14:sizeRelV>
        </wp:anchor>
      </w:drawing>
    </w:r>
    <w:r w:rsidR="00BB6D43">
      <w:rPr>
        <w:noProof/>
      </w:rPr>
      <w:drawing>
        <wp:inline distT="0" distB="0" distL="0" distR="0" wp14:anchorId="6FFB12E2" wp14:editId="31F6AC92">
          <wp:extent cx="7677536" cy="5410200"/>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694668" cy="5422272"/>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8AC101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618DA7E"/>
    <w:lvl w:ilvl="0">
      <w:start w:val="1"/>
      <w:numFmt w:val="decimal"/>
      <w:lvlText w:val="%1."/>
      <w:lvlJc w:val="left"/>
      <w:pPr>
        <w:tabs>
          <w:tab w:val="num" w:pos="1209"/>
        </w:tabs>
        <w:ind w:left="1209" w:hanging="360"/>
      </w:pPr>
    </w:lvl>
  </w:abstractNum>
  <w:abstractNum w:abstractNumId="2" w15:restartNumberingAfterBreak="0">
    <w:nsid w:val="FFFFFF80"/>
    <w:multiLevelType w:val="singleLevel"/>
    <w:tmpl w:val="12BAF12C"/>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DF4AADDC"/>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031F74D0"/>
    <w:multiLevelType w:val="hybridMultilevel"/>
    <w:tmpl w:val="263E81A0"/>
    <w:lvl w:ilvl="0" w:tplc="31D62A1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EF7B71"/>
    <w:multiLevelType w:val="hybridMultilevel"/>
    <w:tmpl w:val="CAACD3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53B4A7F"/>
    <w:multiLevelType w:val="hybridMultilevel"/>
    <w:tmpl w:val="4A26FB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9D525D"/>
    <w:multiLevelType w:val="hybridMultilevel"/>
    <w:tmpl w:val="FF086BEC"/>
    <w:lvl w:ilvl="0" w:tplc="EA4C024A">
      <w:start w:val="1"/>
      <w:numFmt w:val="decimal"/>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117A3984"/>
    <w:multiLevelType w:val="hybridMultilevel"/>
    <w:tmpl w:val="5C442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6A1AC5"/>
    <w:multiLevelType w:val="multilevel"/>
    <w:tmpl w:val="D96C8A66"/>
    <w:lvl w:ilvl="0">
      <w:start w:val="1"/>
      <w:numFmt w:val="decimal"/>
      <w:pStyle w:val="ListNumber"/>
      <w:lvlText w:val="%1."/>
      <w:lvlJc w:val="left"/>
      <w:pPr>
        <w:ind w:left="357" w:hanging="357"/>
      </w:pPr>
      <w:rPr>
        <w:rFonts w:hint="default"/>
      </w:rPr>
    </w:lvl>
    <w:lvl w:ilvl="1">
      <w:start w:val="1"/>
      <w:numFmt w:val="lowerLetter"/>
      <w:pStyle w:val="ListNumber2"/>
      <w:lvlText w:val="%2)"/>
      <w:lvlJc w:val="left"/>
      <w:pPr>
        <w:ind w:left="714" w:hanging="357"/>
      </w:pPr>
      <w:rPr>
        <w:rFonts w:hint="default"/>
      </w:rPr>
    </w:lvl>
    <w:lvl w:ilvl="2">
      <w:start w:val="1"/>
      <w:numFmt w:val="lowerRoman"/>
      <w:pStyle w:val="ListNumber3"/>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0" w15:restartNumberingAfterBreak="0">
    <w:nsid w:val="1CCE39D6"/>
    <w:multiLevelType w:val="hybridMultilevel"/>
    <w:tmpl w:val="F732E5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0A54C3"/>
    <w:multiLevelType w:val="hybridMultilevel"/>
    <w:tmpl w:val="7C52EAE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27C57219"/>
    <w:multiLevelType w:val="hybridMultilevel"/>
    <w:tmpl w:val="5DF4D86E"/>
    <w:lvl w:ilvl="0" w:tplc="97D2E254">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99E5EF2"/>
    <w:multiLevelType w:val="hybridMultilevel"/>
    <w:tmpl w:val="685896F2"/>
    <w:lvl w:ilvl="0" w:tplc="333C0750">
      <w:start w:val="3"/>
      <w:numFmt w:val="bullet"/>
      <w:lvlText w:val="-"/>
      <w:lvlJc w:val="left"/>
      <w:pPr>
        <w:ind w:left="720" w:hanging="360"/>
      </w:pPr>
      <w:rPr>
        <w:rFonts w:ascii="Arial" w:eastAsia="Proxima Nov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130B2E"/>
    <w:multiLevelType w:val="hybridMultilevel"/>
    <w:tmpl w:val="543C19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2DD90B83"/>
    <w:multiLevelType w:val="hybridMultilevel"/>
    <w:tmpl w:val="5368436C"/>
    <w:lvl w:ilvl="0" w:tplc="C60060AA">
      <w:start w:val="1"/>
      <w:numFmt w:val="bullet"/>
      <w:lvlText w:val=""/>
      <w:lvlJc w:val="left"/>
      <w:pPr>
        <w:ind w:left="360" w:hanging="360"/>
      </w:pPr>
      <w:rPr>
        <w:rFonts w:ascii="Symbol" w:hAnsi="Symbol" w:hint="default"/>
      </w:rPr>
    </w:lvl>
    <w:lvl w:ilvl="1" w:tplc="F3D84AA6">
      <w:start w:val="1"/>
      <w:numFmt w:val="bullet"/>
      <w:lvlText w:val="o"/>
      <w:lvlJc w:val="left"/>
      <w:pPr>
        <w:ind w:left="644" w:hanging="360"/>
      </w:pPr>
      <w:rPr>
        <w:rFonts w:ascii="Courier New" w:hAnsi="Courier New" w:cs="Courier New" w:hint="default"/>
      </w:rPr>
    </w:lvl>
    <w:lvl w:ilvl="2" w:tplc="1B026F3C">
      <w:start w:val="1"/>
      <w:numFmt w:val="bullet"/>
      <w:lvlText w:val=""/>
      <w:lvlJc w:val="left"/>
      <w:pPr>
        <w:ind w:left="2160" w:hanging="360"/>
      </w:pPr>
      <w:rPr>
        <w:rFonts w:ascii="Wingdings" w:hAnsi="Wingdings" w:hint="default"/>
      </w:rPr>
    </w:lvl>
    <w:lvl w:ilvl="3" w:tplc="C1D0F2F8">
      <w:start w:val="1"/>
      <w:numFmt w:val="bullet"/>
      <w:lvlText w:val=""/>
      <w:lvlJc w:val="left"/>
      <w:pPr>
        <w:ind w:left="2880" w:hanging="360"/>
      </w:pPr>
      <w:rPr>
        <w:rFonts w:ascii="Symbol" w:hAnsi="Symbol" w:hint="default"/>
      </w:rPr>
    </w:lvl>
    <w:lvl w:ilvl="4" w:tplc="AB4C11CA" w:tentative="1">
      <w:start w:val="1"/>
      <w:numFmt w:val="bullet"/>
      <w:lvlText w:val="o"/>
      <w:lvlJc w:val="left"/>
      <w:pPr>
        <w:ind w:left="3600" w:hanging="360"/>
      </w:pPr>
      <w:rPr>
        <w:rFonts w:ascii="Courier New" w:hAnsi="Courier New" w:cs="Courier New" w:hint="default"/>
      </w:rPr>
    </w:lvl>
    <w:lvl w:ilvl="5" w:tplc="F26487F4" w:tentative="1">
      <w:start w:val="1"/>
      <w:numFmt w:val="bullet"/>
      <w:lvlText w:val=""/>
      <w:lvlJc w:val="left"/>
      <w:pPr>
        <w:ind w:left="4320" w:hanging="360"/>
      </w:pPr>
      <w:rPr>
        <w:rFonts w:ascii="Wingdings" w:hAnsi="Wingdings" w:hint="default"/>
      </w:rPr>
    </w:lvl>
    <w:lvl w:ilvl="6" w:tplc="2A3815EC" w:tentative="1">
      <w:start w:val="1"/>
      <w:numFmt w:val="bullet"/>
      <w:lvlText w:val=""/>
      <w:lvlJc w:val="left"/>
      <w:pPr>
        <w:ind w:left="5040" w:hanging="360"/>
      </w:pPr>
      <w:rPr>
        <w:rFonts w:ascii="Symbol" w:hAnsi="Symbol" w:hint="default"/>
      </w:rPr>
    </w:lvl>
    <w:lvl w:ilvl="7" w:tplc="7BA2787C" w:tentative="1">
      <w:start w:val="1"/>
      <w:numFmt w:val="bullet"/>
      <w:lvlText w:val="o"/>
      <w:lvlJc w:val="left"/>
      <w:pPr>
        <w:ind w:left="5760" w:hanging="360"/>
      </w:pPr>
      <w:rPr>
        <w:rFonts w:ascii="Courier New" w:hAnsi="Courier New" w:cs="Courier New" w:hint="default"/>
      </w:rPr>
    </w:lvl>
    <w:lvl w:ilvl="8" w:tplc="BD06413E" w:tentative="1">
      <w:start w:val="1"/>
      <w:numFmt w:val="bullet"/>
      <w:lvlText w:val=""/>
      <w:lvlJc w:val="left"/>
      <w:pPr>
        <w:ind w:left="6480" w:hanging="360"/>
      </w:pPr>
      <w:rPr>
        <w:rFonts w:ascii="Wingdings" w:hAnsi="Wingdings" w:hint="default"/>
      </w:rPr>
    </w:lvl>
  </w:abstractNum>
  <w:abstractNum w:abstractNumId="16" w15:restartNumberingAfterBreak="0">
    <w:nsid w:val="3A435490"/>
    <w:multiLevelType w:val="hybridMultilevel"/>
    <w:tmpl w:val="AC34EB9A"/>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7" w15:restartNumberingAfterBreak="0">
    <w:nsid w:val="3C9D01F4"/>
    <w:multiLevelType w:val="hybridMultilevel"/>
    <w:tmpl w:val="41D2A09E"/>
    <w:lvl w:ilvl="0" w:tplc="B83084EA">
      <w:numFmt w:val="bullet"/>
      <w:lvlText w:val="•"/>
      <w:lvlJc w:val="left"/>
      <w:pPr>
        <w:ind w:left="36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3D8F666B"/>
    <w:multiLevelType w:val="hybridMultilevel"/>
    <w:tmpl w:val="AAAAE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484603"/>
    <w:multiLevelType w:val="hybridMultilevel"/>
    <w:tmpl w:val="4FEEECCC"/>
    <w:lvl w:ilvl="0" w:tplc="13727B2E">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D43344"/>
    <w:multiLevelType w:val="hybridMultilevel"/>
    <w:tmpl w:val="FDE6F408"/>
    <w:lvl w:ilvl="0" w:tplc="333C0750">
      <w:start w:val="3"/>
      <w:numFmt w:val="bullet"/>
      <w:lvlText w:val="-"/>
      <w:lvlJc w:val="left"/>
      <w:pPr>
        <w:ind w:left="720" w:hanging="360"/>
      </w:pPr>
      <w:rPr>
        <w:rFonts w:ascii="Arial" w:eastAsia="Proxima Nova"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BE5EBB"/>
    <w:multiLevelType w:val="hybridMultilevel"/>
    <w:tmpl w:val="D27457EE"/>
    <w:lvl w:ilvl="0" w:tplc="31D62A1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DDF372A"/>
    <w:multiLevelType w:val="hybridMultilevel"/>
    <w:tmpl w:val="18920AF4"/>
    <w:lvl w:ilvl="0" w:tplc="B83084EA">
      <w:numFmt w:val="bullet"/>
      <w:lvlText w:val="•"/>
      <w:lvlJc w:val="left"/>
      <w:pPr>
        <w:ind w:left="36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50E108B5"/>
    <w:multiLevelType w:val="hybridMultilevel"/>
    <w:tmpl w:val="048A66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51DB7707"/>
    <w:multiLevelType w:val="hybridMultilevel"/>
    <w:tmpl w:val="29A4F2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47670AE"/>
    <w:multiLevelType w:val="hybridMultilevel"/>
    <w:tmpl w:val="E7DA1650"/>
    <w:lvl w:ilvl="0" w:tplc="333C0750">
      <w:start w:val="3"/>
      <w:numFmt w:val="bullet"/>
      <w:lvlText w:val="-"/>
      <w:lvlJc w:val="left"/>
      <w:pPr>
        <w:ind w:left="720" w:hanging="360"/>
      </w:pPr>
      <w:rPr>
        <w:rFonts w:ascii="Arial" w:eastAsia="Proxima Nov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AC8642E"/>
    <w:multiLevelType w:val="hybridMultilevel"/>
    <w:tmpl w:val="0EA66074"/>
    <w:lvl w:ilvl="0" w:tplc="B83084EA">
      <w:numFmt w:val="bullet"/>
      <w:lvlText w:val="•"/>
      <w:lvlJc w:val="left"/>
      <w:pPr>
        <w:ind w:left="36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5F4D55AB"/>
    <w:multiLevelType w:val="hybridMultilevel"/>
    <w:tmpl w:val="46D49728"/>
    <w:lvl w:ilvl="0" w:tplc="B7EED708">
      <w:start w:val="1"/>
      <w:numFmt w:val="bullet"/>
      <w:lvlText w:val=""/>
      <w:lvlJc w:val="left"/>
      <w:pPr>
        <w:ind w:left="720" w:hanging="360"/>
      </w:pPr>
      <w:rPr>
        <w:rFonts w:ascii="Symbol" w:hAnsi="Symbol" w:hint="default"/>
      </w:rPr>
    </w:lvl>
    <w:lvl w:ilvl="1" w:tplc="04B4AA3A">
      <w:start w:val="1"/>
      <w:numFmt w:val="bullet"/>
      <w:lvlText w:val="o"/>
      <w:lvlJc w:val="left"/>
      <w:pPr>
        <w:ind w:left="1440" w:hanging="360"/>
      </w:pPr>
      <w:rPr>
        <w:rFonts w:ascii="Courier New" w:hAnsi="Courier New" w:cs="Courier New" w:hint="default"/>
      </w:rPr>
    </w:lvl>
    <w:lvl w:ilvl="2" w:tplc="E3F0EFB0">
      <w:start w:val="1"/>
      <w:numFmt w:val="bullet"/>
      <w:lvlText w:val=""/>
      <w:lvlJc w:val="left"/>
      <w:pPr>
        <w:ind w:left="2160" w:hanging="360"/>
      </w:pPr>
      <w:rPr>
        <w:rFonts w:ascii="Wingdings" w:hAnsi="Wingdings" w:hint="default"/>
      </w:rPr>
    </w:lvl>
    <w:lvl w:ilvl="3" w:tplc="C4B2579A">
      <w:numFmt w:val="bullet"/>
      <w:lvlText w:val="-"/>
      <w:lvlJc w:val="left"/>
      <w:pPr>
        <w:ind w:left="2880" w:hanging="360"/>
      </w:pPr>
      <w:rPr>
        <w:rFonts w:ascii="Arial" w:eastAsiaTheme="minorHAnsi" w:hAnsi="Arial" w:cs="Arial" w:hint="default"/>
      </w:rPr>
    </w:lvl>
    <w:lvl w:ilvl="4" w:tplc="20B2BB36" w:tentative="1">
      <w:start w:val="1"/>
      <w:numFmt w:val="bullet"/>
      <w:lvlText w:val="o"/>
      <w:lvlJc w:val="left"/>
      <w:pPr>
        <w:ind w:left="3600" w:hanging="360"/>
      </w:pPr>
      <w:rPr>
        <w:rFonts w:ascii="Courier New" w:hAnsi="Courier New" w:cs="Courier New" w:hint="default"/>
      </w:rPr>
    </w:lvl>
    <w:lvl w:ilvl="5" w:tplc="AF50107C" w:tentative="1">
      <w:start w:val="1"/>
      <w:numFmt w:val="bullet"/>
      <w:lvlText w:val=""/>
      <w:lvlJc w:val="left"/>
      <w:pPr>
        <w:ind w:left="4320" w:hanging="360"/>
      </w:pPr>
      <w:rPr>
        <w:rFonts w:ascii="Wingdings" w:hAnsi="Wingdings" w:hint="default"/>
      </w:rPr>
    </w:lvl>
    <w:lvl w:ilvl="6" w:tplc="E1761F9A" w:tentative="1">
      <w:start w:val="1"/>
      <w:numFmt w:val="bullet"/>
      <w:lvlText w:val=""/>
      <w:lvlJc w:val="left"/>
      <w:pPr>
        <w:ind w:left="5040" w:hanging="360"/>
      </w:pPr>
      <w:rPr>
        <w:rFonts w:ascii="Symbol" w:hAnsi="Symbol" w:hint="default"/>
      </w:rPr>
    </w:lvl>
    <w:lvl w:ilvl="7" w:tplc="AFDC022E" w:tentative="1">
      <w:start w:val="1"/>
      <w:numFmt w:val="bullet"/>
      <w:lvlText w:val="o"/>
      <w:lvlJc w:val="left"/>
      <w:pPr>
        <w:ind w:left="5760" w:hanging="360"/>
      </w:pPr>
      <w:rPr>
        <w:rFonts w:ascii="Courier New" w:hAnsi="Courier New" w:cs="Courier New" w:hint="default"/>
      </w:rPr>
    </w:lvl>
    <w:lvl w:ilvl="8" w:tplc="F094E55A" w:tentative="1">
      <w:start w:val="1"/>
      <w:numFmt w:val="bullet"/>
      <w:lvlText w:val=""/>
      <w:lvlJc w:val="left"/>
      <w:pPr>
        <w:ind w:left="6480" w:hanging="360"/>
      </w:pPr>
      <w:rPr>
        <w:rFonts w:ascii="Wingdings" w:hAnsi="Wingdings" w:hint="default"/>
      </w:rPr>
    </w:lvl>
  </w:abstractNum>
  <w:abstractNum w:abstractNumId="28" w15:restartNumberingAfterBreak="0">
    <w:nsid w:val="61C475C8"/>
    <w:multiLevelType w:val="hybridMultilevel"/>
    <w:tmpl w:val="761A1E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65320E74"/>
    <w:multiLevelType w:val="hybridMultilevel"/>
    <w:tmpl w:val="53848992"/>
    <w:lvl w:ilvl="0" w:tplc="7132225E">
      <w:start w:val="1"/>
      <w:numFmt w:val="bullet"/>
      <w:pStyle w:val="ListBullet3"/>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30" w15:restartNumberingAfterBreak="0">
    <w:nsid w:val="6ED40041"/>
    <w:multiLevelType w:val="hybridMultilevel"/>
    <w:tmpl w:val="F8987FA2"/>
    <w:lvl w:ilvl="0" w:tplc="A424832E">
      <w:numFmt w:val="bullet"/>
      <w:pStyle w:val="ListBullet4"/>
      <w:lvlText w:val="•"/>
      <w:lvlJc w:val="left"/>
      <w:pPr>
        <w:ind w:left="108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6F6F31DC"/>
    <w:multiLevelType w:val="multilevel"/>
    <w:tmpl w:val="47AACDC2"/>
    <w:lvl w:ilvl="0">
      <w:start w:val="1"/>
      <w:numFmt w:val="bullet"/>
      <w:lvlText w:val="•"/>
      <w:lvlJc w:val="left"/>
      <w:pPr>
        <w:ind w:left="357" w:hanging="357"/>
      </w:pPr>
      <w:rPr>
        <w:rFonts w:ascii="Arial" w:hAnsi="Arial" w:hint="default"/>
        <w:color w:val="2AB1BB" w:themeColor="accent1"/>
      </w:rPr>
    </w:lvl>
    <w:lvl w:ilvl="1">
      <w:start w:val="1"/>
      <w:numFmt w:val="bullet"/>
      <w:pStyle w:val="ListBullet2"/>
      <w:lvlText w:val="–"/>
      <w:lvlJc w:val="left"/>
      <w:pPr>
        <w:ind w:left="714" w:hanging="357"/>
      </w:pPr>
      <w:rPr>
        <w:rFonts w:ascii="Calibri" w:hAnsi="Calibri" w:hint="default"/>
        <w:color w:val="auto"/>
      </w:rPr>
    </w:lvl>
    <w:lvl w:ilvl="2">
      <w:start w:val="1"/>
      <w:numFmt w:val="bullet"/>
      <w:lvlText w:val="•"/>
      <w:lvlJc w:val="left"/>
      <w:pPr>
        <w:ind w:left="1071" w:hanging="357"/>
      </w:p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32" w15:restartNumberingAfterBreak="0">
    <w:nsid w:val="701B09B9"/>
    <w:multiLevelType w:val="hybridMultilevel"/>
    <w:tmpl w:val="1DC6A936"/>
    <w:lvl w:ilvl="0" w:tplc="A590F964">
      <w:start w:val="2"/>
      <w:numFmt w:val="bullet"/>
      <w:lvlText w:val=""/>
      <w:lvlJc w:val="left"/>
      <w:pPr>
        <w:ind w:left="720" w:hanging="360"/>
      </w:pPr>
      <w:rPr>
        <w:rFonts w:ascii="Symbol" w:eastAsiaTheme="minorHAnsi" w:hAnsi="Symbol" w:cs="Segoe UI"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9074C7"/>
    <w:multiLevelType w:val="hybridMultilevel"/>
    <w:tmpl w:val="2EEED5B2"/>
    <w:lvl w:ilvl="0" w:tplc="B83084EA">
      <w:numFmt w:val="bullet"/>
      <w:lvlText w:val="•"/>
      <w:lvlJc w:val="left"/>
      <w:pPr>
        <w:ind w:left="36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7D3D552F"/>
    <w:multiLevelType w:val="multilevel"/>
    <w:tmpl w:val="0C090025"/>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7EDA33E6"/>
    <w:multiLevelType w:val="hybridMultilevel"/>
    <w:tmpl w:val="9468F74E"/>
    <w:lvl w:ilvl="0" w:tplc="B83084EA">
      <w:numFmt w:val="bullet"/>
      <w:lvlText w:val="•"/>
      <w:lvlJc w:val="left"/>
      <w:pPr>
        <w:ind w:left="360" w:hanging="360"/>
      </w:pPr>
      <w:rPr>
        <w:rFonts w:ascii="Proxima Nova" w:eastAsia="Proxima Nova" w:hAnsi="Proxima Nova" w:cs="Proxima Nova" w:hint="default"/>
        <w:b w:val="0"/>
        <w:bCs w:val="0"/>
        <w:i w:val="0"/>
        <w:iCs w:val="0"/>
        <w:color w:val="2AB1BB"/>
        <w:w w:val="100"/>
        <w:sz w:val="24"/>
        <w:szCs w:val="24"/>
        <w:lang w:val="en-US" w:eastAsia="en-US" w:bidi="ar-S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31"/>
  </w:num>
  <w:num w:numId="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26"/>
  </w:num>
  <w:num w:numId="5">
    <w:abstractNumId w:val="17"/>
  </w:num>
  <w:num w:numId="6">
    <w:abstractNumId w:val="33"/>
  </w:num>
  <w:num w:numId="7">
    <w:abstractNumId w:val="24"/>
  </w:num>
  <w:num w:numId="8">
    <w:abstractNumId w:val="7"/>
  </w:num>
  <w:num w:numId="9">
    <w:abstractNumId w:val="22"/>
  </w:num>
  <w:num w:numId="10">
    <w:abstractNumId w:val="25"/>
  </w:num>
  <w:num w:numId="11">
    <w:abstractNumId w:val="31"/>
  </w:num>
  <w:num w:numId="12">
    <w:abstractNumId w:val="31"/>
  </w:num>
  <w:num w:numId="13">
    <w:abstractNumId w:val="20"/>
  </w:num>
  <w:num w:numId="14">
    <w:abstractNumId w:val="13"/>
  </w:num>
  <w:num w:numId="15">
    <w:abstractNumId w:val="35"/>
  </w:num>
  <w:num w:numId="16">
    <w:abstractNumId w:val="31"/>
  </w:num>
  <w:num w:numId="17">
    <w:abstractNumId w:val="31"/>
  </w:num>
  <w:num w:numId="18">
    <w:abstractNumId w:val="28"/>
  </w:num>
  <w:num w:numId="19">
    <w:abstractNumId w:val="14"/>
  </w:num>
  <w:num w:numId="20">
    <w:abstractNumId w:val="23"/>
  </w:num>
  <w:num w:numId="21">
    <w:abstractNumId w:val="12"/>
  </w:num>
  <w:num w:numId="22">
    <w:abstractNumId w:val="4"/>
  </w:num>
  <w:num w:numId="23">
    <w:abstractNumId w:val="21"/>
  </w:num>
  <w:num w:numId="24">
    <w:abstractNumId w:val="18"/>
  </w:num>
  <w:num w:numId="25">
    <w:abstractNumId w:val="5"/>
  </w:num>
  <w:num w:numId="26">
    <w:abstractNumId w:val="10"/>
  </w:num>
  <w:num w:numId="27">
    <w:abstractNumId w:val="16"/>
  </w:num>
  <w:num w:numId="28">
    <w:abstractNumId w:val="11"/>
  </w:num>
  <w:num w:numId="29">
    <w:abstractNumId w:val="6"/>
  </w:num>
  <w:num w:numId="30">
    <w:abstractNumId w:val="8"/>
  </w:num>
  <w:num w:numId="31">
    <w:abstractNumId w:val="32"/>
  </w:num>
  <w:num w:numId="32">
    <w:abstractNumId w:val="15"/>
  </w:num>
  <w:num w:numId="33">
    <w:abstractNumId w:val="27"/>
  </w:num>
  <w:num w:numId="34">
    <w:abstractNumId w:val="34"/>
  </w:num>
  <w:num w:numId="35">
    <w:abstractNumId w:val="3"/>
  </w:num>
  <w:num w:numId="36">
    <w:abstractNumId w:val="2"/>
  </w:num>
  <w:num w:numId="37">
    <w:abstractNumId w:val="1"/>
  </w:num>
  <w:num w:numId="38">
    <w:abstractNumId w:val="0"/>
  </w:num>
  <w:num w:numId="39">
    <w:abstractNumId w:val="19"/>
  </w:num>
  <w:num w:numId="40">
    <w:abstractNumId w:val="29"/>
  </w:num>
  <w:num w:numId="41">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hdrShapeDefaults>
    <o:shapedefaults v:ext="edit" spidmax="28673"/>
  </w:hdrShapeDefaults>
  <w:footnotePr>
    <w:footnote w:id="-1"/>
    <w:footnote w:id="0"/>
    <w:footnote w:id="1"/>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56A3"/>
    <w:rsid w:val="00005C81"/>
    <w:rsid w:val="000075A9"/>
    <w:rsid w:val="0002552A"/>
    <w:rsid w:val="00025F7A"/>
    <w:rsid w:val="00031344"/>
    <w:rsid w:val="00053DB6"/>
    <w:rsid w:val="00055191"/>
    <w:rsid w:val="00060EE7"/>
    <w:rsid w:val="0006449D"/>
    <w:rsid w:val="00065FA5"/>
    <w:rsid w:val="00066640"/>
    <w:rsid w:val="00070352"/>
    <w:rsid w:val="00091FA5"/>
    <w:rsid w:val="000935FA"/>
    <w:rsid w:val="000A6BBB"/>
    <w:rsid w:val="000B5D92"/>
    <w:rsid w:val="000B7D20"/>
    <w:rsid w:val="000C5900"/>
    <w:rsid w:val="000C7FD3"/>
    <w:rsid w:val="000D0000"/>
    <w:rsid w:val="000D15F1"/>
    <w:rsid w:val="000D61F2"/>
    <w:rsid w:val="000E1417"/>
    <w:rsid w:val="000E1A45"/>
    <w:rsid w:val="000F006C"/>
    <w:rsid w:val="000F3932"/>
    <w:rsid w:val="000F3A4D"/>
    <w:rsid w:val="000F6D36"/>
    <w:rsid w:val="00114E96"/>
    <w:rsid w:val="0012010B"/>
    <w:rsid w:val="0012490F"/>
    <w:rsid w:val="00125D32"/>
    <w:rsid w:val="00130641"/>
    <w:rsid w:val="00131E6F"/>
    <w:rsid w:val="001368BF"/>
    <w:rsid w:val="001423B3"/>
    <w:rsid w:val="001449E6"/>
    <w:rsid w:val="00146351"/>
    <w:rsid w:val="00156623"/>
    <w:rsid w:val="00161634"/>
    <w:rsid w:val="001619A0"/>
    <w:rsid w:val="00164A4A"/>
    <w:rsid w:val="00181434"/>
    <w:rsid w:val="0018750C"/>
    <w:rsid w:val="001A1621"/>
    <w:rsid w:val="001A5B80"/>
    <w:rsid w:val="001B3174"/>
    <w:rsid w:val="001B4476"/>
    <w:rsid w:val="001D0D47"/>
    <w:rsid w:val="001D3616"/>
    <w:rsid w:val="001E29F6"/>
    <w:rsid w:val="001E40A2"/>
    <w:rsid w:val="001E54EB"/>
    <w:rsid w:val="001E6D9D"/>
    <w:rsid w:val="001E7AC2"/>
    <w:rsid w:val="001F0349"/>
    <w:rsid w:val="001F1111"/>
    <w:rsid w:val="001F14F6"/>
    <w:rsid w:val="001F34F5"/>
    <w:rsid w:val="001F3FEF"/>
    <w:rsid w:val="002015A3"/>
    <w:rsid w:val="00201F79"/>
    <w:rsid w:val="00202037"/>
    <w:rsid w:val="00221FB0"/>
    <w:rsid w:val="00236F5E"/>
    <w:rsid w:val="00240AD4"/>
    <w:rsid w:val="00241CAC"/>
    <w:rsid w:val="002460B8"/>
    <w:rsid w:val="00250E22"/>
    <w:rsid w:val="0026496A"/>
    <w:rsid w:val="00277088"/>
    <w:rsid w:val="0028161D"/>
    <w:rsid w:val="00283102"/>
    <w:rsid w:val="002843FF"/>
    <w:rsid w:val="00284ED5"/>
    <w:rsid w:val="00286DE4"/>
    <w:rsid w:val="00296CA3"/>
    <w:rsid w:val="00297745"/>
    <w:rsid w:val="002A0E95"/>
    <w:rsid w:val="002A1EA8"/>
    <w:rsid w:val="002A2A59"/>
    <w:rsid w:val="002A4F50"/>
    <w:rsid w:val="002B0064"/>
    <w:rsid w:val="002B32FE"/>
    <w:rsid w:val="002C0AA4"/>
    <w:rsid w:val="002C5FCB"/>
    <w:rsid w:val="002C617F"/>
    <w:rsid w:val="002D06D0"/>
    <w:rsid w:val="002D1DE0"/>
    <w:rsid w:val="002D2EAA"/>
    <w:rsid w:val="002D425A"/>
    <w:rsid w:val="002D7D35"/>
    <w:rsid w:val="002E2624"/>
    <w:rsid w:val="002E4016"/>
    <w:rsid w:val="002E49FF"/>
    <w:rsid w:val="002E7535"/>
    <w:rsid w:val="003056A3"/>
    <w:rsid w:val="0031005E"/>
    <w:rsid w:val="003222B2"/>
    <w:rsid w:val="00327696"/>
    <w:rsid w:val="003316B7"/>
    <w:rsid w:val="00335C63"/>
    <w:rsid w:val="003375BD"/>
    <w:rsid w:val="00340E6F"/>
    <w:rsid w:val="00343402"/>
    <w:rsid w:val="00343DBF"/>
    <w:rsid w:val="00360237"/>
    <w:rsid w:val="00363C6F"/>
    <w:rsid w:val="003755C5"/>
    <w:rsid w:val="00376EB3"/>
    <w:rsid w:val="00384C6B"/>
    <w:rsid w:val="003874E8"/>
    <w:rsid w:val="0039191E"/>
    <w:rsid w:val="00391F7F"/>
    <w:rsid w:val="003921E8"/>
    <w:rsid w:val="0039246A"/>
    <w:rsid w:val="00392CBA"/>
    <w:rsid w:val="00393BDE"/>
    <w:rsid w:val="00396256"/>
    <w:rsid w:val="003A5A4C"/>
    <w:rsid w:val="003B0D5A"/>
    <w:rsid w:val="003B4D5D"/>
    <w:rsid w:val="003C38BD"/>
    <w:rsid w:val="003D6CC4"/>
    <w:rsid w:val="003E1EB8"/>
    <w:rsid w:val="003E54D2"/>
    <w:rsid w:val="003E628B"/>
    <w:rsid w:val="003F4654"/>
    <w:rsid w:val="003F48EC"/>
    <w:rsid w:val="003F77EF"/>
    <w:rsid w:val="0040447B"/>
    <w:rsid w:val="0041296A"/>
    <w:rsid w:val="004222FB"/>
    <w:rsid w:val="0042530C"/>
    <w:rsid w:val="00431775"/>
    <w:rsid w:val="00436739"/>
    <w:rsid w:val="00437FE9"/>
    <w:rsid w:val="004420B3"/>
    <w:rsid w:val="004477D9"/>
    <w:rsid w:val="004513BF"/>
    <w:rsid w:val="004513C7"/>
    <w:rsid w:val="00451A32"/>
    <w:rsid w:val="00466118"/>
    <w:rsid w:val="00485486"/>
    <w:rsid w:val="0049045A"/>
    <w:rsid w:val="00490BEF"/>
    <w:rsid w:val="00491685"/>
    <w:rsid w:val="0049220F"/>
    <w:rsid w:val="00492AC9"/>
    <w:rsid w:val="0049607C"/>
    <w:rsid w:val="004A0AAF"/>
    <w:rsid w:val="004A1F24"/>
    <w:rsid w:val="004A7B0B"/>
    <w:rsid w:val="004A7F9B"/>
    <w:rsid w:val="004B268A"/>
    <w:rsid w:val="004C5B2E"/>
    <w:rsid w:val="004C7B3F"/>
    <w:rsid w:val="004D0A2C"/>
    <w:rsid w:val="004D2471"/>
    <w:rsid w:val="004D63CB"/>
    <w:rsid w:val="004F74EE"/>
    <w:rsid w:val="005160F8"/>
    <w:rsid w:val="0052298F"/>
    <w:rsid w:val="00522C60"/>
    <w:rsid w:val="0052580F"/>
    <w:rsid w:val="00526539"/>
    <w:rsid w:val="005327F3"/>
    <w:rsid w:val="00534791"/>
    <w:rsid w:val="00534EA6"/>
    <w:rsid w:val="00535CC1"/>
    <w:rsid w:val="0054163F"/>
    <w:rsid w:val="0055112D"/>
    <w:rsid w:val="0055392E"/>
    <w:rsid w:val="00555781"/>
    <w:rsid w:val="00556003"/>
    <w:rsid w:val="00556411"/>
    <w:rsid w:val="00556712"/>
    <w:rsid w:val="00564D76"/>
    <w:rsid w:val="00570909"/>
    <w:rsid w:val="00573391"/>
    <w:rsid w:val="00574F79"/>
    <w:rsid w:val="00581EED"/>
    <w:rsid w:val="00585650"/>
    <w:rsid w:val="00592259"/>
    <w:rsid w:val="00596FCD"/>
    <w:rsid w:val="005A05DD"/>
    <w:rsid w:val="005B384B"/>
    <w:rsid w:val="005D0CEB"/>
    <w:rsid w:val="005D55ED"/>
    <w:rsid w:val="005D788E"/>
    <w:rsid w:val="005F1DB8"/>
    <w:rsid w:val="005F65D2"/>
    <w:rsid w:val="006014C7"/>
    <w:rsid w:val="006022D9"/>
    <w:rsid w:val="00606C3B"/>
    <w:rsid w:val="00610FA4"/>
    <w:rsid w:val="00614B7E"/>
    <w:rsid w:val="00614C2B"/>
    <w:rsid w:val="0062195B"/>
    <w:rsid w:val="0064716B"/>
    <w:rsid w:val="00661A4E"/>
    <w:rsid w:val="006665A7"/>
    <w:rsid w:val="006733A4"/>
    <w:rsid w:val="0068369F"/>
    <w:rsid w:val="006859C1"/>
    <w:rsid w:val="0069576D"/>
    <w:rsid w:val="006A14C7"/>
    <w:rsid w:val="006B1A84"/>
    <w:rsid w:val="006B3E48"/>
    <w:rsid w:val="006B467E"/>
    <w:rsid w:val="006B6098"/>
    <w:rsid w:val="006B6371"/>
    <w:rsid w:val="006C63A3"/>
    <w:rsid w:val="006D0D39"/>
    <w:rsid w:val="006D2E0C"/>
    <w:rsid w:val="006D39A7"/>
    <w:rsid w:val="006E072F"/>
    <w:rsid w:val="006E226D"/>
    <w:rsid w:val="006E7887"/>
    <w:rsid w:val="006F0996"/>
    <w:rsid w:val="007007C6"/>
    <w:rsid w:val="007013A9"/>
    <w:rsid w:val="007118C8"/>
    <w:rsid w:val="007136B7"/>
    <w:rsid w:val="00716B3E"/>
    <w:rsid w:val="007233DA"/>
    <w:rsid w:val="00726EB6"/>
    <w:rsid w:val="00727D0E"/>
    <w:rsid w:val="00732075"/>
    <w:rsid w:val="00733E88"/>
    <w:rsid w:val="007345B8"/>
    <w:rsid w:val="00737106"/>
    <w:rsid w:val="00741F27"/>
    <w:rsid w:val="00746A81"/>
    <w:rsid w:val="007500E4"/>
    <w:rsid w:val="007502AF"/>
    <w:rsid w:val="0075137F"/>
    <w:rsid w:val="007558DD"/>
    <w:rsid w:val="00755D78"/>
    <w:rsid w:val="00757960"/>
    <w:rsid w:val="00763CEF"/>
    <w:rsid w:val="007715CD"/>
    <w:rsid w:val="00775438"/>
    <w:rsid w:val="007758ED"/>
    <w:rsid w:val="007807D2"/>
    <w:rsid w:val="00780806"/>
    <w:rsid w:val="0078177E"/>
    <w:rsid w:val="00782B01"/>
    <w:rsid w:val="007856DE"/>
    <w:rsid w:val="0078677E"/>
    <w:rsid w:val="00790E1E"/>
    <w:rsid w:val="00790F61"/>
    <w:rsid w:val="007A330C"/>
    <w:rsid w:val="007A60BA"/>
    <w:rsid w:val="007B023B"/>
    <w:rsid w:val="007B66F4"/>
    <w:rsid w:val="007C1A1D"/>
    <w:rsid w:val="007C710D"/>
    <w:rsid w:val="007D1556"/>
    <w:rsid w:val="007D1601"/>
    <w:rsid w:val="007E0F50"/>
    <w:rsid w:val="007E39DB"/>
    <w:rsid w:val="007F22A0"/>
    <w:rsid w:val="007F22A1"/>
    <w:rsid w:val="007F2B5E"/>
    <w:rsid w:val="00801955"/>
    <w:rsid w:val="00812350"/>
    <w:rsid w:val="0082658F"/>
    <w:rsid w:val="00833300"/>
    <w:rsid w:val="00837A85"/>
    <w:rsid w:val="00841A79"/>
    <w:rsid w:val="008606E0"/>
    <w:rsid w:val="00863F63"/>
    <w:rsid w:val="00864E86"/>
    <w:rsid w:val="0087212E"/>
    <w:rsid w:val="0087428D"/>
    <w:rsid w:val="00876DF3"/>
    <w:rsid w:val="00876EFD"/>
    <w:rsid w:val="00877097"/>
    <w:rsid w:val="00891184"/>
    <w:rsid w:val="0089160E"/>
    <w:rsid w:val="00891781"/>
    <w:rsid w:val="00896E9D"/>
    <w:rsid w:val="008A3FA8"/>
    <w:rsid w:val="008A4E23"/>
    <w:rsid w:val="008B4E77"/>
    <w:rsid w:val="008C0B25"/>
    <w:rsid w:val="008C3A55"/>
    <w:rsid w:val="008D0065"/>
    <w:rsid w:val="008D7642"/>
    <w:rsid w:val="008E2281"/>
    <w:rsid w:val="008E52A4"/>
    <w:rsid w:val="008E7185"/>
    <w:rsid w:val="008F5565"/>
    <w:rsid w:val="008F6940"/>
    <w:rsid w:val="0090670B"/>
    <w:rsid w:val="00910B85"/>
    <w:rsid w:val="00922405"/>
    <w:rsid w:val="00935C28"/>
    <w:rsid w:val="00937D18"/>
    <w:rsid w:val="00947454"/>
    <w:rsid w:val="00962F0A"/>
    <w:rsid w:val="0096458C"/>
    <w:rsid w:val="00972B73"/>
    <w:rsid w:val="00983B83"/>
    <w:rsid w:val="00990F5E"/>
    <w:rsid w:val="00992DD8"/>
    <w:rsid w:val="009B0A04"/>
    <w:rsid w:val="009B51F6"/>
    <w:rsid w:val="009C7881"/>
    <w:rsid w:val="009D69D3"/>
    <w:rsid w:val="009E2B3F"/>
    <w:rsid w:val="009E6116"/>
    <w:rsid w:val="009F0B1D"/>
    <w:rsid w:val="00A013F5"/>
    <w:rsid w:val="00A2165D"/>
    <w:rsid w:val="00A30042"/>
    <w:rsid w:val="00A40DAD"/>
    <w:rsid w:val="00A4637C"/>
    <w:rsid w:val="00A47554"/>
    <w:rsid w:val="00A5338E"/>
    <w:rsid w:val="00A61363"/>
    <w:rsid w:val="00A67847"/>
    <w:rsid w:val="00A762F5"/>
    <w:rsid w:val="00A84EDE"/>
    <w:rsid w:val="00AA4B63"/>
    <w:rsid w:val="00AA75F2"/>
    <w:rsid w:val="00AB1E06"/>
    <w:rsid w:val="00AB2121"/>
    <w:rsid w:val="00AC748B"/>
    <w:rsid w:val="00AD2EC0"/>
    <w:rsid w:val="00AD5999"/>
    <w:rsid w:val="00AD7053"/>
    <w:rsid w:val="00AE3F2C"/>
    <w:rsid w:val="00AE44AF"/>
    <w:rsid w:val="00AE5298"/>
    <w:rsid w:val="00AE57FA"/>
    <w:rsid w:val="00AE5C91"/>
    <w:rsid w:val="00AF4B7A"/>
    <w:rsid w:val="00AF52DC"/>
    <w:rsid w:val="00B04447"/>
    <w:rsid w:val="00B04617"/>
    <w:rsid w:val="00B04BCF"/>
    <w:rsid w:val="00B115D1"/>
    <w:rsid w:val="00B152B7"/>
    <w:rsid w:val="00B25D8A"/>
    <w:rsid w:val="00B26AED"/>
    <w:rsid w:val="00B33F77"/>
    <w:rsid w:val="00B42BD7"/>
    <w:rsid w:val="00B475DF"/>
    <w:rsid w:val="00B57820"/>
    <w:rsid w:val="00B600AE"/>
    <w:rsid w:val="00B67B3D"/>
    <w:rsid w:val="00B7142A"/>
    <w:rsid w:val="00B73733"/>
    <w:rsid w:val="00B813F6"/>
    <w:rsid w:val="00B8412C"/>
    <w:rsid w:val="00B95BA1"/>
    <w:rsid w:val="00BA1D31"/>
    <w:rsid w:val="00BA556D"/>
    <w:rsid w:val="00BA7608"/>
    <w:rsid w:val="00BB0E6E"/>
    <w:rsid w:val="00BB101C"/>
    <w:rsid w:val="00BB1841"/>
    <w:rsid w:val="00BB1EFC"/>
    <w:rsid w:val="00BB57F6"/>
    <w:rsid w:val="00BB6D43"/>
    <w:rsid w:val="00BB771C"/>
    <w:rsid w:val="00BD02C9"/>
    <w:rsid w:val="00BE0D75"/>
    <w:rsid w:val="00BF30A6"/>
    <w:rsid w:val="00C03503"/>
    <w:rsid w:val="00C1101A"/>
    <w:rsid w:val="00C12147"/>
    <w:rsid w:val="00C13E00"/>
    <w:rsid w:val="00C147CE"/>
    <w:rsid w:val="00C14DA9"/>
    <w:rsid w:val="00C16E8A"/>
    <w:rsid w:val="00C23054"/>
    <w:rsid w:val="00C27774"/>
    <w:rsid w:val="00C2796A"/>
    <w:rsid w:val="00C47E06"/>
    <w:rsid w:val="00C55F40"/>
    <w:rsid w:val="00C61061"/>
    <w:rsid w:val="00C6259B"/>
    <w:rsid w:val="00C62B6E"/>
    <w:rsid w:val="00C700CE"/>
    <w:rsid w:val="00C856FC"/>
    <w:rsid w:val="00C87068"/>
    <w:rsid w:val="00C92242"/>
    <w:rsid w:val="00C944B0"/>
    <w:rsid w:val="00C9551F"/>
    <w:rsid w:val="00CA7100"/>
    <w:rsid w:val="00CA7254"/>
    <w:rsid w:val="00CB03A9"/>
    <w:rsid w:val="00CB2DBB"/>
    <w:rsid w:val="00CB5140"/>
    <w:rsid w:val="00CB5AF2"/>
    <w:rsid w:val="00CC1329"/>
    <w:rsid w:val="00CC2927"/>
    <w:rsid w:val="00CD4391"/>
    <w:rsid w:val="00CD7C4F"/>
    <w:rsid w:val="00CE03A7"/>
    <w:rsid w:val="00CE0CA2"/>
    <w:rsid w:val="00CE6964"/>
    <w:rsid w:val="00CF35AF"/>
    <w:rsid w:val="00D05316"/>
    <w:rsid w:val="00D10339"/>
    <w:rsid w:val="00D116A7"/>
    <w:rsid w:val="00D129FC"/>
    <w:rsid w:val="00D152C3"/>
    <w:rsid w:val="00D2031D"/>
    <w:rsid w:val="00D238F8"/>
    <w:rsid w:val="00D36F8B"/>
    <w:rsid w:val="00D439D2"/>
    <w:rsid w:val="00D47E13"/>
    <w:rsid w:val="00D62DE1"/>
    <w:rsid w:val="00D63D2E"/>
    <w:rsid w:val="00D655DA"/>
    <w:rsid w:val="00D655F9"/>
    <w:rsid w:val="00D70C8A"/>
    <w:rsid w:val="00D77F2D"/>
    <w:rsid w:val="00D814D3"/>
    <w:rsid w:val="00D875B6"/>
    <w:rsid w:val="00D902A0"/>
    <w:rsid w:val="00D91A3E"/>
    <w:rsid w:val="00D9617C"/>
    <w:rsid w:val="00DA3ADA"/>
    <w:rsid w:val="00DB3F9E"/>
    <w:rsid w:val="00DF013C"/>
    <w:rsid w:val="00DF6A84"/>
    <w:rsid w:val="00E03442"/>
    <w:rsid w:val="00E058F2"/>
    <w:rsid w:val="00E10CFD"/>
    <w:rsid w:val="00E16428"/>
    <w:rsid w:val="00E16ED6"/>
    <w:rsid w:val="00E26EA8"/>
    <w:rsid w:val="00E41273"/>
    <w:rsid w:val="00E42691"/>
    <w:rsid w:val="00E52B8F"/>
    <w:rsid w:val="00E5773B"/>
    <w:rsid w:val="00E766B1"/>
    <w:rsid w:val="00E76916"/>
    <w:rsid w:val="00E87065"/>
    <w:rsid w:val="00E945BD"/>
    <w:rsid w:val="00EA1421"/>
    <w:rsid w:val="00EC2E2B"/>
    <w:rsid w:val="00ED59BA"/>
    <w:rsid w:val="00EE08AE"/>
    <w:rsid w:val="00EE7D93"/>
    <w:rsid w:val="00EF3A33"/>
    <w:rsid w:val="00F010DC"/>
    <w:rsid w:val="00F12E44"/>
    <w:rsid w:val="00F17372"/>
    <w:rsid w:val="00F27A0A"/>
    <w:rsid w:val="00F317D9"/>
    <w:rsid w:val="00F3640A"/>
    <w:rsid w:val="00F37D8B"/>
    <w:rsid w:val="00F41E98"/>
    <w:rsid w:val="00F52FB0"/>
    <w:rsid w:val="00F567D2"/>
    <w:rsid w:val="00F633AB"/>
    <w:rsid w:val="00F67F01"/>
    <w:rsid w:val="00F70058"/>
    <w:rsid w:val="00F80913"/>
    <w:rsid w:val="00F82437"/>
    <w:rsid w:val="00F84BD9"/>
    <w:rsid w:val="00F919ED"/>
    <w:rsid w:val="00F95206"/>
    <w:rsid w:val="00F977BF"/>
    <w:rsid w:val="00FB3310"/>
    <w:rsid w:val="00FC05E0"/>
    <w:rsid w:val="00FD1002"/>
    <w:rsid w:val="00FD1A43"/>
    <w:rsid w:val="00FD31D5"/>
    <w:rsid w:val="00FD4727"/>
    <w:rsid w:val="00FD49CC"/>
    <w:rsid w:val="00FE16B4"/>
    <w:rsid w:val="00FF1D62"/>
    <w:rsid w:val="00FF5866"/>
    <w:rsid w:val="01DB2E30"/>
    <w:rsid w:val="40EA82DE"/>
    <w:rsid w:val="4FD44B0C"/>
    <w:rsid w:val="5D05D8AC"/>
    <w:rsid w:val="712E37CE"/>
    <w:rsid w:val="79E944A7"/>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75FFDDA3"/>
  <w15:docId w15:val="{FA260E9F-42FD-483B-96DA-150DDF9E8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775"/>
    <w:pPr>
      <w:spacing w:before="120" w:after="120" w:line="276" w:lineRule="auto"/>
    </w:pPr>
    <w:rPr>
      <w:rFonts w:ascii="Arial" w:eastAsia="Proxima Nova" w:hAnsi="Arial" w:cs="Proxima Nova"/>
      <w:color w:val="1E1545" w:themeColor="text2"/>
      <w:sz w:val="24"/>
    </w:rPr>
  </w:style>
  <w:style w:type="paragraph" w:styleId="Heading1">
    <w:name w:val="heading 1"/>
    <w:basedOn w:val="Normal"/>
    <w:link w:val="Heading1Char"/>
    <w:uiPriority w:val="9"/>
    <w:qFormat/>
    <w:rsid w:val="004D2471"/>
    <w:pPr>
      <w:numPr>
        <w:numId w:val="34"/>
      </w:numPr>
      <w:spacing w:before="240"/>
      <w:ind w:left="567" w:hanging="567"/>
      <w:outlineLvl w:val="0"/>
    </w:pPr>
    <w:rPr>
      <w:b/>
      <w:bCs/>
      <w:sz w:val="32"/>
      <w:szCs w:val="90"/>
    </w:rPr>
  </w:style>
  <w:style w:type="paragraph" w:styleId="Heading2">
    <w:name w:val="heading 2"/>
    <w:basedOn w:val="Normal"/>
    <w:uiPriority w:val="9"/>
    <w:unhideWhenUsed/>
    <w:qFormat/>
    <w:rsid w:val="007807D2"/>
    <w:pPr>
      <w:keepNext/>
      <w:keepLines/>
      <w:widowControl/>
      <w:outlineLvl w:val="1"/>
    </w:pPr>
    <w:rPr>
      <w:b/>
      <w:bCs/>
      <w:sz w:val="32"/>
      <w:szCs w:val="36"/>
    </w:rPr>
  </w:style>
  <w:style w:type="paragraph" w:styleId="Heading3">
    <w:name w:val="heading 3"/>
    <w:basedOn w:val="Normal"/>
    <w:uiPriority w:val="9"/>
    <w:unhideWhenUsed/>
    <w:qFormat/>
    <w:rsid w:val="0049607C"/>
    <w:pPr>
      <w:numPr>
        <w:ilvl w:val="2"/>
        <w:numId w:val="34"/>
      </w:numPr>
      <w:spacing w:before="240" w:after="80"/>
      <w:outlineLvl w:val="2"/>
    </w:pPr>
    <w:rPr>
      <w:b/>
      <w:bCs/>
      <w:sz w:val="28"/>
      <w:szCs w:val="28"/>
    </w:rPr>
  </w:style>
  <w:style w:type="paragraph" w:styleId="Heading4">
    <w:name w:val="heading 4"/>
    <w:basedOn w:val="Normal"/>
    <w:next w:val="Normal"/>
    <w:link w:val="Heading4Char"/>
    <w:uiPriority w:val="9"/>
    <w:semiHidden/>
    <w:unhideWhenUsed/>
    <w:qFormat/>
    <w:rsid w:val="00FD31D5"/>
    <w:pPr>
      <w:keepNext/>
      <w:keepLines/>
      <w:numPr>
        <w:ilvl w:val="3"/>
        <w:numId w:val="34"/>
      </w:numPr>
      <w:spacing w:before="40"/>
      <w:outlineLvl w:val="3"/>
    </w:pPr>
    <w:rPr>
      <w:rFonts w:asciiTheme="majorHAnsi" w:eastAsiaTheme="majorEastAsia" w:hAnsiTheme="majorHAnsi" w:cstheme="majorBidi"/>
      <w:i/>
      <w:iCs/>
      <w:color w:val="1F848B" w:themeColor="accent1" w:themeShade="BF"/>
    </w:rPr>
  </w:style>
  <w:style w:type="paragraph" w:styleId="Heading5">
    <w:name w:val="heading 5"/>
    <w:basedOn w:val="Normal"/>
    <w:next w:val="Normal"/>
    <w:link w:val="Heading5Char"/>
    <w:uiPriority w:val="9"/>
    <w:semiHidden/>
    <w:unhideWhenUsed/>
    <w:qFormat/>
    <w:rsid w:val="00FD31D5"/>
    <w:pPr>
      <w:keepNext/>
      <w:keepLines/>
      <w:numPr>
        <w:ilvl w:val="4"/>
        <w:numId w:val="34"/>
      </w:numPr>
      <w:spacing w:before="40"/>
      <w:outlineLvl w:val="4"/>
    </w:pPr>
    <w:rPr>
      <w:rFonts w:asciiTheme="majorHAnsi" w:eastAsiaTheme="majorEastAsia" w:hAnsiTheme="majorHAnsi" w:cstheme="majorBidi"/>
      <w:color w:val="1F848B" w:themeColor="accent1" w:themeShade="BF"/>
    </w:rPr>
  </w:style>
  <w:style w:type="paragraph" w:styleId="Heading6">
    <w:name w:val="heading 6"/>
    <w:basedOn w:val="Normal"/>
    <w:next w:val="Normal"/>
    <w:link w:val="Heading6Char"/>
    <w:uiPriority w:val="9"/>
    <w:semiHidden/>
    <w:unhideWhenUsed/>
    <w:qFormat/>
    <w:rsid w:val="00FD31D5"/>
    <w:pPr>
      <w:keepNext/>
      <w:keepLines/>
      <w:numPr>
        <w:ilvl w:val="5"/>
        <w:numId w:val="34"/>
      </w:numPr>
      <w:spacing w:before="40"/>
      <w:outlineLvl w:val="5"/>
    </w:pPr>
    <w:rPr>
      <w:rFonts w:asciiTheme="majorHAnsi" w:eastAsiaTheme="majorEastAsia" w:hAnsiTheme="majorHAnsi" w:cstheme="majorBidi"/>
      <w:color w:val="15575D" w:themeColor="accent1" w:themeShade="7F"/>
    </w:rPr>
  </w:style>
  <w:style w:type="paragraph" w:styleId="Heading7">
    <w:name w:val="heading 7"/>
    <w:basedOn w:val="Normal"/>
    <w:next w:val="Normal"/>
    <w:link w:val="Heading7Char"/>
    <w:uiPriority w:val="9"/>
    <w:semiHidden/>
    <w:unhideWhenUsed/>
    <w:qFormat/>
    <w:rsid w:val="00FD31D5"/>
    <w:pPr>
      <w:keepNext/>
      <w:keepLines/>
      <w:numPr>
        <w:ilvl w:val="6"/>
        <w:numId w:val="34"/>
      </w:numPr>
      <w:spacing w:before="40"/>
      <w:outlineLvl w:val="6"/>
    </w:pPr>
    <w:rPr>
      <w:rFonts w:asciiTheme="majorHAnsi" w:eastAsiaTheme="majorEastAsia" w:hAnsiTheme="majorHAnsi" w:cstheme="majorBidi"/>
      <w:i/>
      <w:iCs/>
      <w:color w:val="15575D" w:themeColor="accent1" w:themeShade="7F"/>
    </w:rPr>
  </w:style>
  <w:style w:type="paragraph" w:styleId="Heading8">
    <w:name w:val="heading 8"/>
    <w:basedOn w:val="Normal"/>
    <w:next w:val="Normal"/>
    <w:link w:val="Heading8Char"/>
    <w:uiPriority w:val="9"/>
    <w:semiHidden/>
    <w:unhideWhenUsed/>
    <w:qFormat/>
    <w:rsid w:val="00FD31D5"/>
    <w:pPr>
      <w:keepNext/>
      <w:keepLines/>
      <w:numPr>
        <w:ilvl w:val="7"/>
        <w:numId w:val="34"/>
      </w:numPr>
      <w:spacing w:before="4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iPriority w:val="9"/>
    <w:semiHidden/>
    <w:unhideWhenUsed/>
    <w:qFormat/>
    <w:rsid w:val="00FD31D5"/>
    <w:pPr>
      <w:keepNext/>
      <w:keepLines/>
      <w:numPr>
        <w:ilvl w:val="8"/>
        <w:numId w:val="34"/>
      </w:numPr>
      <w:spacing w:before="4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semiHidden/>
    <w:rsid w:val="00FD31D5"/>
    <w:rPr>
      <w:rFonts w:asciiTheme="majorHAnsi" w:eastAsiaTheme="majorEastAsia" w:hAnsiTheme="majorHAnsi" w:cstheme="majorBidi"/>
      <w:i/>
      <w:iCs/>
      <w:color w:val="1F848B" w:themeColor="accent1" w:themeShade="BF"/>
    </w:rPr>
  </w:style>
  <w:style w:type="character" w:customStyle="1" w:styleId="Heading5Char">
    <w:name w:val="Heading 5 Char"/>
    <w:basedOn w:val="DefaultParagraphFont"/>
    <w:link w:val="Heading5"/>
    <w:uiPriority w:val="9"/>
    <w:semiHidden/>
    <w:rsid w:val="00FD31D5"/>
    <w:rPr>
      <w:rFonts w:asciiTheme="majorHAnsi" w:eastAsiaTheme="majorEastAsia" w:hAnsiTheme="majorHAnsi" w:cstheme="majorBidi"/>
      <w:color w:val="1F848B" w:themeColor="accent1" w:themeShade="BF"/>
    </w:rPr>
  </w:style>
  <w:style w:type="character" w:customStyle="1" w:styleId="Heading6Char">
    <w:name w:val="Heading 6 Char"/>
    <w:basedOn w:val="DefaultParagraphFont"/>
    <w:link w:val="Heading6"/>
    <w:uiPriority w:val="9"/>
    <w:semiHidden/>
    <w:rsid w:val="00FD31D5"/>
    <w:rPr>
      <w:rFonts w:asciiTheme="majorHAnsi" w:eastAsiaTheme="majorEastAsia" w:hAnsiTheme="majorHAnsi" w:cstheme="majorBidi"/>
      <w:color w:val="15575D" w:themeColor="accent1" w:themeShade="7F"/>
    </w:rPr>
  </w:style>
  <w:style w:type="character" w:customStyle="1" w:styleId="Heading7Char">
    <w:name w:val="Heading 7 Char"/>
    <w:basedOn w:val="DefaultParagraphFont"/>
    <w:link w:val="Heading7"/>
    <w:uiPriority w:val="9"/>
    <w:semiHidden/>
    <w:rsid w:val="00FD31D5"/>
    <w:rPr>
      <w:rFonts w:asciiTheme="majorHAnsi" w:eastAsiaTheme="majorEastAsia" w:hAnsiTheme="majorHAnsi" w:cstheme="majorBidi"/>
      <w:i/>
      <w:iCs/>
      <w:color w:val="15575D" w:themeColor="accent1" w:themeShade="7F"/>
    </w:rPr>
  </w:style>
  <w:style w:type="character" w:customStyle="1" w:styleId="Heading8Char">
    <w:name w:val="Heading 8 Char"/>
    <w:basedOn w:val="DefaultParagraphFont"/>
    <w:link w:val="Heading8"/>
    <w:uiPriority w:val="9"/>
    <w:semiHidden/>
    <w:rsid w:val="00FD31D5"/>
    <w:rPr>
      <w:rFonts w:asciiTheme="majorHAnsi" w:eastAsiaTheme="majorEastAsia" w:hAnsiTheme="majorHAnsi" w:cstheme="majorBidi"/>
      <w:color w:val="332476" w:themeColor="text1" w:themeTint="D8"/>
      <w:sz w:val="21"/>
      <w:szCs w:val="21"/>
    </w:rPr>
  </w:style>
  <w:style w:type="character" w:customStyle="1" w:styleId="Heading9Char">
    <w:name w:val="Heading 9 Char"/>
    <w:basedOn w:val="DefaultParagraphFont"/>
    <w:link w:val="Heading9"/>
    <w:uiPriority w:val="9"/>
    <w:semiHidden/>
    <w:rsid w:val="00FD31D5"/>
    <w:rPr>
      <w:rFonts w:asciiTheme="majorHAnsi" w:eastAsiaTheme="majorEastAsia" w:hAnsiTheme="majorHAnsi" w:cstheme="majorBidi"/>
      <w:i/>
      <w:iCs/>
      <w:color w:val="332476" w:themeColor="text1" w:themeTint="D8"/>
      <w:sz w:val="21"/>
      <w:szCs w:val="21"/>
    </w:rPr>
  </w:style>
  <w:style w:type="paragraph" w:styleId="BodyText">
    <w:name w:val="Body Text"/>
    <w:link w:val="BodyTextChar"/>
    <w:uiPriority w:val="1"/>
    <w:qFormat/>
    <w:rsid w:val="00BD02C9"/>
    <w:pPr>
      <w:spacing w:before="480"/>
      <w:ind w:left="2835"/>
    </w:pPr>
    <w:rPr>
      <w:rFonts w:ascii="Arial" w:eastAsia="Proxima Nova" w:hAnsi="Arial" w:cs="Proxima Nova"/>
      <w:color w:val="1E1545" w:themeColor="text2"/>
      <w:sz w:val="24"/>
      <w:szCs w:val="24"/>
    </w:rPr>
  </w:style>
  <w:style w:type="character" w:customStyle="1" w:styleId="BodyTextChar">
    <w:name w:val="Body Text Char"/>
    <w:basedOn w:val="DefaultParagraphFont"/>
    <w:link w:val="BodyText"/>
    <w:uiPriority w:val="1"/>
    <w:rsid w:val="00BD02C9"/>
    <w:rPr>
      <w:rFonts w:ascii="Arial" w:eastAsia="Proxima Nova" w:hAnsi="Arial" w:cs="Proxima Nova"/>
      <w:color w:val="1E1545" w:themeColor="text2"/>
      <w:sz w:val="24"/>
      <w:szCs w:val="24"/>
    </w:rPr>
  </w:style>
  <w:style w:type="paragraph" w:customStyle="1" w:styleId="Heading1nonumbering">
    <w:name w:val="Heading 1 (no numbering)"/>
    <w:basedOn w:val="Heading1"/>
    <w:link w:val="Heading1nonumberingChar"/>
    <w:qFormat/>
    <w:rsid w:val="00431775"/>
    <w:pPr>
      <w:numPr>
        <w:numId w:val="0"/>
      </w:numPr>
      <w:ind w:left="567" w:hanging="567"/>
    </w:pPr>
  </w:style>
  <w:style w:type="paragraph" w:customStyle="1" w:styleId="TableParagraph">
    <w:name w:val="Table Paragraph"/>
    <w:basedOn w:val="Normal"/>
    <w:uiPriority w:val="1"/>
    <w:qFormat/>
    <w:rsid w:val="00431775"/>
    <w:rPr>
      <w:sz w:val="22"/>
    </w:rPr>
  </w:style>
  <w:style w:type="paragraph" w:styleId="Header">
    <w:name w:val="header"/>
    <w:basedOn w:val="Normal"/>
    <w:link w:val="HeaderChar"/>
    <w:uiPriority w:val="99"/>
    <w:unhideWhenUsed/>
    <w:rsid w:val="008D7642"/>
    <w:pPr>
      <w:tabs>
        <w:tab w:val="center" w:pos="4680"/>
        <w:tab w:val="right" w:pos="9360"/>
      </w:tabs>
    </w:pPr>
  </w:style>
  <w:style w:type="character" w:customStyle="1" w:styleId="HeaderChar">
    <w:name w:val="Header Char"/>
    <w:basedOn w:val="DefaultParagraphFont"/>
    <w:link w:val="Header"/>
    <w:uiPriority w:val="99"/>
    <w:rsid w:val="008D7642"/>
    <w:rPr>
      <w:rFonts w:ascii="Proxima Nova" w:eastAsia="Proxima Nova" w:hAnsi="Proxima Nova" w:cs="Proxima Nova"/>
      <w:color w:val="1E1545" w:themeColor="text2"/>
    </w:rPr>
  </w:style>
  <w:style w:type="paragraph" w:styleId="Footer">
    <w:name w:val="footer"/>
    <w:basedOn w:val="Normal"/>
    <w:link w:val="FooterChar"/>
    <w:uiPriority w:val="99"/>
    <w:unhideWhenUsed/>
    <w:rsid w:val="008D7642"/>
    <w:pPr>
      <w:tabs>
        <w:tab w:val="center" w:pos="4680"/>
        <w:tab w:val="right" w:pos="9360"/>
      </w:tabs>
    </w:pPr>
  </w:style>
  <w:style w:type="character" w:customStyle="1" w:styleId="FooterChar">
    <w:name w:val="Footer Char"/>
    <w:basedOn w:val="DefaultParagraphFont"/>
    <w:link w:val="Footer"/>
    <w:uiPriority w:val="99"/>
    <w:rsid w:val="008D7642"/>
    <w:rPr>
      <w:rFonts w:ascii="Proxima Nova" w:eastAsia="Proxima Nova" w:hAnsi="Proxima Nova" w:cs="Proxima Nova"/>
      <w:color w:val="1E1545" w:themeColor="text2"/>
    </w:rPr>
  </w:style>
  <w:style w:type="character" w:styleId="PageNumber">
    <w:name w:val="page number"/>
    <w:basedOn w:val="DefaultParagraphFont"/>
    <w:uiPriority w:val="99"/>
    <w:semiHidden/>
    <w:unhideWhenUsed/>
    <w:rsid w:val="00A61363"/>
  </w:style>
  <w:style w:type="character" w:customStyle="1" w:styleId="Heading1Char">
    <w:name w:val="Heading 1 Char"/>
    <w:basedOn w:val="DefaultParagraphFont"/>
    <w:link w:val="Heading1"/>
    <w:uiPriority w:val="9"/>
    <w:rsid w:val="00431775"/>
    <w:rPr>
      <w:rFonts w:ascii="Arial" w:eastAsia="Proxima Nova" w:hAnsi="Arial" w:cs="Proxima Nova"/>
      <w:b/>
      <w:bCs/>
      <w:color w:val="1E1545" w:themeColor="text2"/>
      <w:sz w:val="32"/>
      <w:szCs w:val="90"/>
    </w:rPr>
  </w:style>
  <w:style w:type="paragraph" w:styleId="Title">
    <w:name w:val="Title"/>
    <w:basedOn w:val="Normal"/>
    <w:next w:val="Normal"/>
    <w:link w:val="TitleChar"/>
    <w:uiPriority w:val="10"/>
    <w:qFormat/>
    <w:rsid w:val="008D76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D7642"/>
    <w:rPr>
      <w:rFonts w:asciiTheme="majorHAnsi" w:eastAsiaTheme="majorEastAsia" w:hAnsiTheme="majorHAnsi" w:cstheme="majorBidi"/>
      <w:spacing w:val="-10"/>
      <w:kern w:val="28"/>
      <w:sz w:val="56"/>
      <w:szCs w:val="56"/>
    </w:rPr>
  </w:style>
  <w:style w:type="paragraph" w:customStyle="1" w:styleId="CoverTitle">
    <w:name w:val="Cover Title"/>
    <w:next w:val="Normal"/>
    <w:qFormat/>
    <w:rsid w:val="00156623"/>
    <w:pPr>
      <w:spacing w:before="480" w:after="120" w:line="238" w:lineRule="auto"/>
    </w:pPr>
    <w:rPr>
      <w:rFonts w:ascii="Arial" w:eastAsia="Proxima Nova" w:hAnsi="Arial" w:cs="Proxima Nova"/>
      <w:b/>
      <w:bCs/>
      <w:color w:val="1E1545" w:themeColor="text2"/>
      <w:sz w:val="80"/>
      <w:szCs w:val="90"/>
    </w:rPr>
  </w:style>
  <w:style w:type="paragraph" w:customStyle="1" w:styleId="CoverSubtitle">
    <w:name w:val="Cover Subtitle"/>
    <w:basedOn w:val="Normal"/>
    <w:qFormat/>
    <w:rsid w:val="00B04BCF"/>
    <w:pPr>
      <w:spacing w:before="666"/>
    </w:pPr>
    <w:rPr>
      <w:sz w:val="56"/>
    </w:rPr>
  </w:style>
  <w:style w:type="paragraph" w:customStyle="1" w:styleId="SectionTitle">
    <w:name w:val="Section Title"/>
    <w:basedOn w:val="Heading1"/>
    <w:qFormat/>
    <w:rsid w:val="00B04BCF"/>
    <w:pPr>
      <w:spacing w:line="237" w:lineRule="auto"/>
    </w:pPr>
    <w:rPr>
      <w:color w:val="FFFFFF"/>
      <w:sz w:val="80"/>
    </w:rPr>
  </w:style>
  <w:style w:type="paragraph" w:customStyle="1" w:styleId="SectionNumber">
    <w:name w:val="Section Number"/>
    <w:basedOn w:val="Normal"/>
    <w:qFormat/>
    <w:rsid w:val="0026496A"/>
    <w:pPr>
      <w:spacing w:before="306"/>
    </w:pPr>
    <w:rPr>
      <w:color w:val="FFFFFF"/>
      <w:sz w:val="36"/>
    </w:rPr>
  </w:style>
  <w:style w:type="paragraph" w:styleId="BalloonText">
    <w:name w:val="Balloon Text"/>
    <w:basedOn w:val="Normal"/>
    <w:link w:val="BalloonTextChar"/>
    <w:uiPriority w:val="99"/>
    <w:semiHidden/>
    <w:unhideWhenUsed/>
    <w:rsid w:val="009E2B3F"/>
    <w:pPr>
      <w:spacing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9E2B3F"/>
    <w:rPr>
      <w:rFonts w:ascii="Arial" w:eastAsia="Proxima Nova" w:hAnsi="Arial" w:cs="Times New Roman"/>
      <w:color w:val="1E1545" w:themeColor="text2"/>
      <w:sz w:val="18"/>
      <w:szCs w:val="18"/>
    </w:rPr>
  </w:style>
  <w:style w:type="paragraph" w:styleId="ListBullet">
    <w:name w:val="List Bullet"/>
    <w:uiPriority w:val="99"/>
    <w:unhideWhenUsed/>
    <w:qFormat/>
    <w:rsid w:val="004D2471"/>
    <w:pPr>
      <w:widowControl/>
      <w:numPr>
        <w:numId w:val="39"/>
      </w:numPr>
      <w:autoSpaceDE/>
      <w:autoSpaceDN/>
      <w:spacing w:before="120" w:after="120"/>
    </w:pPr>
    <w:rPr>
      <w:rFonts w:ascii="Arial" w:eastAsiaTheme="minorEastAsia" w:hAnsi="Arial"/>
      <w:color w:val="1E1545" w:themeColor="text2"/>
      <w:sz w:val="24"/>
      <w:szCs w:val="20"/>
      <w:lang w:val="en-AU" w:eastAsia="zh-CN"/>
    </w:rPr>
  </w:style>
  <w:style w:type="paragraph" w:styleId="ListBullet2">
    <w:name w:val="List Bullet 2"/>
    <w:basedOn w:val="Normal"/>
    <w:uiPriority w:val="99"/>
    <w:unhideWhenUsed/>
    <w:qFormat/>
    <w:rsid w:val="0049607C"/>
    <w:pPr>
      <w:widowControl/>
      <w:numPr>
        <w:ilvl w:val="1"/>
        <w:numId w:val="1"/>
      </w:numPr>
      <w:autoSpaceDE/>
      <w:autoSpaceDN/>
      <w:spacing w:after="80"/>
    </w:pPr>
    <w:rPr>
      <w:rFonts w:eastAsiaTheme="minorEastAsia" w:cstheme="minorBidi"/>
      <w:color w:val="1E1545" w:themeColor="text1"/>
      <w:szCs w:val="20"/>
      <w:lang w:val="en-AU" w:eastAsia="zh-CN"/>
    </w:rPr>
  </w:style>
  <w:style w:type="paragraph" w:styleId="ListBullet3">
    <w:name w:val="List Bullet 3"/>
    <w:basedOn w:val="ListBullet"/>
    <w:uiPriority w:val="99"/>
    <w:unhideWhenUsed/>
    <w:qFormat/>
    <w:rsid w:val="007807D2"/>
    <w:pPr>
      <w:widowControl w:val="0"/>
      <w:numPr>
        <w:numId w:val="40"/>
      </w:numPr>
      <w:spacing w:before="0" w:after="0"/>
      <w:contextualSpacing/>
    </w:pPr>
    <w:rPr>
      <w:color w:val="1E1545" w:themeColor="text1"/>
    </w:rPr>
  </w:style>
  <w:style w:type="paragraph" w:customStyle="1" w:styleId="IntroPara">
    <w:name w:val="Intro Para"/>
    <w:basedOn w:val="Normal"/>
    <w:qFormat/>
    <w:rsid w:val="00B04BCF"/>
    <w:pPr>
      <w:spacing w:before="240" w:line="264" w:lineRule="auto"/>
    </w:pPr>
    <w:rPr>
      <w:sz w:val="28"/>
    </w:rPr>
  </w:style>
  <w:style w:type="paragraph" w:styleId="FootnoteText">
    <w:name w:val="footnote text"/>
    <w:basedOn w:val="Normal"/>
    <w:link w:val="FootnoteTextChar"/>
    <w:uiPriority w:val="99"/>
    <w:unhideWhenUsed/>
    <w:rsid w:val="004D2471"/>
    <w:pPr>
      <w:spacing w:before="0" w:after="0" w:line="240" w:lineRule="auto"/>
    </w:pPr>
    <w:rPr>
      <w:sz w:val="20"/>
      <w:szCs w:val="20"/>
    </w:rPr>
  </w:style>
  <w:style w:type="character" w:customStyle="1" w:styleId="FootnoteTextChar">
    <w:name w:val="Footnote Text Char"/>
    <w:basedOn w:val="DefaultParagraphFont"/>
    <w:link w:val="FootnoteText"/>
    <w:uiPriority w:val="99"/>
    <w:rsid w:val="004D2471"/>
    <w:rPr>
      <w:rFonts w:ascii="Arial" w:eastAsia="Proxima Nova" w:hAnsi="Arial" w:cs="Proxima Nova"/>
      <w:color w:val="1E1545" w:themeColor="text2"/>
      <w:sz w:val="20"/>
      <w:szCs w:val="20"/>
    </w:rPr>
  </w:style>
  <w:style w:type="character" w:styleId="FootnoteReference">
    <w:name w:val="footnote reference"/>
    <w:basedOn w:val="DefaultParagraphFont"/>
    <w:uiPriority w:val="99"/>
    <w:semiHidden/>
    <w:unhideWhenUsed/>
    <w:rsid w:val="00297745"/>
    <w:rPr>
      <w:vertAlign w:val="superscript"/>
    </w:rPr>
  </w:style>
  <w:style w:type="paragraph" w:customStyle="1" w:styleId="Footnote">
    <w:name w:val="Footnote"/>
    <w:basedOn w:val="FootnoteText"/>
    <w:qFormat/>
    <w:rsid w:val="00B04BCF"/>
    <w:rPr>
      <w:sz w:val="16"/>
      <w:szCs w:val="16"/>
    </w:rPr>
  </w:style>
  <w:style w:type="paragraph" w:styleId="ListNumber">
    <w:name w:val="List Number"/>
    <w:basedOn w:val="Normal"/>
    <w:uiPriority w:val="99"/>
    <w:unhideWhenUsed/>
    <w:qFormat/>
    <w:rsid w:val="003222B2"/>
    <w:pPr>
      <w:widowControl/>
      <w:numPr>
        <w:numId w:val="3"/>
      </w:numPr>
      <w:autoSpaceDE/>
      <w:autoSpaceDN/>
      <w:spacing w:after="80"/>
    </w:pPr>
    <w:rPr>
      <w:rFonts w:eastAsiaTheme="minorEastAsia" w:cstheme="minorBidi"/>
      <w:color w:val="1E1545" w:themeColor="text1"/>
      <w:szCs w:val="20"/>
      <w:lang w:val="en-AU" w:eastAsia="zh-CN"/>
    </w:rPr>
  </w:style>
  <w:style w:type="paragraph" w:styleId="ListNumber2">
    <w:name w:val="List Number 2"/>
    <w:basedOn w:val="Normal"/>
    <w:uiPriority w:val="99"/>
    <w:unhideWhenUsed/>
    <w:qFormat/>
    <w:rsid w:val="003222B2"/>
    <w:pPr>
      <w:widowControl/>
      <w:numPr>
        <w:ilvl w:val="1"/>
        <w:numId w:val="3"/>
      </w:numPr>
      <w:autoSpaceDE/>
      <w:autoSpaceDN/>
      <w:spacing w:after="80"/>
    </w:pPr>
    <w:rPr>
      <w:rFonts w:eastAsiaTheme="minorEastAsia" w:cstheme="minorBidi"/>
      <w:color w:val="1E1545" w:themeColor="text1"/>
      <w:szCs w:val="20"/>
      <w:lang w:val="en-AU" w:eastAsia="zh-CN"/>
    </w:rPr>
  </w:style>
  <w:style w:type="paragraph" w:styleId="ListNumber3">
    <w:name w:val="List Number 3"/>
    <w:basedOn w:val="Normal"/>
    <w:uiPriority w:val="99"/>
    <w:unhideWhenUsed/>
    <w:qFormat/>
    <w:rsid w:val="003222B2"/>
    <w:pPr>
      <w:widowControl/>
      <w:numPr>
        <w:ilvl w:val="2"/>
        <w:numId w:val="3"/>
      </w:numPr>
      <w:autoSpaceDE/>
      <w:autoSpaceDN/>
      <w:spacing w:after="80"/>
    </w:pPr>
    <w:rPr>
      <w:rFonts w:eastAsiaTheme="minorEastAsia" w:cstheme="minorBidi"/>
      <w:color w:val="1E1545" w:themeColor="text1"/>
      <w:szCs w:val="20"/>
      <w:lang w:val="en-AU" w:eastAsia="zh-CN"/>
    </w:rPr>
  </w:style>
  <w:style w:type="table" w:styleId="TableGrid">
    <w:name w:val="Table Grid"/>
    <w:basedOn w:val="TableNormal"/>
    <w:uiPriority w:val="39"/>
    <w:rsid w:val="003222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B475DF"/>
    <w:pPr>
      <w:widowControl/>
      <w:autoSpaceDE/>
      <w:autoSpaceDN/>
      <w:ind w:left="2160"/>
    </w:pPr>
    <w:rPr>
      <w:rFonts w:eastAsiaTheme="minorEastAsia"/>
      <w:sz w:val="20"/>
      <w:szCs w:val="20"/>
      <w:lang w:val="en-AU"/>
    </w:rPr>
    <w:tblPr>
      <w:tblStyleRowBandSize w:val="1"/>
      <w:tblStyleColBandSize w:val="1"/>
      <w:tblBorders>
        <w:top w:val="single" w:sz="4" w:space="0" w:color="715DCD"/>
        <w:bottom w:val="single" w:sz="4" w:space="0" w:color="715DCD"/>
      </w:tblBorders>
    </w:tblPr>
    <w:tcPr>
      <w:shd w:val="clear" w:color="auto" w:fill="auto"/>
    </w:tcPr>
    <w:tblStylePr w:type="firstRow">
      <w:rPr>
        <w:b/>
        <w:bCs/>
      </w:rPr>
      <w:tblPr/>
      <w:tcPr>
        <w:tcBorders>
          <w:bottom w:val="single" w:sz="4" w:space="0" w:color="715DCD"/>
        </w:tcBorders>
      </w:tcPr>
    </w:tblStylePr>
    <w:tblStylePr w:type="lastRow">
      <w:rPr>
        <w:b/>
        <w:bCs/>
      </w:rPr>
      <w:tblPr/>
      <w:tcPr>
        <w:tcBorders>
          <w:top w:val="single" w:sz="4" w:space="0" w:color="715DCD"/>
        </w:tcBorders>
      </w:tcPr>
    </w:tblStylePr>
    <w:tblStylePr w:type="firstCol">
      <w:rPr>
        <w:b/>
        <w:bCs/>
      </w:rPr>
    </w:tblStylePr>
    <w:tblStylePr w:type="lastCol">
      <w:rPr>
        <w:b/>
        <w:bCs/>
      </w:rPr>
    </w:tblStylePr>
    <w:tblStylePr w:type="band1Vert">
      <w:tblPr/>
      <w:tcPr>
        <w:tcBorders>
          <w:left w:val="single" w:sz="4" w:space="0" w:color="715DCD"/>
          <w:right w:val="single" w:sz="4" w:space="0" w:color="715DCD"/>
        </w:tcBorders>
      </w:tcPr>
    </w:tblStylePr>
    <w:tblStylePr w:type="band2Vert">
      <w:tblPr/>
      <w:tcPr>
        <w:tcBorders>
          <w:left w:val="single" w:sz="4" w:space="0" w:color="715DCD"/>
          <w:right w:val="single" w:sz="4" w:space="0" w:color="715DCD"/>
        </w:tcBorders>
      </w:tcPr>
    </w:tblStylePr>
    <w:tblStylePr w:type="band1Horz">
      <w:tblPr/>
      <w:tcPr>
        <w:tcBorders>
          <w:top w:val="single" w:sz="4" w:space="0" w:color="715DCD"/>
          <w:bottom w:val="single" w:sz="4" w:space="0" w:color="715DCD"/>
        </w:tcBorders>
      </w:tcPr>
    </w:tblStylePr>
  </w:style>
  <w:style w:type="table" w:styleId="PlainTable2">
    <w:name w:val="Plain Table 2"/>
    <w:basedOn w:val="TableNormal"/>
    <w:uiPriority w:val="42"/>
    <w:rsid w:val="00B475DF"/>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character" w:styleId="Hyperlink">
    <w:name w:val="Hyperlink"/>
    <w:basedOn w:val="DefaultParagraphFont"/>
    <w:uiPriority w:val="99"/>
    <w:unhideWhenUsed/>
    <w:qFormat/>
    <w:rsid w:val="00437FE9"/>
    <w:rPr>
      <w:color w:val="0070C0"/>
      <w:u w:val="single"/>
    </w:rPr>
  </w:style>
  <w:style w:type="character" w:styleId="UnresolvedMention">
    <w:name w:val="Unresolved Mention"/>
    <w:basedOn w:val="DefaultParagraphFont"/>
    <w:uiPriority w:val="99"/>
    <w:semiHidden/>
    <w:unhideWhenUsed/>
    <w:rsid w:val="00327696"/>
    <w:rPr>
      <w:color w:val="605E5C"/>
      <w:shd w:val="clear" w:color="auto" w:fill="E1DFDD"/>
    </w:rPr>
  </w:style>
  <w:style w:type="character" w:styleId="Strong">
    <w:name w:val="Strong"/>
    <w:basedOn w:val="DefaultParagraphFont"/>
    <w:uiPriority w:val="22"/>
    <w:qFormat/>
    <w:rsid w:val="00431775"/>
    <w:rPr>
      <w:rFonts w:ascii="Arial" w:hAnsi="Arial"/>
      <w:b/>
      <w:bCs/>
      <w:sz w:val="22"/>
    </w:rPr>
  </w:style>
  <w:style w:type="paragraph" w:styleId="TOCHeading">
    <w:name w:val="TOC Heading"/>
    <w:next w:val="Normal"/>
    <w:uiPriority w:val="39"/>
    <w:unhideWhenUsed/>
    <w:qFormat/>
    <w:rsid w:val="00FD31D5"/>
    <w:pPr>
      <w:keepNext/>
      <w:keepLines/>
      <w:widowControl/>
      <w:autoSpaceDE/>
      <w:autoSpaceDN/>
      <w:spacing w:line="259" w:lineRule="auto"/>
    </w:pPr>
    <w:rPr>
      <w:rFonts w:asciiTheme="majorHAnsi" w:eastAsiaTheme="majorEastAsia" w:hAnsiTheme="majorHAnsi" w:cstheme="majorBidi"/>
      <w:color w:val="1F848B" w:themeColor="accent1" w:themeShade="BF"/>
      <w:sz w:val="32"/>
      <w:szCs w:val="32"/>
    </w:rPr>
  </w:style>
  <w:style w:type="paragraph" w:styleId="TOC1">
    <w:name w:val="toc 1"/>
    <w:basedOn w:val="Normal"/>
    <w:next w:val="Normal"/>
    <w:autoRedefine/>
    <w:uiPriority w:val="39"/>
    <w:unhideWhenUsed/>
    <w:rsid w:val="009E2B3F"/>
    <w:pPr>
      <w:tabs>
        <w:tab w:val="left" w:pos="440"/>
        <w:tab w:val="right" w:leader="dot" w:pos="9858"/>
      </w:tabs>
      <w:spacing w:after="100"/>
    </w:pPr>
  </w:style>
  <w:style w:type="paragraph" w:styleId="TOC2">
    <w:name w:val="toc 2"/>
    <w:basedOn w:val="Normal"/>
    <w:next w:val="Normal"/>
    <w:autoRedefine/>
    <w:uiPriority w:val="39"/>
    <w:unhideWhenUsed/>
    <w:rsid w:val="009E2B3F"/>
    <w:pPr>
      <w:tabs>
        <w:tab w:val="left" w:pos="284"/>
        <w:tab w:val="right" w:leader="dot" w:pos="9858"/>
      </w:tabs>
      <w:spacing w:line="240" w:lineRule="auto"/>
      <w:ind w:left="170"/>
    </w:pPr>
  </w:style>
  <w:style w:type="paragraph" w:styleId="TOC3">
    <w:name w:val="toc 3"/>
    <w:basedOn w:val="Normal"/>
    <w:next w:val="Normal"/>
    <w:autoRedefine/>
    <w:uiPriority w:val="39"/>
    <w:unhideWhenUsed/>
    <w:rsid w:val="00241CAC"/>
    <w:pPr>
      <w:tabs>
        <w:tab w:val="right" w:leader="dot" w:pos="9858"/>
      </w:tabs>
      <w:spacing w:after="100"/>
      <w:ind w:left="440"/>
    </w:pPr>
  </w:style>
  <w:style w:type="paragraph" w:customStyle="1" w:styleId="TableTitle">
    <w:name w:val="Table Title"/>
    <w:link w:val="TableTitleChar"/>
    <w:qFormat/>
    <w:locked/>
    <w:rsid w:val="0012010B"/>
    <w:pPr>
      <w:widowControl/>
      <w:autoSpaceDE/>
      <w:autoSpaceDN/>
      <w:spacing w:before="120" w:after="120"/>
    </w:pPr>
    <w:rPr>
      <w:rFonts w:ascii="Arial" w:eastAsia="Times New Roman" w:hAnsi="Arial" w:cs="Times New Roman"/>
      <w:b/>
      <w:color w:val="1E1545" w:themeColor="text1"/>
      <w:szCs w:val="24"/>
    </w:rPr>
  </w:style>
  <w:style w:type="character" w:customStyle="1" w:styleId="TableTitleChar">
    <w:name w:val="Table Title Char"/>
    <w:basedOn w:val="DefaultParagraphFont"/>
    <w:link w:val="TableTitle"/>
    <w:rsid w:val="0012010B"/>
    <w:rPr>
      <w:rFonts w:ascii="Arial" w:eastAsia="Times New Roman" w:hAnsi="Arial" w:cs="Times New Roman"/>
      <w:b/>
      <w:color w:val="1E1545" w:themeColor="text1"/>
      <w:szCs w:val="24"/>
    </w:rPr>
  </w:style>
  <w:style w:type="paragraph" w:styleId="NoSpacing">
    <w:name w:val="No Spacing"/>
    <w:uiPriority w:val="1"/>
    <w:qFormat/>
    <w:rsid w:val="00BD02C9"/>
    <w:pPr>
      <w:spacing w:before="120" w:after="120" w:line="276" w:lineRule="auto"/>
      <w:ind w:left="1134"/>
    </w:pPr>
    <w:rPr>
      <w:rFonts w:ascii="Arial" w:eastAsia="Proxima Nova" w:hAnsi="Arial" w:cs="Proxima Nova"/>
      <w:color w:val="1E1545" w:themeColor="text2"/>
    </w:rPr>
  </w:style>
  <w:style w:type="character" w:styleId="CommentReference">
    <w:name w:val="annotation reference"/>
    <w:basedOn w:val="DefaultParagraphFont"/>
    <w:uiPriority w:val="99"/>
    <w:semiHidden/>
    <w:unhideWhenUsed/>
    <w:rsid w:val="006B6098"/>
    <w:rPr>
      <w:sz w:val="16"/>
      <w:szCs w:val="16"/>
    </w:rPr>
  </w:style>
  <w:style w:type="paragraph" w:styleId="CommentText">
    <w:name w:val="annotation text"/>
    <w:basedOn w:val="Normal"/>
    <w:link w:val="CommentTextChar"/>
    <w:uiPriority w:val="99"/>
    <w:unhideWhenUsed/>
    <w:rsid w:val="006B6098"/>
    <w:rPr>
      <w:sz w:val="20"/>
      <w:szCs w:val="20"/>
    </w:rPr>
  </w:style>
  <w:style w:type="character" w:customStyle="1" w:styleId="CommentTextChar">
    <w:name w:val="Comment Text Char"/>
    <w:basedOn w:val="DefaultParagraphFont"/>
    <w:link w:val="CommentText"/>
    <w:uiPriority w:val="99"/>
    <w:rsid w:val="006B6098"/>
    <w:rPr>
      <w:rFonts w:ascii="Arial" w:eastAsia="Proxima Nova" w:hAnsi="Arial" w:cs="Proxima Nova"/>
      <w:color w:val="1E1545" w:themeColor="text2"/>
      <w:sz w:val="20"/>
      <w:szCs w:val="20"/>
    </w:rPr>
  </w:style>
  <w:style w:type="paragraph" w:styleId="CommentSubject">
    <w:name w:val="annotation subject"/>
    <w:basedOn w:val="CommentText"/>
    <w:next w:val="CommentText"/>
    <w:link w:val="CommentSubjectChar"/>
    <w:uiPriority w:val="99"/>
    <w:semiHidden/>
    <w:unhideWhenUsed/>
    <w:rsid w:val="006B6098"/>
    <w:rPr>
      <w:b/>
      <w:bCs/>
    </w:rPr>
  </w:style>
  <w:style w:type="character" w:customStyle="1" w:styleId="CommentSubjectChar">
    <w:name w:val="Comment Subject Char"/>
    <w:basedOn w:val="CommentTextChar"/>
    <w:link w:val="CommentSubject"/>
    <w:uiPriority w:val="99"/>
    <w:semiHidden/>
    <w:rsid w:val="006B6098"/>
    <w:rPr>
      <w:rFonts w:ascii="Arial" w:eastAsia="Proxima Nova" w:hAnsi="Arial" w:cs="Proxima Nova"/>
      <w:b/>
      <w:bCs/>
      <w:color w:val="1E1545" w:themeColor="text2"/>
      <w:sz w:val="20"/>
      <w:szCs w:val="20"/>
    </w:rPr>
  </w:style>
  <w:style w:type="paragraph" w:styleId="Revision">
    <w:name w:val="Revision"/>
    <w:hidden/>
    <w:uiPriority w:val="99"/>
    <w:semiHidden/>
    <w:rsid w:val="00BB1EFC"/>
    <w:pPr>
      <w:widowControl/>
      <w:autoSpaceDE/>
      <w:autoSpaceDN/>
    </w:pPr>
    <w:rPr>
      <w:rFonts w:ascii="Arial" w:eastAsia="Proxima Nova" w:hAnsi="Arial" w:cs="Proxima Nova"/>
      <w:color w:val="1E1545" w:themeColor="text2"/>
    </w:rPr>
  </w:style>
  <w:style w:type="character" w:styleId="FollowedHyperlink">
    <w:name w:val="FollowedHyperlink"/>
    <w:basedOn w:val="DefaultParagraphFont"/>
    <w:uiPriority w:val="99"/>
    <w:semiHidden/>
    <w:unhideWhenUsed/>
    <w:rsid w:val="00F010DC"/>
    <w:rPr>
      <w:color w:val="78BE43" w:themeColor="followedHyperlink"/>
      <w:u w:val="single"/>
    </w:rPr>
  </w:style>
  <w:style w:type="paragraph" w:styleId="Caption">
    <w:name w:val="caption"/>
    <w:next w:val="Normal"/>
    <w:uiPriority w:val="35"/>
    <w:unhideWhenUsed/>
    <w:qFormat/>
    <w:rsid w:val="004D2471"/>
    <w:pPr>
      <w:spacing w:before="120" w:after="120"/>
    </w:pPr>
    <w:rPr>
      <w:rFonts w:ascii="Arial" w:eastAsia="Proxima Nova" w:hAnsi="Arial" w:cs="Proxima Nova"/>
      <w:iCs/>
      <w:color w:val="1E1545" w:themeColor="text2"/>
      <w:szCs w:val="18"/>
    </w:rPr>
  </w:style>
  <w:style w:type="table" w:styleId="ListTable3">
    <w:name w:val="List Table 3"/>
    <w:basedOn w:val="TableNormal"/>
    <w:uiPriority w:val="48"/>
    <w:rsid w:val="003316B7"/>
    <w:pPr>
      <w:contextualSpacing/>
      <w:jc w:val="right"/>
    </w:pPr>
    <w:rPr>
      <w:rFonts w:ascii="Arial" w:hAnsi="Arial"/>
    </w:rPr>
    <w:tblPr>
      <w:tblStyleRowBandSize w:val="1"/>
      <w:tblStyleColBandSize w:val="1"/>
      <w:tblBorders>
        <w:top w:val="single" w:sz="4" w:space="0" w:color="1E1545" w:themeColor="text1"/>
        <w:left w:val="single" w:sz="4" w:space="0" w:color="1E1545" w:themeColor="text1"/>
        <w:bottom w:val="single" w:sz="4" w:space="0" w:color="1E1545" w:themeColor="text1"/>
        <w:right w:val="single" w:sz="4" w:space="0" w:color="1E1545" w:themeColor="text1"/>
      </w:tblBorders>
    </w:tblPr>
    <w:tblStylePr w:type="firstRow">
      <w:pPr>
        <w:jc w:val="left"/>
      </w:pPr>
      <w:rPr>
        <w:rFonts w:ascii="Arial" w:hAnsi="Arial"/>
        <w:b/>
        <w:bCs/>
        <w:color w:val="FFFFFF" w:themeColor="background1"/>
        <w:sz w:val="22"/>
      </w:rPr>
      <w:tblPr/>
      <w:tcPr>
        <w:shd w:val="clear" w:color="auto" w:fill="1E1545" w:themeFill="text1"/>
        <w:vAlign w:val="center"/>
      </w:tcPr>
    </w:tblStylePr>
    <w:tblStylePr w:type="lastRow">
      <w:rPr>
        <w:b/>
        <w:bCs/>
      </w:rPr>
      <w:tblPr/>
      <w:tcPr>
        <w:tcBorders>
          <w:top w:val="double" w:sz="4" w:space="0" w:color="1E1545" w:themeColor="text1"/>
        </w:tcBorders>
        <w:shd w:val="clear" w:color="auto" w:fill="FFFFFF" w:themeFill="background1"/>
      </w:tcPr>
    </w:tblStylePr>
    <w:tblStylePr w:type="firstCol">
      <w:pPr>
        <w:jc w:val="left"/>
      </w:pPr>
      <w:rPr>
        <w:rFonts w:ascii="Arial" w:hAnsi="Arial"/>
        <w:b w:val="0"/>
        <w:bCs/>
        <w:sz w:val="20"/>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E1545" w:themeColor="text1"/>
          <w:right w:val="single" w:sz="4" w:space="0" w:color="1E1545" w:themeColor="text1"/>
        </w:tcBorders>
      </w:tcPr>
    </w:tblStylePr>
    <w:tblStylePr w:type="band1Horz">
      <w:tblPr/>
      <w:tcPr>
        <w:tcBorders>
          <w:top w:val="single" w:sz="4" w:space="0" w:color="1E1545" w:themeColor="text1"/>
          <w:bottom w:val="single" w:sz="4" w:space="0" w:color="1E1545"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E1545" w:themeColor="text1"/>
          <w:left w:val="nil"/>
        </w:tcBorders>
      </w:tcPr>
    </w:tblStylePr>
    <w:tblStylePr w:type="swCell">
      <w:tblPr/>
      <w:tcPr>
        <w:tcBorders>
          <w:top w:val="double" w:sz="4" w:space="0" w:color="1E1545" w:themeColor="text1"/>
          <w:right w:val="nil"/>
        </w:tcBorders>
      </w:tcPr>
    </w:tblStylePr>
  </w:style>
  <w:style w:type="table" w:styleId="ListTable3-Accent1">
    <w:name w:val="List Table 3 Accent 1"/>
    <w:basedOn w:val="TableNormal"/>
    <w:uiPriority w:val="48"/>
    <w:rsid w:val="00DA3ADA"/>
    <w:tblPr>
      <w:tblStyleRowBandSize w:val="1"/>
      <w:tblStyleColBandSize w:val="1"/>
      <w:tblBorders>
        <w:top w:val="single" w:sz="4" w:space="0" w:color="2AB1BB" w:themeColor="accent1"/>
        <w:left w:val="single" w:sz="4" w:space="0" w:color="2AB1BB" w:themeColor="accent1"/>
        <w:bottom w:val="single" w:sz="4" w:space="0" w:color="2AB1BB" w:themeColor="accent1"/>
        <w:right w:val="single" w:sz="4" w:space="0" w:color="2AB1BB" w:themeColor="accent1"/>
      </w:tblBorders>
    </w:tblPr>
    <w:tblStylePr w:type="firstRow">
      <w:rPr>
        <w:b/>
        <w:bCs/>
        <w:color w:val="FFFFFF" w:themeColor="background1"/>
      </w:rPr>
      <w:tblPr/>
      <w:tcPr>
        <w:shd w:val="clear" w:color="auto" w:fill="2AB1BB" w:themeFill="accent1"/>
      </w:tcPr>
    </w:tblStylePr>
    <w:tblStylePr w:type="lastRow">
      <w:rPr>
        <w:b/>
        <w:bCs/>
      </w:rPr>
      <w:tblPr/>
      <w:tcPr>
        <w:tcBorders>
          <w:top w:val="double" w:sz="4" w:space="0" w:color="2AB1B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AB1BB" w:themeColor="accent1"/>
          <w:right w:val="single" w:sz="4" w:space="0" w:color="2AB1BB" w:themeColor="accent1"/>
        </w:tcBorders>
      </w:tcPr>
    </w:tblStylePr>
    <w:tblStylePr w:type="band1Horz">
      <w:tblPr/>
      <w:tcPr>
        <w:tcBorders>
          <w:top w:val="single" w:sz="4" w:space="0" w:color="2AB1BB" w:themeColor="accent1"/>
          <w:bottom w:val="single" w:sz="4" w:space="0" w:color="2AB1B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AB1BB" w:themeColor="accent1"/>
          <w:left w:val="nil"/>
        </w:tcBorders>
      </w:tcPr>
    </w:tblStylePr>
    <w:tblStylePr w:type="swCell">
      <w:tblPr/>
      <w:tcPr>
        <w:tcBorders>
          <w:top w:val="double" w:sz="4" w:space="0" w:color="2AB1BB" w:themeColor="accent1"/>
          <w:right w:val="nil"/>
        </w:tcBorders>
      </w:tcPr>
    </w:tblStylePr>
  </w:style>
  <w:style w:type="table" w:styleId="ListTable3-Accent2">
    <w:name w:val="List Table 3 Accent 2"/>
    <w:basedOn w:val="TableNormal"/>
    <w:uiPriority w:val="48"/>
    <w:rsid w:val="00DA3ADA"/>
    <w:tblPr>
      <w:tblStyleRowBandSize w:val="1"/>
      <w:tblStyleColBandSize w:val="1"/>
      <w:tblBorders>
        <w:top w:val="single" w:sz="4" w:space="0" w:color="78BE43" w:themeColor="accent2"/>
        <w:left w:val="single" w:sz="4" w:space="0" w:color="78BE43" w:themeColor="accent2"/>
        <w:bottom w:val="single" w:sz="4" w:space="0" w:color="78BE43" w:themeColor="accent2"/>
        <w:right w:val="single" w:sz="4" w:space="0" w:color="78BE43" w:themeColor="accent2"/>
      </w:tblBorders>
    </w:tblPr>
    <w:tblStylePr w:type="firstRow">
      <w:rPr>
        <w:b/>
        <w:bCs/>
        <w:color w:val="FFFFFF" w:themeColor="background1"/>
      </w:rPr>
      <w:tblPr/>
      <w:tcPr>
        <w:shd w:val="clear" w:color="auto" w:fill="78BE43" w:themeFill="accent2"/>
      </w:tcPr>
    </w:tblStylePr>
    <w:tblStylePr w:type="lastRow">
      <w:rPr>
        <w:b/>
        <w:bCs/>
      </w:rPr>
      <w:tblPr/>
      <w:tcPr>
        <w:tcBorders>
          <w:top w:val="double" w:sz="4" w:space="0" w:color="78BE4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8BE43" w:themeColor="accent2"/>
          <w:right w:val="single" w:sz="4" w:space="0" w:color="78BE43" w:themeColor="accent2"/>
        </w:tcBorders>
      </w:tcPr>
    </w:tblStylePr>
    <w:tblStylePr w:type="band1Horz">
      <w:tblPr/>
      <w:tcPr>
        <w:tcBorders>
          <w:top w:val="single" w:sz="4" w:space="0" w:color="78BE43" w:themeColor="accent2"/>
          <w:bottom w:val="single" w:sz="4" w:space="0" w:color="78BE4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8BE43" w:themeColor="accent2"/>
          <w:left w:val="nil"/>
        </w:tcBorders>
      </w:tcPr>
    </w:tblStylePr>
    <w:tblStylePr w:type="swCell">
      <w:tblPr/>
      <w:tcPr>
        <w:tcBorders>
          <w:top w:val="double" w:sz="4" w:space="0" w:color="78BE43" w:themeColor="accent2"/>
          <w:right w:val="nil"/>
        </w:tcBorders>
      </w:tcPr>
    </w:tblStylePr>
  </w:style>
  <w:style w:type="table" w:styleId="ListTable3-Accent3">
    <w:name w:val="List Table 3 Accent 3"/>
    <w:basedOn w:val="TableNormal"/>
    <w:uiPriority w:val="48"/>
    <w:rsid w:val="00DA3ADA"/>
    <w:tblPr>
      <w:tblStyleRowBandSize w:val="1"/>
      <w:tblStyleColBandSize w:val="1"/>
      <w:tblBorders>
        <w:top w:val="single" w:sz="4" w:space="0" w:color="8C5AA5" w:themeColor="accent3"/>
        <w:left w:val="single" w:sz="4" w:space="0" w:color="8C5AA5" w:themeColor="accent3"/>
        <w:bottom w:val="single" w:sz="4" w:space="0" w:color="8C5AA5" w:themeColor="accent3"/>
        <w:right w:val="single" w:sz="4" w:space="0" w:color="8C5AA5" w:themeColor="accent3"/>
      </w:tblBorders>
    </w:tblPr>
    <w:tblStylePr w:type="firstRow">
      <w:rPr>
        <w:b/>
        <w:bCs/>
        <w:color w:val="FFFFFF" w:themeColor="background1"/>
      </w:rPr>
      <w:tblPr/>
      <w:tcPr>
        <w:shd w:val="clear" w:color="auto" w:fill="8C5AA5" w:themeFill="accent3"/>
      </w:tcPr>
    </w:tblStylePr>
    <w:tblStylePr w:type="lastRow">
      <w:rPr>
        <w:b/>
        <w:bCs/>
      </w:rPr>
      <w:tblPr/>
      <w:tcPr>
        <w:tcBorders>
          <w:top w:val="double" w:sz="4" w:space="0" w:color="8C5A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C5AA5" w:themeColor="accent3"/>
          <w:right w:val="single" w:sz="4" w:space="0" w:color="8C5AA5" w:themeColor="accent3"/>
        </w:tcBorders>
      </w:tcPr>
    </w:tblStylePr>
    <w:tblStylePr w:type="band1Horz">
      <w:tblPr/>
      <w:tcPr>
        <w:tcBorders>
          <w:top w:val="single" w:sz="4" w:space="0" w:color="8C5AA5" w:themeColor="accent3"/>
          <w:bottom w:val="single" w:sz="4" w:space="0" w:color="8C5A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C5AA5" w:themeColor="accent3"/>
          <w:left w:val="nil"/>
        </w:tcBorders>
      </w:tcPr>
    </w:tblStylePr>
    <w:tblStylePr w:type="swCell">
      <w:tblPr/>
      <w:tcPr>
        <w:tcBorders>
          <w:top w:val="double" w:sz="4" w:space="0" w:color="8C5AA5" w:themeColor="accent3"/>
          <w:right w:val="nil"/>
        </w:tcBorders>
      </w:tcPr>
    </w:tblStylePr>
  </w:style>
  <w:style w:type="paragraph" w:styleId="TableofAuthorities">
    <w:name w:val="table of authorities"/>
    <w:next w:val="Normal"/>
    <w:uiPriority w:val="99"/>
    <w:unhideWhenUsed/>
    <w:rsid w:val="003316B7"/>
    <w:pPr>
      <w:contextualSpacing/>
    </w:pPr>
    <w:rPr>
      <w:rFonts w:ascii="Arial" w:eastAsia="Proxima Nova" w:hAnsi="Arial" w:cs="Proxima Nova"/>
      <w:color w:val="FFFFFF" w:themeColor="background1"/>
    </w:rPr>
  </w:style>
  <w:style w:type="paragraph" w:styleId="TOAHeading">
    <w:name w:val="toa heading"/>
    <w:next w:val="Normal"/>
    <w:uiPriority w:val="99"/>
    <w:unhideWhenUsed/>
    <w:rsid w:val="004D2471"/>
    <w:rPr>
      <w:rFonts w:ascii="Arial" w:eastAsiaTheme="majorEastAsia" w:hAnsi="Arial" w:cstheme="majorBidi"/>
      <w:b/>
      <w:bCs/>
      <w:color w:val="15585D" w:themeColor="accent1" w:themeShade="80"/>
      <w:sz w:val="36"/>
      <w:szCs w:val="24"/>
    </w:rPr>
  </w:style>
  <w:style w:type="paragraph" w:styleId="ListBullet4">
    <w:name w:val="List Bullet 4"/>
    <w:basedOn w:val="ListBullet"/>
    <w:uiPriority w:val="99"/>
    <w:unhideWhenUsed/>
    <w:rsid w:val="004D2471"/>
    <w:pPr>
      <w:numPr>
        <w:numId w:val="41"/>
      </w:numPr>
      <w:ind w:left="357" w:hanging="357"/>
    </w:pPr>
  </w:style>
  <w:style w:type="character" w:customStyle="1" w:styleId="Heading1nonumberingChar">
    <w:name w:val="Heading 1 (no numbering) Char"/>
    <w:basedOn w:val="Heading1Char"/>
    <w:link w:val="Heading1nonumbering"/>
    <w:rsid w:val="00431775"/>
    <w:rPr>
      <w:rFonts w:ascii="Arial" w:eastAsia="Proxima Nova" w:hAnsi="Arial" w:cs="Proxima Nova"/>
      <w:b/>
      <w:bCs/>
      <w:color w:val="1E1545" w:themeColor="text2"/>
      <w:sz w:val="32"/>
      <w:szCs w:val="9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98868">
      <w:bodyDiv w:val="1"/>
      <w:marLeft w:val="0"/>
      <w:marRight w:val="0"/>
      <w:marTop w:val="0"/>
      <w:marBottom w:val="0"/>
      <w:divBdr>
        <w:top w:val="none" w:sz="0" w:space="0" w:color="auto"/>
        <w:left w:val="none" w:sz="0" w:space="0" w:color="auto"/>
        <w:bottom w:val="none" w:sz="0" w:space="0" w:color="auto"/>
        <w:right w:val="none" w:sz="0" w:space="0" w:color="auto"/>
      </w:divBdr>
    </w:div>
    <w:div w:id="411391270">
      <w:bodyDiv w:val="1"/>
      <w:marLeft w:val="0"/>
      <w:marRight w:val="0"/>
      <w:marTop w:val="0"/>
      <w:marBottom w:val="0"/>
      <w:divBdr>
        <w:top w:val="none" w:sz="0" w:space="0" w:color="auto"/>
        <w:left w:val="none" w:sz="0" w:space="0" w:color="auto"/>
        <w:bottom w:val="none" w:sz="0" w:space="0" w:color="auto"/>
        <w:right w:val="none" w:sz="0" w:space="0" w:color="auto"/>
      </w:divBdr>
    </w:div>
    <w:div w:id="551886480">
      <w:bodyDiv w:val="1"/>
      <w:marLeft w:val="0"/>
      <w:marRight w:val="0"/>
      <w:marTop w:val="0"/>
      <w:marBottom w:val="0"/>
      <w:divBdr>
        <w:top w:val="none" w:sz="0" w:space="0" w:color="auto"/>
        <w:left w:val="none" w:sz="0" w:space="0" w:color="auto"/>
        <w:bottom w:val="none" w:sz="0" w:space="0" w:color="auto"/>
        <w:right w:val="none" w:sz="0" w:space="0" w:color="auto"/>
      </w:divBdr>
    </w:div>
    <w:div w:id="1041634260">
      <w:bodyDiv w:val="1"/>
      <w:marLeft w:val="0"/>
      <w:marRight w:val="0"/>
      <w:marTop w:val="0"/>
      <w:marBottom w:val="0"/>
      <w:divBdr>
        <w:top w:val="none" w:sz="0" w:space="0" w:color="auto"/>
        <w:left w:val="none" w:sz="0" w:space="0" w:color="auto"/>
        <w:bottom w:val="none" w:sz="0" w:space="0" w:color="auto"/>
        <w:right w:val="none" w:sz="0" w:space="0" w:color="auto"/>
      </w:divBdr>
    </w:div>
    <w:div w:id="1081369569">
      <w:bodyDiv w:val="1"/>
      <w:marLeft w:val="0"/>
      <w:marRight w:val="0"/>
      <w:marTop w:val="0"/>
      <w:marBottom w:val="0"/>
      <w:divBdr>
        <w:top w:val="none" w:sz="0" w:space="0" w:color="auto"/>
        <w:left w:val="none" w:sz="0" w:space="0" w:color="auto"/>
        <w:bottom w:val="none" w:sz="0" w:space="0" w:color="auto"/>
        <w:right w:val="none" w:sz="0" w:space="0" w:color="auto"/>
      </w:divBdr>
    </w:div>
    <w:div w:id="1573151532">
      <w:bodyDiv w:val="1"/>
      <w:marLeft w:val="0"/>
      <w:marRight w:val="0"/>
      <w:marTop w:val="0"/>
      <w:marBottom w:val="0"/>
      <w:divBdr>
        <w:top w:val="none" w:sz="0" w:space="0" w:color="auto"/>
        <w:left w:val="none" w:sz="0" w:space="0" w:color="auto"/>
        <w:bottom w:val="none" w:sz="0" w:space="0" w:color="auto"/>
        <w:right w:val="none" w:sz="0" w:space="0" w:color="auto"/>
      </w:divBdr>
    </w:div>
    <w:div w:id="1791170625">
      <w:bodyDiv w:val="1"/>
      <w:marLeft w:val="0"/>
      <w:marRight w:val="0"/>
      <w:marTop w:val="0"/>
      <w:marBottom w:val="0"/>
      <w:divBdr>
        <w:top w:val="none" w:sz="0" w:space="0" w:color="auto"/>
        <w:left w:val="none" w:sz="0" w:space="0" w:color="auto"/>
        <w:bottom w:val="none" w:sz="0" w:space="0" w:color="auto"/>
        <w:right w:val="none" w:sz="0" w:space="0" w:color="auto"/>
      </w:divBdr>
    </w:div>
    <w:div w:id="19327338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4.jpeg"/><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2.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hyperlink" Target="https://agedcareengagement.health.gov.au/" TargetMode="External"/><Relationship Id="rId33" Type="http://schemas.openxmlformats.org/officeDocument/2006/relationships/hyperlink" Target="https://agedcareengagement.health.gov.au/"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mailto:NutritioninAgedCare@health.gov.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health.gov.au/health-topics/aged-care/providing-aged-care-services/responsibilities/quarterly-financial-report" TargetMode="External"/><Relationship Id="rId32" Type="http://schemas.openxmlformats.org/officeDocument/2006/relationships/image" Target="media/image11.png"/><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8.jp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0.png"/><Relationship Id="rId35" Type="http://schemas.openxmlformats.org/officeDocument/2006/relationships/image" Target="media/image13.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DHAC">
  <a:themeElements>
    <a:clrScheme name="Custom 1">
      <a:dk1>
        <a:srgbClr val="1E1545"/>
      </a:dk1>
      <a:lt1>
        <a:sysClr val="window" lastClr="FFFFFF"/>
      </a:lt1>
      <a:dk2>
        <a:srgbClr val="1E1545"/>
      </a:dk2>
      <a:lt2>
        <a:srgbClr val="EEEEEE"/>
      </a:lt2>
      <a:accent1>
        <a:srgbClr val="2AB1BB"/>
      </a:accent1>
      <a:accent2>
        <a:srgbClr val="78BE43"/>
      </a:accent2>
      <a:accent3>
        <a:srgbClr val="8C5AA5"/>
      </a:accent3>
      <a:accent4>
        <a:srgbClr val="DA576C"/>
      </a:accent4>
      <a:accent5>
        <a:srgbClr val="F26A2B"/>
      </a:accent5>
      <a:accent6>
        <a:srgbClr val="F4B223"/>
      </a:accent6>
      <a:hlink>
        <a:srgbClr val="2AB1BB"/>
      </a:hlink>
      <a:folHlink>
        <a:srgbClr val="78BE43"/>
      </a:folHlink>
    </a:clrScheme>
    <a:fontScheme name="Custom 1">
      <a:majorFont>
        <a:latin typeface="Helvetica"/>
        <a:ea typeface=""/>
        <a:cs typeface=""/>
      </a:majorFont>
      <a:minorFont>
        <a:latin typeface="Helvetic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curityClassification xmlns="119E2D67-237E-4BB0-8C23-F32B9C493CD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PDMS Document" ma:contentTypeID="0x010100266966F133664895A6EE3632470D45F500E0CFE5F2A6F4A54FA55E73958C003497" ma:contentTypeVersion="" ma:contentTypeDescription="PDMS Document Site Content Type" ma:contentTypeScope="" ma:versionID="0d3670d59d9e74ae13849cd251597a50">
  <xsd:schema xmlns:xsd="http://www.w3.org/2001/XMLSchema" xmlns:xs="http://www.w3.org/2001/XMLSchema" xmlns:p="http://schemas.microsoft.com/office/2006/metadata/properties" xmlns:ns2="119E2D67-237E-4BB0-8C23-F32B9C493CDB" targetNamespace="http://schemas.microsoft.com/office/2006/metadata/properties" ma:root="true" ma:fieldsID="910b709e1c13d0966f90fe3f9e3ca3df" ns2:_="">
    <xsd:import namespace="119E2D67-237E-4BB0-8C23-F32B9C493CDB"/>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9E2D67-237E-4BB0-8C23-F32B9C493CDB"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146D77-6B42-4756-8610-F73B254D3179}">
  <ds:schemaRefs>
    <ds:schemaRef ds:uri="http://purl.org/dc/term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119E2D67-237E-4BB0-8C23-F32B9C493CDB"/>
    <ds:schemaRef ds:uri="http://www.w3.org/XML/1998/namespace"/>
  </ds:schemaRefs>
</ds:datastoreItem>
</file>

<file path=customXml/itemProps2.xml><?xml version="1.0" encoding="utf-8"?>
<ds:datastoreItem xmlns:ds="http://schemas.openxmlformats.org/officeDocument/2006/customXml" ds:itemID="{EFABB922-2E82-43D3-B1A9-0BEE20CAFF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9E2D67-237E-4BB0-8C23-F32B9C493C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114DC6-A28D-EE4D-B1DE-60736E8AED19}">
  <ds:schemaRefs>
    <ds:schemaRef ds:uri="http://schemas.openxmlformats.org/officeDocument/2006/bibliography"/>
  </ds:schemaRefs>
</ds:datastoreItem>
</file>

<file path=customXml/itemProps4.xml><?xml version="1.0" encoding="utf-8"?>
<ds:datastoreItem xmlns:ds="http://schemas.openxmlformats.org/officeDocument/2006/customXml" ds:itemID="{F5B0383A-BA9A-40D8-AD9C-7233E6B94FD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19</Pages>
  <Words>3199</Words>
  <Characters>18235</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Food and Nutrition Report 2021-2022</vt:lpstr>
    </vt:vector>
  </TitlesOfParts>
  <Company/>
  <LinksUpToDate>false</LinksUpToDate>
  <CharactersWithSpaces>21392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Food and Nutrition Report 2021-2022</dc:title>
  <dc:subject>Aged care</dc:subject>
  <dc:creator>Australian Government Department of Health and Aged Care</dc:creator>
  <cp:keywords>Food and Nutrition; Residential Aged Care; Aged Care</cp:keywords>
  <dc:description/>
  <cp:lastModifiedBy>MCKELVEY, Amy-Louise</cp:lastModifiedBy>
  <cp:revision>3</cp:revision>
  <cp:lastPrinted>2022-09-26T01:20:00Z</cp:lastPrinted>
  <dcterms:created xsi:type="dcterms:W3CDTF">2022-12-01T23:48:00Z</dcterms:created>
  <dcterms:modified xsi:type="dcterms:W3CDTF">2022-12-01T23:58:00Z</dcterms:modified>
</cp:coreProperties>
</file>