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8C0FA" w14:textId="7B0F0C42" w:rsidR="00865A27" w:rsidRPr="005C724E" w:rsidRDefault="00F655A8" w:rsidP="00B6241D">
      <w:pPr>
        <w:pStyle w:val="Covertitle"/>
        <w:rPr>
          <w:rFonts w:cs="Segoe UI"/>
          <w:b/>
          <w:color w:val="00264D"/>
          <w:sz w:val="64"/>
          <w:szCs w:val="64"/>
        </w:rPr>
      </w:pPr>
      <w:bookmarkStart w:id="0" w:name="_Hlk121993482"/>
      <w:bookmarkEnd w:id="0"/>
      <w:r w:rsidRPr="00ED0134">
        <w:rPr>
          <w:rFonts w:cs="Segoe UI"/>
          <w:b/>
          <w:noProof/>
          <w:color w:val="FFFFFF" w:themeColor="background1"/>
          <w:sz w:val="64"/>
          <w:szCs w:val="64"/>
        </w:rPr>
        <w:drawing>
          <wp:anchor distT="0" distB="0" distL="114300" distR="114300" simplePos="0" relativeHeight="251658262" behindDoc="1" locked="0" layoutInCell="1" allowOverlap="1" wp14:anchorId="40733936" wp14:editId="492135C4">
            <wp:simplePos x="0" y="0"/>
            <wp:positionH relativeFrom="page">
              <wp:align>right</wp:align>
            </wp:positionH>
            <wp:positionV relativeFrom="page">
              <wp:align>top</wp:align>
            </wp:positionV>
            <wp:extent cx="7559998" cy="10693741"/>
            <wp:effectExtent l="0" t="0" r="3175" b="0"/>
            <wp:wrapNone/>
            <wp:docPr id="27870" name="Picture 278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0" name="Picture 27870">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sdt>
        <w:sdtPr>
          <w:rPr>
            <w:rFonts w:cs="Segoe UI"/>
            <w:b/>
            <w:color w:val="FFFFFF" w:themeColor="background1"/>
            <w:sz w:val="64"/>
            <w:szCs w:val="64"/>
          </w:rPr>
          <w:id w:val="803730555"/>
          <w:docPartObj>
            <w:docPartGallery w:val="Cover Pages"/>
            <w:docPartUnique/>
          </w:docPartObj>
        </w:sdtPr>
        <w:sdtEndPr>
          <w:rPr>
            <w:color w:val="00264D"/>
            <w:sz w:val="36"/>
            <w:szCs w:val="36"/>
          </w:rPr>
        </w:sdtEndPr>
        <w:sdtContent>
          <w:sdt>
            <w:sdtPr>
              <w:rPr>
                <w:rFonts w:cs="Segoe UI"/>
                <w:b/>
                <w:color w:val="FFFFFF" w:themeColor="background1"/>
                <w:sz w:val="56"/>
                <w:szCs w:val="56"/>
              </w:rPr>
              <w:alias w:val="Title"/>
              <w:tag w:val=""/>
              <w:id w:val="-1850469689"/>
              <w:dataBinding w:prefixMappings="xmlns:ns0='http://purl.org/dc/elements/1.1/' xmlns:ns1='http://schemas.openxmlformats.org/package/2006/metadata/core-properties' " w:xpath="/ns1:coreProperties[1]/ns0:title[1]" w:storeItemID="{6C3C8BC8-F283-45AE-878A-BAB7291924A1}"/>
              <w:text/>
            </w:sdtPr>
            <w:sdtEndPr/>
            <w:sdtContent>
              <w:r w:rsidR="00C65616" w:rsidRPr="004C0480">
                <w:rPr>
                  <w:rFonts w:cs="Segoe UI"/>
                  <w:b/>
                  <w:color w:val="FFFFFF" w:themeColor="background1"/>
                  <w:sz w:val="56"/>
                  <w:szCs w:val="56"/>
                </w:rPr>
                <w:t>Evaluation of the Pathways to Community Control program</w:t>
              </w:r>
            </w:sdtContent>
          </w:sdt>
        </w:sdtContent>
      </w:sdt>
    </w:p>
    <w:p w14:paraId="0CDFF16B" w14:textId="09C3B298" w:rsidR="00865A27" w:rsidRPr="00F75386" w:rsidRDefault="006A76DC" w:rsidP="00B6241D">
      <w:pPr>
        <w:pStyle w:val="CoverPage-Client"/>
        <w:spacing w:before="360"/>
        <w:rPr>
          <w:rFonts w:cs="Segoe UI"/>
          <w:color w:val="F8981D" w:themeColor="accent3"/>
        </w:rPr>
      </w:pPr>
      <w:sdt>
        <w:sdtPr>
          <w:rPr>
            <w:rStyle w:val="CoverPage-ClientChar"/>
            <w:rFonts w:cs="Segoe UI"/>
            <w:color w:val="F8981D" w:themeColor="accent3"/>
          </w:rPr>
          <w:alias w:val="Subject"/>
          <w:tag w:val=""/>
          <w:id w:val="-1755584571"/>
          <w:dataBinding w:prefixMappings="xmlns:ns0='http://purl.org/dc/elements/1.1/' xmlns:ns1='http://schemas.openxmlformats.org/package/2006/metadata/core-properties' " w:xpath="/ns1:coreProperties[1]/ns0:subject[1]" w:storeItemID="{6C3C8BC8-F283-45AE-878A-BAB7291924A1}"/>
          <w:text/>
        </w:sdtPr>
        <w:sdtEndPr>
          <w:rPr>
            <w:rStyle w:val="CoverPage-ClientChar"/>
          </w:rPr>
        </w:sdtEndPr>
        <w:sdtContent>
          <w:r w:rsidR="00223EB9">
            <w:rPr>
              <w:rStyle w:val="CoverPage-ClientChar"/>
              <w:rFonts w:cs="Segoe UI"/>
              <w:color w:val="F8981D" w:themeColor="accent3"/>
            </w:rPr>
            <w:t>Aboriginal and Torres Strait Islander Health</w:t>
          </w:r>
        </w:sdtContent>
      </w:sdt>
    </w:p>
    <w:p w14:paraId="063D4B00" w14:textId="4E37F3A6" w:rsidR="00865A27" w:rsidRPr="00CB74D5" w:rsidRDefault="006A76DC" w:rsidP="00B6241D">
      <w:pPr>
        <w:pStyle w:val="CoverPage-Date"/>
        <w:spacing w:before="240"/>
      </w:pPr>
      <w:sdt>
        <w:sdtPr>
          <w:rPr>
            <w:rStyle w:val="CoverPage-DateChar"/>
            <w:rFonts w:cs="Segoe UI"/>
            <w:color w:val="FFFFFF" w:themeColor="background1"/>
            <w:sz w:val="20"/>
            <w:szCs w:val="20"/>
          </w:rPr>
          <w:alias w:val="Publish Date"/>
          <w:tag w:val=""/>
          <w:id w:val="-443608997"/>
          <w:dataBinding w:prefixMappings="xmlns:ns0='http://schemas.microsoft.com/office/2006/coverPageProps' " w:xpath="/ns0:CoverPageProperties[1]/ns0:PublishDate[1]" w:storeItemID="{55AF091B-3C7A-41E3-B477-F2FDAA23CFDA}"/>
          <w:date w:fullDate="2022-04-08T00:00:00Z">
            <w:dateFormat w:val="d MMMM yyyy"/>
            <w:lid w:val="en-AU"/>
            <w:storeMappedDataAs w:val="dateTime"/>
            <w:calendar w:val="gregorian"/>
          </w:date>
        </w:sdtPr>
        <w:sdtEndPr>
          <w:rPr>
            <w:rStyle w:val="DefaultParagraphFont"/>
            <w:rFonts w:cs="Times New Roman"/>
            <w:sz w:val="24"/>
            <w:szCs w:val="19"/>
          </w:rPr>
        </w:sdtEndPr>
        <w:sdtContent>
          <w:r w:rsidR="008102BB" w:rsidRPr="00F655A8">
            <w:rPr>
              <w:rStyle w:val="CoverPage-DateChar"/>
              <w:rFonts w:cs="Segoe UI"/>
              <w:color w:val="FFFFFF" w:themeColor="background1"/>
              <w:sz w:val="20"/>
              <w:szCs w:val="20"/>
            </w:rPr>
            <w:t>8 April 2022</w:t>
          </w:r>
        </w:sdtContent>
      </w:sdt>
    </w:p>
    <w:p w14:paraId="7872EA28" w14:textId="77777777" w:rsidR="00865A27" w:rsidRDefault="00865A27" w:rsidP="004A073F">
      <w:pPr>
        <w:sectPr w:rsidR="00865A27" w:rsidSect="00F655A8">
          <w:headerReference w:type="even" r:id="rId13"/>
          <w:headerReference w:type="default" r:id="rId14"/>
          <w:footerReference w:type="even" r:id="rId15"/>
          <w:footerReference w:type="default" r:id="rId16"/>
          <w:headerReference w:type="first" r:id="rId17"/>
          <w:footerReference w:type="first" r:id="rId18"/>
          <w:pgSz w:w="11907" w:h="16839" w:code="9"/>
          <w:pgMar w:top="11340" w:right="1418" w:bottom="1701" w:left="1559" w:header="737" w:footer="567" w:gutter="0"/>
          <w:pgNumType w:start="0"/>
          <w:cols w:space="720"/>
          <w:titlePg/>
          <w:docGrid w:linePitch="360"/>
        </w:sectPr>
      </w:pPr>
    </w:p>
    <w:p w14:paraId="6B8DF258" w14:textId="77777777" w:rsidR="006C6932" w:rsidRPr="006C6932" w:rsidRDefault="008022D7" w:rsidP="00A733A8">
      <w:pPr>
        <w:ind w:right="-1"/>
        <w:rPr>
          <w:rFonts w:ascii="Segoe UI Semibold" w:hAnsi="Segoe UI Semibold" w:cs="Segoe UI Semibold"/>
          <w:i/>
          <w:sz w:val="16"/>
          <w:szCs w:val="16"/>
        </w:rPr>
      </w:pPr>
      <w:r w:rsidRPr="00760DDA">
        <w:lastRenderedPageBreak/>
        <w:br/>
      </w:r>
      <w:r w:rsidR="006C6932" w:rsidRPr="006C6932">
        <w:rPr>
          <w:rFonts w:ascii="Segoe UI Semibold" w:hAnsi="Segoe UI Semibold" w:cs="Segoe UI Semibold"/>
          <w:i/>
          <w:sz w:val="16"/>
          <w:szCs w:val="16"/>
        </w:rPr>
        <w:t>Disclaimer:</w:t>
      </w:r>
    </w:p>
    <w:p w14:paraId="3F9716E0" w14:textId="377A414E" w:rsidR="00A733A8" w:rsidRPr="00130FFF" w:rsidRDefault="00FD4AB1" w:rsidP="00A733A8">
      <w:pPr>
        <w:ind w:right="-1"/>
        <w:rPr>
          <w:i/>
          <w:sz w:val="16"/>
          <w:szCs w:val="16"/>
        </w:rPr>
      </w:pPr>
      <w:r w:rsidRPr="00130FFF">
        <w:rPr>
          <w:noProof/>
          <w:sz w:val="16"/>
          <w:szCs w:val="16"/>
          <w:lang w:eastAsia="en-AU"/>
        </w:rPr>
        <mc:AlternateContent>
          <mc:Choice Requires="wps">
            <w:drawing>
              <wp:anchor distT="0" distB="0" distL="114300" distR="114300" simplePos="0" relativeHeight="251658240" behindDoc="0" locked="0" layoutInCell="0" allowOverlap="1" wp14:anchorId="32E3B4FB" wp14:editId="1A18879B">
                <wp:simplePos x="0" y="0"/>
                <wp:positionH relativeFrom="margin">
                  <wp:posOffset>0</wp:posOffset>
                </wp:positionH>
                <wp:positionV relativeFrom="bottomMargin">
                  <wp:posOffset>0</wp:posOffset>
                </wp:positionV>
                <wp:extent cx="1720800" cy="313200"/>
                <wp:effectExtent l="0" t="0" r="0" b="0"/>
                <wp:wrapNone/>
                <wp:docPr id="820" name="Text Box 8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20800" cy="31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7CA91B" w14:textId="77777777" w:rsidR="000C6018" w:rsidRPr="00FD4AB1" w:rsidRDefault="000C6018" w:rsidP="00FD4AB1">
                            <w:pPr>
                              <w:rPr>
                                <w:color w:val="A5A5A5"/>
                              </w:rPr>
                            </w:pPr>
                            <w:r w:rsidRPr="00FD4AB1">
                              <w:rPr>
                                <w:color w:val="A5A5A5"/>
                              </w:rPr>
                              <w:t>© Nous Group</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E3B4FB" id="_x0000_t202" coordsize="21600,21600" o:spt="202" path="m,l,21600r21600,l21600,xe">
                <v:stroke joinstyle="miter"/>
                <v:path gradientshapeok="t" o:connecttype="rect"/>
              </v:shapetype>
              <v:shape id="Text Box 820" o:spid="_x0000_s1026" type="#_x0000_t202" alt="&quot;&quot;" style="position:absolute;margin-left:0;margin-top:0;width:135.5pt;height:24.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" o:allowincell="f" fillcolor="white [3201]" stroked="f" strokeweight=".5pt">
                <v:textbox inset="0">
                  <w:txbxContent>
                    <w:p w14:paraId="777CA91B" w14:textId="77777777" w:rsidR="000C6018" w:rsidRPr="00FD4AB1" w:rsidRDefault="000C6018" w:rsidP="00FD4AB1">
                      <w:pPr>
                        <w:rPr>
                          <w:color w:val="A5A5A5"/>
                        </w:rPr>
                      </w:pPr>
                      <w:r w:rsidRPr="00FD4AB1">
                        <w:rPr>
                          <w:color w:val="A5A5A5"/>
                        </w:rPr>
                        <w:t>© Nous Group</w:t>
                      </w:r>
                    </w:p>
                  </w:txbxContent>
                </v:textbox>
                <w10:wrap anchorx="margin" anchory="margin"/>
              </v:shape>
            </w:pict>
          </mc:Fallback>
        </mc:AlternateContent>
      </w:r>
      <w:r w:rsidR="00A733A8" w:rsidRPr="00130FFF">
        <w:rPr>
          <w:i/>
          <w:sz w:val="16"/>
          <w:szCs w:val="16"/>
        </w:rPr>
        <w:t>Nous Group (</w:t>
      </w:r>
      <w:r w:rsidR="00A733A8" w:rsidRPr="00130FFF">
        <w:rPr>
          <w:b/>
          <w:i/>
          <w:sz w:val="16"/>
          <w:szCs w:val="16"/>
        </w:rPr>
        <w:t>Nous</w:t>
      </w:r>
      <w:r w:rsidR="00A733A8" w:rsidRPr="00130FFF">
        <w:rPr>
          <w:i/>
          <w:sz w:val="16"/>
          <w:szCs w:val="16"/>
        </w:rPr>
        <w:t xml:space="preserve">) has prepared this report for the benefit of </w:t>
      </w:r>
      <w:r w:rsidR="008102BB">
        <w:rPr>
          <w:i/>
          <w:sz w:val="16"/>
          <w:szCs w:val="16"/>
        </w:rPr>
        <w:t>the Australian Government Department of Health</w:t>
      </w:r>
      <w:r w:rsidR="00A733A8" w:rsidRPr="00130FFF">
        <w:rPr>
          <w:i/>
          <w:sz w:val="16"/>
          <w:szCs w:val="16"/>
        </w:rPr>
        <w:t xml:space="preserve"> (the </w:t>
      </w:r>
      <w:r w:rsidR="00A733A8" w:rsidRPr="00130FFF">
        <w:rPr>
          <w:b/>
          <w:i/>
          <w:sz w:val="16"/>
          <w:szCs w:val="16"/>
        </w:rPr>
        <w:t>Client</w:t>
      </w:r>
      <w:r w:rsidR="00A733A8" w:rsidRPr="00130FFF">
        <w:rPr>
          <w:i/>
          <w:sz w:val="16"/>
          <w:szCs w:val="16"/>
        </w:rPr>
        <w:t>).</w:t>
      </w:r>
    </w:p>
    <w:p w14:paraId="2255616C" w14:textId="77777777" w:rsidR="000970F6" w:rsidRPr="000970F6" w:rsidRDefault="000970F6" w:rsidP="000970F6">
      <w:pPr>
        <w:rPr>
          <w:i/>
          <w:sz w:val="16"/>
          <w:szCs w:val="16"/>
        </w:rPr>
      </w:pPr>
      <w:r w:rsidRPr="000970F6">
        <w:rPr>
          <w:i/>
          <w:sz w:val="16"/>
          <w:szCs w:val="16"/>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w:t>
      </w:r>
    </w:p>
    <w:p w14:paraId="4087421A" w14:textId="77777777" w:rsidR="00FD4AB1" w:rsidRPr="00130FFF" w:rsidRDefault="000970F6" w:rsidP="000970F6">
      <w:pPr>
        <w:rPr>
          <w:sz w:val="16"/>
          <w:szCs w:val="16"/>
        </w:rPr>
        <w:sectPr w:rsidR="00FD4AB1" w:rsidRPr="00130FFF" w:rsidSect="000970F6">
          <w:headerReference w:type="default" r:id="rId19"/>
          <w:footerReference w:type="default" r:id="rId20"/>
          <w:pgSz w:w="11907" w:h="16839" w:code="9"/>
          <w:pgMar w:top="11624" w:right="1418" w:bottom="1701" w:left="1559" w:header="737" w:footer="720" w:gutter="0"/>
          <w:pgNumType w:start="1"/>
          <w:cols w:space="720"/>
          <w:docGrid w:linePitch="360"/>
        </w:sectPr>
      </w:pPr>
      <w:r w:rsidRPr="000970F6">
        <w:rPr>
          <w:i/>
          <w:sz w:val="16"/>
          <w:szCs w:val="16"/>
        </w:rPr>
        <w:t>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p>
    <w:p w14:paraId="1FFFBF6E" w14:textId="77777777" w:rsidR="00CF7BA0" w:rsidRPr="00760DDA" w:rsidRDefault="00CF7BA0" w:rsidP="00CF7BA0">
      <w:pPr>
        <w:pStyle w:val="ContentsHeading"/>
      </w:pPr>
      <w:r w:rsidRPr="00760DDA">
        <w:lastRenderedPageBreak/>
        <w:t>Contents</w:t>
      </w:r>
    </w:p>
    <w:p w14:paraId="75543ACB" w14:textId="44F9F67B" w:rsidR="00C07E1A" w:rsidRDefault="00C21C03">
      <w:pPr>
        <w:pStyle w:val="TOC1"/>
        <w:rPr>
          <w:rFonts w:asciiTheme="minorHAnsi" w:eastAsiaTheme="minorEastAsia" w:hAnsiTheme="minorHAnsi"/>
          <w:noProof/>
          <w:sz w:val="22"/>
          <w:lang w:eastAsia="en-AU"/>
        </w:rPr>
      </w:pPr>
      <w:r>
        <w:rPr>
          <w:lang w:eastAsia="en-AU"/>
        </w:rPr>
        <w:fldChar w:fldCharType="begin"/>
      </w:r>
      <w:r>
        <w:rPr>
          <w:lang w:eastAsia="en-AU"/>
        </w:rPr>
        <w:instrText xml:space="preserve"> TOC \o "1-2" \h \z \u </w:instrText>
      </w:r>
      <w:r>
        <w:rPr>
          <w:lang w:eastAsia="en-AU"/>
        </w:rPr>
        <w:fldChar w:fldCharType="separate"/>
      </w:r>
      <w:hyperlink w:anchor="_Toc106294792" w:history="1">
        <w:r w:rsidR="00C07E1A" w:rsidRPr="006F21E6">
          <w:rPr>
            <w:rStyle w:val="Hyperlink"/>
            <w:noProof/>
          </w:rPr>
          <w:t>1</w:t>
        </w:r>
        <w:r w:rsidR="00C07E1A">
          <w:rPr>
            <w:rFonts w:asciiTheme="minorHAnsi" w:eastAsiaTheme="minorEastAsia" w:hAnsiTheme="minorHAnsi"/>
            <w:noProof/>
            <w:sz w:val="22"/>
            <w:lang w:eastAsia="en-AU"/>
          </w:rPr>
          <w:tab/>
        </w:r>
        <w:r w:rsidR="00C07E1A" w:rsidRPr="006F21E6">
          <w:rPr>
            <w:rStyle w:val="Hyperlink"/>
            <w:noProof/>
          </w:rPr>
          <w:t>Executive Summary</w:t>
        </w:r>
        <w:r w:rsidR="00C07E1A">
          <w:rPr>
            <w:noProof/>
            <w:webHidden/>
          </w:rPr>
          <w:tab/>
        </w:r>
        <w:r w:rsidR="00C07E1A">
          <w:rPr>
            <w:noProof/>
            <w:webHidden/>
          </w:rPr>
          <w:fldChar w:fldCharType="begin"/>
        </w:r>
        <w:r w:rsidR="00C07E1A">
          <w:rPr>
            <w:noProof/>
            <w:webHidden/>
          </w:rPr>
          <w:instrText xml:space="preserve"> PAGEREF _Toc106294792 \h </w:instrText>
        </w:r>
        <w:r w:rsidR="00C07E1A">
          <w:rPr>
            <w:noProof/>
            <w:webHidden/>
          </w:rPr>
        </w:r>
        <w:r w:rsidR="00C07E1A">
          <w:rPr>
            <w:noProof/>
            <w:webHidden/>
          </w:rPr>
          <w:fldChar w:fldCharType="separate"/>
        </w:r>
        <w:r w:rsidR="00A439E2">
          <w:rPr>
            <w:noProof/>
            <w:webHidden/>
          </w:rPr>
          <w:t>1</w:t>
        </w:r>
        <w:r w:rsidR="00C07E1A">
          <w:rPr>
            <w:noProof/>
            <w:webHidden/>
          </w:rPr>
          <w:fldChar w:fldCharType="end"/>
        </w:r>
      </w:hyperlink>
    </w:p>
    <w:p w14:paraId="3B60807F" w14:textId="51689AC3" w:rsidR="00C07E1A" w:rsidRDefault="006A76DC">
      <w:pPr>
        <w:pStyle w:val="TOC1"/>
        <w:rPr>
          <w:rFonts w:asciiTheme="minorHAnsi" w:eastAsiaTheme="minorEastAsia" w:hAnsiTheme="minorHAnsi"/>
          <w:noProof/>
          <w:sz w:val="22"/>
          <w:lang w:eastAsia="en-AU"/>
        </w:rPr>
      </w:pPr>
      <w:hyperlink w:anchor="_Toc106294793" w:history="1">
        <w:r w:rsidR="00C07E1A" w:rsidRPr="006F21E6">
          <w:rPr>
            <w:rStyle w:val="Hyperlink"/>
            <w:noProof/>
          </w:rPr>
          <w:t>2</w:t>
        </w:r>
        <w:r w:rsidR="00C07E1A">
          <w:rPr>
            <w:rFonts w:asciiTheme="minorHAnsi" w:eastAsiaTheme="minorEastAsia" w:hAnsiTheme="minorHAnsi"/>
            <w:noProof/>
            <w:sz w:val="22"/>
            <w:lang w:eastAsia="en-AU"/>
          </w:rPr>
          <w:tab/>
        </w:r>
        <w:r w:rsidR="00C07E1A" w:rsidRPr="006F21E6">
          <w:rPr>
            <w:rStyle w:val="Hyperlink"/>
            <w:noProof/>
          </w:rPr>
          <w:t>Introduction</w:t>
        </w:r>
        <w:r w:rsidR="00C07E1A">
          <w:rPr>
            <w:noProof/>
            <w:webHidden/>
          </w:rPr>
          <w:tab/>
        </w:r>
        <w:r w:rsidR="00C07E1A">
          <w:rPr>
            <w:noProof/>
            <w:webHidden/>
          </w:rPr>
          <w:fldChar w:fldCharType="begin"/>
        </w:r>
        <w:r w:rsidR="00C07E1A">
          <w:rPr>
            <w:noProof/>
            <w:webHidden/>
          </w:rPr>
          <w:instrText xml:space="preserve"> PAGEREF _Toc106294793 \h </w:instrText>
        </w:r>
        <w:r w:rsidR="00C07E1A">
          <w:rPr>
            <w:noProof/>
            <w:webHidden/>
          </w:rPr>
        </w:r>
        <w:r w:rsidR="00C07E1A">
          <w:rPr>
            <w:noProof/>
            <w:webHidden/>
          </w:rPr>
          <w:fldChar w:fldCharType="separate"/>
        </w:r>
        <w:r w:rsidR="00A439E2">
          <w:rPr>
            <w:noProof/>
            <w:webHidden/>
          </w:rPr>
          <w:t>5</w:t>
        </w:r>
        <w:r w:rsidR="00C07E1A">
          <w:rPr>
            <w:noProof/>
            <w:webHidden/>
          </w:rPr>
          <w:fldChar w:fldCharType="end"/>
        </w:r>
      </w:hyperlink>
    </w:p>
    <w:p w14:paraId="002E60A2" w14:textId="44E56240" w:rsidR="00C07E1A" w:rsidRDefault="006A76DC">
      <w:pPr>
        <w:pStyle w:val="TOC2"/>
        <w:rPr>
          <w:rFonts w:asciiTheme="minorHAnsi" w:eastAsiaTheme="minorEastAsia" w:hAnsiTheme="minorHAnsi"/>
          <w:noProof/>
          <w:sz w:val="22"/>
          <w:lang w:eastAsia="en-AU"/>
        </w:rPr>
      </w:pPr>
      <w:hyperlink w:anchor="_Toc106294794" w:history="1">
        <w:r w:rsidR="00C07E1A" w:rsidRPr="006F21E6">
          <w:rPr>
            <w:rStyle w:val="Hyperlink"/>
            <w:noProof/>
          </w:rPr>
          <w:t>2.1</w:t>
        </w:r>
        <w:r w:rsidR="00C07E1A">
          <w:rPr>
            <w:rFonts w:asciiTheme="minorHAnsi" w:eastAsiaTheme="minorEastAsia" w:hAnsiTheme="minorHAnsi"/>
            <w:noProof/>
            <w:sz w:val="22"/>
            <w:lang w:eastAsia="en-AU"/>
          </w:rPr>
          <w:tab/>
        </w:r>
        <w:r w:rsidR="00C07E1A" w:rsidRPr="006F21E6">
          <w:rPr>
            <w:rStyle w:val="Hyperlink"/>
            <w:noProof/>
          </w:rPr>
          <w:t>The P2CC program builds on strong national and historical foundations</w:t>
        </w:r>
        <w:r w:rsidR="00C07E1A">
          <w:rPr>
            <w:noProof/>
            <w:webHidden/>
          </w:rPr>
          <w:tab/>
        </w:r>
        <w:r w:rsidR="00C07E1A">
          <w:rPr>
            <w:noProof/>
            <w:webHidden/>
          </w:rPr>
          <w:fldChar w:fldCharType="begin"/>
        </w:r>
        <w:r w:rsidR="00C07E1A">
          <w:rPr>
            <w:noProof/>
            <w:webHidden/>
          </w:rPr>
          <w:instrText xml:space="preserve"> PAGEREF _Toc106294794 \h </w:instrText>
        </w:r>
        <w:r w:rsidR="00C07E1A">
          <w:rPr>
            <w:noProof/>
            <w:webHidden/>
          </w:rPr>
        </w:r>
        <w:r w:rsidR="00C07E1A">
          <w:rPr>
            <w:noProof/>
            <w:webHidden/>
          </w:rPr>
          <w:fldChar w:fldCharType="separate"/>
        </w:r>
        <w:r w:rsidR="00A439E2">
          <w:rPr>
            <w:noProof/>
            <w:webHidden/>
          </w:rPr>
          <w:t>5</w:t>
        </w:r>
        <w:r w:rsidR="00C07E1A">
          <w:rPr>
            <w:noProof/>
            <w:webHidden/>
          </w:rPr>
          <w:fldChar w:fldCharType="end"/>
        </w:r>
      </w:hyperlink>
    </w:p>
    <w:p w14:paraId="0E3DC7D3" w14:textId="5788167B" w:rsidR="00C07E1A" w:rsidRDefault="006A76DC">
      <w:pPr>
        <w:pStyle w:val="TOC2"/>
        <w:rPr>
          <w:rFonts w:asciiTheme="minorHAnsi" w:eastAsiaTheme="minorEastAsia" w:hAnsiTheme="minorHAnsi"/>
          <w:noProof/>
          <w:sz w:val="22"/>
          <w:lang w:eastAsia="en-AU"/>
        </w:rPr>
      </w:pPr>
      <w:hyperlink w:anchor="_Toc106294795" w:history="1">
        <w:r w:rsidR="00C07E1A" w:rsidRPr="006F21E6">
          <w:rPr>
            <w:rStyle w:val="Hyperlink"/>
            <w:noProof/>
          </w:rPr>
          <w:t>2.2</w:t>
        </w:r>
        <w:r w:rsidR="00C07E1A">
          <w:rPr>
            <w:rFonts w:asciiTheme="minorHAnsi" w:eastAsiaTheme="minorEastAsia" w:hAnsiTheme="minorHAnsi"/>
            <w:noProof/>
            <w:sz w:val="22"/>
            <w:lang w:eastAsia="en-AU"/>
          </w:rPr>
          <w:tab/>
        </w:r>
        <w:r w:rsidR="00C07E1A" w:rsidRPr="006F21E6">
          <w:rPr>
            <w:rStyle w:val="Hyperlink"/>
            <w:noProof/>
          </w:rPr>
          <w:t>The P2CC program has progressed through three phases</w:t>
        </w:r>
        <w:r w:rsidR="00C07E1A">
          <w:rPr>
            <w:noProof/>
            <w:webHidden/>
          </w:rPr>
          <w:tab/>
        </w:r>
        <w:r w:rsidR="00C07E1A">
          <w:rPr>
            <w:noProof/>
            <w:webHidden/>
          </w:rPr>
          <w:fldChar w:fldCharType="begin"/>
        </w:r>
        <w:r w:rsidR="00C07E1A">
          <w:rPr>
            <w:noProof/>
            <w:webHidden/>
          </w:rPr>
          <w:instrText xml:space="preserve"> PAGEREF _Toc106294795 \h </w:instrText>
        </w:r>
        <w:r w:rsidR="00C07E1A">
          <w:rPr>
            <w:noProof/>
            <w:webHidden/>
          </w:rPr>
        </w:r>
        <w:r w:rsidR="00C07E1A">
          <w:rPr>
            <w:noProof/>
            <w:webHidden/>
          </w:rPr>
          <w:fldChar w:fldCharType="separate"/>
        </w:r>
        <w:r w:rsidR="00A439E2">
          <w:rPr>
            <w:noProof/>
            <w:webHidden/>
          </w:rPr>
          <w:t>6</w:t>
        </w:r>
        <w:r w:rsidR="00C07E1A">
          <w:rPr>
            <w:noProof/>
            <w:webHidden/>
          </w:rPr>
          <w:fldChar w:fldCharType="end"/>
        </w:r>
      </w:hyperlink>
    </w:p>
    <w:p w14:paraId="73279A21" w14:textId="3989CEB8" w:rsidR="00C07E1A" w:rsidRDefault="006A76DC">
      <w:pPr>
        <w:pStyle w:val="TOC2"/>
        <w:rPr>
          <w:rFonts w:asciiTheme="minorHAnsi" w:eastAsiaTheme="minorEastAsia" w:hAnsiTheme="minorHAnsi"/>
          <w:noProof/>
          <w:sz w:val="22"/>
          <w:lang w:eastAsia="en-AU"/>
        </w:rPr>
      </w:pPr>
      <w:hyperlink w:anchor="_Toc106294796" w:history="1">
        <w:r w:rsidR="00C07E1A" w:rsidRPr="006F21E6">
          <w:rPr>
            <w:rStyle w:val="Hyperlink"/>
            <w:noProof/>
          </w:rPr>
          <w:t>2.3</w:t>
        </w:r>
        <w:r w:rsidR="00C07E1A">
          <w:rPr>
            <w:rFonts w:asciiTheme="minorHAnsi" w:eastAsiaTheme="minorEastAsia" w:hAnsiTheme="minorHAnsi"/>
            <w:noProof/>
            <w:sz w:val="22"/>
            <w:lang w:eastAsia="en-AU"/>
          </w:rPr>
          <w:tab/>
        </w:r>
        <w:r w:rsidR="00C07E1A" w:rsidRPr="006F21E6">
          <w:rPr>
            <w:rStyle w:val="Hyperlink"/>
            <w:noProof/>
          </w:rPr>
          <w:t>An evaluation of the P2CC program is timely</w:t>
        </w:r>
        <w:r w:rsidR="00C07E1A">
          <w:rPr>
            <w:noProof/>
            <w:webHidden/>
          </w:rPr>
          <w:tab/>
        </w:r>
        <w:r w:rsidR="00C07E1A">
          <w:rPr>
            <w:noProof/>
            <w:webHidden/>
          </w:rPr>
          <w:fldChar w:fldCharType="begin"/>
        </w:r>
        <w:r w:rsidR="00C07E1A">
          <w:rPr>
            <w:noProof/>
            <w:webHidden/>
          </w:rPr>
          <w:instrText xml:space="preserve"> PAGEREF _Toc106294796 \h </w:instrText>
        </w:r>
        <w:r w:rsidR="00C07E1A">
          <w:rPr>
            <w:noProof/>
            <w:webHidden/>
          </w:rPr>
        </w:r>
        <w:r w:rsidR="00C07E1A">
          <w:rPr>
            <w:noProof/>
            <w:webHidden/>
          </w:rPr>
          <w:fldChar w:fldCharType="separate"/>
        </w:r>
        <w:r w:rsidR="00A439E2">
          <w:rPr>
            <w:noProof/>
            <w:webHidden/>
          </w:rPr>
          <w:t>9</w:t>
        </w:r>
        <w:r w:rsidR="00C07E1A">
          <w:rPr>
            <w:noProof/>
            <w:webHidden/>
          </w:rPr>
          <w:fldChar w:fldCharType="end"/>
        </w:r>
      </w:hyperlink>
    </w:p>
    <w:p w14:paraId="5150E033" w14:textId="1397773A" w:rsidR="00C07E1A" w:rsidRDefault="006A76DC">
      <w:pPr>
        <w:pStyle w:val="TOC1"/>
        <w:rPr>
          <w:rFonts w:asciiTheme="minorHAnsi" w:eastAsiaTheme="minorEastAsia" w:hAnsiTheme="minorHAnsi"/>
          <w:noProof/>
          <w:sz w:val="22"/>
          <w:lang w:eastAsia="en-AU"/>
        </w:rPr>
      </w:pPr>
      <w:hyperlink w:anchor="_Toc106294797" w:history="1">
        <w:r w:rsidR="00C07E1A" w:rsidRPr="006F21E6">
          <w:rPr>
            <w:rStyle w:val="Hyperlink"/>
            <w:noProof/>
          </w:rPr>
          <w:t>3</w:t>
        </w:r>
        <w:r w:rsidR="00C07E1A">
          <w:rPr>
            <w:rFonts w:asciiTheme="minorHAnsi" w:eastAsiaTheme="minorEastAsia" w:hAnsiTheme="minorHAnsi"/>
            <w:noProof/>
            <w:sz w:val="22"/>
            <w:lang w:eastAsia="en-AU"/>
          </w:rPr>
          <w:tab/>
        </w:r>
        <w:r w:rsidR="00C07E1A" w:rsidRPr="006F21E6">
          <w:rPr>
            <w:rStyle w:val="Hyperlink"/>
            <w:noProof/>
          </w:rPr>
          <w:t>Findings</w:t>
        </w:r>
        <w:r w:rsidR="00C07E1A">
          <w:rPr>
            <w:noProof/>
            <w:webHidden/>
          </w:rPr>
          <w:tab/>
        </w:r>
        <w:r w:rsidR="00C07E1A">
          <w:rPr>
            <w:noProof/>
            <w:webHidden/>
          </w:rPr>
          <w:fldChar w:fldCharType="begin"/>
        </w:r>
        <w:r w:rsidR="00C07E1A">
          <w:rPr>
            <w:noProof/>
            <w:webHidden/>
          </w:rPr>
          <w:instrText xml:space="preserve"> PAGEREF _Toc106294797 \h </w:instrText>
        </w:r>
        <w:r w:rsidR="00C07E1A">
          <w:rPr>
            <w:noProof/>
            <w:webHidden/>
          </w:rPr>
        </w:r>
        <w:r w:rsidR="00C07E1A">
          <w:rPr>
            <w:noProof/>
            <w:webHidden/>
          </w:rPr>
          <w:fldChar w:fldCharType="separate"/>
        </w:r>
        <w:r w:rsidR="00A439E2">
          <w:rPr>
            <w:noProof/>
            <w:webHidden/>
          </w:rPr>
          <w:t>11</w:t>
        </w:r>
        <w:r w:rsidR="00C07E1A">
          <w:rPr>
            <w:noProof/>
            <w:webHidden/>
          </w:rPr>
          <w:fldChar w:fldCharType="end"/>
        </w:r>
      </w:hyperlink>
    </w:p>
    <w:p w14:paraId="26B5EC74" w14:textId="1C1394B5" w:rsidR="00C07E1A" w:rsidRDefault="006A76DC">
      <w:pPr>
        <w:pStyle w:val="TOC2"/>
        <w:rPr>
          <w:rFonts w:asciiTheme="minorHAnsi" w:eastAsiaTheme="minorEastAsia" w:hAnsiTheme="minorHAnsi"/>
          <w:noProof/>
          <w:sz w:val="22"/>
          <w:lang w:eastAsia="en-AU"/>
        </w:rPr>
      </w:pPr>
      <w:hyperlink w:anchor="_Toc106294798" w:history="1">
        <w:r w:rsidR="00C07E1A" w:rsidRPr="006F21E6">
          <w:rPr>
            <w:rStyle w:val="Hyperlink"/>
            <w:noProof/>
          </w:rPr>
          <w:t>3.1</w:t>
        </w:r>
        <w:r w:rsidR="00C07E1A">
          <w:rPr>
            <w:rFonts w:asciiTheme="minorHAnsi" w:eastAsiaTheme="minorEastAsia" w:hAnsiTheme="minorHAnsi"/>
            <w:noProof/>
            <w:sz w:val="22"/>
            <w:lang w:eastAsia="en-AU"/>
          </w:rPr>
          <w:tab/>
        </w:r>
        <w:r w:rsidR="00C07E1A" w:rsidRPr="006F21E6">
          <w:rPr>
            <w:rStyle w:val="Hyperlink"/>
            <w:noProof/>
          </w:rPr>
          <w:t>The evaluation identified overarching findings</w:t>
        </w:r>
        <w:r w:rsidR="00C07E1A">
          <w:rPr>
            <w:noProof/>
            <w:webHidden/>
          </w:rPr>
          <w:tab/>
        </w:r>
        <w:r w:rsidR="00C07E1A">
          <w:rPr>
            <w:noProof/>
            <w:webHidden/>
          </w:rPr>
          <w:fldChar w:fldCharType="begin"/>
        </w:r>
        <w:r w:rsidR="00C07E1A">
          <w:rPr>
            <w:noProof/>
            <w:webHidden/>
          </w:rPr>
          <w:instrText xml:space="preserve"> PAGEREF _Toc106294798 \h </w:instrText>
        </w:r>
        <w:r w:rsidR="00C07E1A">
          <w:rPr>
            <w:noProof/>
            <w:webHidden/>
          </w:rPr>
        </w:r>
        <w:r w:rsidR="00C07E1A">
          <w:rPr>
            <w:noProof/>
            <w:webHidden/>
          </w:rPr>
          <w:fldChar w:fldCharType="separate"/>
        </w:r>
        <w:r w:rsidR="00A439E2">
          <w:rPr>
            <w:noProof/>
            <w:webHidden/>
          </w:rPr>
          <w:t>11</w:t>
        </w:r>
        <w:r w:rsidR="00C07E1A">
          <w:rPr>
            <w:noProof/>
            <w:webHidden/>
          </w:rPr>
          <w:fldChar w:fldCharType="end"/>
        </w:r>
      </w:hyperlink>
    </w:p>
    <w:p w14:paraId="2C3CF582" w14:textId="4F263139" w:rsidR="00C07E1A" w:rsidRDefault="006A76DC">
      <w:pPr>
        <w:pStyle w:val="TOC2"/>
        <w:rPr>
          <w:rFonts w:asciiTheme="minorHAnsi" w:eastAsiaTheme="minorEastAsia" w:hAnsiTheme="minorHAnsi"/>
          <w:noProof/>
          <w:sz w:val="22"/>
          <w:lang w:eastAsia="en-AU"/>
        </w:rPr>
      </w:pPr>
      <w:hyperlink w:anchor="_Toc106294799" w:history="1">
        <w:r w:rsidR="00C07E1A" w:rsidRPr="006F21E6">
          <w:rPr>
            <w:rStyle w:val="Hyperlink"/>
            <w:noProof/>
          </w:rPr>
          <w:t>3.2</w:t>
        </w:r>
        <w:r w:rsidR="00C07E1A">
          <w:rPr>
            <w:rFonts w:asciiTheme="minorHAnsi" w:eastAsiaTheme="minorEastAsia" w:hAnsiTheme="minorHAnsi"/>
            <w:noProof/>
            <w:sz w:val="22"/>
            <w:lang w:eastAsia="en-AU"/>
          </w:rPr>
          <w:tab/>
        </w:r>
        <w:r w:rsidR="00C07E1A" w:rsidRPr="006F21E6">
          <w:rPr>
            <w:rStyle w:val="Hyperlink"/>
            <w:noProof/>
          </w:rPr>
          <w:t>The evaluation also identified findings specific to each transition stage</w:t>
        </w:r>
        <w:r w:rsidR="00C07E1A">
          <w:rPr>
            <w:noProof/>
            <w:webHidden/>
          </w:rPr>
          <w:tab/>
        </w:r>
        <w:r w:rsidR="00C07E1A">
          <w:rPr>
            <w:noProof/>
            <w:webHidden/>
          </w:rPr>
          <w:fldChar w:fldCharType="begin"/>
        </w:r>
        <w:r w:rsidR="00C07E1A">
          <w:rPr>
            <w:noProof/>
            <w:webHidden/>
          </w:rPr>
          <w:instrText xml:space="preserve"> PAGEREF _Toc106294799 \h </w:instrText>
        </w:r>
        <w:r w:rsidR="00C07E1A">
          <w:rPr>
            <w:noProof/>
            <w:webHidden/>
          </w:rPr>
        </w:r>
        <w:r w:rsidR="00C07E1A">
          <w:rPr>
            <w:noProof/>
            <w:webHidden/>
          </w:rPr>
          <w:fldChar w:fldCharType="separate"/>
        </w:r>
        <w:r w:rsidR="00A439E2">
          <w:rPr>
            <w:noProof/>
            <w:webHidden/>
          </w:rPr>
          <w:t>13</w:t>
        </w:r>
        <w:r w:rsidR="00C07E1A">
          <w:rPr>
            <w:noProof/>
            <w:webHidden/>
          </w:rPr>
          <w:fldChar w:fldCharType="end"/>
        </w:r>
      </w:hyperlink>
    </w:p>
    <w:p w14:paraId="39A34E20" w14:textId="06A9055C" w:rsidR="00C07E1A" w:rsidRDefault="006A76DC">
      <w:pPr>
        <w:pStyle w:val="TOC1"/>
        <w:rPr>
          <w:rFonts w:asciiTheme="minorHAnsi" w:eastAsiaTheme="minorEastAsia" w:hAnsiTheme="minorHAnsi"/>
          <w:noProof/>
          <w:sz w:val="22"/>
          <w:lang w:eastAsia="en-AU"/>
        </w:rPr>
      </w:pPr>
      <w:hyperlink w:anchor="_Toc106294800" w:history="1">
        <w:r w:rsidR="00C07E1A" w:rsidRPr="006F21E6">
          <w:rPr>
            <w:rStyle w:val="Hyperlink"/>
            <w:noProof/>
          </w:rPr>
          <w:t>4</w:t>
        </w:r>
        <w:r w:rsidR="00C07E1A">
          <w:rPr>
            <w:rFonts w:asciiTheme="minorHAnsi" w:eastAsiaTheme="minorEastAsia" w:hAnsiTheme="minorHAnsi"/>
            <w:noProof/>
            <w:sz w:val="22"/>
            <w:lang w:eastAsia="en-AU"/>
          </w:rPr>
          <w:tab/>
        </w:r>
        <w:r w:rsidR="00C07E1A" w:rsidRPr="006F21E6">
          <w:rPr>
            <w:rStyle w:val="Hyperlink"/>
            <w:noProof/>
          </w:rPr>
          <w:t>Recommendations</w:t>
        </w:r>
        <w:r w:rsidR="00C07E1A">
          <w:rPr>
            <w:noProof/>
            <w:webHidden/>
          </w:rPr>
          <w:tab/>
        </w:r>
        <w:r w:rsidR="00C07E1A">
          <w:rPr>
            <w:noProof/>
            <w:webHidden/>
          </w:rPr>
          <w:fldChar w:fldCharType="begin"/>
        </w:r>
        <w:r w:rsidR="00C07E1A">
          <w:rPr>
            <w:noProof/>
            <w:webHidden/>
          </w:rPr>
          <w:instrText xml:space="preserve"> PAGEREF _Toc106294800 \h </w:instrText>
        </w:r>
        <w:r w:rsidR="00C07E1A">
          <w:rPr>
            <w:noProof/>
            <w:webHidden/>
          </w:rPr>
        </w:r>
        <w:r w:rsidR="00C07E1A">
          <w:rPr>
            <w:noProof/>
            <w:webHidden/>
          </w:rPr>
          <w:fldChar w:fldCharType="separate"/>
        </w:r>
        <w:r w:rsidR="00A439E2">
          <w:rPr>
            <w:noProof/>
            <w:webHidden/>
          </w:rPr>
          <w:t>27</w:t>
        </w:r>
        <w:r w:rsidR="00C07E1A">
          <w:rPr>
            <w:noProof/>
            <w:webHidden/>
          </w:rPr>
          <w:fldChar w:fldCharType="end"/>
        </w:r>
      </w:hyperlink>
    </w:p>
    <w:p w14:paraId="48F8E98E" w14:textId="21EF72F8" w:rsidR="00C07E1A" w:rsidRDefault="006A76DC">
      <w:pPr>
        <w:pStyle w:val="TOC2"/>
        <w:rPr>
          <w:rFonts w:asciiTheme="minorHAnsi" w:eastAsiaTheme="minorEastAsia" w:hAnsiTheme="minorHAnsi"/>
          <w:noProof/>
          <w:sz w:val="22"/>
          <w:lang w:eastAsia="en-AU"/>
        </w:rPr>
      </w:pPr>
      <w:hyperlink w:anchor="_Toc106294801" w:history="1">
        <w:r w:rsidR="00C07E1A" w:rsidRPr="006F21E6">
          <w:rPr>
            <w:rStyle w:val="Hyperlink"/>
            <w:noProof/>
          </w:rPr>
          <w:t>4.1</w:t>
        </w:r>
        <w:r w:rsidR="00C07E1A">
          <w:rPr>
            <w:rFonts w:asciiTheme="minorHAnsi" w:eastAsiaTheme="minorEastAsia" w:hAnsiTheme="minorHAnsi"/>
            <w:noProof/>
            <w:sz w:val="22"/>
            <w:lang w:eastAsia="en-AU"/>
          </w:rPr>
          <w:tab/>
        </w:r>
        <w:r w:rsidR="00C07E1A" w:rsidRPr="006F21E6">
          <w:rPr>
            <w:rStyle w:val="Hyperlink"/>
            <w:noProof/>
          </w:rPr>
          <w:t>The P2CC program should be refreshed and recommitted to</w:t>
        </w:r>
        <w:r w:rsidR="00C07E1A">
          <w:rPr>
            <w:noProof/>
            <w:webHidden/>
          </w:rPr>
          <w:tab/>
        </w:r>
        <w:r w:rsidR="00C07E1A">
          <w:rPr>
            <w:noProof/>
            <w:webHidden/>
          </w:rPr>
          <w:fldChar w:fldCharType="begin"/>
        </w:r>
        <w:r w:rsidR="00C07E1A">
          <w:rPr>
            <w:noProof/>
            <w:webHidden/>
          </w:rPr>
          <w:instrText xml:space="preserve"> PAGEREF _Toc106294801 \h </w:instrText>
        </w:r>
        <w:r w:rsidR="00C07E1A">
          <w:rPr>
            <w:noProof/>
            <w:webHidden/>
          </w:rPr>
        </w:r>
        <w:r w:rsidR="00C07E1A">
          <w:rPr>
            <w:noProof/>
            <w:webHidden/>
          </w:rPr>
          <w:fldChar w:fldCharType="separate"/>
        </w:r>
        <w:r w:rsidR="00A439E2">
          <w:rPr>
            <w:noProof/>
            <w:webHidden/>
          </w:rPr>
          <w:t>27</w:t>
        </w:r>
        <w:r w:rsidR="00C07E1A">
          <w:rPr>
            <w:noProof/>
            <w:webHidden/>
          </w:rPr>
          <w:fldChar w:fldCharType="end"/>
        </w:r>
      </w:hyperlink>
    </w:p>
    <w:p w14:paraId="1024D4D0" w14:textId="5F046904" w:rsidR="00C07E1A" w:rsidRDefault="006A76DC">
      <w:pPr>
        <w:pStyle w:val="TOC2"/>
        <w:rPr>
          <w:rFonts w:asciiTheme="minorHAnsi" w:eastAsiaTheme="minorEastAsia" w:hAnsiTheme="minorHAnsi"/>
          <w:noProof/>
          <w:sz w:val="22"/>
          <w:lang w:eastAsia="en-AU"/>
        </w:rPr>
      </w:pPr>
      <w:hyperlink w:anchor="_Toc106294802" w:history="1">
        <w:r w:rsidR="00C07E1A" w:rsidRPr="006F21E6">
          <w:rPr>
            <w:rStyle w:val="Hyperlink"/>
            <w:noProof/>
          </w:rPr>
          <w:t>4.2</w:t>
        </w:r>
        <w:r w:rsidR="00C07E1A">
          <w:rPr>
            <w:rFonts w:asciiTheme="minorHAnsi" w:eastAsiaTheme="minorEastAsia" w:hAnsiTheme="minorHAnsi"/>
            <w:noProof/>
            <w:sz w:val="22"/>
            <w:lang w:eastAsia="en-AU"/>
          </w:rPr>
          <w:tab/>
        </w:r>
        <w:r w:rsidR="00C07E1A" w:rsidRPr="006F21E6">
          <w:rPr>
            <w:rStyle w:val="Hyperlink"/>
            <w:noProof/>
          </w:rPr>
          <w:t>The program framework should be systematically strengthened</w:t>
        </w:r>
        <w:r w:rsidR="00C07E1A">
          <w:rPr>
            <w:noProof/>
            <w:webHidden/>
          </w:rPr>
          <w:tab/>
        </w:r>
        <w:r w:rsidR="00C07E1A">
          <w:rPr>
            <w:noProof/>
            <w:webHidden/>
          </w:rPr>
          <w:fldChar w:fldCharType="begin"/>
        </w:r>
        <w:r w:rsidR="00C07E1A">
          <w:rPr>
            <w:noProof/>
            <w:webHidden/>
          </w:rPr>
          <w:instrText xml:space="preserve"> PAGEREF _Toc106294802 \h </w:instrText>
        </w:r>
        <w:r w:rsidR="00C07E1A">
          <w:rPr>
            <w:noProof/>
            <w:webHidden/>
          </w:rPr>
        </w:r>
        <w:r w:rsidR="00C07E1A">
          <w:rPr>
            <w:noProof/>
            <w:webHidden/>
          </w:rPr>
          <w:fldChar w:fldCharType="separate"/>
        </w:r>
        <w:r w:rsidR="00A439E2">
          <w:rPr>
            <w:noProof/>
            <w:webHidden/>
          </w:rPr>
          <w:t>27</w:t>
        </w:r>
        <w:r w:rsidR="00C07E1A">
          <w:rPr>
            <w:noProof/>
            <w:webHidden/>
          </w:rPr>
          <w:fldChar w:fldCharType="end"/>
        </w:r>
      </w:hyperlink>
    </w:p>
    <w:p w14:paraId="7004FC70" w14:textId="25A891A3" w:rsidR="00C07E1A" w:rsidRDefault="006A76DC">
      <w:pPr>
        <w:pStyle w:val="TOC2"/>
        <w:rPr>
          <w:rFonts w:asciiTheme="minorHAnsi" w:eastAsiaTheme="minorEastAsia" w:hAnsiTheme="minorHAnsi"/>
          <w:noProof/>
          <w:sz w:val="22"/>
          <w:lang w:eastAsia="en-AU"/>
        </w:rPr>
      </w:pPr>
      <w:hyperlink w:anchor="_Toc106294803" w:history="1">
        <w:r w:rsidR="00C07E1A" w:rsidRPr="006F21E6">
          <w:rPr>
            <w:rStyle w:val="Hyperlink"/>
            <w:noProof/>
          </w:rPr>
          <w:t>4.3</w:t>
        </w:r>
        <w:r w:rsidR="00C07E1A">
          <w:rPr>
            <w:rFonts w:asciiTheme="minorHAnsi" w:eastAsiaTheme="minorEastAsia" w:hAnsiTheme="minorHAnsi"/>
            <w:noProof/>
            <w:sz w:val="22"/>
            <w:lang w:eastAsia="en-AU"/>
          </w:rPr>
          <w:tab/>
        </w:r>
        <w:r w:rsidR="00C07E1A" w:rsidRPr="006F21E6">
          <w:rPr>
            <w:rStyle w:val="Hyperlink"/>
            <w:noProof/>
          </w:rPr>
          <w:t>The transition process and supports should be improved</w:t>
        </w:r>
        <w:r w:rsidR="00C07E1A">
          <w:rPr>
            <w:noProof/>
            <w:webHidden/>
          </w:rPr>
          <w:tab/>
        </w:r>
        <w:r w:rsidR="00C07E1A">
          <w:rPr>
            <w:noProof/>
            <w:webHidden/>
          </w:rPr>
          <w:fldChar w:fldCharType="begin"/>
        </w:r>
        <w:r w:rsidR="00C07E1A">
          <w:rPr>
            <w:noProof/>
            <w:webHidden/>
          </w:rPr>
          <w:instrText xml:space="preserve"> PAGEREF _Toc106294803 \h </w:instrText>
        </w:r>
        <w:r w:rsidR="00C07E1A">
          <w:rPr>
            <w:noProof/>
            <w:webHidden/>
          </w:rPr>
        </w:r>
        <w:r w:rsidR="00C07E1A">
          <w:rPr>
            <w:noProof/>
            <w:webHidden/>
          </w:rPr>
          <w:fldChar w:fldCharType="separate"/>
        </w:r>
        <w:r w:rsidR="00A439E2">
          <w:rPr>
            <w:noProof/>
            <w:webHidden/>
          </w:rPr>
          <w:t>32</w:t>
        </w:r>
        <w:r w:rsidR="00C07E1A">
          <w:rPr>
            <w:noProof/>
            <w:webHidden/>
          </w:rPr>
          <w:fldChar w:fldCharType="end"/>
        </w:r>
      </w:hyperlink>
    </w:p>
    <w:p w14:paraId="0A553C77" w14:textId="31FDE09B" w:rsidR="00C07E1A" w:rsidRDefault="006A76DC">
      <w:pPr>
        <w:pStyle w:val="TOC1"/>
        <w:tabs>
          <w:tab w:val="left" w:pos="1320"/>
        </w:tabs>
        <w:rPr>
          <w:rFonts w:asciiTheme="minorHAnsi" w:eastAsiaTheme="minorEastAsia" w:hAnsiTheme="minorHAnsi"/>
          <w:noProof/>
          <w:sz w:val="22"/>
          <w:lang w:eastAsia="en-AU"/>
        </w:rPr>
      </w:pPr>
      <w:hyperlink w:anchor="_Toc106294804" w:history="1">
        <w:r w:rsidR="00C07E1A" w:rsidRPr="006F21E6">
          <w:rPr>
            <w:rStyle w:val="Hyperlink"/>
            <w:noProof/>
            <w14:scene3d>
              <w14:camera w14:prst="orthographicFront"/>
              <w14:lightRig w14:rig="threePt" w14:dir="t">
                <w14:rot w14:lat="0" w14:lon="0" w14:rev="0"/>
              </w14:lightRig>
            </w14:scene3d>
          </w:rPr>
          <w:t>Appendix A</w:t>
        </w:r>
        <w:r w:rsidR="00C07E1A">
          <w:rPr>
            <w:rFonts w:asciiTheme="minorHAnsi" w:eastAsiaTheme="minorEastAsia" w:hAnsiTheme="minorHAnsi"/>
            <w:noProof/>
            <w:sz w:val="22"/>
            <w:lang w:eastAsia="en-AU"/>
          </w:rPr>
          <w:tab/>
        </w:r>
        <w:r w:rsidR="00C07E1A" w:rsidRPr="006F21E6">
          <w:rPr>
            <w:rStyle w:val="Hyperlink"/>
            <w:noProof/>
          </w:rPr>
          <w:t>Overview of the history of the P2CC program</w:t>
        </w:r>
        <w:r w:rsidR="00C07E1A">
          <w:rPr>
            <w:noProof/>
            <w:webHidden/>
          </w:rPr>
          <w:tab/>
        </w:r>
        <w:r w:rsidR="00C07E1A">
          <w:rPr>
            <w:noProof/>
            <w:webHidden/>
          </w:rPr>
          <w:fldChar w:fldCharType="begin"/>
        </w:r>
        <w:r w:rsidR="00C07E1A">
          <w:rPr>
            <w:noProof/>
            <w:webHidden/>
          </w:rPr>
          <w:instrText xml:space="preserve"> PAGEREF _Toc106294804 \h </w:instrText>
        </w:r>
        <w:r w:rsidR="00C07E1A">
          <w:rPr>
            <w:noProof/>
            <w:webHidden/>
          </w:rPr>
        </w:r>
        <w:r w:rsidR="00C07E1A">
          <w:rPr>
            <w:noProof/>
            <w:webHidden/>
          </w:rPr>
          <w:fldChar w:fldCharType="separate"/>
        </w:r>
        <w:r w:rsidR="00A439E2">
          <w:rPr>
            <w:noProof/>
            <w:webHidden/>
          </w:rPr>
          <w:t>35</w:t>
        </w:r>
        <w:r w:rsidR="00C07E1A">
          <w:rPr>
            <w:noProof/>
            <w:webHidden/>
          </w:rPr>
          <w:fldChar w:fldCharType="end"/>
        </w:r>
      </w:hyperlink>
    </w:p>
    <w:p w14:paraId="02FD6ABD" w14:textId="1FC6B3E5" w:rsidR="00C07E1A" w:rsidRDefault="006A76DC">
      <w:pPr>
        <w:pStyle w:val="TOC1"/>
        <w:tabs>
          <w:tab w:val="left" w:pos="1320"/>
        </w:tabs>
        <w:rPr>
          <w:rFonts w:asciiTheme="minorHAnsi" w:eastAsiaTheme="minorEastAsia" w:hAnsiTheme="minorHAnsi"/>
          <w:noProof/>
          <w:sz w:val="22"/>
          <w:lang w:eastAsia="en-AU"/>
        </w:rPr>
      </w:pPr>
      <w:hyperlink w:anchor="_Toc106294805" w:history="1">
        <w:r w:rsidR="00C07E1A" w:rsidRPr="006F21E6">
          <w:rPr>
            <w:rStyle w:val="Hyperlink"/>
            <w:noProof/>
            <w14:scene3d>
              <w14:camera w14:prst="orthographicFront"/>
              <w14:lightRig w14:rig="threePt" w14:dir="t">
                <w14:rot w14:lat="0" w14:lon="0" w14:rev="0"/>
              </w14:lightRig>
            </w14:scene3d>
          </w:rPr>
          <w:t>Appendix B</w:t>
        </w:r>
        <w:r w:rsidR="00C07E1A">
          <w:rPr>
            <w:rFonts w:asciiTheme="minorHAnsi" w:eastAsiaTheme="minorEastAsia" w:hAnsiTheme="minorHAnsi"/>
            <w:noProof/>
            <w:sz w:val="22"/>
            <w:lang w:eastAsia="en-AU"/>
          </w:rPr>
          <w:tab/>
        </w:r>
        <w:r w:rsidR="00C07E1A" w:rsidRPr="006F21E6">
          <w:rPr>
            <w:rStyle w:val="Hyperlink"/>
            <w:noProof/>
          </w:rPr>
          <w:t>Lessons learned from other jurisdictions</w:t>
        </w:r>
        <w:r w:rsidR="00C07E1A">
          <w:rPr>
            <w:noProof/>
            <w:webHidden/>
          </w:rPr>
          <w:tab/>
        </w:r>
        <w:r w:rsidR="00C07E1A">
          <w:rPr>
            <w:noProof/>
            <w:webHidden/>
          </w:rPr>
          <w:fldChar w:fldCharType="begin"/>
        </w:r>
        <w:r w:rsidR="00C07E1A">
          <w:rPr>
            <w:noProof/>
            <w:webHidden/>
          </w:rPr>
          <w:instrText xml:space="preserve"> PAGEREF _Toc106294805 \h </w:instrText>
        </w:r>
        <w:r w:rsidR="00C07E1A">
          <w:rPr>
            <w:noProof/>
            <w:webHidden/>
          </w:rPr>
        </w:r>
        <w:r w:rsidR="00C07E1A">
          <w:rPr>
            <w:noProof/>
            <w:webHidden/>
          </w:rPr>
          <w:fldChar w:fldCharType="separate"/>
        </w:r>
        <w:r w:rsidR="00A439E2">
          <w:rPr>
            <w:noProof/>
            <w:webHidden/>
          </w:rPr>
          <w:t>40</w:t>
        </w:r>
        <w:r w:rsidR="00C07E1A">
          <w:rPr>
            <w:noProof/>
            <w:webHidden/>
          </w:rPr>
          <w:fldChar w:fldCharType="end"/>
        </w:r>
      </w:hyperlink>
    </w:p>
    <w:p w14:paraId="4EF48F67" w14:textId="29BCDC9F" w:rsidR="00C07E1A" w:rsidRDefault="006A76DC">
      <w:pPr>
        <w:pStyle w:val="TOC1"/>
        <w:tabs>
          <w:tab w:val="left" w:pos="1320"/>
        </w:tabs>
        <w:rPr>
          <w:rFonts w:asciiTheme="minorHAnsi" w:eastAsiaTheme="minorEastAsia" w:hAnsiTheme="minorHAnsi"/>
          <w:noProof/>
          <w:sz w:val="22"/>
          <w:lang w:eastAsia="en-AU"/>
        </w:rPr>
      </w:pPr>
      <w:hyperlink w:anchor="_Toc106294806" w:history="1">
        <w:r w:rsidR="00C07E1A" w:rsidRPr="006F21E6">
          <w:rPr>
            <w:rStyle w:val="Hyperlink"/>
            <w:noProof/>
            <w14:scene3d>
              <w14:camera w14:prst="orthographicFront"/>
              <w14:lightRig w14:rig="threePt" w14:dir="t">
                <w14:rot w14:lat="0" w14:lon="0" w14:rev="0"/>
              </w14:lightRig>
            </w14:scene3d>
          </w:rPr>
          <w:t>Appendix C</w:t>
        </w:r>
        <w:r w:rsidR="00C07E1A">
          <w:rPr>
            <w:rFonts w:asciiTheme="minorHAnsi" w:eastAsiaTheme="minorEastAsia" w:hAnsiTheme="minorHAnsi"/>
            <w:noProof/>
            <w:sz w:val="22"/>
            <w:lang w:eastAsia="en-AU"/>
          </w:rPr>
          <w:tab/>
        </w:r>
        <w:r w:rsidR="00C07E1A" w:rsidRPr="006F21E6">
          <w:rPr>
            <w:rStyle w:val="Hyperlink"/>
            <w:noProof/>
          </w:rPr>
          <w:t>Good practice</w:t>
        </w:r>
        <w:r w:rsidR="00C07E1A">
          <w:rPr>
            <w:noProof/>
            <w:webHidden/>
          </w:rPr>
          <w:tab/>
        </w:r>
        <w:r w:rsidR="00C07E1A">
          <w:rPr>
            <w:noProof/>
            <w:webHidden/>
          </w:rPr>
          <w:fldChar w:fldCharType="begin"/>
        </w:r>
        <w:r w:rsidR="00C07E1A">
          <w:rPr>
            <w:noProof/>
            <w:webHidden/>
          </w:rPr>
          <w:instrText xml:space="preserve"> PAGEREF _Toc106294806 \h </w:instrText>
        </w:r>
        <w:r w:rsidR="00C07E1A">
          <w:rPr>
            <w:noProof/>
            <w:webHidden/>
          </w:rPr>
        </w:r>
        <w:r w:rsidR="00C07E1A">
          <w:rPr>
            <w:noProof/>
            <w:webHidden/>
          </w:rPr>
          <w:fldChar w:fldCharType="separate"/>
        </w:r>
        <w:r w:rsidR="00A439E2">
          <w:rPr>
            <w:noProof/>
            <w:webHidden/>
          </w:rPr>
          <w:t>43</w:t>
        </w:r>
        <w:r w:rsidR="00C07E1A">
          <w:rPr>
            <w:noProof/>
            <w:webHidden/>
          </w:rPr>
          <w:fldChar w:fldCharType="end"/>
        </w:r>
      </w:hyperlink>
    </w:p>
    <w:p w14:paraId="172E4BD9" w14:textId="3C6CED92" w:rsidR="00C07E1A" w:rsidRDefault="006A76DC">
      <w:pPr>
        <w:pStyle w:val="TOC1"/>
        <w:tabs>
          <w:tab w:val="left" w:pos="1320"/>
        </w:tabs>
        <w:rPr>
          <w:rFonts w:asciiTheme="minorHAnsi" w:eastAsiaTheme="minorEastAsia" w:hAnsiTheme="minorHAnsi"/>
          <w:noProof/>
          <w:sz w:val="22"/>
          <w:lang w:eastAsia="en-AU"/>
        </w:rPr>
      </w:pPr>
      <w:hyperlink w:anchor="_Toc106294807" w:history="1">
        <w:r w:rsidR="00C07E1A" w:rsidRPr="006F21E6">
          <w:rPr>
            <w:rStyle w:val="Hyperlink"/>
            <w:noProof/>
            <w14:scene3d>
              <w14:camera w14:prst="orthographicFront"/>
              <w14:lightRig w14:rig="threePt" w14:dir="t">
                <w14:rot w14:lat="0" w14:lon="0" w14:rev="0"/>
              </w14:lightRig>
            </w14:scene3d>
          </w:rPr>
          <w:t>Appendix D</w:t>
        </w:r>
        <w:r w:rsidR="00C07E1A">
          <w:rPr>
            <w:rFonts w:asciiTheme="minorHAnsi" w:eastAsiaTheme="minorEastAsia" w:hAnsiTheme="minorHAnsi"/>
            <w:noProof/>
            <w:sz w:val="22"/>
            <w:lang w:eastAsia="en-AU"/>
          </w:rPr>
          <w:tab/>
        </w:r>
        <w:r w:rsidR="00C07E1A" w:rsidRPr="006F21E6">
          <w:rPr>
            <w:rStyle w:val="Hyperlink"/>
            <w:noProof/>
          </w:rPr>
          <w:t>Summary of intended P2CC program process</w:t>
        </w:r>
        <w:r w:rsidR="00C07E1A">
          <w:rPr>
            <w:noProof/>
            <w:webHidden/>
          </w:rPr>
          <w:tab/>
        </w:r>
        <w:r w:rsidR="00C07E1A">
          <w:rPr>
            <w:noProof/>
            <w:webHidden/>
          </w:rPr>
          <w:fldChar w:fldCharType="begin"/>
        </w:r>
        <w:r w:rsidR="00C07E1A">
          <w:rPr>
            <w:noProof/>
            <w:webHidden/>
          </w:rPr>
          <w:instrText xml:space="preserve"> PAGEREF _Toc106294807 \h </w:instrText>
        </w:r>
        <w:r w:rsidR="00C07E1A">
          <w:rPr>
            <w:noProof/>
            <w:webHidden/>
          </w:rPr>
        </w:r>
        <w:r w:rsidR="00C07E1A">
          <w:rPr>
            <w:noProof/>
            <w:webHidden/>
          </w:rPr>
          <w:fldChar w:fldCharType="separate"/>
        </w:r>
        <w:r w:rsidR="00A439E2">
          <w:rPr>
            <w:noProof/>
            <w:webHidden/>
          </w:rPr>
          <w:t>46</w:t>
        </w:r>
        <w:r w:rsidR="00C07E1A">
          <w:rPr>
            <w:noProof/>
            <w:webHidden/>
          </w:rPr>
          <w:fldChar w:fldCharType="end"/>
        </w:r>
      </w:hyperlink>
    </w:p>
    <w:p w14:paraId="68CBEE8D" w14:textId="66207DC0" w:rsidR="00347671" w:rsidRPr="00760DDA" w:rsidRDefault="00C21C03" w:rsidP="000D5CE3">
      <w:pPr>
        <w:rPr>
          <w:lang w:eastAsia="en-AU"/>
        </w:rPr>
      </w:pPr>
      <w:r>
        <w:rPr>
          <w:lang w:eastAsia="en-AU"/>
        </w:rPr>
        <w:fldChar w:fldCharType="end"/>
      </w:r>
    </w:p>
    <w:p w14:paraId="728B87FD" w14:textId="77777777" w:rsidR="00347671" w:rsidRPr="00760DDA" w:rsidRDefault="00347671" w:rsidP="000D5CE3">
      <w:pPr>
        <w:rPr>
          <w:lang w:eastAsia="en-AU"/>
        </w:rPr>
        <w:sectPr w:rsidR="00347671" w:rsidRPr="00760DDA" w:rsidSect="0073030E">
          <w:pgSz w:w="11907" w:h="16839" w:code="9"/>
          <w:pgMar w:top="1418" w:right="1418" w:bottom="1701" w:left="1559" w:header="720" w:footer="720" w:gutter="0"/>
          <w:cols w:space="720"/>
          <w:docGrid w:linePitch="360"/>
        </w:sectPr>
      </w:pPr>
    </w:p>
    <w:p w14:paraId="6DECDCE8" w14:textId="613AA41A" w:rsidR="00BC0F96" w:rsidRPr="0088351D" w:rsidRDefault="0088351D" w:rsidP="00916E0E">
      <w:pPr>
        <w:pStyle w:val="Heading1"/>
        <w:rPr>
          <w:color w:val="FFFFFF" w:themeColor="background1"/>
        </w:rPr>
      </w:pPr>
      <w:bookmarkStart w:id="1" w:name="_Toc106294792"/>
      <w:r w:rsidRPr="0088351D">
        <w:rPr>
          <w:noProof/>
          <w:color w:val="FFFFFF" w:themeColor="background1"/>
        </w:rPr>
        <w:lastRenderedPageBreak/>
        <w:drawing>
          <wp:anchor distT="0" distB="0" distL="114300" distR="114300" simplePos="0" relativeHeight="251658261" behindDoc="1" locked="0" layoutInCell="1" allowOverlap="1" wp14:anchorId="478B45BF" wp14:editId="0269F59A">
            <wp:simplePos x="0" y="0"/>
            <wp:positionH relativeFrom="page">
              <wp:posOffset>12395</wp:posOffset>
            </wp:positionH>
            <wp:positionV relativeFrom="paragraph">
              <wp:posOffset>-781685</wp:posOffset>
            </wp:positionV>
            <wp:extent cx="7562850" cy="1254642"/>
            <wp:effectExtent l="0" t="0" r="0" b="3175"/>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62850" cy="1254642"/>
                    </a:xfrm>
                    <a:prstGeom prst="rect">
                      <a:avLst/>
                    </a:prstGeom>
                    <a:noFill/>
                    <a:ln>
                      <a:noFill/>
                    </a:ln>
                  </pic:spPr>
                </pic:pic>
              </a:graphicData>
            </a:graphic>
            <wp14:sizeRelH relativeFrom="page">
              <wp14:pctWidth>0</wp14:pctWidth>
            </wp14:sizeRelH>
            <wp14:sizeRelV relativeFrom="page">
              <wp14:pctHeight>0</wp14:pctHeight>
            </wp14:sizeRelV>
          </wp:anchor>
        </w:drawing>
      </w:r>
      <w:r w:rsidR="00916E0E" w:rsidRPr="0088351D">
        <w:rPr>
          <w:color w:val="FFFFFF" w:themeColor="background1"/>
        </w:rPr>
        <w:t>Executive Summary</w:t>
      </w:r>
      <w:bookmarkEnd w:id="1"/>
    </w:p>
    <w:p w14:paraId="40F94213" w14:textId="77777777" w:rsidR="00A55AAE" w:rsidRPr="00223EB9" w:rsidRDefault="00A55AAE" w:rsidP="00223EB9">
      <w:pPr>
        <w:rPr>
          <w:b/>
          <w:bCs/>
          <w:color w:val="00264D" w:themeColor="background2"/>
          <w:sz w:val="20"/>
          <w:szCs w:val="20"/>
        </w:rPr>
      </w:pPr>
      <w:r w:rsidRPr="00223EB9">
        <w:rPr>
          <w:b/>
          <w:bCs/>
          <w:color w:val="00264D" w:themeColor="background2"/>
          <w:sz w:val="20"/>
          <w:szCs w:val="20"/>
        </w:rPr>
        <w:t>The evaluation of the Pathways to Community Control program sought to assess the implementation and design of the program and identify improvements</w:t>
      </w:r>
    </w:p>
    <w:p w14:paraId="35689C42" w14:textId="644ED049" w:rsidR="00A55AAE" w:rsidRDefault="00A55AAE" w:rsidP="00A55AAE">
      <w:pPr>
        <w:rPr>
          <w:lang w:eastAsia="en-AU"/>
        </w:rPr>
      </w:pPr>
      <w:r w:rsidRPr="006700B3">
        <w:rPr>
          <w:lang w:eastAsia="en-AU"/>
        </w:rPr>
        <w:t xml:space="preserve">Over the 2000s, Aboriginal leadership across sectors and growing capability in regional services run by the community-controlled sector prompted planning for the transfer of more primary health care services from the Northern Territory (NT) Government </w:t>
      </w:r>
      <w:r>
        <w:rPr>
          <w:lang w:eastAsia="en-AU"/>
        </w:rPr>
        <w:t xml:space="preserve">(NTG) </w:t>
      </w:r>
      <w:r w:rsidRPr="006700B3">
        <w:rPr>
          <w:lang w:eastAsia="en-AU"/>
        </w:rPr>
        <w:t>to Aboriginal community governance.</w:t>
      </w:r>
      <w:r>
        <w:rPr>
          <w:lang w:eastAsia="en-AU"/>
        </w:rPr>
        <w:t xml:space="preserve"> </w:t>
      </w:r>
      <w:r w:rsidRPr="006700B3">
        <w:rPr>
          <w:lang w:eastAsia="en-AU"/>
        </w:rPr>
        <w:t xml:space="preserve">This resulted in the establishment in 2005 of the Pathways to Community Control agenda and the publication in 2009 of </w:t>
      </w:r>
      <w:r w:rsidRPr="006700B3">
        <w:rPr>
          <w:i/>
          <w:iCs/>
          <w:lang w:eastAsia="en-AU"/>
        </w:rPr>
        <w:t xml:space="preserve">Pathways to Community Control: An agenda to further promote Aboriginal community control </w:t>
      </w:r>
      <w:r w:rsidRPr="006700B3">
        <w:rPr>
          <w:lang w:eastAsia="en-AU"/>
        </w:rPr>
        <w:t>by the NT Aboriginal Health Forum (NTAHF). This has provided the framework for subsequent work to progress Aboriginal community control, including transitions supported through the Indigenous Australians Health Program (IAHP). These efforts have sought to build upon lessons from previous initiatives including the Coordinated Care Trials in the late 1990s and early 2000s.</w:t>
      </w:r>
    </w:p>
    <w:p w14:paraId="093F6327" w14:textId="50485B11" w:rsidR="00A55AAE" w:rsidRDefault="00A55AAE" w:rsidP="00A55AAE">
      <w:pPr>
        <w:rPr>
          <w:lang w:eastAsia="en-AU"/>
        </w:rPr>
      </w:pPr>
      <w:r w:rsidRPr="006700B3">
        <w:rPr>
          <w:lang w:eastAsia="en-AU"/>
        </w:rPr>
        <w:t>With the track record of transition now established and with ongoing commitment to continue the direction, it is timely to evaluate the Pathways to Community Control</w:t>
      </w:r>
      <w:r w:rsidR="00557A5A">
        <w:rPr>
          <w:lang w:eastAsia="en-AU"/>
        </w:rPr>
        <w:t xml:space="preserve"> </w:t>
      </w:r>
      <w:r w:rsidRPr="006700B3">
        <w:rPr>
          <w:lang w:eastAsia="en-AU"/>
        </w:rPr>
        <w:t xml:space="preserve">program </w:t>
      </w:r>
      <w:r w:rsidR="00557A5A">
        <w:rPr>
          <w:lang w:eastAsia="en-AU"/>
        </w:rPr>
        <w:t xml:space="preserve">(the P2CC program) </w:t>
      </w:r>
      <w:r w:rsidRPr="006700B3">
        <w:rPr>
          <w:lang w:eastAsia="en-AU"/>
        </w:rPr>
        <w:t>to assess its performance and identify areas for improvement.</w:t>
      </w:r>
      <w:r>
        <w:rPr>
          <w:lang w:eastAsia="en-AU"/>
        </w:rPr>
        <w:t xml:space="preserve"> The Australian Government Department of Health (the Department) engaged Nous Group (Nous) to conduct an evaluation of the P2CC program. The purpose of the evaluation was to provide the Department and its partners in NTAHF with a clear understanding of how the program is being implemented, an assessment of whether the program’s design is fit for purpose, and recommendations for improvement.</w:t>
      </w:r>
    </w:p>
    <w:p w14:paraId="5FCB741B" w14:textId="77777777" w:rsidR="00A55AAE" w:rsidRPr="00223EB9" w:rsidRDefault="00A55AAE" w:rsidP="00223EB9">
      <w:pPr>
        <w:rPr>
          <w:b/>
          <w:bCs/>
          <w:color w:val="00264D" w:themeColor="background2"/>
          <w:sz w:val="20"/>
          <w:szCs w:val="20"/>
        </w:rPr>
      </w:pPr>
      <w:r w:rsidRPr="00223EB9">
        <w:rPr>
          <w:b/>
          <w:bCs/>
          <w:color w:val="00264D" w:themeColor="background2"/>
          <w:sz w:val="20"/>
          <w:szCs w:val="20"/>
        </w:rPr>
        <w:t>The evaluation employed a culturally safe methodology drawing on evidence from consultations, documentation and data</w:t>
      </w:r>
    </w:p>
    <w:p w14:paraId="05615936" w14:textId="654C005C" w:rsidR="00A55AAE" w:rsidRDefault="00A55AAE" w:rsidP="00A55AAE">
      <w:pPr>
        <w:rPr>
          <w:lang w:eastAsia="en-AU"/>
        </w:rPr>
      </w:pPr>
      <w:r>
        <w:rPr>
          <w:lang w:eastAsia="en-AU"/>
        </w:rPr>
        <w:t>The evaluation aimed to answer two questions:</w:t>
      </w:r>
    </w:p>
    <w:p w14:paraId="02A830F5" w14:textId="73FC6056" w:rsidR="00A55AAE" w:rsidRDefault="00A55AAE" w:rsidP="00A55AAE">
      <w:pPr>
        <w:pStyle w:val="Bullet"/>
      </w:pPr>
      <w:r>
        <w:t xml:space="preserve">How effective has the implementation of the P2CC </w:t>
      </w:r>
      <w:r w:rsidR="00886F5A">
        <w:t xml:space="preserve">program </w:t>
      </w:r>
      <w:r>
        <w:t>been to date and what can we learn from it?</w:t>
      </w:r>
    </w:p>
    <w:p w14:paraId="096AD8CB" w14:textId="02DA892D" w:rsidR="00A55AAE" w:rsidRDefault="00A55AAE" w:rsidP="00A55AAE">
      <w:pPr>
        <w:pStyle w:val="Bullet"/>
      </w:pPr>
      <w:r>
        <w:t>How appropriate and fit for purpose is the P2CC</w:t>
      </w:r>
      <w:r w:rsidR="00886F5A">
        <w:t xml:space="preserve"> program’s </w:t>
      </w:r>
      <w:r>
        <w:t>current design?</w:t>
      </w:r>
    </w:p>
    <w:p w14:paraId="504724F8" w14:textId="77777777" w:rsidR="00A55AAE" w:rsidRDefault="00A55AAE" w:rsidP="00A55AAE">
      <w:pPr>
        <w:rPr>
          <w:lang w:eastAsia="en-AU"/>
        </w:rPr>
      </w:pPr>
      <w:r>
        <w:rPr>
          <w:lang w:eastAsia="en-AU"/>
        </w:rPr>
        <w:t>The evidence base for the evaluation included consultations, documentation and data.</w:t>
      </w:r>
    </w:p>
    <w:p w14:paraId="54621FA6" w14:textId="16E240B7" w:rsidR="00A55AAE" w:rsidRPr="004343B1" w:rsidRDefault="00A55AAE" w:rsidP="00A55AAE">
      <w:r>
        <w:t xml:space="preserve">Several measures were implemented to ensure engagement was culturally appropriate, including an evaluation team comprising Aboriginal and non-Aboriginal people with experience engaging with </w:t>
      </w:r>
      <w:r w:rsidR="00FF341A">
        <w:t>Aboriginal Community Con</w:t>
      </w:r>
      <w:r w:rsidR="00E0406A">
        <w:t>trolled Health</w:t>
      </w:r>
      <w:r w:rsidR="00D32AAB">
        <w:t xml:space="preserve"> Organisations</w:t>
      </w:r>
      <w:r w:rsidR="00E0406A">
        <w:t xml:space="preserve"> </w:t>
      </w:r>
      <w:r w:rsidR="00606ECB" w:rsidRPr="00606ECB">
        <w:t>(ACCHO</w:t>
      </w:r>
      <w:r w:rsidR="0094489D">
        <w:t>s</w:t>
      </w:r>
      <w:r w:rsidR="00606ECB" w:rsidRPr="00606ECB">
        <w:t>)</w:t>
      </w:r>
      <w:r w:rsidR="00E0406A">
        <w:t xml:space="preserve"> </w:t>
      </w:r>
      <w:r>
        <w:t xml:space="preserve">across the NT; community facilitators with specialist expertise conducting Aboriginal community consultations; and tailoring of consultation approaches to individual ACCHOs. </w:t>
      </w:r>
    </w:p>
    <w:p w14:paraId="5365102D" w14:textId="77777777" w:rsidR="00A55AAE" w:rsidRPr="00223EB9" w:rsidRDefault="00A55AAE" w:rsidP="00223EB9">
      <w:pPr>
        <w:rPr>
          <w:b/>
          <w:bCs/>
          <w:color w:val="00264D" w:themeColor="background2"/>
          <w:sz w:val="20"/>
          <w:szCs w:val="24"/>
        </w:rPr>
      </w:pPr>
      <w:r w:rsidRPr="00223EB9">
        <w:rPr>
          <w:b/>
          <w:bCs/>
          <w:color w:val="00264D" w:themeColor="background2"/>
          <w:sz w:val="20"/>
          <w:szCs w:val="24"/>
        </w:rPr>
        <w:t>The evaluation identified overarching findings about the program and specific findings about each transition stage</w:t>
      </w:r>
    </w:p>
    <w:p w14:paraId="672A6543" w14:textId="77777777" w:rsidR="00A55AAE" w:rsidRDefault="00A55AAE" w:rsidP="00A55AAE">
      <w:r w:rsidRPr="00264E51">
        <w:rPr>
          <w:lang w:eastAsia="en-AU"/>
        </w:rPr>
        <w:t xml:space="preserve">All stakeholders support the vision and objective of the program, but </w:t>
      </w:r>
      <w:r>
        <w:rPr>
          <w:lang w:eastAsia="en-AU"/>
        </w:rPr>
        <w:t xml:space="preserve">this support is eroded by </w:t>
      </w:r>
      <w:r w:rsidRPr="00264E51">
        <w:rPr>
          <w:lang w:eastAsia="en-AU"/>
        </w:rPr>
        <w:t>implementation challenges</w:t>
      </w:r>
      <w:r>
        <w:rPr>
          <w:lang w:eastAsia="en-AU"/>
        </w:rPr>
        <w:t xml:space="preserve">. These include (but are not limited to) </w:t>
      </w:r>
      <w:r w:rsidRPr="00937E94">
        <w:rPr>
          <w:lang w:eastAsia="en-AU"/>
        </w:rPr>
        <w:t>perceptions of opaque processes,</w:t>
      </w:r>
      <w:r w:rsidRPr="002A199E">
        <w:rPr>
          <w:lang w:eastAsia="en-AU"/>
        </w:rPr>
        <w:t xml:space="preserve"> </w:t>
      </w:r>
      <w:r w:rsidRPr="00937E94">
        <w:rPr>
          <w:lang w:eastAsia="en-AU"/>
        </w:rPr>
        <w:t>unclear roles and responsibilitie</w:t>
      </w:r>
      <w:r>
        <w:rPr>
          <w:lang w:eastAsia="en-AU"/>
        </w:rPr>
        <w:t>s,</w:t>
      </w:r>
      <w:r w:rsidRPr="00937E94">
        <w:rPr>
          <w:lang w:eastAsia="en-AU"/>
        </w:rPr>
        <w:t xml:space="preserve"> protracted financial negotiations and other timeframes,</w:t>
      </w:r>
      <w:r>
        <w:rPr>
          <w:lang w:eastAsia="en-AU"/>
        </w:rPr>
        <w:t xml:space="preserve"> a lack of evaluation and knowledge sharing, and few supporting templates and tools.</w:t>
      </w:r>
      <w:r w:rsidRPr="00F5766B">
        <w:t xml:space="preserve"> </w:t>
      </w:r>
      <w:r>
        <w:t xml:space="preserve">Stakeholders provided consistent feedback about the need for improvement in all aspects of the program. </w:t>
      </w:r>
    </w:p>
    <w:p w14:paraId="607BB027" w14:textId="7D3AB421" w:rsidR="00A55AAE" w:rsidRDefault="00A55AAE" w:rsidP="00A55AAE">
      <w:r>
        <w:t xml:space="preserve">Findings by transition stage are summarised in </w:t>
      </w:r>
      <w:r>
        <w:fldChar w:fldCharType="begin"/>
      </w:r>
      <w:r>
        <w:instrText xml:space="preserve"> REF _Ref100320061 \h </w:instrText>
      </w:r>
      <w:r>
        <w:fldChar w:fldCharType="separate"/>
      </w:r>
      <w:r w:rsidR="00A439E2">
        <w:t xml:space="preserve">Table </w:t>
      </w:r>
      <w:r w:rsidR="00A439E2">
        <w:rPr>
          <w:noProof/>
        </w:rPr>
        <w:t>1</w:t>
      </w:r>
      <w:r>
        <w:fldChar w:fldCharType="end"/>
      </w:r>
      <w:r>
        <w:t>.</w:t>
      </w:r>
    </w:p>
    <w:p w14:paraId="0421A8D4" w14:textId="28857618" w:rsidR="00A55AAE" w:rsidRDefault="00A55AAE" w:rsidP="00A55AAE">
      <w:pPr>
        <w:pStyle w:val="Caption"/>
      </w:pPr>
      <w:bookmarkStart w:id="2" w:name="_Ref100320061"/>
      <w:r>
        <w:lastRenderedPageBreak/>
        <w:t xml:space="preserve">Table </w:t>
      </w:r>
      <w:r>
        <w:fldChar w:fldCharType="begin"/>
      </w:r>
      <w:r>
        <w:instrText xml:space="preserve"> SEQ Table \* ARABIC </w:instrText>
      </w:r>
      <w:r>
        <w:fldChar w:fldCharType="separate"/>
      </w:r>
      <w:r w:rsidR="00A439E2">
        <w:rPr>
          <w:noProof/>
        </w:rPr>
        <w:t>1</w:t>
      </w:r>
      <w:r>
        <w:fldChar w:fldCharType="end"/>
      </w:r>
      <w:bookmarkEnd w:id="2"/>
      <w:r>
        <w:t xml:space="preserve"> | Summary of findings by transition stage</w:t>
      </w:r>
    </w:p>
    <w:tbl>
      <w:tblPr>
        <w:tblStyle w:val="NOUS"/>
        <w:tblW w:w="0" w:type="auto"/>
        <w:tblLook w:val="04A0" w:firstRow="1" w:lastRow="0" w:firstColumn="1" w:lastColumn="0" w:noHBand="0" w:noVBand="1"/>
      </w:tblPr>
      <w:tblGrid>
        <w:gridCol w:w="1418"/>
        <w:gridCol w:w="7512"/>
      </w:tblGrid>
      <w:tr w:rsidR="00A55AAE" w14:paraId="7D2D7816" w14:textId="77777777" w:rsidTr="009E4737">
        <w:trPr>
          <w:cnfStyle w:val="100000000000" w:firstRow="1" w:lastRow="0" w:firstColumn="0" w:lastColumn="0" w:oddVBand="0" w:evenVBand="0" w:oddHBand="0" w:evenHBand="0" w:firstRowFirstColumn="0" w:firstRowLastColumn="0" w:lastRowFirstColumn="0" w:lastRowLastColumn="0"/>
        </w:trPr>
        <w:tc>
          <w:tcPr>
            <w:tcW w:w="1418" w:type="dxa"/>
          </w:tcPr>
          <w:p w14:paraId="1A568CA2" w14:textId="77777777" w:rsidR="00A55AAE" w:rsidRPr="00A67772" w:rsidRDefault="00A55AAE" w:rsidP="00B61B94">
            <w:pPr>
              <w:pStyle w:val="TableNheader"/>
              <w:rPr>
                <w:b w:val="0"/>
                <w:bCs/>
              </w:rPr>
            </w:pPr>
            <w:r w:rsidRPr="00A67772">
              <w:rPr>
                <w:b w:val="0"/>
                <w:bCs/>
              </w:rPr>
              <w:t>Stage</w:t>
            </w:r>
          </w:p>
        </w:tc>
        <w:tc>
          <w:tcPr>
            <w:tcW w:w="7512" w:type="dxa"/>
          </w:tcPr>
          <w:p w14:paraId="055DDE80" w14:textId="77777777" w:rsidR="00A55AAE" w:rsidRPr="00A67772" w:rsidRDefault="00A55AAE" w:rsidP="00B61B94">
            <w:pPr>
              <w:pStyle w:val="TableNheader"/>
              <w:rPr>
                <w:b w:val="0"/>
                <w:bCs/>
              </w:rPr>
            </w:pPr>
            <w:r w:rsidRPr="00A67772">
              <w:rPr>
                <w:b w:val="0"/>
                <w:bCs/>
              </w:rPr>
              <w:t>Findings</w:t>
            </w:r>
          </w:p>
        </w:tc>
      </w:tr>
      <w:tr w:rsidR="00A55AAE" w14:paraId="6A2D883C" w14:textId="77777777" w:rsidTr="009E4737">
        <w:tc>
          <w:tcPr>
            <w:tcW w:w="1418" w:type="dxa"/>
          </w:tcPr>
          <w:p w14:paraId="5464EEE9" w14:textId="77777777" w:rsidR="00A55AAE" w:rsidRDefault="00A55AAE" w:rsidP="00B61B94">
            <w:pPr>
              <w:pStyle w:val="TableNText"/>
            </w:pPr>
            <w:r>
              <w:t>Pre-transition</w:t>
            </w:r>
          </w:p>
        </w:tc>
        <w:tc>
          <w:tcPr>
            <w:tcW w:w="7512" w:type="dxa"/>
          </w:tcPr>
          <w:p w14:paraId="3F2E317E" w14:textId="0187FDC3" w:rsidR="00A55AAE" w:rsidRDefault="00A55AAE" w:rsidP="00B61B94">
            <w:pPr>
              <w:pStyle w:val="TableNText"/>
            </w:pPr>
            <w:r>
              <w:t xml:space="preserve">NTAHF is a strong, tripartite governance body that is committed to the P2CC program. However, NTAHF members’ roles and responsibilities could be more clearly defined, as could the relationship of NTAHF processes to other decision-making processes (such as </w:t>
            </w:r>
            <w:r w:rsidR="00C271D2">
              <w:t>L</w:t>
            </w:r>
            <w:r>
              <w:t xml:space="preserve">ocal </w:t>
            </w:r>
            <w:r w:rsidR="00C271D2">
              <w:t>D</w:t>
            </w:r>
            <w:r>
              <w:t>ecision</w:t>
            </w:r>
            <w:r w:rsidR="00C271D2">
              <w:t xml:space="preserve"> M</w:t>
            </w:r>
            <w:r>
              <w:t>aking). The process to identify, select and prioritise transitions could be clearer.</w:t>
            </w:r>
          </w:p>
        </w:tc>
      </w:tr>
      <w:tr w:rsidR="00A55AAE" w14:paraId="60B4FDA7" w14:textId="77777777" w:rsidTr="009E4737">
        <w:tc>
          <w:tcPr>
            <w:tcW w:w="1418" w:type="dxa"/>
          </w:tcPr>
          <w:p w14:paraId="6FD0615A" w14:textId="77777777" w:rsidR="00A55AAE" w:rsidRDefault="00A55AAE" w:rsidP="00B61B94">
            <w:pPr>
              <w:pStyle w:val="TableNText"/>
            </w:pPr>
            <w:r>
              <w:t>Development</w:t>
            </w:r>
          </w:p>
        </w:tc>
        <w:tc>
          <w:tcPr>
            <w:tcW w:w="7512" w:type="dxa"/>
          </w:tcPr>
          <w:p w14:paraId="2833A7B1" w14:textId="03C54CF2" w:rsidR="00A55AAE" w:rsidRDefault="00A55AAE" w:rsidP="00B61B94">
            <w:pPr>
              <w:pStyle w:val="TableNText"/>
            </w:pPr>
            <w:r>
              <w:t>Stakeholders highlighted the importance of genuine and coordinated consultation to understand</w:t>
            </w:r>
            <w:r w:rsidRPr="00DA7251">
              <w:t xml:space="preserve"> communities’ needs and preferences</w:t>
            </w:r>
            <w:r>
              <w:t>,</w:t>
            </w:r>
            <w:r w:rsidRPr="00DA7251">
              <w:t xml:space="preserve"> and identify governance arrangements and transition pathways that will address them</w:t>
            </w:r>
            <w:r>
              <w:t xml:space="preserve">. Related to this, it was suggested that different pathways to community control could be better defined, as could the role of the NT and Australian Governments in the transition process. Unresolved financial negotiations </w:t>
            </w:r>
            <w:r w:rsidR="00E93EA7">
              <w:t xml:space="preserve">were </w:t>
            </w:r>
            <w:r>
              <w:t>seen to be a major barrier to transition.</w:t>
            </w:r>
          </w:p>
        </w:tc>
      </w:tr>
      <w:tr w:rsidR="00A55AAE" w14:paraId="27B6AA2D" w14:textId="77777777" w:rsidTr="009E4737">
        <w:tc>
          <w:tcPr>
            <w:tcW w:w="1418" w:type="dxa"/>
          </w:tcPr>
          <w:p w14:paraId="1A73CD08" w14:textId="77777777" w:rsidR="00A55AAE" w:rsidRDefault="00A55AAE" w:rsidP="00B61B94">
            <w:pPr>
              <w:pStyle w:val="TableNText"/>
            </w:pPr>
            <w:r>
              <w:t>Consolidation</w:t>
            </w:r>
          </w:p>
        </w:tc>
        <w:tc>
          <w:tcPr>
            <w:tcW w:w="7512" w:type="dxa"/>
          </w:tcPr>
          <w:p w14:paraId="678D6BD1" w14:textId="6F64073D" w:rsidR="00A55AAE" w:rsidRDefault="00A55AAE" w:rsidP="00B61B94">
            <w:pPr>
              <w:pStyle w:val="TableNText"/>
            </w:pPr>
            <w:r>
              <w:t>ACCHO Boards benefit from diverse, complementary skillsets. This is commonly achieve</w:t>
            </w:r>
            <w:r w:rsidR="00F31DA8">
              <w:t>d</w:t>
            </w:r>
            <w:r>
              <w:t xml:space="preserve"> through a mix of community directors and independent directors (often from outside the community).</w:t>
            </w:r>
          </w:p>
          <w:p w14:paraId="376E2ECE" w14:textId="02E91A95" w:rsidR="00A55AAE" w:rsidRDefault="00A55AAE" w:rsidP="00B61B94">
            <w:pPr>
              <w:pStyle w:val="TableNText"/>
            </w:pPr>
            <w:r>
              <w:t>Transition managers within both ACCHOs and the NTG play a key role in progressing transitions. Conversely, challenges arise when these roles are not consistently resourced (e.g. due to delays in filling vacancies).</w:t>
            </w:r>
          </w:p>
          <w:p w14:paraId="190674AC" w14:textId="57DDBF8D" w:rsidR="00A55AAE" w:rsidRDefault="00A55AAE" w:rsidP="00B61B94">
            <w:pPr>
              <w:pStyle w:val="TableNText"/>
            </w:pPr>
            <w:r>
              <w:t xml:space="preserve">Many stakeholders feel there is </w:t>
            </w:r>
            <w:r w:rsidR="00FB32C9">
              <w:t>a</w:t>
            </w:r>
            <w:r>
              <w:t xml:space="preserve"> lack of practical documents and tools to support transitions. Efforts to address this should be careful not to restrict ACCHO’s control of transition processes or impose </w:t>
            </w:r>
            <w:r w:rsidR="00D87C07">
              <w:t xml:space="preserve">excessive </w:t>
            </w:r>
            <w:r>
              <w:t>reporting requirements or bureaucratic processes.</w:t>
            </w:r>
          </w:p>
        </w:tc>
      </w:tr>
      <w:tr w:rsidR="00A55AAE" w14:paraId="6404AE72" w14:textId="77777777" w:rsidTr="009E4737">
        <w:tc>
          <w:tcPr>
            <w:tcW w:w="1418" w:type="dxa"/>
          </w:tcPr>
          <w:p w14:paraId="25AB42F6" w14:textId="77777777" w:rsidR="00A55AAE" w:rsidRDefault="00A55AAE" w:rsidP="00B61B94">
            <w:pPr>
              <w:pStyle w:val="TableNText"/>
            </w:pPr>
            <w:r>
              <w:t>Implementation</w:t>
            </w:r>
          </w:p>
        </w:tc>
        <w:tc>
          <w:tcPr>
            <w:tcW w:w="7512" w:type="dxa"/>
          </w:tcPr>
          <w:p w14:paraId="69E4D850" w14:textId="1ABCE3C0" w:rsidR="001D3739" w:rsidRPr="00012BD1" w:rsidRDefault="00674E93" w:rsidP="00B61B94">
            <w:pPr>
              <w:pStyle w:val="TableNText"/>
            </w:pPr>
            <w:r w:rsidRPr="00012BD1">
              <w:t xml:space="preserve">Stakeholders identified </w:t>
            </w:r>
            <w:r w:rsidR="00F71A6F" w:rsidRPr="00012BD1">
              <w:t>a number of key enablers for transitions, including:</w:t>
            </w:r>
          </w:p>
          <w:p w14:paraId="70E7A865" w14:textId="1B2C6BA7" w:rsidR="00F71A6F" w:rsidRPr="00012BD1" w:rsidRDefault="00F71A6F" w:rsidP="00F71A6F">
            <w:pPr>
              <w:pStyle w:val="TableNBullet"/>
            </w:pPr>
            <w:r w:rsidRPr="00012BD1">
              <w:t>A capable and well-connected CEO</w:t>
            </w:r>
          </w:p>
          <w:p w14:paraId="306A5AD8" w14:textId="184E1150" w:rsidR="00F423B3" w:rsidRPr="00012BD1" w:rsidRDefault="00F71A6F" w:rsidP="00B61B94">
            <w:pPr>
              <w:pStyle w:val="TableNBullet"/>
            </w:pPr>
            <w:r w:rsidRPr="00012BD1">
              <w:t>Strong corporate and clinical governance</w:t>
            </w:r>
          </w:p>
          <w:p w14:paraId="03AA4D77" w14:textId="041D4BA4" w:rsidR="00984BF9" w:rsidRPr="00012BD1" w:rsidRDefault="00C80C44" w:rsidP="00B61B94">
            <w:pPr>
              <w:pStyle w:val="TableNBullet"/>
            </w:pPr>
            <w:r w:rsidRPr="00012BD1">
              <w:t>Workforce</w:t>
            </w:r>
            <w:r w:rsidR="00984BF9" w:rsidRPr="00012BD1">
              <w:t xml:space="preserve"> transition, attraction and retention</w:t>
            </w:r>
          </w:p>
          <w:p w14:paraId="507FB8E3" w14:textId="7CB4D9B5" w:rsidR="00C80C44" w:rsidRPr="00012BD1" w:rsidRDefault="00EE1EBA" w:rsidP="00B61B94">
            <w:pPr>
              <w:pStyle w:val="TableNBullet"/>
            </w:pPr>
            <w:r w:rsidRPr="00012BD1">
              <w:t>Effective service relationships between ACCHOs and remaining NTG services</w:t>
            </w:r>
          </w:p>
          <w:p w14:paraId="43EDFD07" w14:textId="710A5D62" w:rsidR="00EE1EBA" w:rsidRPr="00012BD1" w:rsidRDefault="00EE1EBA" w:rsidP="00B61B94">
            <w:pPr>
              <w:pStyle w:val="TableNBullet"/>
            </w:pPr>
            <w:r w:rsidRPr="00012BD1">
              <w:t xml:space="preserve">Implementation of corporate services including for IT, </w:t>
            </w:r>
            <w:r w:rsidR="009C765E">
              <w:t>human resources (HR)</w:t>
            </w:r>
            <w:r w:rsidR="009C765E" w:rsidRPr="00012BD1">
              <w:t xml:space="preserve"> </w:t>
            </w:r>
            <w:r w:rsidRPr="00012BD1">
              <w:t>and finance.</w:t>
            </w:r>
          </w:p>
          <w:p w14:paraId="29BD7380" w14:textId="34EC2A53" w:rsidR="00A55AAE" w:rsidRPr="0062419B" w:rsidRDefault="00EE1EBA" w:rsidP="00012BD1">
            <w:pPr>
              <w:pStyle w:val="TableNBullet"/>
              <w:numPr>
                <w:ilvl w:val="0"/>
                <w:numId w:val="0"/>
              </w:numPr>
              <w:ind w:left="227" w:hanging="227"/>
              <w:rPr>
                <w:highlight w:val="yellow"/>
              </w:rPr>
            </w:pPr>
            <w:r w:rsidRPr="00012BD1">
              <w:t>Conversely, where these</w:t>
            </w:r>
            <w:r w:rsidR="00012BD1" w:rsidRPr="00012BD1">
              <w:t xml:space="preserve"> enablers are not in place, they can cause major issues and delays.</w:t>
            </w:r>
          </w:p>
        </w:tc>
      </w:tr>
      <w:tr w:rsidR="00A55AAE" w14:paraId="545F73EF" w14:textId="77777777" w:rsidTr="009E4737">
        <w:tc>
          <w:tcPr>
            <w:tcW w:w="1418" w:type="dxa"/>
          </w:tcPr>
          <w:p w14:paraId="22A5270E" w14:textId="77777777" w:rsidR="00A55AAE" w:rsidRDefault="00A55AAE" w:rsidP="00B61B94">
            <w:pPr>
              <w:pStyle w:val="TableNText"/>
            </w:pPr>
            <w:r>
              <w:t>Evaluation</w:t>
            </w:r>
          </w:p>
        </w:tc>
        <w:tc>
          <w:tcPr>
            <w:tcW w:w="7512" w:type="dxa"/>
          </w:tcPr>
          <w:p w14:paraId="34D7FD2F" w14:textId="69C2F7FF" w:rsidR="00A55AAE" w:rsidRPr="0065776F" w:rsidRDefault="00A55AAE" w:rsidP="00B61B94">
            <w:pPr>
              <w:pStyle w:val="TableNText"/>
            </w:pPr>
            <w:r w:rsidRPr="0065776F">
              <w:t>There has been limited evaluation of transitions or of the P2CC program more broadly</w:t>
            </w:r>
            <w:r w:rsidR="00827C23" w:rsidRPr="0065776F">
              <w:t>.</w:t>
            </w:r>
            <w:r w:rsidR="003B6407" w:rsidRPr="0065776F">
              <w:t xml:space="preserve"> This represents a missed opportunity to develop an evidence base to inform future transitions.</w:t>
            </w:r>
          </w:p>
          <w:p w14:paraId="5D18B749" w14:textId="4E619FF5" w:rsidR="00A55AAE" w:rsidRPr="0065776F" w:rsidRDefault="001E236C" w:rsidP="00B61B94">
            <w:pPr>
              <w:pStyle w:val="TableNText"/>
            </w:pPr>
            <w:r w:rsidRPr="0065776F">
              <w:t>In at least one case, an ACCHO developed documents outlining lessons learned from previous transitions to inform future transitions</w:t>
            </w:r>
            <w:r w:rsidR="003653F4" w:rsidRPr="0065776F">
              <w:t>, but this was an exception.</w:t>
            </w:r>
          </w:p>
          <w:p w14:paraId="5AD9109E" w14:textId="451D4AB8" w:rsidR="00F33484" w:rsidRPr="0062419B" w:rsidRDefault="000F6F82" w:rsidP="00464508">
            <w:pPr>
              <w:pStyle w:val="TableNText"/>
              <w:rPr>
                <w:highlight w:val="yellow"/>
              </w:rPr>
            </w:pPr>
            <w:r w:rsidRPr="00FC6C18">
              <w:t>While high quality data is available (e.g. the NT Aboriginal H</w:t>
            </w:r>
            <w:r w:rsidRPr="000333F8">
              <w:t xml:space="preserve">ealth </w:t>
            </w:r>
            <w:r w:rsidRPr="00F557E3">
              <w:t>Key Performance Indicators) it does not appear to have be</w:t>
            </w:r>
            <w:r w:rsidRPr="00464508">
              <w:t>en u</w:t>
            </w:r>
            <w:r w:rsidRPr="000F5E3A">
              <w:t>sed to evaluate the outcomes of individual transitions or the P2CC program as</w:t>
            </w:r>
            <w:r w:rsidRPr="00EB23FC">
              <w:t xml:space="preserve"> a</w:t>
            </w:r>
            <w:r>
              <w:t xml:space="preserve"> whole.</w:t>
            </w:r>
          </w:p>
        </w:tc>
      </w:tr>
    </w:tbl>
    <w:p w14:paraId="6CEF7F4C" w14:textId="77777777" w:rsidR="00A55AAE" w:rsidRPr="00223EB9" w:rsidRDefault="00A55AAE" w:rsidP="00223EB9">
      <w:pPr>
        <w:rPr>
          <w:b/>
          <w:bCs/>
          <w:color w:val="00264D" w:themeColor="background2"/>
          <w:sz w:val="20"/>
          <w:szCs w:val="24"/>
        </w:rPr>
      </w:pPr>
      <w:r w:rsidRPr="00223EB9">
        <w:rPr>
          <w:b/>
          <w:bCs/>
          <w:color w:val="00264D" w:themeColor="background2"/>
          <w:sz w:val="20"/>
          <w:szCs w:val="24"/>
        </w:rPr>
        <w:t>The evaluation made recommendations to refresh and recommit to the program, strengthen the core program framework, and improve the transition process and supports</w:t>
      </w:r>
    </w:p>
    <w:p w14:paraId="3AF380E5" w14:textId="77777777" w:rsidR="00A55AAE" w:rsidRDefault="00A55AAE" w:rsidP="00A55AAE">
      <w:pPr>
        <w:pStyle w:val="Listnumbered"/>
        <w:rPr>
          <w:lang w:eastAsia="en-AU"/>
        </w:rPr>
      </w:pPr>
      <w:r>
        <w:rPr>
          <w:lang w:eastAsia="en-AU"/>
        </w:rPr>
        <w:t xml:space="preserve">The </w:t>
      </w:r>
      <w:r w:rsidRPr="00352585">
        <w:t>partners</w:t>
      </w:r>
      <w:r>
        <w:rPr>
          <w:lang w:eastAsia="en-AU"/>
        </w:rPr>
        <w:t xml:space="preserve"> should refresh and recommit to the P2CC program to improve clarity, consistency and transparency in all aspects and promote accountability at all levels.</w:t>
      </w:r>
    </w:p>
    <w:p w14:paraId="7F4C0D81" w14:textId="724749BD" w:rsidR="00A55AAE" w:rsidRDefault="00B05A07" w:rsidP="00CB3F2A">
      <w:pPr>
        <w:pStyle w:val="Listnumbered"/>
        <w:rPr>
          <w:lang w:eastAsia="en-AU"/>
        </w:rPr>
      </w:pPr>
      <w:r w:rsidRPr="00B05A07">
        <w:rPr>
          <w:lang w:eastAsia="en-AU"/>
        </w:rPr>
        <w:t>The partners should consider strengthening the authorising environment for the P2CC program through senior-level (in the case of the Australian and NT Governments preferably ministerial level) statements of commitment and endorsement of program guidelines from all partners.</w:t>
      </w:r>
      <w:r w:rsidR="00A55AAE">
        <w:rPr>
          <w:lang w:eastAsia="en-AU"/>
        </w:rPr>
        <w:br w:type="page"/>
      </w:r>
    </w:p>
    <w:p w14:paraId="2ACCF677" w14:textId="0C150CCC" w:rsidR="00B92684" w:rsidRDefault="00B92684" w:rsidP="00F50A23">
      <w:pPr>
        <w:pStyle w:val="Listnumbered"/>
      </w:pPr>
      <w:r w:rsidRPr="00AF2AFD">
        <w:rPr>
          <w:lang w:eastAsia="en-AU"/>
        </w:rPr>
        <w:lastRenderedPageBreak/>
        <w:t xml:space="preserve">The partners should </w:t>
      </w:r>
      <w:r>
        <w:rPr>
          <w:lang w:eastAsia="en-AU"/>
        </w:rPr>
        <w:t>ensure the governance of the P2CC program is led by a group that is sufficiently senior and active to address problems and delays and adapt to emerging issues and events.</w:t>
      </w:r>
    </w:p>
    <w:p w14:paraId="59FE3A83" w14:textId="2CB159C0" w:rsidR="00CB3F2A" w:rsidRPr="00F50A23" w:rsidRDefault="00CB3F2A" w:rsidP="00F50A23">
      <w:pPr>
        <w:pStyle w:val="Listnumbered"/>
      </w:pPr>
      <w:r w:rsidRPr="00F50A23">
        <w:t>The partners should improve the rigour of the selection process for the P2CC program through:</w:t>
      </w:r>
    </w:p>
    <w:p w14:paraId="0917A410" w14:textId="77777777" w:rsidR="00CB3F2A" w:rsidRDefault="00CB3F2A" w:rsidP="00F50A23">
      <w:pPr>
        <w:pStyle w:val="Bullet"/>
        <w:numPr>
          <w:ilvl w:val="1"/>
          <w:numId w:val="34"/>
        </w:numPr>
      </w:pPr>
      <w:r>
        <w:t>Proactive planning of the transition pipeline</w:t>
      </w:r>
    </w:p>
    <w:p w14:paraId="6AFD9F93" w14:textId="6A4BCCDC" w:rsidR="00CB3F2A" w:rsidRDefault="00CB3F2A" w:rsidP="00F50A23">
      <w:pPr>
        <w:pStyle w:val="Bullet"/>
        <w:numPr>
          <w:ilvl w:val="1"/>
          <w:numId w:val="34"/>
        </w:numPr>
      </w:pPr>
      <w:r>
        <w:t>Easily accessible application guidelines and assessment criteria</w:t>
      </w:r>
    </w:p>
    <w:p w14:paraId="1EDFB939" w14:textId="77777777" w:rsidR="00CB3F2A" w:rsidRDefault="00CB3F2A" w:rsidP="00F50A23">
      <w:pPr>
        <w:pStyle w:val="Bullet"/>
        <w:numPr>
          <w:ilvl w:val="1"/>
          <w:numId w:val="34"/>
        </w:numPr>
      </w:pPr>
      <w:r>
        <w:t>A transparent business case process with approval by the lead governance body</w:t>
      </w:r>
    </w:p>
    <w:p w14:paraId="07D18C10" w14:textId="77777777" w:rsidR="00CB3F2A" w:rsidRDefault="00CB3F2A" w:rsidP="00F50A23">
      <w:pPr>
        <w:pStyle w:val="Bullet"/>
        <w:numPr>
          <w:ilvl w:val="1"/>
          <w:numId w:val="34"/>
        </w:numPr>
      </w:pPr>
      <w:r>
        <w:t>Clear communication of the relationship between NTAHF’s decision to support a transition and the subsequent Australian Government decision to provide transition funding</w:t>
      </w:r>
    </w:p>
    <w:p w14:paraId="432785E2" w14:textId="77B97271" w:rsidR="00DB71E0" w:rsidRDefault="00DB71E0" w:rsidP="00343231">
      <w:pPr>
        <w:pStyle w:val="Bullet"/>
        <w:numPr>
          <w:ilvl w:val="1"/>
          <w:numId w:val="34"/>
        </w:numPr>
      </w:pPr>
      <w:r>
        <w:t xml:space="preserve">Clarification of the relationship between the P2CC program and the Local Decision Making process (potentially through discussion with </w:t>
      </w:r>
      <w:r w:rsidR="00641F83">
        <w:t>the Department of Chief Minister and Cabinet (CM&amp;C)</w:t>
      </w:r>
      <w:r>
        <w:t>)</w:t>
      </w:r>
    </w:p>
    <w:p w14:paraId="0CF6F8D0" w14:textId="77777777" w:rsidR="00CB3F2A" w:rsidRDefault="00CB3F2A" w:rsidP="00F50A23">
      <w:pPr>
        <w:pStyle w:val="Bullet"/>
        <w:numPr>
          <w:ilvl w:val="1"/>
          <w:numId w:val="34"/>
        </w:numPr>
      </w:pPr>
      <w:r>
        <w:t>Ensuring as much as possible of the Australian Government’s required information for making funding decisions is captured in the business case.</w:t>
      </w:r>
    </w:p>
    <w:p w14:paraId="79B40379" w14:textId="77777777" w:rsidR="00CB3F2A" w:rsidRDefault="00CB3F2A" w:rsidP="00F50A23">
      <w:pPr>
        <w:pStyle w:val="Listnumbered"/>
        <w:numPr>
          <w:ilvl w:val="0"/>
          <w:numId w:val="0"/>
        </w:numPr>
        <w:ind w:left="397"/>
        <w:rPr>
          <w:rFonts w:ascii="Calibri" w:hAnsi="Calibri" w:cs="Calibri"/>
          <w:sz w:val="22"/>
          <w:lang w:eastAsia="en-AU"/>
        </w:rPr>
      </w:pPr>
      <w:r>
        <w:t>Improving the selection process in this way could enable the partners to calibrate the number of transitions pursued at any one time based on the level of funding, effort, and time each requires (rather than specifying a set number).</w:t>
      </w:r>
      <w:r>
        <w:rPr>
          <w:rFonts w:ascii="Calibri" w:hAnsi="Calibri" w:cs="Calibri"/>
          <w:sz w:val="22"/>
          <w:lang w:eastAsia="en-AU"/>
        </w:rPr>
        <w:t xml:space="preserve"> </w:t>
      </w:r>
    </w:p>
    <w:p w14:paraId="72DD8D19" w14:textId="77777777" w:rsidR="00A55AAE" w:rsidRDefault="00A55AAE" w:rsidP="00A55AAE">
      <w:pPr>
        <w:pStyle w:val="Listnumbered"/>
        <w:rPr>
          <w:lang w:eastAsia="en-AU"/>
        </w:rPr>
      </w:pPr>
      <w:r>
        <w:rPr>
          <w:lang w:eastAsia="en-AU"/>
        </w:rPr>
        <w:t>The partners should agree on principles and processes that will guide consultation for the P2CC program to ensure:</w:t>
      </w:r>
    </w:p>
    <w:p w14:paraId="387ADEE2" w14:textId="78FEFCAB" w:rsidR="00A55AAE" w:rsidRDefault="00A55AAE" w:rsidP="00A55AAE">
      <w:pPr>
        <w:pStyle w:val="Bullet"/>
        <w:numPr>
          <w:ilvl w:val="1"/>
          <w:numId w:val="34"/>
        </w:numPr>
      </w:pPr>
      <w:r>
        <w:t>Consistent understanding on the part of partners, communities and other stakeholders about the form and extent of consultation that will occur as a precursor to each transition milestone</w:t>
      </w:r>
    </w:p>
    <w:p w14:paraId="5CC56608" w14:textId="693029C6" w:rsidR="00A55AAE" w:rsidRDefault="00A55AAE" w:rsidP="00A55AAE">
      <w:pPr>
        <w:pStyle w:val="Bullet"/>
        <w:numPr>
          <w:ilvl w:val="1"/>
          <w:numId w:val="34"/>
        </w:numPr>
      </w:pPr>
      <w:r>
        <w:t>A feedback loop through which communities are informed of the outcomes of consultation and given the opportunity to respond</w:t>
      </w:r>
    </w:p>
    <w:p w14:paraId="1BE82A42" w14:textId="77777777" w:rsidR="00A55AAE" w:rsidRDefault="00A55AAE" w:rsidP="00A55AAE">
      <w:pPr>
        <w:pStyle w:val="Bullet"/>
        <w:numPr>
          <w:ilvl w:val="1"/>
          <w:numId w:val="34"/>
        </w:numPr>
      </w:pPr>
      <w:r>
        <w:t>Engagement of individuals or organisations with appropriate skills, position and authority to conduct consultation processes.</w:t>
      </w:r>
    </w:p>
    <w:p w14:paraId="333500C6" w14:textId="3BF7E68B" w:rsidR="001E083D" w:rsidRPr="00F50A23" w:rsidRDefault="001E083D" w:rsidP="00F50A23">
      <w:pPr>
        <w:pStyle w:val="Listnumbered"/>
        <w:rPr>
          <w:lang w:eastAsia="en-AU"/>
        </w:rPr>
      </w:pPr>
      <w:r>
        <w:rPr>
          <w:lang w:eastAsia="en-AU"/>
        </w:rPr>
        <w:t>The partners should establish a process for undertaking an upfront comprehensive assessment of the costs of transitioning a primary health care service for the P2CC program that:</w:t>
      </w:r>
    </w:p>
    <w:p w14:paraId="39E9861F" w14:textId="11731289" w:rsidR="002D066C" w:rsidRDefault="002D066C" w:rsidP="00C07E1A">
      <w:pPr>
        <w:pStyle w:val="Bullet"/>
        <w:numPr>
          <w:ilvl w:val="1"/>
          <w:numId w:val="34"/>
        </w:numPr>
      </w:pPr>
      <w:r>
        <w:t>Reflects the stage of development of the organisation taking on the service</w:t>
      </w:r>
    </w:p>
    <w:p w14:paraId="2E0D7452" w14:textId="663824A5" w:rsidR="00573E69" w:rsidRPr="003B0E68" w:rsidRDefault="00573E69" w:rsidP="00C07E1A">
      <w:pPr>
        <w:pStyle w:val="Bullet"/>
        <w:numPr>
          <w:ilvl w:val="1"/>
          <w:numId w:val="34"/>
        </w:numPr>
      </w:pPr>
      <w:r w:rsidRPr="003B0E68">
        <w:t>Articulates all categories of costs of the transition and ongoing operations (including capital) and provides guidelines for how they will be funded</w:t>
      </w:r>
    </w:p>
    <w:p w14:paraId="5534302D" w14:textId="449F08F9" w:rsidR="00573E69" w:rsidRDefault="00573E69" w:rsidP="00C07E1A">
      <w:pPr>
        <w:pStyle w:val="Bullet"/>
        <w:numPr>
          <w:ilvl w:val="1"/>
          <w:numId w:val="34"/>
        </w:numPr>
      </w:pPr>
      <w:r w:rsidRPr="003B0E68">
        <w:t>Can be tailored to</w:t>
      </w:r>
      <w:r>
        <w:t xml:space="preserve"> each ACCHO’s</w:t>
      </w:r>
      <w:r w:rsidRPr="003B0E68">
        <w:t xml:space="preserve"> circumstances, strengths and needs </w:t>
      </w:r>
      <w:r>
        <w:t>(e.g. governance training for boards)</w:t>
      </w:r>
    </w:p>
    <w:p w14:paraId="4E2905A3" w14:textId="47DDD6F9" w:rsidR="00573E69" w:rsidRPr="003B0E68" w:rsidRDefault="00573E69" w:rsidP="00C07E1A">
      <w:pPr>
        <w:pStyle w:val="Bullet"/>
        <w:numPr>
          <w:ilvl w:val="1"/>
          <w:numId w:val="34"/>
        </w:numPr>
      </w:pPr>
      <w:r>
        <w:t>Reflects that government has greater economies of scale than ACCHOs in the provision of primary health care services</w:t>
      </w:r>
    </w:p>
    <w:p w14:paraId="16CA2F82" w14:textId="77CC7A01" w:rsidR="00573E69" w:rsidRDefault="00573E69" w:rsidP="00C07E1A">
      <w:pPr>
        <w:pStyle w:val="Bullet"/>
        <w:numPr>
          <w:ilvl w:val="1"/>
          <w:numId w:val="34"/>
        </w:numPr>
      </w:pPr>
      <w:r w:rsidRPr="003B0E68">
        <w:t>Enables appropriate resourcing of transition including through transition manager</w:t>
      </w:r>
      <w:r>
        <w:t>s and other</w:t>
      </w:r>
      <w:r w:rsidRPr="003B0E68">
        <w:t xml:space="preserve"> roles with</w:t>
      </w:r>
      <w:r>
        <w:t>in</w:t>
      </w:r>
      <w:r w:rsidRPr="003B0E68">
        <w:t xml:space="preserve"> the Australian Government, </w:t>
      </w:r>
      <w:r>
        <w:t>NTG</w:t>
      </w:r>
      <w:r w:rsidRPr="003B0E68">
        <w:t xml:space="preserve"> and ACCHO</w:t>
      </w:r>
    </w:p>
    <w:p w14:paraId="658D5A47" w14:textId="77777777" w:rsidR="00573E69" w:rsidRDefault="00573E69" w:rsidP="00C07E1A">
      <w:pPr>
        <w:pStyle w:val="Bullet"/>
        <w:numPr>
          <w:ilvl w:val="1"/>
          <w:numId w:val="34"/>
        </w:numPr>
      </w:pPr>
      <w:r w:rsidRPr="003B0E68">
        <w:t>Balances expectations for reporting and accountability with flexibility for individuals involved in transitions to solve problems and achieve outcomes</w:t>
      </w:r>
      <w:r>
        <w:t>.</w:t>
      </w:r>
    </w:p>
    <w:p w14:paraId="71864098" w14:textId="0597EAC1" w:rsidR="00182E23" w:rsidRDefault="00182E23" w:rsidP="00C07E1A">
      <w:pPr>
        <w:pStyle w:val="Bullet"/>
        <w:numPr>
          <w:ilvl w:val="0"/>
          <w:numId w:val="0"/>
        </w:numPr>
        <w:ind w:left="454"/>
      </w:pPr>
      <w:r>
        <w:t>The upfront comprehensive assessment would occur as early as possible, ideally as part of the business case.</w:t>
      </w:r>
    </w:p>
    <w:p w14:paraId="6FB4735B" w14:textId="44B02709" w:rsidR="00A55AAE" w:rsidRPr="006801BA" w:rsidRDefault="00ED3AF4" w:rsidP="00A55AAE">
      <w:pPr>
        <w:pStyle w:val="Listnumbered"/>
        <w:rPr>
          <w:lang w:eastAsia="en-AU"/>
        </w:rPr>
      </w:pPr>
      <w:r w:rsidRPr="00ED3AF4">
        <w:rPr>
          <w:lang w:eastAsia="en-AU"/>
        </w:rPr>
        <w:t xml:space="preserve">The Australian Government Department of Health should explore possible alternative entry points into the IAHP funding model for primary health care services transitioning to community control.  </w:t>
      </w:r>
    </w:p>
    <w:p w14:paraId="077FE03A" w14:textId="77777777" w:rsidR="00B8010E" w:rsidRPr="00F50A23" w:rsidRDefault="00B8010E" w:rsidP="00F50A23">
      <w:pPr>
        <w:pStyle w:val="Listnumbered"/>
        <w:rPr>
          <w:lang w:eastAsia="en-AU"/>
        </w:rPr>
      </w:pPr>
      <w:r>
        <w:rPr>
          <w:lang w:eastAsia="en-AU"/>
        </w:rPr>
        <w:t>The partners should update key program documents to ensure they:</w:t>
      </w:r>
    </w:p>
    <w:p w14:paraId="4FC9CD16" w14:textId="77777777" w:rsidR="00B8010E" w:rsidRDefault="00B8010E" w:rsidP="00C07E1A">
      <w:pPr>
        <w:pStyle w:val="Bullet"/>
        <w:numPr>
          <w:ilvl w:val="1"/>
          <w:numId w:val="34"/>
        </w:numPr>
      </w:pPr>
      <w:r>
        <w:lastRenderedPageBreak/>
        <w:t>Clearly communicate that community governance develops along a continuum (i.e. that there are various levels of community participation rather than a yes/no dichotomy) and that transitions may be staged over time rather than occurring at a single point in time</w:t>
      </w:r>
    </w:p>
    <w:p w14:paraId="0BCDB1CB" w14:textId="77777777" w:rsidR="00B8010E" w:rsidRDefault="00B8010E" w:rsidP="00C07E1A">
      <w:pPr>
        <w:pStyle w:val="Bullet"/>
        <w:numPr>
          <w:ilvl w:val="1"/>
          <w:numId w:val="34"/>
        </w:numPr>
      </w:pPr>
      <w:r>
        <w:t>Emphasise that continued service delivery partnership between NT Health and ACCHOs will be essential, whatever the staging of the transition or the governance arrangements selected</w:t>
      </w:r>
    </w:p>
    <w:p w14:paraId="6D2A6254" w14:textId="77777777" w:rsidR="00B8010E" w:rsidRPr="00C07E1A" w:rsidRDefault="00B8010E" w:rsidP="00C07E1A">
      <w:pPr>
        <w:pStyle w:val="Bullet"/>
        <w:numPr>
          <w:ilvl w:val="1"/>
          <w:numId w:val="34"/>
        </w:numPr>
      </w:pPr>
      <w:r>
        <w:t>Articulate who is responsible and/or involved at each point of the transition and include guidelines for when it will occur (including in regard to evaluation)</w:t>
      </w:r>
    </w:p>
    <w:p w14:paraId="0E0B2974" w14:textId="77777777" w:rsidR="00B8010E" w:rsidRPr="00C07E1A" w:rsidRDefault="00B8010E" w:rsidP="00C07E1A">
      <w:pPr>
        <w:pStyle w:val="Bullet"/>
        <w:numPr>
          <w:ilvl w:val="1"/>
          <w:numId w:val="34"/>
        </w:numPr>
      </w:pPr>
      <w:r>
        <w:t>Are accompanied by visual, plain English versions suitable for community stakeholders.</w:t>
      </w:r>
      <w:r w:rsidRPr="00C07E1A">
        <w:t xml:space="preserve"> </w:t>
      </w:r>
    </w:p>
    <w:p w14:paraId="78120DD7" w14:textId="06B6CB49" w:rsidR="00A55AAE" w:rsidRDefault="00A55AAE" w:rsidP="00A55AAE">
      <w:pPr>
        <w:pStyle w:val="Listnumbered"/>
      </w:pPr>
      <w:r>
        <w:t>The partners should ensure a comprehensive implementation plan is in place for all transitions. This implementation plan would define governance, activities, timeframes, milestones, roles and responsibilities, risks and mitigation strategies, and arrangements for monitoring and communicating progress. The plan would be a living document that is updated over time</w:t>
      </w:r>
      <w:r w:rsidR="0009472B">
        <w:t>,</w:t>
      </w:r>
      <w:r>
        <w:t xml:space="preserve"> as events and challenges inevitably necessitate adaptations.</w:t>
      </w:r>
    </w:p>
    <w:p w14:paraId="67A9EA6A" w14:textId="79780747" w:rsidR="00A55AAE" w:rsidRDefault="00A55AAE" w:rsidP="00A55AAE">
      <w:pPr>
        <w:pStyle w:val="Listnumbered"/>
        <w:rPr>
          <w:lang w:eastAsia="en-AU"/>
        </w:rPr>
      </w:pPr>
      <w:r>
        <w:rPr>
          <w:lang w:eastAsia="en-AU"/>
        </w:rPr>
        <w:t>The partners should promote sharing of transition templates and tools for p</w:t>
      </w:r>
      <w:r>
        <w:t xml:space="preserve">roject management, monitoring and evaluation, and assessment of corporate and clinical capacity. </w:t>
      </w:r>
      <w:r>
        <w:rPr>
          <w:lang w:eastAsia="en-AU"/>
        </w:rPr>
        <w:t xml:space="preserve">Mechanisms to achieve these could include a standardised toolkit </w:t>
      </w:r>
      <w:r w:rsidR="005607DA">
        <w:rPr>
          <w:lang w:eastAsia="en-AU"/>
        </w:rPr>
        <w:t xml:space="preserve">(in an online location accessible to all relevant parties) </w:t>
      </w:r>
      <w:r>
        <w:rPr>
          <w:lang w:eastAsia="en-AU"/>
        </w:rPr>
        <w:t>and a community of practice. These resources could be adapted to each transition. Their use would be optional.</w:t>
      </w:r>
    </w:p>
    <w:p w14:paraId="649EA036" w14:textId="77777777" w:rsidR="00B8010E" w:rsidRPr="00F50A23" w:rsidRDefault="00B8010E" w:rsidP="00B8010E">
      <w:pPr>
        <w:pStyle w:val="Listnumbered"/>
      </w:pPr>
      <w:r w:rsidRPr="00B8010E">
        <w:t>The partners should facilitate appropriate engagement and sharing of client health information between ACCHOs and other health service providers by:</w:t>
      </w:r>
    </w:p>
    <w:p w14:paraId="6FB0D7E9" w14:textId="77777777" w:rsidR="00AB48E5" w:rsidRPr="00F50A23" w:rsidRDefault="00AB48E5" w:rsidP="00C07E1A">
      <w:pPr>
        <w:pStyle w:val="Bullet"/>
        <w:numPr>
          <w:ilvl w:val="1"/>
          <w:numId w:val="34"/>
        </w:numPr>
      </w:pPr>
      <w:r w:rsidRPr="00AB48E5">
        <w:t>Ensuring an effective handover from NTG to the ACCHO</w:t>
      </w:r>
    </w:p>
    <w:p w14:paraId="6E580159" w14:textId="77777777" w:rsidR="00AB48E5" w:rsidRPr="00AB48E5" w:rsidRDefault="00AB48E5" w:rsidP="00C07E1A">
      <w:pPr>
        <w:pStyle w:val="Bullet"/>
        <w:numPr>
          <w:ilvl w:val="1"/>
          <w:numId w:val="34"/>
        </w:numPr>
      </w:pPr>
      <w:r w:rsidRPr="00AB48E5">
        <w:t>Promoting engagement between ACCHOs and secondary and tertiary providers</w:t>
      </w:r>
    </w:p>
    <w:p w14:paraId="4138AF57" w14:textId="77777777" w:rsidR="00AB48E5" w:rsidRPr="00C07E1A" w:rsidRDefault="00AB48E5" w:rsidP="00C07E1A">
      <w:pPr>
        <w:pStyle w:val="Bullet"/>
        <w:numPr>
          <w:ilvl w:val="1"/>
          <w:numId w:val="34"/>
        </w:numPr>
      </w:pPr>
      <w:r w:rsidRPr="00AB48E5">
        <w:t>Giving ACCHO’s access to NTG client health information systems until their new IT systems are in place and stable and patient records have been transferred</w:t>
      </w:r>
    </w:p>
    <w:p w14:paraId="36AB67C2" w14:textId="77777777" w:rsidR="00AB48E5" w:rsidRPr="00C07E1A" w:rsidRDefault="00AB48E5" w:rsidP="00C07E1A">
      <w:pPr>
        <w:pStyle w:val="Bullet"/>
        <w:numPr>
          <w:ilvl w:val="1"/>
          <w:numId w:val="34"/>
        </w:numPr>
      </w:pPr>
      <w:r w:rsidRPr="00AB48E5">
        <w:t>Ensuring program documents and implementation plans set clear expectations about what information will be shared, with whom and when.</w:t>
      </w:r>
    </w:p>
    <w:p w14:paraId="0382BC45" w14:textId="3C16B0B3" w:rsidR="00AB48E5" w:rsidRPr="00F50A23" w:rsidRDefault="00AB48E5" w:rsidP="00AB48E5">
      <w:pPr>
        <w:pStyle w:val="Listnumbered"/>
      </w:pPr>
      <w:r w:rsidRPr="00AB48E5">
        <w:t>The partners should further explore the concept of enabling ACCHOs in the NT to access corporate functions externally. As a first step, they could conduct a study to explore different options for shared services and assess their benefits, costs, risks and overall feasibility.</w:t>
      </w:r>
    </w:p>
    <w:p w14:paraId="061C5782" w14:textId="5E95E8A5" w:rsidR="00A55AAE" w:rsidRPr="00AB48E5" w:rsidRDefault="00A55AAE" w:rsidP="00AB48E5">
      <w:pPr>
        <w:pStyle w:val="Listnumbered"/>
      </w:pPr>
      <w:r w:rsidRPr="00AB48E5">
        <w:t xml:space="preserve">The partners should work in partnership with ACCHOs to manage systemic workforce challenges that threaten the ongoing sustainability of transitioned services, including by maximising employment opportunities </w:t>
      </w:r>
      <w:r w:rsidR="00572B0F">
        <w:t xml:space="preserve">for local staff </w:t>
      </w:r>
      <w:r w:rsidRPr="00AB48E5">
        <w:t>arising out of transitions.</w:t>
      </w:r>
    </w:p>
    <w:p w14:paraId="19F50AE2" w14:textId="0FBC1FE7" w:rsidR="008102BB" w:rsidRDefault="008102BB" w:rsidP="008102BB">
      <w:pPr>
        <w:rPr>
          <w:lang w:eastAsia="en-AU"/>
        </w:rPr>
      </w:pPr>
      <w:r>
        <w:rPr>
          <w:lang w:eastAsia="en-AU"/>
        </w:rPr>
        <w:br w:type="page"/>
      </w:r>
    </w:p>
    <w:p w14:paraId="6A64BB34" w14:textId="04A2363D" w:rsidR="00916E0E" w:rsidRPr="00BE138E" w:rsidRDefault="00BE138E" w:rsidP="00916E0E">
      <w:pPr>
        <w:pStyle w:val="Heading1"/>
        <w:rPr>
          <w:color w:val="FFFFFF" w:themeColor="background1"/>
        </w:rPr>
      </w:pPr>
      <w:bookmarkStart w:id="3" w:name="_Toc106294793"/>
      <w:r w:rsidRPr="00BE138E">
        <w:rPr>
          <w:noProof/>
          <w:color w:val="FFFFFF" w:themeColor="background1"/>
        </w:rPr>
        <w:lastRenderedPageBreak/>
        <w:drawing>
          <wp:anchor distT="0" distB="0" distL="114300" distR="114300" simplePos="0" relativeHeight="251658257" behindDoc="1" locked="0" layoutInCell="1" allowOverlap="1" wp14:anchorId="590D679B" wp14:editId="6721453C">
            <wp:simplePos x="0" y="0"/>
            <wp:positionH relativeFrom="page">
              <wp:posOffset>7315</wp:posOffset>
            </wp:positionH>
            <wp:positionV relativeFrom="paragraph">
              <wp:posOffset>-782955</wp:posOffset>
            </wp:positionV>
            <wp:extent cx="7562850" cy="1254642"/>
            <wp:effectExtent l="0" t="0" r="0" b="317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62850" cy="1254642"/>
                    </a:xfrm>
                    <a:prstGeom prst="rect">
                      <a:avLst/>
                    </a:prstGeom>
                    <a:noFill/>
                    <a:ln>
                      <a:noFill/>
                    </a:ln>
                  </pic:spPr>
                </pic:pic>
              </a:graphicData>
            </a:graphic>
            <wp14:sizeRelH relativeFrom="page">
              <wp14:pctWidth>0</wp14:pctWidth>
            </wp14:sizeRelH>
            <wp14:sizeRelV relativeFrom="page">
              <wp14:pctHeight>0</wp14:pctHeight>
            </wp14:sizeRelV>
          </wp:anchor>
        </w:drawing>
      </w:r>
      <w:r w:rsidR="00916E0E" w:rsidRPr="00BE138E">
        <w:rPr>
          <w:color w:val="FFFFFF" w:themeColor="background1"/>
        </w:rPr>
        <w:t>Introduction</w:t>
      </w:r>
      <w:bookmarkEnd w:id="3"/>
    </w:p>
    <w:p w14:paraId="2A3EF49B" w14:textId="30D5EA53" w:rsidR="00F54CD8" w:rsidRDefault="00AA6942" w:rsidP="00AA6942">
      <w:pPr>
        <w:rPr>
          <w:lang w:eastAsia="en-AU"/>
        </w:rPr>
      </w:pPr>
      <w:r>
        <w:rPr>
          <w:lang w:eastAsia="en-AU"/>
        </w:rPr>
        <w:t>The P2CC program builds on</w:t>
      </w:r>
      <w:r w:rsidR="00226FDA">
        <w:rPr>
          <w:lang w:eastAsia="en-AU"/>
        </w:rPr>
        <w:t xml:space="preserve"> </w:t>
      </w:r>
      <w:r w:rsidR="00751239">
        <w:rPr>
          <w:lang w:eastAsia="en-AU"/>
        </w:rPr>
        <w:t xml:space="preserve">a range of NT and national policy agendas and </w:t>
      </w:r>
      <w:r w:rsidR="00226FDA">
        <w:rPr>
          <w:lang w:eastAsia="en-AU"/>
        </w:rPr>
        <w:t>a long history of Aboriginal community control of primary health care service delivery</w:t>
      </w:r>
      <w:r w:rsidR="002E37B6">
        <w:rPr>
          <w:lang w:eastAsia="en-AU"/>
        </w:rPr>
        <w:t xml:space="preserve">. </w:t>
      </w:r>
      <w:r w:rsidR="00244C01">
        <w:rPr>
          <w:lang w:eastAsia="en-AU"/>
        </w:rPr>
        <w:t>The program initially progressed in tandem with regional health service reform</w:t>
      </w:r>
      <w:r w:rsidR="00223213">
        <w:rPr>
          <w:lang w:eastAsia="en-AU"/>
        </w:rPr>
        <w:t xml:space="preserve"> and continued</w:t>
      </w:r>
      <w:r w:rsidR="00574894">
        <w:rPr>
          <w:lang w:eastAsia="en-AU"/>
        </w:rPr>
        <w:t xml:space="preserve"> when </w:t>
      </w:r>
      <w:r w:rsidR="008A3478">
        <w:rPr>
          <w:lang w:eastAsia="en-AU"/>
        </w:rPr>
        <w:t>this</w:t>
      </w:r>
      <w:r w:rsidR="00574894">
        <w:rPr>
          <w:lang w:eastAsia="en-AU"/>
        </w:rPr>
        <w:t xml:space="preserve"> agenda was halted in 2014. </w:t>
      </w:r>
      <w:r w:rsidR="00F54CD8">
        <w:rPr>
          <w:lang w:eastAsia="en-AU"/>
        </w:rPr>
        <w:t xml:space="preserve">Since the program commenced, </w:t>
      </w:r>
      <w:r w:rsidR="00F02EA7">
        <w:rPr>
          <w:lang w:eastAsia="en-AU"/>
        </w:rPr>
        <w:t xml:space="preserve">six clinics have transitioned </w:t>
      </w:r>
      <w:r w:rsidR="00EA302F">
        <w:rPr>
          <w:lang w:eastAsia="en-AU"/>
        </w:rPr>
        <w:t xml:space="preserve">to </w:t>
      </w:r>
      <w:r w:rsidR="00F54CD8">
        <w:rPr>
          <w:lang w:eastAsia="en-AU"/>
        </w:rPr>
        <w:t>community control.</w:t>
      </w:r>
      <w:r w:rsidR="005F2529">
        <w:rPr>
          <w:lang w:eastAsia="en-AU"/>
        </w:rPr>
        <w:t xml:space="preserve"> </w:t>
      </w:r>
      <w:r w:rsidR="005F2529" w:rsidRPr="005F2529">
        <w:rPr>
          <w:lang w:eastAsia="en-AU"/>
        </w:rPr>
        <w:t>With the track record of transition now established and with ongoing commitment to continue the direction, it is timely to evaluate the program to assess its performance and identify areas for improvement.</w:t>
      </w:r>
    </w:p>
    <w:p w14:paraId="7884419A" w14:textId="68C7677E" w:rsidR="000B4A69" w:rsidRDefault="000B4A69" w:rsidP="009E3248">
      <w:pPr>
        <w:pStyle w:val="Heading2"/>
      </w:pPr>
      <w:bookmarkStart w:id="4" w:name="_Ref100322112"/>
      <w:bookmarkStart w:id="5" w:name="_Toc106294794"/>
      <w:r>
        <w:t xml:space="preserve">The P2CC </w:t>
      </w:r>
      <w:r w:rsidR="00BF1BEC">
        <w:t>p</w:t>
      </w:r>
      <w:r>
        <w:t>rogram builds on strong national and historical foundations</w:t>
      </w:r>
      <w:bookmarkEnd w:id="4"/>
      <w:bookmarkEnd w:id="5"/>
    </w:p>
    <w:p w14:paraId="04D5BC51" w14:textId="35000D0C" w:rsidR="000B4A69" w:rsidRDefault="000B4A69" w:rsidP="000B4A69">
      <w:r>
        <w:t xml:space="preserve">Since the National Aboriginal Health Strategy (NAHS) was published in 1989, three fundamental tenets of </w:t>
      </w:r>
      <w:r w:rsidR="00D21896">
        <w:t xml:space="preserve">the </w:t>
      </w:r>
      <w:r>
        <w:t>strategy have been at the core of political advocacy and policy discussion.</w:t>
      </w:r>
      <w:r>
        <w:rPr>
          <w:rStyle w:val="FootnoteReference"/>
        </w:rPr>
        <w:footnoteReference w:id="2"/>
      </w:r>
      <w:r>
        <w:t xml:space="preserve"> These are:</w:t>
      </w:r>
    </w:p>
    <w:p w14:paraId="16A61D36" w14:textId="52B37A1B" w:rsidR="000B4A69" w:rsidRDefault="000B4A69" w:rsidP="000B4A69">
      <w:pPr>
        <w:pStyle w:val="Bullet"/>
        <w:spacing w:line="259" w:lineRule="auto"/>
      </w:pPr>
      <w:r>
        <w:t>A comprehensive model of primary health care</w:t>
      </w:r>
      <w:r w:rsidR="007413BB">
        <w:t>,</w:t>
      </w:r>
      <w:r>
        <w:t xml:space="preserve"> drawing on the two key World Health Organisation declarations regarding health development, those from Alma Ata in 1978</w:t>
      </w:r>
      <w:r>
        <w:rPr>
          <w:rStyle w:val="FootnoteReference"/>
        </w:rPr>
        <w:footnoteReference w:id="3"/>
      </w:r>
      <w:r>
        <w:t xml:space="preserve"> and Ottawa in 1986</w:t>
      </w:r>
      <w:r>
        <w:rPr>
          <w:rStyle w:val="FootnoteReference"/>
        </w:rPr>
        <w:footnoteReference w:id="4"/>
      </w:r>
    </w:p>
    <w:p w14:paraId="7DBB536A" w14:textId="6AD8CF3B" w:rsidR="000B4A69" w:rsidRDefault="000B4A69" w:rsidP="000B4A69">
      <w:pPr>
        <w:pStyle w:val="Bullet"/>
        <w:spacing w:line="259" w:lineRule="auto"/>
      </w:pPr>
      <w:r>
        <w:t>Addressing intersectoral factors</w:t>
      </w:r>
      <w:r w:rsidR="00D75114">
        <w:t>,</w:t>
      </w:r>
      <w:r>
        <w:t xml:space="preserve"> including environmental and housing issues and the social determinants of health</w:t>
      </w:r>
      <w:r>
        <w:rPr>
          <w:rStyle w:val="FootnoteReference"/>
        </w:rPr>
        <w:footnoteReference w:id="5"/>
      </w:r>
    </w:p>
    <w:p w14:paraId="167C0F8F" w14:textId="0F672974" w:rsidR="000B4A69" w:rsidRPr="002B5AE7" w:rsidRDefault="000B4A69" w:rsidP="000B4A69">
      <w:pPr>
        <w:pStyle w:val="Bullet"/>
        <w:spacing w:line="259" w:lineRule="auto"/>
      </w:pPr>
      <w:r>
        <w:t xml:space="preserve">Aboriginal </w:t>
      </w:r>
      <w:r w:rsidR="004C2A31">
        <w:t>c</w:t>
      </w:r>
      <w:r>
        <w:t xml:space="preserve">ommunity </w:t>
      </w:r>
      <w:r w:rsidR="004C2A31">
        <w:t>c</w:t>
      </w:r>
      <w:r>
        <w:t>ontrol of primary health care service delivery.</w:t>
      </w:r>
      <w:r>
        <w:rPr>
          <w:rStyle w:val="FootnoteReference"/>
        </w:rPr>
        <w:footnoteReference w:id="6"/>
      </w:r>
      <w:r>
        <w:t xml:space="preserve"> </w:t>
      </w:r>
    </w:p>
    <w:p w14:paraId="306D92C7" w14:textId="1B57F125" w:rsidR="000B4A69" w:rsidRDefault="00401A5B" w:rsidP="000B4A69">
      <w:r w:rsidRPr="00AA6942">
        <w:t xml:space="preserve">The </w:t>
      </w:r>
      <w:r w:rsidR="00643C9F" w:rsidRPr="00AA6942">
        <w:t xml:space="preserve">effectiveness of </w:t>
      </w:r>
      <w:r w:rsidR="00B54741" w:rsidRPr="00AA6942">
        <w:t xml:space="preserve">Aboriginal </w:t>
      </w:r>
      <w:r w:rsidR="00643C9F" w:rsidRPr="00AA6942">
        <w:t>community control</w:t>
      </w:r>
      <w:r w:rsidR="00B54741" w:rsidRPr="00AA6942">
        <w:t xml:space="preserve"> of </w:t>
      </w:r>
      <w:r w:rsidR="00332FCD" w:rsidRPr="00AA6942">
        <w:t>primary health care service</w:t>
      </w:r>
      <w:r w:rsidR="00452391" w:rsidRPr="00AA6942">
        <w:t xml:space="preserve"> delivery</w:t>
      </w:r>
      <w:r w:rsidR="00643C9F" w:rsidRPr="00AA6942">
        <w:t xml:space="preserve"> in improving health</w:t>
      </w:r>
      <w:r w:rsidR="00DE4A00" w:rsidRPr="00AA6942">
        <w:t xml:space="preserve"> and social</w:t>
      </w:r>
      <w:r w:rsidR="00643C9F" w:rsidRPr="00AA6942">
        <w:t xml:space="preserve"> outcomes has a strong evidence base.</w:t>
      </w:r>
      <w:r w:rsidR="0038572E" w:rsidRPr="00AA6942">
        <w:rPr>
          <w:rStyle w:val="FootnoteReference"/>
        </w:rPr>
        <w:footnoteReference w:id="7"/>
      </w:r>
      <w:r w:rsidR="00643C9F" w:rsidRPr="00AA6942">
        <w:t xml:space="preserve"> </w:t>
      </w:r>
      <w:r w:rsidR="000B4A69">
        <w:t xml:space="preserve">Aboriginal community controlled primary health care services have existed in Australia since the Redfern Aboriginal Medical Service opened in 1971. </w:t>
      </w:r>
      <w:r w:rsidR="009A3185">
        <w:t>Such services</w:t>
      </w:r>
      <w:r w:rsidR="000B4A69">
        <w:t xml:space="preserve"> exist in capital cities, many regional </w:t>
      </w:r>
      <w:r w:rsidR="00854A72">
        <w:t xml:space="preserve">centres </w:t>
      </w:r>
      <w:r w:rsidR="000B4A69">
        <w:t>and some regional and remote areas, but cover</w:t>
      </w:r>
      <w:r w:rsidR="009A3185">
        <w:t>age</w:t>
      </w:r>
      <w:r w:rsidR="000B4A69">
        <w:t xml:space="preserve"> is not complete and much of northern Australia is served by </w:t>
      </w:r>
      <w:r w:rsidR="009A3185">
        <w:t>s</w:t>
      </w:r>
      <w:r w:rsidR="000B4A69">
        <w:t xml:space="preserve">tate or </w:t>
      </w:r>
      <w:r w:rsidR="009A3185">
        <w:t>t</w:t>
      </w:r>
      <w:r w:rsidR="000B4A69">
        <w:t>erritory run primary health care clinics.</w:t>
      </w:r>
    </w:p>
    <w:p w14:paraId="76A4AE1D" w14:textId="428D0B47" w:rsidR="000B4A69" w:rsidRDefault="000B4A69" w:rsidP="000B4A69">
      <w:r>
        <w:t>Since the mid-1990s and the transfer of portfolio responsibility for direct Aboriginal health funding from Aboriginal and Torres Strait Islander Commission (ATSIC) to the Australian Government Department of Health, there ha</w:t>
      </w:r>
      <w:r w:rsidR="00013AD1">
        <w:t>s</w:t>
      </w:r>
      <w:r>
        <w:t xml:space="preserve"> been a series of initiatives to further the Aboriginal health policy agenda. In the NT, these </w:t>
      </w:r>
      <w:r w:rsidR="005727B2">
        <w:t xml:space="preserve">have </w:t>
      </w:r>
      <w:r>
        <w:t>include</w:t>
      </w:r>
      <w:r w:rsidR="005727B2">
        <w:t>d</w:t>
      </w:r>
      <w:r>
        <w:t>:</w:t>
      </w:r>
    </w:p>
    <w:p w14:paraId="26B875DD" w14:textId="1A92EF11" w:rsidR="000B4A69" w:rsidRDefault="000B4A69" w:rsidP="000B4A69">
      <w:pPr>
        <w:pStyle w:val="Bullet"/>
        <w:spacing w:line="259" w:lineRule="auto"/>
      </w:pPr>
      <w:r>
        <w:t xml:space="preserve">The establishment of </w:t>
      </w:r>
      <w:r w:rsidR="005727B2">
        <w:t>NTAHF</w:t>
      </w:r>
      <w:r>
        <w:t xml:space="preserve">, which </w:t>
      </w:r>
      <w:r w:rsidR="005727B2">
        <w:t>has</w:t>
      </w:r>
      <w:r>
        <w:t xml:space="preserve"> proven to be a valuable mechanism for maintaining momentum</w:t>
      </w:r>
    </w:p>
    <w:p w14:paraId="3B777FAB" w14:textId="11EA108F" w:rsidR="00814228" w:rsidRPr="00814228" w:rsidRDefault="000B4A69" w:rsidP="00814228">
      <w:pPr>
        <w:pStyle w:val="Bullet"/>
        <w:spacing w:line="259" w:lineRule="auto"/>
      </w:pPr>
      <w:r>
        <w:lastRenderedPageBreak/>
        <w:t>Coordinated Care Trials in the late 1990s leading to the establishment of important regional community-controlled services in Katherine West and the Tiwi Islands in the NT</w:t>
      </w:r>
    </w:p>
    <w:p w14:paraId="2AD2B471" w14:textId="35AA61BF" w:rsidR="000B4A69" w:rsidRDefault="005727B2" w:rsidP="000B4A69">
      <w:pPr>
        <w:pStyle w:val="Bullet"/>
        <w:spacing w:line="259" w:lineRule="auto"/>
      </w:pPr>
      <w:r>
        <w:t xml:space="preserve">The </w:t>
      </w:r>
      <w:r w:rsidR="000B4A69">
        <w:t>NT Chronic Disease Prevention Strategy from the early 2000s</w:t>
      </w:r>
      <w:r w:rsidR="000B4A69">
        <w:rPr>
          <w:rStyle w:val="FootnoteReference"/>
        </w:rPr>
        <w:footnoteReference w:id="8"/>
      </w:r>
      <w:r w:rsidR="000B4A69">
        <w:t xml:space="preserve"> and the </w:t>
      </w:r>
      <w:r w:rsidR="009C7ABC">
        <w:t>Audit and Best Practice for Chronic Disease (</w:t>
      </w:r>
      <w:r w:rsidR="000B4A69">
        <w:t>ABCD</w:t>
      </w:r>
      <w:r w:rsidR="009C7ABC">
        <w:t>)</w:t>
      </w:r>
      <w:r w:rsidR="000B4A69">
        <w:t xml:space="preserve"> clinical improvement strategy led out of the Menzies School of Health Research in the years after.</w:t>
      </w:r>
      <w:r w:rsidR="000B4A69">
        <w:rPr>
          <w:rStyle w:val="FootnoteReference"/>
        </w:rPr>
        <w:footnoteReference w:id="9"/>
      </w:r>
      <w:r w:rsidR="000B4A69">
        <w:t xml:space="preserve"> </w:t>
      </w:r>
    </w:p>
    <w:p w14:paraId="706113DC" w14:textId="17CAE326" w:rsidR="000B4A69" w:rsidRDefault="004327D5" w:rsidP="000B4A69">
      <w:r w:rsidRPr="004327D5">
        <w:t xml:space="preserve">Over the 2000s, Aboriginal leadership across </w:t>
      </w:r>
      <w:r w:rsidR="00594C3D">
        <w:t xml:space="preserve">sectors (public, not-for-profit and Aboriginal community controlled) </w:t>
      </w:r>
      <w:r w:rsidRPr="004327D5">
        <w:t xml:space="preserve">and growing capability in regional services run by the community-controlled sector prompted planning for the transfer of more primary health care services from the </w:t>
      </w:r>
      <w:r w:rsidR="002652A4">
        <w:t>NTG</w:t>
      </w:r>
      <w:r w:rsidRPr="004327D5">
        <w:t xml:space="preserve"> to Aboriginal community governance. </w:t>
      </w:r>
      <w:r w:rsidR="00BA5305" w:rsidRPr="00BA5305">
        <w:t xml:space="preserve">This resulted in the establishment in 2005 of the </w:t>
      </w:r>
      <w:r w:rsidR="001B7B23">
        <w:t>P2CC</w:t>
      </w:r>
      <w:r w:rsidR="00BA5305" w:rsidRPr="00BA5305">
        <w:t xml:space="preserve"> agenda and the publication in 2009 of </w:t>
      </w:r>
      <w:r w:rsidR="00BA5305" w:rsidRPr="00B32C65">
        <w:rPr>
          <w:i/>
          <w:iCs/>
        </w:rPr>
        <w:t xml:space="preserve">Pathways to Community Control: An agenda to further promote Aboriginal community control </w:t>
      </w:r>
      <w:r w:rsidR="00AC1B68">
        <w:t xml:space="preserve">(the P2CC </w:t>
      </w:r>
      <w:r w:rsidR="007516B3">
        <w:t xml:space="preserve">program </w:t>
      </w:r>
      <w:r w:rsidR="00AC1B68">
        <w:t xml:space="preserve">document) </w:t>
      </w:r>
      <w:r w:rsidR="00BA5305" w:rsidRPr="00BA5305">
        <w:t xml:space="preserve">by NTAHF. </w:t>
      </w:r>
      <w:r w:rsidR="000B4A69">
        <w:t xml:space="preserve">This has provided the framework for subsequent work to progress Aboriginal community control, including the transitions supported through the </w:t>
      </w:r>
      <w:r w:rsidR="000B4A69" w:rsidRPr="003121D8">
        <w:t>IAHP</w:t>
      </w:r>
      <w:r w:rsidR="000B4A69">
        <w:t>.</w:t>
      </w:r>
      <w:r w:rsidR="00AD404A">
        <w:t xml:space="preserve"> </w:t>
      </w:r>
      <w:r w:rsidR="00AD404A" w:rsidRPr="00AD404A">
        <w:t>These efforts have sought to build on lessons from previous initiatives including the Coordinated Care Trials in the late 1990s and early 2000s.</w:t>
      </w:r>
    </w:p>
    <w:p w14:paraId="2C8E31FC" w14:textId="0DBB88D3" w:rsidR="006C1915" w:rsidRDefault="000F35B5" w:rsidP="00ED4F69">
      <w:r>
        <w:t>The history of the P2CC agenda is intertwined with that of regionali</w:t>
      </w:r>
      <w:r w:rsidR="00127537">
        <w:t>s</w:t>
      </w:r>
      <w:r>
        <w:t xml:space="preserve">ation. </w:t>
      </w:r>
      <w:r w:rsidR="00ED4F69">
        <w:t xml:space="preserve">The </w:t>
      </w:r>
      <w:r w:rsidR="00ED4F69" w:rsidRPr="00ED4F69">
        <w:rPr>
          <w:i/>
          <w:iCs/>
        </w:rPr>
        <w:t>NT Regionalisation of Aboriginal Primary Health Care Guidelines</w:t>
      </w:r>
      <w:r w:rsidR="00ED4F69">
        <w:t xml:space="preserve"> </w:t>
      </w:r>
      <w:r w:rsidR="00604575">
        <w:t xml:space="preserve">state that regionalisation </w:t>
      </w:r>
      <w:r w:rsidR="00793D5D">
        <w:t>aims to</w:t>
      </w:r>
      <w:r w:rsidR="006C1915">
        <w:t>:</w:t>
      </w:r>
    </w:p>
    <w:p w14:paraId="4937C3A2" w14:textId="5447E80E" w:rsidR="006C1915" w:rsidRDefault="00131BCB" w:rsidP="006C1915">
      <w:pPr>
        <w:pStyle w:val="Bullet"/>
      </w:pPr>
      <w:r>
        <w:t>“increase the involvement of Aboriginal communities in health decision making” (</w:t>
      </w:r>
      <w:r w:rsidR="006C1915">
        <w:t>through regionalised governance models</w:t>
      </w:r>
      <w:r>
        <w:t>)</w:t>
      </w:r>
    </w:p>
    <w:p w14:paraId="2BE2B73B" w14:textId="01A09FF0" w:rsidR="00A35910" w:rsidRDefault="00131BCB" w:rsidP="006C1915">
      <w:pPr>
        <w:pStyle w:val="Bullet"/>
      </w:pPr>
      <w:r>
        <w:t>“</w:t>
      </w:r>
      <w:r w:rsidR="003017C4">
        <w:t>improve service delivery and outcomes through better coordination and integration of services” (</w:t>
      </w:r>
      <w:r w:rsidR="00A35910">
        <w:t>through information sharing, working together and, in some cases, creation of a single regional service provider</w:t>
      </w:r>
      <w:r w:rsidR="003017C4">
        <w:t>)</w:t>
      </w:r>
      <w:r w:rsidR="00A35910">
        <w:t>.</w:t>
      </w:r>
      <w:r w:rsidR="00A35910">
        <w:rPr>
          <w:rStyle w:val="FootnoteReference"/>
        </w:rPr>
        <w:footnoteReference w:id="10"/>
      </w:r>
    </w:p>
    <w:p w14:paraId="4A11B052" w14:textId="23A3F0DC" w:rsidR="006F4286" w:rsidRDefault="00EA65FE" w:rsidP="00A35910">
      <w:pPr>
        <w:pStyle w:val="Bullet"/>
        <w:numPr>
          <w:ilvl w:val="0"/>
          <w:numId w:val="0"/>
        </w:numPr>
      </w:pPr>
      <w:r>
        <w:t>Regionalisation</w:t>
      </w:r>
      <w:r w:rsidR="0095514D">
        <w:t xml:space="preserve"> would potentially result in a single </w:t>
      </w:r>
      <w:r w:rsidR="006F018A">
        <w:t xml:space="preserve">ACCHO delivering all </w:t>
      </w:r>
      <w:r w:rsidR="005C3ADE">
        <w:t xml:space="preserve">primary health care services in each </w:t>
      </w:r>
      <w:r w:rsidR="003C52B6">
        <w:t>region</w:t>
      </w:r>
      <w:r w:rsidR="00815304">
        <w:t>, referred to as a Health Service Delivery Area (HSDA),</w:t>
      </w:r>
      <w:r w:rsidR="003C52B6">
        <w:t xml:space="preserve"> replacing </w:t>
      </w:r>
      <w:r w:rsidR="000B1913">
        <w:t xml:space="preserve">or amalgamating </w:t>
      </w:r>
      <w:r w:rsidR="00C72473">
        <w:t xml:space="preserve">smaller ACCHOs and </w:t>
      </w:r>
      <w:r w:rsidR="00A55AAE">
        <w:t>NTG</w:t>
      </w:r>
      <w:r w:rsidR="00C72473">
        <w:t xml:space="preserve"> clinics.</w:t>
      </w:r>
      <w:r w:rsidR="000B1913">
        <w:rPr>
          <w:rStyle w:val="FootnoteReference"/>
        </w:rPr>
        <w:footnoteReference w:id="11"/>
      </w:r>
      <w:r w:rsidR="000B1913">
        <w:t xml:space="preserve"> </w:t>
      </w:r>
      <w:r w:rsidR="005E7564">
        <w:t xml:space="preserve">As such, the P2CC program was initially progressed as part of the regionalisation agenda </w:t>
      </w:r>
      <w:r w:rsidR="005278BE">
        <w:t xml:space="preserve">(as discussed in Section </w:t>
      </w:r>
      <w:r w:rsidR="005278BE">
        <w:fldChar w:fldCharType="begin"/>
      </w:r>
      <w:r w:rsidR="005278BE">
        <w:instrText xml:space="preserve"> REF _Ref100062827 \r \h </w:instrText>
      </w:r>
      <w:r w:rsidR="005278BE">
        <w:fldChar w:fldCharType="separate"/>
      </w:r>
      <w:r w:rsidR="00A439E2">
        <w:t>2.2</w:t>
      </w:r>
      <w:r w:rsidR="005278BE">
        <w:fldChar w:fldCharType="end"/>
      </w:r>
      <w:r w:rsidR="005278BE">
        <w:t>).</w:t>
      </w:r>
    </w:p>
    <w:p w14:paraId="35BAD517" w14:textId="4230A069" w:rsidR="00916E0E" w:rsidRDefault="006C18F7" w:rsidP="000D5036">
      <w:pPr>
        <w:pStyle w:val="Heading2"/>
      </w:pPr>
      <w:bookmarkStart w:id="6" w:name="_Ref100062827"/>
      <w:bookmarkStart w:id="7" w:name="_Ref100247064"/>
      <w:bookmarkStart w:id="8" w:name="_Toc106294795"/>
      <w:r>
        <w:t xml:space="preserve">The P2CC program has </w:t>
      </w:r>
      <w:bookmarkEnd w:id="6"/>
      <w:r w:rsidR="00C215DC">
        <w:t>progress</w:t>
      </w:r>
      <w:r w:rsidR="003601A9">
        <w:t>ed</w:t>
      </w:r>
      <w:r w:rsidR="00C215DC">
        <w:t xml:space="preserve"> through </w:t>
      </w:r>
      <w:r w:rsidR="00A137DB">
        <w:t>three</w:t>
      </w:r>
      <w:r w:rsidR="00C215DC">
        <w:t xml:space="preserve"> phases</w:t>
      </w:r>
      <w:bookmarkEnd w:id="7"/>
      <w:bookmarkEnd w:id="8"/>
    </w:p>
    <w:p w14:paraId="1577B5FD" w14:textId="77777777" w:rsidR="00884950" w:rsidRDefault="008E5E6B" w:rsidP="005273BA">
      <w:pPr>
        <w:rPr>
          <w:lang w:eastAsia="en-AU"/>
        </w:rPr>
      </w:pPr>
      <w:r>
        <w:rPr>
          <w:lang w:eastAsia="en-AU"/>
        </w:rPr>
        <w:t>The P2CC program has progressed through three phases since its establishment in 2009.</w:t>
      </w:r>
    </w:p>
    <w:p w14:paraId="09A9C152" w14:textId="3700CFC4" w:rsidR="008E5E6B" w:rsidRPr="000333F8" w:rsidRDefault="005A6CE5" w:rsidP="00604BD3">
      <w:pPr>
        <w:pStyle w:val="Listnumbered"/>
        <w:numPr>
          <w:ilvl w:val="0"/>
          <w:numId w:val="35"/>
        </w:numPr>
        <w:rPr>
          <w:lang w:eastAsia="en-AU"/>
        </w:rPr>
      </w:pPr>
      <w:r w:rsidRPr="00FC6C18">
        <w:rPr>
          <w:lang w:eastAsia="en-AU"/>
        </w:rPr>
        <w:t>From 2009</w:t>
      </w:r>
      <w:r w:rsidR="00884950" w:rsidRPr="000333F8">
        <w:rPr>
          <w:lang w:eastAsia="en-AU"/>
        </w:rPr>
        <w:t xml:space="preserve"> to 2011, the program was progressed as part of regionalisation (as noted above).</w:t>
      </w:r>
    </w:p>
    <w:p w14:paraId="02603FF5" w14:textId="753770DF" w:rsidR="00E4589A" w:rsidRDefault="00884950" w:rsidP="00E4589A">
      <w:pPr>
        <w:pStyle w:val="Listnumbered"/>
        <w:rPr>
          <w:lang w:eastAsia="en-AU"/>
        </w:rPr>
      </w:pPr>
      <w:r>
        <w:rPr>
          <w:lang w:eastAsia="en-AU"/>
        </w:rPr>
        <w:t xml:space="preserve">From 2011 to 2014, </w:t>
      </w:r>
      <w:r w:rsidR="00A34599">
        <w:rPr>
          <w:lang w:eastAsia="en-AU"/>
        </w:rPr>
        <w:t xml:space="preserve">the program experienced delays as </w:t>
      </w:r>
      <w:r w:rsidR="00E4589A">
        <w:rPr>
          <w:lang w:eastAsia="en-AU"/>
        </w:rPr>
        <w:t>regionalisation lost momentum and was eventually halted (though Yirrkala Clinic was transitioned to community control in 2012).</w:t>
      </w:r>
    </w:p>
    <w:p w14:paraId="644D2743" w14:textId="7574D9D9" w:rsidR="00E4589A" w:rsidRPr="00E4589A" w:rsidRDefault="00E4589A" w:rsidP="00E4589A">
      <w:pPr>
        <w:pStyle w:val="Listnumbered"/>
        <w:rPr>
          <w:lang w:eastAsia="en-AU"/>
        </w:rPr>
      </w:pPr>
      <w:r>
        <w:rPr>
          <w:lang w:eastAsia="en-AU"/>
        </w:rPr>
        <w:t xml:space="preserve">From 2016 </w:t>
      </w:r>
      <w:r w:rsidR="00C24555">
        <w:rPr>
          <w:lang w:eastAsia="en-AU"/>
        </w:rPr>
        <w:t>to 2021</w:t>
      </w:r>
      <w:r>
        <w:rPr>
          <w:lang w:eastAsia="en-AU"/>
        </w:rPr>
        <w:t xml:space="preserve">, the program </w:t>
      </w:r>
      <w:r w:rsidR="006E28D8">
        <w:rPr>
          <w:lang w:eastAsia="en-AU"/>
        </w:rPr>
        <w:t>regathered pace</w:t>
      </w:r>
      <w:r w:rsidR="00C24555">
        <w:rPr>
          <w:lang w:eastAsia="en-AU"/>
        </w:rPr>
        <w:t xml:space="preserve">, </w:t>
      </w:r>
      <w:r w:rsidR="006E28D8">
        <w:rPr>
          <w:lang w:eastAsia="en-AU"/>
        </w:rPr>
        <w:t xml:space="preserve">with transitions of five clinics completed and additional </w:t>
      </w:r>
      <w:r w:rsidR="00C24555">
        <w:rPr>
          <w:lang w:eastAsia="en-AU"/>
        </w:rPr>
        <w:t>transitions underway or upcoming.</w:t>
      </w:r>
    </w:p>
    <w:p w14:paraId="2B38DA73" w14:textId="5D631486" w:rsidR="00373288" w:rsidRDefault="004D5F91" w:rsidP="005273BA">
      <w:pPr>
        <w:rPr>
          <w:lang w:eastAsia="en-AU"/>
        </w:rPr>
      </w:pPr>
      <w:r>
        <w:rPr>
          <w:lang w:eastAsia="en-AU"/>
        </w:rPr>
        <w:t xml:space="preserve">A </w:t>
      </w:r>
      <w:r w:rsidR="003F51A8">
        <w:rPr>
          <w:lang w:eastAsia="en-AU"/>
        </w:rPr>
        <w:t>summary</w:t>
      </w:r>
      <w:r>
        <w:rPr>
          <w:lang w:eastAsia="en-AU"/>
        </w:rPr>
        <w:t xml:space="preserve"> of key events in the history of the P2CC program is presented in </w:t>
      </w:r>
      <w:r w:rsidR="003804DB">
        <w:rPr>
          <w:lang w:eastAsia="en-AU"/>
        </w:rPr>
        <w:fldChar w:fldCharType="begin"/>
      </w:r>
      <w:r w:rsidR="003804DB">
        <w:rPr>
          <w:lang w:eastAsia="en-AU"/>
        </w:rPr>
        <w:instrText xml:space="preserve"> REF _Ref100166184 \h </w:instrText>
      </w:r>
      <w:r w:rsidR="003804DB">
        <w:rPr>
          <w:lang w:eastAsia="en-AU"/>
        </w:rPr>
      </w:r>
      <w:r w:rsidR="003804DB">
        <w:rPr>
          <w:lang w:eastAsia="en-AU"/>
        </w:rPr>
        <w:fldChar w:fldCharType="separate"/>
      </w:r>
      <w:r w:rsidR="00A439E2">
        <w:t xml:space="preserve">Table </w:t>
      </w:r>
      <w:r w:rsidR="00A439E2">
        <w:rPr>
          <w:noProof/>
        </w:rPr>
        <w:t>2</w:t>
      </w:r>
      <w:r w:rsidR="003804DB">
        <w:rPr>
          <w:lang w:eastAsia="en-AU"/>
        </w:rPr>
        <w:fldChar w:fldCharType="end"/>
      </w:r>
      <w:r w:rsidR="003804DB">
        <w:rPr>
          <w:lang w:eastAsia="en-AU"/>
        </w:rPr>
        <w:t xml:space="preserve">. </w:t>
      </w:r>
      <w:r w:rsidR="003F51A8">
        <w:rPr>
          <w:lang w:eastAsia="en-AU"/>
        </w:rPr>
        <w:t xml:space="preserve">A more detailed timeline of these events is presented in </w:t>
      </w:r>
      <w:r w:rsidR="003F51A8">
        <w:rPr>
          <w:lang w:eastAsia="en-AU"/>
        </w:rPr>
        <w:fldChar w:fldCharType="begin"/>
      </w:r>
      <w:r w:rsidR="003F51A8">
        <w:rPr>
          <w:lang w:eastAsia="en-AU"/>
        </w:rPr>
        <w:instrText xml:space="preserve"> REF _Ref100247358 \r \h </w:instrText>
      </w:r>
      <w:r w:rsidR="003F51A8">
        <w:rPr>
          <w:lang w:eastAsia="en-AU"/>
        </w:rPr>
      </w:r>
      <w:r w:rsidR="003F51A8">
        <w:rPr>
          <w:lang w:eastAsia="en-AU"/>
        </w:rPr>
        <w:fldChar w:fldCharType="separate"/>
      </w:r>
      <w:r w:rsidR="00A439E2">
        <w:rPr>
          <w:lang w:eastAsia="en-AU"/>
        </w:rPr>
        <w:t>Appendix A</w:t>
      </w:r>
      <w:r w:rsidR="003F51A8">
        <w:rPr>
          <w:lang w:eastAsia="en-AU"/>
        </w:rPr>
        <w:fldChar w:fldCharType="end"/>
      </w:r>
      <w:r w:rsidR="003F51A8">
        <w:rPr>
          <w:lang w:eastAsia="en-AU"/>
        </w:rPr>
        <w:t>.</w:t>
      </w:r>
    </w:p>
    <w:p w14:paraId="3B5C6F79" w14:textId="529C0DCF" w:rsidR="00373288" w:rsidRDefault="00373288" w:rsidP="00373288">
      <w:pPr>
        <w:pStyle w:val="Caption"/>
      </w:pPr>
      <w:bookmarkStart w:id="9" w:name="_Ref100166184"/>
      <w:r>
        <w:lastRenderedPageBreak/>
        <w:t xml:space="preserve">Table </w:t>
      </w:r>
      <w:r>
        <w:fldChar w:fldCharType="begin"/>
      </w:r>
      <w:r>
        <w:instrText xml:space="preserve"> SEQ Table \* ARABIC </w:instrText>
      </w:r>
      <w:r>
        <w:fldChar w:fldCharType="separate"/>
      </w:r>
      <w:r w:rsidR="00A439E2">
        <w:rPr>
          <w:noProof/>
        </w:rPr>
        <w:t>2</w:t>
      </w:r>
      <w:r>
        <w:fldChar w:fldCharType="end"/>
      </w:r>
      <w:bookmarkEnd w:id="9"/>
      <w:r>
        <w:t xml:space="preserve"> | Timeline of</w:t>
      </w:r>
      <w:r w:rsidR="00A562DF">
        <w:t xml:space="preserve"> key events in the history of the</w:t>
      </w:r>
      <w:r>
        <w:t xml:space="preserve"> P2CC program from 2007 to present</w:t>
      </w:r>
      <w:r w:rsidR="00B95418">
        <w:rPr>
          <w:rStyle w:val="FootnoteReference"/>
        </w:rPr>
        <w:footnoteReference w:id="12"/>
      </w:r>
    </w:p>
    <w:tbl>
      <w:tblPr>
        <w:tblStyle w:val="NOUSSideHeader"/>
        <w:tblW w:w="5017" w:type="pct"/>
        <w:jc w:val="center"/>
        <w:tblLook w:val="04A0" w:firstRow="1" w:lastRow="0" w:firstColumn="1" w:lastColumn="0" w:noHBand="0" w:noVBand="1"/>
      </w:tblPr>
      <w:tblGrid>
        <w:gridCol w:w="1786"/>
        <w:gridCol w:w="7144"/>
      </w:tblGrid>
      <w:tr w:rsidR="00373288" w14:paraId="025FD74F" w14:textId="77777777" w:rsidTr="00373288">
        <w:trPr>
          <w:jc w:val="center"/>
        </w:trPr>
        <w:tc>
          <w:tcPr>
            <w:cnfStyle w:val="001000000000" w:firstRow="0" w:lastRow="0" w:firstColumn="1" w:lastColumn="0" w:oddVBand="0" w:evenVBand="0" w:oddHBand="0" w:evenHBand="0" w:firstRowFirstColumn="0" w:firstRowLastColumn="0" w:lastRowFirstColumn="0" w:lastRowLastColumn="0"/>
            <w:tcW w:w="1000" w:type="pct"/>
          </w:tcPr>
          <w:p w14:paraId="056C1E4D" w14:textId="77777777" w:rsidR="00373288" w:rsidRDefault="00373288" w:rsidP="00186FB8">
            <w:pPr>
              <w:pStyle w:val="TableExpText"/>
              <w:spacing w:before="0"/>
              <w:jc w:val="left"/>
            </w:pPr>
            <w:r w:rsidRPr="00D84F5E">
              <w:rPr>
                <w:color w:val="00264D" w:themeColor="background2"/>
              </w:rPr>
              <w:t xml:space="preserve">2007-2009: </w:t>
            </w:r>
            <w:r w:rsidRPr="00D84F5E">
              <w:rPr>
                <w:color w:val="00264D" w:themeColor="background2"/>
              </w:rPr>
              <w:br/>
            </w:r>
            <w:r>
              <w:rPr>
                <w:b w:val="0"/>
                <w:color w:val="00264D" w:themeColor="background2"/>
              </w:rPr>
              <w:t>I</w:t>
            </w:r>
            <w:r w:rsidRPr="00D84F5E">
              <w:rPr>
                <w:b w:val="0"/>
                <w:color w:val="00264D" w:themeColor="background2"/>
              </w:rPr>
              <w:t>ncreased funding for primary health care in the NT</w:t>
            </w:r>
          </w:p>
        </w:tc>
        <w:tc>
          <w:tcPr>
            <w:tcW w:w="4000" w:type="pct"/>
          </w:tcPr>
          <w:p w14:paraId="1FD325DA" w14:textId="77777777" w:rsidR="00373288" w:rsidRDefault="00373288" w:rsidP="00186FB8">
            <w:pPr>
              <w:pStyle w:val="TableExpText"/>
              <w:spacing w:before="0"/>
              <w:cnfStyle w:val="000000000000" w:firstRow="0" w:lastRow="0" w:firstColumn="0" w:lastColumn="0" w:oddVBand="0" w:evenVBand="0" w:oddHBand="0" w:evenHBand="0" w:firstRowFirstColumn="0" w:firstRowLastColumn="0" w:lastRowFirstColumn="0" w:lastRowLastColumn="0"/>
            </w:pPr>
            <w:r>
              <w:t>The Northern Territory Emergency Response (NTER) and the Closing the Gap agenda lead to additional funding for primary health care reform and expansion in the NT. This includes the Expanded Health Service Delivery Initiative (EHSDI), which provided funding for regionalisation of primary health care services and their transition to community control, and the Stronger Futures program, which provided additional funding for transition.</w:t>
            </w:r>
          </w:p>
        </w:tc>
      </w:tr>
      <w:tr w:rsidR="00373288" w14:paraId="0CB8FE65" w14:textId="77777777" w:rsidTr="00373288">
        <w:trPr>
          <w:jc w:val="center"/>
        </w:trPr>
        <w:tc>
          <w:tcPr>
            <w:cnfStyle w:val="001000000000" w:firstRow="0" w:lastRow="0" w:firstColumn="1" w:lastColumn="0" w:oddVBand="0" w:evenVBand="0" w:oddHBand="0" w:evenHBand="0" w:firstRowFirstColumn="0" w:firstRowLastColumn="0" w:lastRowFirstColumn="0" w:lastRowLastColumn="0"/>
            <w:tcW w:w="1000" w:type="pct"/>
          </w:tcPr>
          <w:p w14:paraId="31D3A1FE" w14:textId="77777777" w:rsidR="00373288" w:rsidRDefault="00373288" w:rsidP="00186FB8">
            <w:pPr>
              <w:pStyle w:val="Tableexpheader"/>
              <w:spacing w:before="0"/>
              <w:jc w:val="left"/>
            </w:pPr>
            <w:r w:rsidRPr="002263D1">
              <w:rPr>
                <w:rFonts w:ascii="Segoe UI" w:hAnsi="Segoe UI"/>
                <w:sz w:val="16"/>
              </w:rPr>
              <w:t>2008-2009:</w:t>
            </w:r>
            <w:r>
              <w:br/>
            </w:r>
            <w:r>
              <w:rPr>
                <w:rFonts w:ascii="Segoe UI" w:hAnsi="Segoe UI"/>
                <w:b w:val="0"/>
                <w:sz w:val="16"/>
              </w:rPr>
              <w:t>E</w:t>
            </w:r>
            <w:r w:rsidRPr="00D84F5E">
              <w:rPr>
                <w:rFonts w:ascii="Segoe UI" w:hAnsi="Segoe UI"/>
                <w:b w:val="0"/>
                <w:sz w:val="16"/>
              </w:rPr>
              <w:t>stablishment of regionalisation governance</w:t>
            </w:r>
          </w:p>
        </w:tc>
        <w:tc>
          <w:tcPr>
            <w:tcW w:w="4000" w:type="pct"/>
          </w:tcPr>
          <w:p w14:paraId="1EFA5685" w14:textId="77777777" w:rsidR="00373288" w:rsidRDefault="00373288" w:rsidP="00186FB8">
            <w:pPr>
              <w:pStyle w:val="TableExpText"/>
              <w:spacing w:before="0"/>
              <w:cnfStyle w:val="000000000000" w:firstRow="0" w:lastRow="0" w:firstColumn="0" w:lastColumn="0" w:oddVBand="0" w:evenVBand="0" w:oddHBand="0" w:evenHBand="0" w:firstRowFirstColumn="0" w:firstRowLastColumn="0" w:lastRowFirstColumn="0" w:lastRowLastColumn="0"/>
            </w:pPr>
            <w:r>
              <w:t>NTAHF establishes:</w:t>
            </w:r>
          </w:p>
          <w:p w14:paraId="04D5F8DC" w14:textId="04B72BB6" w:rsidR="00373288" w:rsidRDefault="00373288" w:rsidP="00186FB8">
            <w:pPr>
              <w:pStyle w:val="TableExpbullet0"/>
              <w:spacing w:before="0"/>
              <w:cnfStyle w:val="000000000000" w:firstRow="0" w:lastRow="0" w:firstColumn="0" w:lastColumn="0" w:oddVBand="0" w:evenVBand="0" w:oddHBand="0" w:evenHBand="0" w:firstRowFirstColumn="0" w:firstRowLastColumn="0" w:lastRowFirstColumn="0" w:lastRowLastColumn="0"/>
            </w:pPr>
            <w:r>
              <w:t>The Primary Health Reform Group (PHRG) to lead implementation of its reform agenda</w:t>
            </w:r>
          </w:p>
          <w:p w14:paraId="1FB8C529" w14:textId="77777777" w:rsidR="00373288" w:rsidRDefault="00373288" w:rsidP="00186FB8">
            <w:pPr>
              <w:pStyle w:val="TableExpbullet0"/>
              <w:spacing w:before="0"/>
              <w:cnfStyle w:val="000000000000" w:firstRow="0" w:lastRow="0" w:firstColumn="0" w:lastColumn="0" w:oddVBand="0" w:evenVBand="0" w:oddHBand="0" w:evenHBand="0" w:firstRowFirstColumn="0" w:firstRowLastColumn="0" w:lastRowFirstColumn="0" w:lastRowLastColumn="0"/>
            </w:pPr>
            <w:r>
              <w:t>The Reform and Development Unit (RADU) to communicate with the regions and support their engagement with the regionalisation agenda.</w:t>
            </w:r>
          </w:p>
          <w:p w14:paraId="0E707EB1" w14:textId="5D78DFF3" w:rsidR="00373288" w:rsidRDefault="00373288" w:rsidP="00186FB8">
            <w:pPr>
              <w:pStyle w:val="TableExpText"/>
              <w:spacing w:before="0"/>
              <w:cnfStyle w:val="000000000000" w:firstRow="0" w:lastRow="0" w:firstColumn="0" w:lastColumn="0" w:oddVBand="0" w:evenVBand="0" w:oddHBand="0" w:evenHBand="0" w:firstRowFirstColumn="0" w:firstRowLastColumn="0" w:lastRowFirstColumn="0" w:lastRowLastColumn="0"/>
            </w:pPr>
            <w:r>
              <w:t>PHRG is a subcommittee of NTAHF and oversees RADU, which initially comprises 11 staff.</w:t>
            </w:r>
          </w:p>
        </w:tc>
      </w:tr>
      <w:tr w:rsidR="00373288" w14:paraId="459EE6BC" w14:textId="77777777" w:rsidTr="00373288">
        <w:trPr>
          <w:jc w:val="center"/>
        </w:trPr>
        <w:tc>
          <w:tcPr>
            <w:cnfStyle w:val="001000000000" w:firstRow="0" w:lastRow="0" w:firstColumn="1" w:lastColumn="0" w:oddVBand="0" w:evenVBand="0" w:oddHBand="0" w:evenHBand="0" w:firstRowFirstColumn="0" w:firstRowLastColumn="0" w:lastRowFirstColumn="0" w:lastRowLastColumn="0"/>
            <w:tcW w:w="1000" w:type="pct"/>
          </w:tcPr>
          <w:p w14:paraId="3004195C" w14:textId="0EAF6830" w:rsidR="00373288" w:rsidRDefault="00373288" w:rsidP="00186FB8">
            <w:pPr>
              <w:pStyle w:val="Tableexpheader"/>
              <w:spacing w:before="0"/>
              <w:jc w:val="left"/>
            </w:pPr>
            <w:r w:rsidRPr="002263D1">
              <w:rPr>
                <w:rFonts w:ascii="Segoe UI" w:hAnsi="Segoe UI"/>
                <w:sz w:val="16"/>
              </w:rPr>
              <w:t>2009-2010:</w:t>
            </w:r>
            <w:r>
              <w:br/>
            </w:r>
            <w:r>
              <w:rPr>
                <w:rFonts w:ascii="Segoe UI" w:hAnsi="Segoe UI"/>
                <w:b w:val="0"/>
                <w:sz w:val="16"/>
              </w:rPr>
              <w:t>L</w:t>
            </w:r>
            <w:r w:rsidRPr="00D84F5E">
              <w:rPr>
                <w:rFonts w:ascii="Segoe UI" w:hAnsi="Segoe UI"/>
                <w:b w:val="0"/>
                <w:sz w:val="16"/>
              </w:rPr>
              <w:t xml:space="preserve">aunch of </w:t>
            </w:r>
            <w:r w:rsidR="007516B3">
              <w:rPr>
                <w:rFonts w:ascii="Segoe UI" w:hAnsi="Segoe UI"/>
                <w:b w:val="0"/>
                <w:sz w:val="16"/>
              </w:rPr>
              <w:t xml:space="preserve">the </w:t>
            </w:r>
            <w:r w:rsidRPr="00D84F5E">
              <w:rPr>
                <w:rFonts w:ascii="Segoe UI" w:hAnsi="Segoe UI"/>
                <w:b w:val="0"/>
                <w:sz w:val="16"/>
              </w:rPr>
              <w:t>P2CC</w:t>
            </w:r>
            <w:r w:rsidR="007516B3">
              <w:rPr>
                <w:rFonts w:ascii="Segoe UI" w:hAnsi="Segoe UI"/>
                <w:b w:val="0"/>
                <w:sz w:val="16"/>
              </w:rPr>
              <w:t xml:space="preserve"> program</w:t>
            </w:r>
            <w:r>
              <w:rPr>
                <w:rFonts w:ascii="Segoe UI" w:hAnsi="Segoe UI"/>
                <w:b w:val="0"/>
                <w:sz w:val="16"/>
              </w:rPr>
              <w:t xml:space="preserve"> and regionalisation guidelines</w:t>
            </w:r>
          </w:p>
        </w:tc>
        <w:tc>
          <w:tcPr>
            <w:tcW w:w="4000" w:type="pct"/>
          </w:tcPr>
          <w:p w14:paraId="284DA425" w14:textId="13F1DE82" w:rsidR="00373288" w:rsidRPr="00AA7741" w:rsidRDefault="00373288" w:rsidP="00186FB8">
            <w:pPr>
              <w:pStyle w:val="TableExpText"/>
              <w:spacing w:before="0"/>
              <w:cnfStyle w:val="000000000000" w:firstRow="0" w:lastRow="0" w:firstColumn="0" w:lastColumn="0" w:oddVBand="0" w:evenVBand="0" w:oddHBand="0" w:evenHBand="0" w:firstRowFirstColumn="0" w:firstRowLastColumn="0" w:lastRowFirstColumn="0" w:lastRowLastColumn="0"/>
            </w:pPr>
            <w:r>
              <w:t xml:space="preserve">In 2009, NTAHF launches </w:t>
            </w:r>
            <w:r w:rsidRPr="00AA7741">
              <w:rPr>
                <w:i/>
                <w:iCs/>
              </w:rPr>
              <w:t xml:space="preserve">Pathways to Community Control: </w:t>
            </w:r>
            <w:r w:rsidR="00E329F5">
              <w:rPr>
                <w:i/>
                <w:iCs/>
              </w:rPr>
              <w:t>A</w:t>
            </w:r>
            <w:r w:rsidRPr="00AA7741">
              <w:rPr>
                <w:i/>
                <w:iCs/>
              </w:rPr>
              <w:t>n agenda to further promote Aboriginal community control in the provision of primary health care services</w:t>
            </w:r>
            <w:r>
              <w:t xml:space="preserve">. The following year, it endorses the </w:t>
            </w:r>
            <w:r w:rsidRPr="00ED4F69">
              <w:rPr>
                <w:i/>
                <w:iCs/>
              </w:rPr>
              <w:t>NT Regionalisation of Aboriginal Primary Health Care Guidelines</w:t>
            </w:r>
            <w:r>
              <w:t>, a foundational implementation document for the P2CC agenda and the regionalisation process.</w:t>
            </w:r>
          </w:p>
        </w:tc>
      </w:tr>
      <w:tr w:rsidR="00373288" w14:paraId="2AB4FA09" w14:textId="77777777" w:rsidTr="00373288">
        <w:trPr>
          <w:jc w:val="center"/>
        </w:trPr>
        <w:tc>
          <w:tcPr>
            <w:cnfStyle w:val="001000000000" w:firstRow="0" w:lastRow="0" w:firstColumn="1" w:lastColumn="0" w:oddVBand="0" w:evenVBand="0" w:oddHBand="0" w:evenHBand="0" w:firstRowFirstColumn="0" w:firstRowLastColumn="0" w:lastRowFirstColumn="0" w:lastRowLastColumn="0"/>
            <w:tcW w:w="1000" w:type="pct"/>
          </w:tcPr>
          <w:p w14:paraId="7C06A0D5" w14:textId="77777777" w:rsidR="00373288" w:rsidRPr="002A030E" w:rsidRDefault="00373288" w:rsidP="00186FB8">
            <w:pPr>
              <w:pStyle w:val="Tableexpheader"/>
              <w:spacing w:before="0"/>
              <w:jc w:val="left"/>
              <w:rPr>
                <w:rFonts w:ascii="Segoe UI" w:hAnsi="Segoe UI"/>
                <w:b w:val="0"/>
                <w:sz w:val="16"/>
              </w:rPr>
            </w:pPr>
            <w:r w:rsidRPr="002263D1">
              <w:rPr>
                <w:rFonts w:ascii="Segoe UI" w:hAnsi="Segoe UI"/>
                <w:sz w:val="16"/>
              </w:rPr>
              <w:t>2009-2011:</w:t>
            </w:r>
            <w:r>
              <w:br/>
            </w:r>
            <w:r>
              <w:rPr>
                <w:rFonts w:ascii="Segoe UI" w:hAnsi="Segoe UI"/>
                <w:b w:val="0"/>
                <w:sz w:val="16"/>
              </w:rPr>
              <w:t>R</w:t>
            </w:r>
            <w:r w:rsidRPr="002A030E">
              <w:rPr>
                <w:rFonts w:ascii="Segoe UI" w:hAnsi="Segoe UI"/>
                <w:b w:val="0"/>
                <w:sz w:val="16"/>
              </w:rPr>
              <w:t>egionalisation setbacks and challenges</w:t>
            </w:r>
          </w:p>
          <w:p w14:paraId="25550E81" w14:textId="77777777" w:rsidR="00373288" w:rsidRPr="002A030E" w:rsidRDefault="00373288" w:rsidP="00186FB8">
            <w:pPr>
              <w:pStyle w:val="Tableexpheader"/>
              <w:spacing w:before="0"/>
              <w:jc w:val="left"/>
              <w:rPr>
                <w:rFonts w:ascii="Segoe UI" w:hAnsi="Segoe UI"/>
                <w:b w:val="0"/>
                <w:sz w:val="16"/>
              </w:rPr>
            </w:pPr>
            <w:r>
              <w:rPr>
                <w:rFonts w:ascii="Segoe UI" w:hAnsi="Segoe UI"/>
                <w:b w:val="0"/>
                <w:sz w:val="16"/>
              </w:rPr>
              <w:t>Final evaluation of EHSDI</w:t>
            </w:r>
          </w:p>
          <w:p w14:paraId="4B1A3FE8" w14:textId="77777777" w:rsidR="00373288" w:rsidRDefault="00373288" w:rsidP="00186FB8">
            <w:pPr>
              <w:pStyle w:val="Tableexpheader"/>
              <w:spacing w:before="0"/>
              <w:jc w:val="left"/>
            </w:pPr>
            <w:r w:rsidRPr="002A030E">
              <w:rPr>
                <w:rFonts w:ascii="Segoe UI" w:hAnsi="Segoe UI"/>
                <w:b w:val="0"/>
                <w:sz w:val="16"/>
              </w:rPr>
              <w:t>Capability and capacity framework</w:t>
            </w:r>
          </w:p>
        </w:tc>
        <w:tc>
          <w:tcPr>
            <w:tcW w:w="4000" w:type="pct"/>
          </w:tcPr>
          <w:p w14:paraId="49128757" w14:textId="04498BD1" w:rsidR="00373288" w:rsidRDefault="00373288" w:rsidP="00186FB8">
            <w:pPr>
              <w:pStyle w:val="TableExpText"/>
              <w:spacing w:before="0"/>
              <w:cnfStyle w:val="000000000000" w:firstRow="0" w:lastRow="0" w:firstColumn="0" w:lastColumn="0" w:oddVBand="0" w:evenVBand="0" w:oddHBand="0" w:evenHBand="0" w:firstRowFirstColumn="0" w:firstRowLastColumn="0" w:lastRowFirstColumn="0" w:lastRowLastColumn="0"/>
            </w:pPr>
            <w:r>
              <w:t xml:space="preserve">Regionalisation experiences a number of setbacks and challenges; for example, a lack of funds pooling or a joint survey of capital assets, misunderstanding and disagreement within communities as to what regionalisation and the P2CC </w:t>
            </w:r>
            <w:r w:rsidR="00280F7C">
              <w:t xml:space="preserve">program </w:t>
            </w:r>
            <w:r>
              <w:t xml:space="preserve">proposed, and cumulative negative experiences </w:t>
            </w:r>
            <w:r w:rsidR="00C90D95">
              <w:t>e</w:t>
            </w:r>
            <w:r>
              <w:t>roding the goodwill of key Aboriginal community members.</w:t>
            </w:r>
          </w:p>
          <w:p w14:paraId="66DEE933" w14:textId="77777777" w:rsidR="00373288" w:rsidRDefault="00373288" w:rsidP="00186FB8">
            <w:pPr>
              <w:pStyle w:val="TableExpText"/>
              <w:spacing w:before="0"/>
              <w:cnfStyle w:val="000000000000" w:firstRow="0" w:lastRow="0" w:firstColumn="0" w:lastColumn="0" w:oddVBand="0" w:evenVBand="0" w:oddHBand="0" w:evenHBand="0" w:firstRowFirstColumn="0" w:firstRowLastColumn="0" w:lastRowFirstColumn="0" w:lastRowLastColumn="0"/>
            </w:pPr>
            <w:r>
              <w:t xml:space="preserve">The evaluation of the EHSDI is </w:t>
            </w:r>
            <w:r w:rsidRPr="007A0F16">
              <w:t>positive about NTAHF’s achievements and supportive of a continuing partnership structure</w:t>
            </w:r>
            <w:r>
              <w:t xml:space="preserve"> but identifies a number of issues; for example, the size and complexity of the task relative to the available timeframe and resources. </w:t>
            </w:r>
          </w:p>
          <w:p w14:paraId="10A52624" w14:textId="1E2F972C" w:rsidR="00373288" w:rsidRDefault="00373288" w:rsidP="00186FB8">
            <w:pPr>
              <w:pStyle w:val="TableExpText"/>
              <w:spacing w:before="0"/>
              <w:cnfStyle w:val="000000000000" w:firstRow="0" w:lastRow="0" w:firstColumn="0" w:lastColumn="0" w:oddVBand="0" w:evenVBand="0" w:oddHBand="0" w:evenHBand="0" w:firstRowFirstColumn="0" w:firstRowLastColumn="0" w:lastRowFirstColumn="0" w:lastRowLastColumn="0"/>
            </w:pPr>
            <w:r w:rsidRPr="00240278">
              <w:t xml:space="preserve">A framework to assess the competence and capability of community governance structures </w:t>
            </w:r>
            <w:r>
              <w:t>is</w:t>
            </w:r>
            <w:r w:rsidRPr="00240278">
              <w:t xml:space="preserve"> developed</w:t>
            </w:r>
            <w:r>
              <w:t xml:space="preserve">. Response to the framework is mixed, with some associating it with excessive risk intolerance on the part of the Australian and </w:t>
            </w:r>
            <w:r w:rsidR="00A55AAE">
              <w:t>NTG</w:t>
            </w:r>
            <w:r>
              <w:t>s.</w:t>
            </w:r>
          </w:p>
        </w:tc>
      </w:tr>
      <w:tr w:rsidR="00373288" w14:paraId="6AE5466F" w14:textId="77777777" w:rsidTr="00373288">
        <w:trPr>
          <w:jc w:val="center"/>
        </w:trPr>
        <w:tc>
          <w:tcPr>
            <w:cnfStyle w:val="001000000000" w:firstRow="0" w:lastRow="0" w:firstColumn="1" w:lastColumn="0" w:oddVBand="0" w:evenVBand="0" w:oddHBand="0" w:evenHBand="0" w:firstRowFirstColumn="0" w:firstRowLastColumn="0" w:lastRowFirstColumn="0" w:lastRowLastColumn="0"/>
            <w:tcW w:w="1000" w:type="pct"/>
          </w:tcPr>
          <w:p w14:paraId="7BE905A1" w14:textId="77777777" w:rsidR="00373288" w:rsidRDefault="00373288" w:rsidP="00186FB8">
            <w:pPr>
              <w:pStyle w:val="Tableexpheader"/>
              <w:spacing w:before="0"/>
              <w:jc w:val="left"/>
            </w:pPr>
            <w:r w:rsidRPr="002263D1">
              <w:rPr>
                <w:rFonts w:ascii="Segoe UI" w:hAnsi="Segoe UI"/>
                <w:sz w:val="16"/>
              </w:rPr>
              <w:t>2011-2013:</w:t>
            </w:r>
            <w:r>
              <w:br/>
            </w:r>
            <w:r>
              <w:rPr>
                <w:rFonts w:ascii="Segoe UI" w:hAnsi="Segoe UI"/>
                <w:b w:val="0"/>
                <w:sz w:val="16"/>
              </w:rPr>
              <w:t>Reduced NTAHF activity, changes of government and l</w:t>
            </w:r>
            <w:r w:rsidRPr="000508D1">
              <w:rPr>
                <w:rFonts w:ascii="Segoe UI" w:hAnsi="Segoe UI"/>
                <w:b w:val="0"/>
                <w:sz w:val="16"/>
              </w:rPr>
              <w:t xml:space="preserve">oss of </w:t>
            </w:r>
            <w:r>
              <w:rPr>
                <w:rFonts w:ascii="Segoe UI" w:hAnsi="Segoe UI"/>
                <w:b w:val="0"/>
                <w:sz w:val="16"/>
              </w:rPr>
              <w:t>regionalisation momentum</w:t>
            </w:r>
          </w:p>
        </w:tc>
        <w:tc>
          <w:tcPr>
            <w:tcW w:w="4000" w:type="pct"/>
          </w:tcPr>
          <w:p w14:paraId="3589F3F0" w14:textId="77777777" w:rsidR="00373288" w:rsidRDefault="00373288" w:rsidP="00186FB8">
            <w:pPr>
              <w:pStyle w:val="TableExpText"/>
              <w:spacing w:before="0"/>
              <w:cnfStyle w:val="000000000000" w:firstRow="0" w:lastRow="0" w:firstColumn="0" w:lastColumn="0" w:oddVBand="0" w:evenVBand="0" w:oddHBand="0" w:evenHBand="0" w:firstRowFirstColumn="0" w:firstRowLastColumn="0" w:lastRowFirstColumn="0" w:lastRowLastColumn="0"/>
            </w:pPr>
            <w:r>
              <w:t>PHRG ceases to meet in early 2011. No minutes of NTAHF meetings are recorded between mid-2011 and mid-2012. By mid-2012, RADU is reduced to a single officer working in Central Australia and NTAHF enters a period of inactivity. An alternative decision-making body, the Senior Officers Group (SOG), is created but ceases to meet within months of its establishment. There is a loss of corporate memory as key people who had been integral to the regionalisation reform agenda move on.</w:t>
            </w:r>
          </w:p>
          <w:p w14:paraId="0860212C" w14:textId="1890CE08" w:rsidR="00373288" w:rsidRDefault="00373288" w:rsidP="00186FB8">
            <w:pPr>
              <w:pStyle w:val="TableExpText"/>
              <w:spacing w:before="0"/>
              <w:cnfStyle w:val="000000000000" w:firstRow="0" w:lastRow="0" w:firstColumn="0" w:lastColumn="0" w:oddVBand="0" w:evenVBand="0" w:oddHBand="0" w:evenHBand="0" w:firstRowFirstColumn="0" w:firstRowLastColumn="0" w:lastRowFirstColumn="0" w:lastRowLastColumn="0"/>
            </w:pPr>
            <w:r>
              <w:t xml:space="preserve">Changes of government at the NT level in 2012 and the </w:t>
            </w:r>
            <w:r w:rsidR="00C327FC">
              <w:t>Commonwealth</w:t>
            </w:r>
            <w:r w:rsidR="001D4AC2">
              <w:t xml:space="preserve"> </w:t>
            </w:r>
            <w:r>
              <w:t>level in 2013 lead to financial restrictions, scrutiny of Indigenous affairs, and machinery of government changes to the NT and Australian Government Departments of Health. At around this same time, high-profile challenges experienced by ACCHOs, including three in the NT, negatively affect perceptions of the viability of community control.</w:t>
            </w:r>
          </w:p>
        </w:tc>
      </w:tr>
      <w:tr w:rsidR="00373288" w14:paraId="757C405F" w14:textId="77777777" w:rsidTr="00373288">
        <w:trPr>
          <w:jc w:val="center"/>
        </w:trPr>
        <w:tc>
          <w:tcPr>
            <w:cnfStyle w:val="001000000000" w:firstRow="0" w:lastRow="0" w:firstColumn="1" w:lastColumn="0" w:oddVBand="0" w:evenVBand="0" w:oddHBand="0" w:evenHBand="0" w:firstRowFirstColumn="0" w:firstRowLastColumn="0" w:lastRowFirstColumn="0" w:lastRowLastColumn="0"/>
            <w:tcW w:w="1000" w:type="pct"/>
          </w:tcPr>
          <w:p w14:paraId="78CC0C07" w14:textId="77777777" w:rsidR="00373288" w:rsidRDefault="00373288" w:rsidP="00186FB8">
            <w:pPr>
              <w:pStyle w:val="Tableexpheader"/>
              <w:spacing w:before="0"/>
              <w:jc w:val="left"/>
            </w:pPr>
            <w:r w:rsidRPr="002263D1">
              <w:rPr>
                <w:rFonts w:ascii="Segoe UI" w:hAnsi="Segoe UI"/>
                <w:sz w:val="16"/>
              </w:rPr>
              <w:t>2012:</w:t>
            </w:r>
            <w:r>
              <w:br/>
            </w:r>
            <w:r w:rsidRPr="00BE551C">
              <w:rPr>
                <w:rFonts w:ascii="Segoe UI" w:hAnsi="Segoe UI"/>
                <w:b w:val="0"/>
                <w:sz w:val="16"/>
              </w:rPr>
              <w:t>Transfer of Yirrkala Clinic</w:t>
            </w:r>
          </w:p>
        </w:tc>
        <w:tc>
          <w:tcPr>
            <w:tcW w:w="4000" w:type="pct"/>
          </w:tcPr>
          <w:p w14:paraId="46F6648D" w14:textId="269522F2" w:rsidR="00373288" w:rsidRDefault="00373288" w:rsidP="00186FB8">
            <w:pPr>
              <w:pStyle w:val="TableExpText"/>
              <w:spacing w:before="0"/>
              <w:cnfStyle w:val="000000000000" w:firstRow="0" w:lastRow="0" w:firstColumn="0" w:lastColumn="0" w:oddVBand="0" w:evenVBand="0" w:oddHBand="0" w:evenHBand="0" w:firstRowFirstColumn="0" w:firstRowLastColumn="0" w:lastRowFirstColumn="0" w:lastRowLastColumn="0"/>
            </w:pPr>
            <w:r>
              <w:t xml:space="preserve">Agreement to transfer Yirrkala Clinic from NT Health to </w:t>
            </w:r>
            <w:proofErr w:type="spellStart"/>
            <w:r>
              <w:t>Miwatj</w:t>
            </w:r>
            <w:proofErr w:type="spellEnd"/>
            <w:r>
              <w:t xml:space="preserve"> </w:t>
            </w:r>
            <w:r w:rsidR="00032BB2">
              <w:t>Health Aboriginal Corporation (</w:t>
            </w:r>
            <w:proofErr w:type="spellStart"/>
            <w:r w:rsidR="00032BB2">
              <w:t>Miwatj</w:t>
            </w:r>
            <w:proofErr w:type="spellEnd"/>
            <w:r w:rsidR="00032BB2">
              <w:t xml:space="preserve">) </w:t>
            </w:r>
            <w:r>
              <w:t xml:space="preserve">is reached in December 2011. </w:t>
            </w:r>
            <w:proofErr w:type="spellStart"/>
            <w:r>
              <w:t>Miwatj</w:t>
            </w:r>
            <w:proofErr w:type="spellEnd"/>
            <w:r>
              <w:t xml:space="preserve"> takes over day-to-day management of the clinic in July 2012. The transfer of operating funds is delayed due to concern about allocation of overhead costs and debate over whether to allocate Australian Government funding directly or via NT Health. The </w:t>
            </w:r>
            <w:r w:rsidR="00DF17F8">
              <w:t>c</w:t>
            </w:r>
            <w:r>
              <w:t xml:space="preserve">ompetence and </w:t>
            </w:r>
            <w:r w:rsidR="00DF17F8">
              <w:t>c</w:t>
            </w:r>
            <w:r>
              <w:t xml:space="preserve">apability </w:t>
            </w:r>
            <w:r w:rsidR="00DF17F8">
              <w:t>f</w:t>
            </w:r>
            <w:r>
              <w:t>ramework</w:t>
            </w:r>
            <w:r w:rsidR="00DF17F8">
              <w:t xml:space="preserve"> (</w:t>
            </w:r>
            <w:r w:rsidR="00814462">
              <w:t>referenced above)</w:t>
            </w:r>
            <w:r>
              <w:t xml:space="preserve"> is applied as a condition of approval to transfer and shows good results.</w:t>
            </w:r>
          </w:p>
        </w:tc>
      </w:tr>
      <w:tr w:rsidR="00373288" w14:paraId="23279EEA" w14:textId="77777777" w:rsidTr="00373288">
        <w:trPr>
          <w:jc w:val="center"/>
        </w:trPr>
        <w:tc>
          <w:tcPr>
            <w:cnfStyle w:val="001000000000" w:firstRow="0" w:lastRow="0" w:firstColumn="1" w:lastColumn="0" w:oddVBand="0" w:evenVBand="0" w:oddHBand="0" w:evenHBand="0" w:firstRowFirstColumn="0" w:firstRowLastColumn="0" w:lastRowFirstColumn="0" w:lastRowLastColumn="0"/>
            <w:tcW w:w="1000" w:type="pct"/>
          </w:tcPr>
          <w:p w14:paraId="4D5AF82B" w14:textId="77777777" w:rsidR="00373288" w:rsidRDefault="00373288" w:rsidP="00DF17F8">
            <w:pPr>
              <w:pStyle w:val="Tableexpheader"/>
              <w:spacing w:before="0"/>
              <w:jc w:val="left"/>
              <w:rPr>
                <w:rFonts w:ascii="Segoe UI" w:hAnsi="Segoe UI"/>
                <w:sz w:val="16"/>
              </w:rPr>
            </w:pPr>
            <w:r w:rsidRPr="002263D1">
              <w:rPr>
                <w:rFonts w:ascii="Segoe UI" w:hAnsi="Segoe UI"/>
                <w:sz w:val="16"/>
              </w:rPr>
              <w:t>2014:</w:t>
            </w:r>
            <w:r>
              <w:br/>
            </w:r>
            <w:r w:rsidR="002263D1">
              <w:rPr>
                <w:rFonts w:ascii="Segoe UI" w:hAnsi="Segoe UI"/>
                <w:b w:val="0"/>
                <w:sz w:val="16"/>
              </w:rPr>
              <w:t>H</w:t>
            </w:r>
            <w:r w:rsidRPr="000703EE">
              <w:rPr>
                <w:rFonts w:ascii="Segoe UI" w:hAnsi="Segoe UI"/>
                <w:b w:val="0"/>
                <w:sz w:val="16"/>
              </w:rPr>
              <w:t>alting of regionalisation</w:t>
            </w:r>
          </w:p>
          <w:p w14:paraId="3ABE83D5" w14:textId="63D184BC" w:rsidR="00A07AE5" w:rsidRDefault="00A07AE5" w:rsidP="00DF17F8">
            <w:pPr>
              <w:pStyle w:val="Tableexpheader"/>
              <w:spacing w:before="0"/>
              <w:jc w:val="left"/>
            </w:pPr>
            <w:r w:rsidRPr="00A07AE5">
              <w:rPr>
                <w:rFonts w:ascii="Segoe UI" w:hAnsi="Segoe UI"/>
                <w:b w:val="0"/>
                <w:sz w:val="16"/>
              </w:rPr>
              <w:t>Establishment of IAHP</w:t>
            </w:r>
          </w:p>
        </w:tc>
        <w:tc>
          <w:tcPr>
            <w:tcW w:w="4000" w:type="pct"/>
          </w:tcPr>
          <w:p w14:paraId="1626EF2A" w14:textId="77777777" w:rsidR="00373288" w:rsidRDefault="00373288" w:rsidP="00DF17F8">
            <w:pPr>
              <w:pStyle w:val="TableExpText"/>
              <w:spacing w:before="0"/>
              <w:cnfStyle w:val="000000000000" w:firstRow="0" w:lastRow="0" w:firstColumn="0" w:lastColumn="0" w:oddVBand="0" w:evenVBand="0" w:oddHBand="0" w:evenHBand="0" w:firstRowFirstColumn="0" w:firstRowLastColumn="0" w:lastRowFirstColumn="0" w:lastRowLastColumn="0"/>
            </w:pPr>
            <w:r>
              <w:t>No funding is allocated to regionalisation in the 2014-15 Australian Government budget. By this point, only three Health Service District Areas (HSDAs) have submitted regionalisation proposals, only one of which has been provisionally endorsed by NTAHF.</w:t>
            </w:r>
          </w:p>
          <w:p w14:paraId="39D45E04" w14:textId="03695A82" w:rsidR="00F13CC9" w:rsidRDefault="000C22CC" w:rsidP="00DF17F8">
            <w:pPr>
              <w:pStyle w:val="TableExpText"/>
              <w:spacing w:before="0"/>
              <w:cnfStyle w:val="000000000000" w:firstRow="0" w:lastRow="0" w:firstColumn="0" w:lastColumn="0" w:oddVBand="0" w:evenVBand="0" w:oddHBand="0" w:evenHBand="0" w:firstRowFirstColumn="0" w:firstRowLastColumn="0" w:lastRowFirstColumn="0" w:lastRowLastColumn="0"/>
            </w:pPr>
            <w:r>
              <w:t>At this same time, the Australian Government established the IAHP</w:t>
            </w:r>
            <w:r w:rsidR="00134FFA">
              <w:t xml:space="preserve">, which aims to increase Aboriginal and Torres Strait Islander </w:t>
            </w:r>
            <w:r w:rsidR="00321469">
              <w:t xml:space="preserve">people’s access to safe and effective </w:t>
            </w:r>
            <w:r w:rsidR="00496BFB">
              <w:t>essential health services</w:t>
            </w:r>
            <w:r>
              <w:t xml:space="preserve">. </w:t>
            </w:r>
            <w:r w:rsidR="00AD634A">
              <w:t>Funding for the P2CC program originally provided through the NTER and the Stronger Futures program were rolled into the IAHP.</w:t>
            </w:r>
          </w:p>
        </w:tc>
      </w:tr>
      <w:tr w:rsidR="00373288" w14:paraId="49E25146" w14:textId="77777777" w:rsidTr="00373288">
        <w:trPr>
          <w:jc w:val="center"/>
        </w:trPr>
        <w:tc>
          <w:tcPr>
            <w:cnfStyle w:val="001000000000" w:firstRow="0" w:lastRow="0" w:firstColumn="1" w:lastColumn="0" w:oddVBand="0" w:evenVBand="0" w:oddHBand="0" w:evenHBand="0" w:firstRowFirstColumn="0" w:firstRowLastColumn="0" w:lastRowFirstColumn="0" w:lastRowLastColumn="0"/>
            <w:tcW w:w="1000" w:type="pct"/>
          </w:tcPr>
          <w:p w14:paraId="42083A38" w14:textId="77777777" w:rsidR="00373288" w:rsidRPr="00690B45" w:rsidRDefault="00373288" w:rsidP="00DF17F8">
            <w:pPr>
              <w:pStyle w:val="Tableexpheader"/>
              <w:spacing w:before="0"/>
              <w:jc w:val="left"/>
              <w:rPr>
                <w:b w:val="0"/>
                <w:bCs/>
              </w:rPr>
            </w:pPr>
            <w:r w:rsidRPr="002263D1">
              <w:rPr>
                <w:rFonts w:ascii="Segoe UI" w:hAnsi="Segoe UI"/>
                <w:sz w:val="16"/>
              </w:rPr>
              <w:t>2016-present:</w:t>
            </w:r>
            <w:r>
              <w:br/>
            </w:r>
            <w:r w:rsidRPr="00953F8E">
              <w:rPr>
                <w:rFonts w:ascii="Segoe UI" w:hAnsi="Segoe UI"/>
                <w:b w:val="0"/>
                <w:sz w:val="16"/>
              </w:rPr>
              <w:t>additional transitions</w:t>
            </w:r>
          </w:p>
        </w:tc>
        <w:tc>
          <w:tcPr>
            <w:tcW w:w="4000" w:type="pct"/>
          </w:tcPr>
          <w:p w14:paraId="50AE4D8F" w14:textId="7AB1AF6E" w:rsidR="00373288" w:rsidRDefault="00373288" w:rsidP="00DF17F8">
            <w:pPr>
              <w:pStyle w:val="TableExpText"/>
              <w:spacing w:before="0"/>
              <w:cnfStyle w:val="000000000000" w:firstRow="0" w:lastRow="0" w:firstColumn="0" w:lastColumn="0" w:oddVBand="0" w:evenVBand="0" w:oddHBand="0" w:evenHBand="0" w:firstRowFirstColumn="0" w:firstRowLastColumn="0" w:lastRowFirstColumn="0" w:lastRowLastColumn="0"/>
            </w:pPr>
            <w:r>
              <w:t>Five additional transitions are achieved from 2016 to 2021</w:t>
            </w:r>
            <w:r w:rsidR="00AE23B7">
              <w:t xml:space="preserve">: three to </w:t>
            </w:r>
            <w:proofErr w:type="spellStart"/>
            <w:r w:rsidR="00AE23B7">
              <w:t>Miwatj</w:t>
            </w:r>
            <w:proofErr w:type="spellEnd"/>
            <w:r w:rsidR="00774AD5">
              <w:t xml:space="preserve"> Health Aboriginal </w:t>
            </w:r>
            <w:proofErr w:type="spellStart"/>
            <w:r w:rsidR="00774AD5">
              <w:t>C</w:t>
            </w:r>
            <w:r w:rsidR="00B76CAD">
              <w:t>orportation</w:t>
            </w:r>
            <w:proofErr w:type="spellEnd"/>
            <w:r w:rsidR="00B76CAD">
              <w:t xml:space="preserve"> (</w:t>
            </w:r>
            <w:proofErr w:type="spellStart"/>
            <w:r w:rsidR="00B76CAD">
              <w:t>Miwatj</w:t>
            </w:r>
            <w:proofErr w:type="spellEnd"/>
            <w:r w:rsidR="00B76CAD">
              <w:t>)</w:t>
            </w:r>
            <w:r w:rsidR="00032BB2">
              <w:t xml:space="preserve">, one to </w:t>
            </w:r>
            <w:proofErr w:type="spellStart"/>
            <w:r w:rsidR="00032BB2">
              <w:t>Mala’la</w:t>
            </w:r>
            <w:proofErr w:type="spellEnd"/>
            <w:r w:rsidR="00032BB2">
              <w:t xml:space="preserve"> Health Service Aboriginal Corporation (</w:t>
            </w:r>
            <w:proofErr w:type="spellStart"/>
            <w:r w:rsidR="00032BB2">
              <w:t>Mala’la</w:t>
            </w:r>
            <w:proofErr w:type="spellEnd"/>
            <w:r w:rsidR="00032BB2">
              <w:t xml:space="preserve">) and one to </w:t>
            </w:r>
            <w:r w:rsidR="00AB493C">
              <w:t xml:space="preserve">Red Lily Health Board (Red Lily). Additional transitions are underway or upcoming at </w:t>
            </w:r>
            <w:r w:rsidR="006E4B26">
              <w:t>Red Lily and Central Australian Aboriginal Congress (Congress).</w:t>
            </w:r>
          </w:p>
        </w:tc>
      </w:tr>
    </w:tbl>
    <w:p w14:paraId="7AD776EB" w14:textId="6566194E" w:rsidR="00373288" w:rsidRDefault="007C0D17" w:rsidP="005273BA">
      <w:pPr>
        <w:rPr>
          <w:lang w:eastAsia="en-AU"/>
        </w:rPr>
      </w:pPr>
      <w:r>
        <w:rPr>
          <w:lang w:eastAsia="en-AU"/>
        </w:rPr>
        <w:lastRenderedPageBreak/>
        <w:t>A timeline of transitions of primary health care services from NT Health to community control</w:t>
      </w:r>
      <w:r w:rsidR="001A29BB">
        <w:rPr>
          <w:lang w:eastAsia="en-AU"/>
        </w:rPr>
        <w:t xml:space="preserve"> through the P2CC program </w:t>
      </w:r>
      <w:r>
        <w:rPr>
          <w:lang w:eastAsia="en-AU"/>
        </w:rPr>
        <w:t xml:space="preserve">is presented in </w:t>
      </w:r>
      <w:r w:rsidR="005E4584">
        <w:rPr>
          <w:lang w:eastAsia="en-AU"/>
        </w:rPr>
        <w:fldChar w:fldCharType="begin"/>
      </w:r>
      <w:r w:rsidR="005E4584">
        <w:rPr>
          <w:lang w:eastAsia="en-AU"/>
        </w:rPr>
        <w:instrText xml:space="preserve"> REF _Ref100167736 \h </w:instrText>
      </w:r>
      <w:r w:rsidR="005E4584">
        <w:rPr>
          <w:lang w:eastAsia="en-AU"/>
        </w:rPr>
      </w:r>
      <w:r w:rsidR="005E4584">
        <w:rPr>
          <w:lang w:eastAsia="en-AU"/>
        </w:rPr>
        <w:fldChar w:fldCharType="separate"/>
      </w:r>
      <w:r w:rsidR="00A439E2">
        <w:t xml:space="preserve">Table </w:t>
      </w:r>
      <w:r w:rsidR="00A439E2">
        <w:rPr>
          <w:noProof/>
        </w:rPr>
        <w:t>3</w:t>
      </w:r>
      <w:r w:rsidR="005E4584">
        <w:rPr>
          <w:lang w:eastAsia="en-AU"/>
        </w:rPr>
        <w:fldChar w:fldCharType="end"/>
      </w:r>
      <w:r w:rsidR="005E4584">
        <w:rPr>
          <w:lang w:eastAsia="en-AU"/>
        </w:rPr>
        <w:t xml:space="preserve">. </w:t>
      </w:r>
      <w:r w:rsidR="00CF385B">
        <w:rPr>
          <w:lang w:eastAsia="en-AU"/>
        </w:rPr>
        <w:t>Note that there are many ACCHOs across the NT, many of which were established</w:t>
      </w:r>
      <w:r w:rsidR="006B44F8">
        <w:rPr>
          <w:lang w:eastAsia="en-AU"/>
        </w:rPr>
        <w:t xml:space="preserve"> through processes other than the P2CC program</w:t>
      </w:r>
      <w:r w:rsidR="00891F92">
        <w:rPr>
          <w:lang w:eastAsia="en-AU"/>
        </w:rPr>
        <w:t xml:space="preserve">, such as the Coordinated Care Trials (as referenced in Section </w:t>
      </w:r>
      <w:r w:rsidR="00891F92">
        <w:rPr>
          <w:lang w:eastAsia="en-AU"/>
        </w:rPr>
        <w:fldChar w:fldCharType="begin"/>
      </w:r>
      <w:r w:rsidR="00891F92">
        <w:rPr>
          <w:lang w:eastAsia="en-AU"/>
        </w:rPr>
        <w:instrText xml:space="preserve"> REF _Ref100322112 \r \h </w:instrText>
      </w:r>
      <w:r w:rsidR="00891F92">
        <w:rPr>
          <w:lang w:eastAsia="en-AU"/>
        </w:rPr>
      </w:r>
      <w:r w:rsidR="00891F92">
        <w:rPr>
          <w:lang w:eastAsia="en-AU"/>
        </w:rPr>
        <w:fldChar w:fldCharType="separate"/>
      </w:r>
      <w:r w:rsidR="00A439E2">
        <w:rPr>
          <w:lang w:eastAsia="en-AU"/>
        </w:rPr>
        <w:t>2.1</w:t>
      </w:r>
      <w:r w:rsidR="00891F92">
        <w:rPr>
          <w:lang w:eastAsia="en-AU"/>
        </w:rPr>
        <w:fldChar w:fldCharType="end"/>
      </w:r>
      <w:r w:rsidR="00891F92">
        <w:rPr>
          <w:lang w:eastAsia="en-AU"/>
        </w:rPr>
        <w:t>).</w:t>
      </w:r>
      <w:r w:rsidR="00A21EA5">
        <w:rPr>
          <w:lang w:eastAsia="en-AU"/>
        </w:rPr>
        <w:t xml:space="preserve"> </w:t>
      </w:r>
      <w:r w:rsidR="00C2335A">
        <w:rPr>
          <w:lang w:eastAsia="en-AU"/>
        </w:rPr>
        <w:t>Some of the ACCHOs listed below have had other clinics transition to community control outside of the P2CC program.</w:t>
      </w:r>
    </w:p>
    <w:p w14:paraId="724BFCB9" w14:textId="43A7CC36" w:rsidR="007C0D17" w:rsidRDefault="00697D1A" w:rsidP="00604BD3">
      <w:pPr>
        <w:pStyle w:val="Caption"/>
      </w:pPr>
      <w:bookmarkStart w:id="12" w:name="_Ref100167736"/>
      <w:r>
        <w:t xml:space="preserve">Table </w:t>
      </w:r>
      <w:r w:rsidR="007C0D17">
        <w:t xml:space="preserve"> </w:t>
      </w:r>
      <w:r w:rsidR="007C0D17">
        <w:fldChar w:fldCharType="begin"/>
      </w:r>
      <w:r w:rsidR="007C0D17">
        <w:instrText xml:space="preserve"> SEQ Table \* ARABIC </w:instrText>
      </w:r>
      <w:r w:rsidR="007C0D17">
        <w:fldChar w:fldCharType="separate"/>
      </w:r>
      <w:r w:rsidR="00A439E2">
        <w:rPr>
          <w:noProof/>
        </w:rPr>
        <w:t>3</w:t>
      </w:r>
      <w:r w:rsidR="007C0D17">
        <w:fldChar w:fldCharType="end"/>
      </w:r>
      <w:bookmarkEnd w:id="12"/>
      <w:r w:rsidR="007C0D17">
        <w:t xml:space="preserve"> | Timeline of transitions of primary health care services to community control</w:t>
      </w:r>
    </w:p>
    <w:p w14:paraId="1E81A4E4" w14:textId="29ABCD1C" w:rsidR="00D14998" w:rsidRDefault="00D047AD" w:rsidP="00D14998">
      <w:pPr>
        <w:rPr>
          <w:lang w:eastAsia="en-AU"/>
        </w:rPr>
      </w:pPr>
      <w:r w:rsidRPr="00D047AD">
        <w:rPr>
          <w:noProof/>
        </w:rPr>
        <w:drawing>
          <wp:inline distT="0" distB="0" distL="0" distR="0" wp14:anchorId="4CC97EA0" wp14:editId="4C0B2B51">
            <wp:extent cx="5905500" cy="4486990"/>
            <wp:effectExtent l="0" t="0" r="0" b="8890"/>
            <wp:docPr id="3" name="Picture 3" descr="Clinics transitioning Aboriginal Community Controlled Health Organisations. &#10;1. Maningrida health clinic transitioned to Mala'la in 2021. &#10;2. 4 clinics transitioned to Miwatj, Yirrkala in 2012, Milingimbi in 2016, Raminging and Gapuwiyak in 2019. &#10;3. Minjilang health clinic transitioned to Red Lily in 2021. The transition of Warruwi is underway, while Gunbalanya and Jabiru are upcoming transitions for Red Lily. &#10;4. 3 clinic transitions are underway for Congress, Imanpa, Kaltukatjara and Yul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linics transitioning Aboriginal Community Controlled Health Organisations. &#10;1. Maningrida health clinic transitioned to Mala'la in 2021. &#10;2. 4 clinics transitioned to Miwatj, Yirrkala in 2012, Milingimbi in 2016, Raminging and Gapuwiyak in 2019. &#10;3. Minjilang health clinic transitioned to Red Lily in 2021. The transition of Warruwi is underway, while Gunbalanya and Jabiru are upcoming transitions for Red Lily. &#10;4. 3 clinic transitions are underway for Congress, Imanpa, Kaltukatjara and Yulara.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7718" cy="4488675"/>
                    </a:xfrm>
                    <a:prstGeom prst="rect">
                      <a:avLst/>
                    </a:prstGeom>
                    <a:noFill/>
                    <a:ln>
                      <a:noFill/>
                    </a:ln>
                  </pic:spPr>
                </pic:pic>
              </a:graphicData>
            </a:graphic>
          </wp:inline>
        </w:drawing>
      </w:r>
    </w:p>
    <w:p w14:paraId="0A3D6563" w14:textId="70672C34" w:rsidR="001A29BB" w:rsidRDefault="001A29BB" w:rsidP="00D14998">
      <w:pPr>
        <w:rPr>
          <w:lang w:eastAsia="en-AU"/>
        </w:rPr>
      </w:pPr>
      <w:r>
        <w:rPr>
          <w:lang w:eastAsia="en-AU"/>
        </w:rPr>
        <w:t>Further information about the status of transitions at each ACCHO is provided below.</w:t>
      </w:r>
    </w:p>
    <w:p w14:paraId="32A2C612" w14:textId="12D9FE2F" w:rsidR="000F0C73" w:rsidRPr="00223EB9" w:rsidRDefault="000F0C73" w:rsidP="00223EB9">
      <w:pPr>
        <w:rPr>
          <w:b/>
          <w:bCs/>
          <w:color w:val="00264D" w:themeColor="background2"/>
          <w:sz w:val="20"/>
          <w:szCs w:val="24"/>
        </w:rPr>
      </w:pPr>
      <w:proofErr w:type="spellStart"/>
      <w:r w:rsidRPr="00223EB9">
        <w:rPr>
          <w:b/>
          <w:bCs/>
          <w:color w:val="00264D" w:themeColor="background2"/>
          <w:sz w:val="20"/>
          <w:szCs w:val="24"/>
        </w:rPr>
        <w:t>Mala’la</w:t>
      </w:r>
      <w:proofErr w:type="spellEnd"/>
      <w:r w:rsidRPr="00223EB9">
        <w:rPr>
          <w:b/>
          <w:bCs/>
          <w:color w:val="00264D" w:themeColor="background2"/>
          <w:sz w:val="20"/>
          <w:szCs w:val="24"/>
        </w:rPr>
        <w:t xml:space="preserve"> has undertaken a staged approach to transitioning the primary health service in Maningrida</w:t>
      </w:r>
    </w:p>
    <w:p w14:paraId="4DBC9FC9" w14:textId="426A6206" w:rsidR="000F0C73" w:rsidRPr="000F0C73" w:rsidRDefault="003A3EF8" w:rsidP="000F0C73">
      <w:pPr>
        <w:rPr>
          <w:lang w:eastAsia="en-AU"/>
        </w:rPr>
      </w:pPr>
      <w:proofErr w:type="spellStart"/>
      <w:r>
        <w:rPr>
          <w:lang w:eastAsia="en-AU"/>
        </w:rPr>
        <w:t>Mala’</w:t>
      </w:r>
      <w:r w:rsidR="00841282">
        <w:rPr>
          <w:lang w:eastAsia="en-AU"/>
        </w:rPr>
        <w:t>l</w:t>
      </w:r>
      <w:r>
        <w:rPr>
          <w:lang w:eastAsia="en-AU"/>
        </w:rPr>
        <w:t>a</w:t>
      </w:r>
      <w:proofErr w:type="spellEnd"/>
      <w:r w:rsidRPr="000F0C73">
        <w:rPr>
          <w:lang w:eastAsia="en-AU"/>
        </w:rPr>
        <w:t xml:space="preserve"> </w:t>
      </w:r>
      <w:r w:rsidR="000F0C73" w:rsidRPr="000F0C73">
        <w:rPr>
          <w:lang w:eastAsia="en-AU"/>
        </w:rPr>
        <w:t xml:space="preserve">Health </w:t>
      </w:r>
      <w:r>
        <w:rPr>
          <w:lang w:eastAsia="en-AU"/>
        </w:rPr>
        <w:t>Service</w:t>
      </w:r>
      <w:r w:rsidR="000F0C73" w:rsidRPr="000F0C73">
        <w:rPr>
          <w:lang w:eastAsia="en-AU"/>
        </w:rPr>
        <w:t xml:space="preserve"> Aboriginal Corporation (</w:t>
      </w:r>
      <w:proofErr w:type="spellStart"/>
      <w:r w:rsidR="00006DA6">
        <w:rPr>
          <w:lang w:eastAsia="en-AU"/>
        </w:rPr>
        <w:t>Mala’la</w:t>
      </w:r>
      <w:proofErr w:type="spellEnd"/>
      <w:r w:rsidR="00006DA6">
        <w:rPr>
          <w:lang w:eastAsia="en-AU"/>
        </w:rPr>
        <w:t xml:space="preserve">) </w:t>
      </w:r>
      <w:r w:rsidR="000F0C73" w:rsidRPr="000F0C73">
        <w:rPr>
          <w:lang w:eastAsia="en-AU"/>
        </w:rPr>
        <w:t>has historically provided a variety of services to the clinic and to the Maningrida community through primary health, aged care and youth services. Services have grown over the last five years resulting in a staged approach to transition. The full transition of the Maningrida clinic to community control was completed in March 2021.</w:t>
      </w:r>
    </w:p>
    <w:p w14:paraId="0DBFCFA8" w14:textId="718DC757" w:rsidR="000F0C73" w:rsidRPr="00223EB9" w:rsidRDefault="000F0C73" w:rsidP="00223EB9">
      <w:pPr>
        <w:rPr>
          <w:b/>
          <w:bCs/>
          <w:color w:val="00264D" w:themeColor="background2"/>
          <w:sz w:val="20"/>
          <w:szCs w:val="24"/>
        </w:rPr>
      </w:pPr>
      <w:proofErr w:type="spellStart"/>
      <w:r w:rsidRPr="00223EB9">
        <w:rPr>
          <w:b/>
          <w:bCs/>
          <w:color w:val="00264D" w:themeColor="background2"/>
          <w:sz w:val="20"/>
          <w:szCs w:val="24"/>
        </w:rPr>
        <w:t>Miwatj</w:t>
      </w:r>
      <w:proofErr w:type="spellEnd"/>
      <w:r w:rsidRPr="00223EB9">
        <w:rPr>
          <w:b/>
          <w:bCs/>
          <w:color w:val="00264D" w:themeColor="background2"/>
          <w:sz w:val="20"/>
          <w:szCs w:val="24"/>
        </w:rPr>
        <w:t xml:space="preserve"> now has </w:t>
      </w:r>
      <w:r w:rsidR="009B314F" w:rsidRPr="00223EB9">
        <w:rPr>
          <w:b/>
          <w:bCs/>
          <w:color w:val="00264D" w:themeColor="background2"/>
          <w:sz w:val="20"/>
          <w:szCs w:val="24"/>
        </w:rPr>
        <w:t>six</w:t>
      </w:r>
      <w:r w:rsidR="00961E0A" w:rsidRPr="00223EB9">
        <w:rPr>
          <w:b/>
          <w:bCs/>
          <w:color w:val="00264D" w:themeColor="background2"/>
          <w:sz w:val="20"/>
          <w:szCs w:val="24"/>
        </w:rPr>
        <w:t xml:space="preserve"> </w:t>
      </w:r>
      <w:r w:rsidRPr="00223EB9">
        <w:rPr>
          <w:b/>
          <w:bCs/>
          <w:color w:val="00264D" w:themeColor="background2"/>
          <w:sz w:val="20"/>
          <w:szCs w:val="24"/>
        </w:rPr>
        <w:t>community controlled clinics under management</w:t>
      </w:r>
    </w:p>
    <w:p w14:paraId="584AC141" w14:textId="27BCBB3B" w:rsidR="000F0C73" w:rsidRPr="000F0C73" w:rsidRDefault="00A40410" w:rsidP="000F0C73">
      <w:pPr>
        <w:rPr>
          <w:lang w:eastAsia="en-AU"/>
        </w:rPr>
      </w:pPr>
      <w:proofErr w:type="spellStart"/>
      <w:r w:rsidRPr="00A40410">
        <w:rPr>
          <w:lang w:eastAsia="en-AU"/>
        </w:rPr>
        <w:t>Miwatj</w:t>
      </w:r>
      <w:proofErr w:type="spellEnd"/>
      <w:r w:rsidRPr="00A40410">
        <w:rPr>
          <w:lang w:eastAsia="en-AU"/>
        </w:rPr>
        <w:t xml:space="preserve"> </w:t>
      </w:r>
      <w:r>
        <w:rPr>
          <w:lang w:eastAsia="en-AU"/>
        </w:rPr>
        <w:t xml:space="preserve">Health </w:t>
      </w:r>
      <w:r w:rsidR="00006DA6">
        <w:rPr>
          <w:lang w:eastAsia="en-AU"/>
        </w:rPr>
        <w:t>Aboriginal Corporation</w:t>
      </w:r>
      <w:r>
        <w:rPr>
          <w:lang w:eastAsia="en-AU"/>
        </w:rPr>
        <w:t xml:space="preserve"> (</w:t>
      </w:r>
      <w:proofErr w:type="spellStart"/>
      <w:r>
        <w:rPr>
          <w:lang w:eastAsia="en-AU"/>
        </w:rPr>
        <w:t>Miwatj</w:t>
      </w:r>
      <w:proofErr w:type="spellEnd"/>
      <w:r>
        <w:rPr>
          <w:lang w:eastAsia="en-AU"/>
        </w:rPr>
        <w:t xml:space="preserve">) </w:t>
      </w:r>
      <w:r w:rsidRPr="00A40410">
        <w:rPr>
          <w:lang w:eastAsia="en-AU"/>
        </w:rPr>
        <w:t xml:space="preserve">is an </w:t>
      </w:r>
      <w:r w:rsidR="009A5CDB">
        <w:rPr>
          <w:lang w:eastAsia="en-AU"/>
        </w:rPr>
        <w:t>ACCHO</w:t>
      </w:r>
      <w:r w:rsidRPr="00A40410">
        <w:rPr>
          <w:lang w:eastAsia="en-AU"/>
        </w:rPr>
        <w:t xml:space="preserve"> with its administrative base in the town of Nhulunbuy, in North Eastern Arnhem Land.</w:t>
      </w:r>
      <w:r>
        <w:rPr>
          <w:lang w:eastAsia="en-AU"/>
        </w:rPr>
        <w:t xml:space="preserve"> </w:t>
      </w:r>
      <w:r w:rsidR="000F0C73" w:rsidRPr="000F0C73">
        <w:rPr>
          <w:lang w:eastAsia="en-AU"/>
        </w:rPr>
        <w:t xml:space="preserve">In 2008, </w:t>
      </w:r>
      <w:proofErr w:type="spellStart"/>
      <w:r w:rsidR="000F0C73" w:rsidRPr="000F0C73">
        <w:rPr>
          <w:lang w:eastAsia="en-AU"/>
        </w:rPr>
        <w:t>Miwatj</w:t>
      </w:r>
      <w:proofErr w:type="spellEnd"/>
      <w:r w:rsidR="000F0C73" w:rsidRPr="000F0C73">
        <w:rPr>
          <w:lang w:eastAsia="en-AU"/>
        </w:rPr>
        <w:t xml:space="preserve"> incorporated two clinics in </w:t>
      </w:r>
      <w:proofErr w:type="spellStart"/>
      <w:r w:rsidR="000F0C73" w:rsidRPr="000F0C73">
        <w:rPr>
          <w:lang w:eastAsia="en-AU"/>
        </w:rPr>
        <w:t>Galawin’ku</w:t>
      </w:r>
      <w:proofErr w:type="spellEnd"/>
      <w:r w:rsidR="000F0C73" w:rsidRPr="000F0C73">
        <w:rPr>
          <w:lang w:eastAsia="en-AU"/>
        </w:rPr>
        <w:t xml:space="preserve">: </w:t>
      </w:r>
      <w:proofErr w:type="spellStart"/>
      <w:r w:rsidR="000F0C73" w:rsidRPr="000F0C73">
        <w:rPr>
          <w:lang w:eastAsia="en-AU"/>
        </w:rPr>
        <w:lastRenderedPageBreak/>
        <w:t>Ŋalkanbuy</w:t>
      </w:r>
      <w:proofErr w:type="spellEnd"/>
      <w:r w:rsidR="000F0C73" w:rsidRPr="000F0C73">
        <w:rPr>
          <w:lang w:eastAsia="en-AU"/>
        </w:rPr>
        <w:t xml:space="preserve"> Clinic and </w:t>
      </w:r>
      <w:proofErr w:type="spellStart"/>
      <w:r w:rsidR="000F0C73" w:rsidRPr="000F0C73">
        <w:rPr>
          <w:lang w:eastAsia="en-AU"/>
        </w:rPr>
        <w:t>Gunyaŋara</w:t>
      </w:r>
      <w:proofErr w:type="spellEnd"/>
      <w:r w:rsidR="000F0C73" w:rsidRPr="000F0C73">
        <w:rPr>
          <w:lang w:eastAsia="en-AU"/>
        </w:rPr>
        <w:t xml:space="preserve"> Clinic. The transition of Yirrkala and Milingimbi clinics in 2012 and 2016 respectively built the foundation for later transitions in </w:t>
      </w:r>
      <w:proofErr w:type="spellStart"/>
      <w:r w:rsidR="000F0C73" w:rsidRPr="000F0C73">
        <w:rPr>
          <w:lang w:eastAsia="en-AU"/>
        </w:rPr>
        <w:t>Gapuwiyak</w:t>
      </w:r>
      <w:proofErr w:type="spellEnd"/>
      <w:r w:rsidR="000F0C73" w:rsidRPr="000F0C73">
        <w:rPr>
          <w:lang w:eastAsia="en-AU"/>
        </w:rPr>
        <w:t xml:space="preserve"> and Ramingining, which completed the transition of the sub-region in East Arnhem land.</w:t>
      </w:r>
      <w:r w:rsidR="00B62B1C">
        <w:rPr>
          <w:lang w:eastAsia="en-AU"/>
        </w:rPr>
        <w:t xml:space="preserve"> </w:t>
      </w:r>
    </w:p>
    <w:p w14:paraId="61446258" w14:textId="67255029" w:rsidR="000F0C73" w:rsidRPr="00223EB9" w:rsidRDefault="000F0C73" w:rsidP="00223EB9">
      <w:pPr>
        <w:rPr>
          <w:b/>
          <w:bCs/>
          <w:color w:val="00264D" w:themeColor="background2"/>
          <w:sz w:val="20"/>
          <w:szCs w:val="24"/>
        </w:rPr>
      </w:pPr>
      <w:r w:rsidRPr="00223EB9">
        <w:rPr>
          <w:b/>
          <w:bCs/>
          <w:color w:val="00264D" w:themeColor="background2"/>
          <w:sz w:val="20"/>
          <w:szCs w:val="24"/>
        </w:rPr>
        <w:t>Red Lily is on a journey to transition four health services in West Arnhem</w:t>
      </w:r>
    </w:p>
    <w:p w14:paraId="46E4AF48" w14:textId="48111C1E" w:rsidR="000F0C73" w:rsidRPr="000F0C73" w:rsidRDefault="000F0C73" w:rsidP="000F0C73">
      <w:pPr>
        <w:rPr>
          <w:lang w:eastAsia="en-AU"/>
        </w:rPr>
      </w:pPr>
      <w:r w:rsidRPr="000F0C73">
        <w:rPr>
          <w:lang w:eastAsia="en-AU"/>
        </w:rPr>
        <w:t>The Red Lily Health Board Aboriginal Corporation (</w:t>
      </w:r>
      <w:r w:rsidR="004228C0">
        <w:rPr>
          <w:lang w:eastAsia="en-AU"/>
        </w:rPr>
        <w:t>Red Lily</w:t>
      </w:r>
      <w:r w:rsidRPr="000F0C73">
        <w:rPr>
          <w:lang w:eastAsia="en-AU"/>
        </w:rPr>
        <w:t xml:space="preserve">) was incorporated in May 2011. Since </w:t>
      </w:r>
      <w:r w:rsidR="006D1F46" w:rsidRPr="000F0C73">
        <w:rPr>
          <w:lang w:eastAsia="en-AU"/>
        </w:rPr>
        <w:t>then,</w:t>
      </w:r>
      <w:r w:rsidRPr="000F0C73">
        <w:rPr>
          <w:lang w:eastAsia="en-AU"/>
        </w:rPr>
        <w:t xml:space="preserve"> it has been working to enable the transition of NTG health clinics and services in the four sub-regions of West Arnhem. Minjilang has transitioned and has recently undergone an organisational review to assess its maturity to receive direct funding from the </w:t>
      </w:r>
      <w:r w:rsidR="00F82C19">
        <w:rPr>
          <w:lang w:eastAsia="en-AU"/>
        </w:rPr>
        <w:t>Australian Government</w:t>
      </w:r>
      <w:r w:rsidRPr="000F0C73">
        <w:rPr>
          <w:lang w:eastAsia="en-AU"/>
        </w:rPr>
        <w:t xml:space="preserve">. The transition in Warruwi </w:t>
      </w:r>
      <w:r w:rsidR="00D44DB0">
        <w:rPr>
          <w:lang w:eastAsia="en-AU"/>
        </w:rPr>
        <w:t>was</w:t>
      </w:r>
      <w:r w:rsidRPr="000F0C73">
        <w:rPr>
          <w:lang w:eastAsia="en-AU"/>
        </w:rPr>
        <w:t xml:space="preserve"> delayed due to financial negotiations</w:t>
      </w:r>
      <w:r w:rsidR="00BA3579">
        <w:rPr>
          <w:lang w:eastAsia="en-AU"/>
        </w:rPr>
        <w:t xml:space="preserve"> and is now </w:t>
      </w:r>
      <w:r w:rsidR="00D44DB0">
        <w:rPr>
          <w:lang w:eastAsia="en-AU"/>
        </w:rPr>
        <w:t>planned for September 2022</w:t>
      </w:r>
      <w:r w:rsidRPr="000F0C73">
        <w:rPr>
          <w:lang w:eastAsia="en-AU"/>
        </w:rPr>
        <w:t xml:space="preserve">; the transitions in Jabiru and Gunbalanya </w:t>
      </w:r>
      <w:r w:rsidR="00EE27EA">
        <w:rPr>
          <w:lang w:eastAsia="en-AU"/>
        </w:rPr>
        <w:t>have</w:t>
      </w:r>
      <w:r w:rsidR="00EE27EA" w:rsidRPr="000F0C73">
        <w:rPr>
          <w:lang w:eastAsia="en-AU"/>
        </w:rPr>
        <w:t xml:space="preserve"> </w:t>
      </w:r>
      <w:r w:rsidRPr="000F0C73">
        <w:rPr>
          <w:lang w:eastAsia="en-AU"/>
        </w:rPr>
        <w:t>been delayed due to infrastructure negotiations.</w:t>
      </w:r>
    </w:p>
    <w:p w14:paraId="1F1C1CFD" w14:textId="74F8474E" w:rsidR="000F0C73" w:rsidRPr="00223EB9" w:rsidRDefault="000F0C73" w:rsidP="00223EB9">
      <w:pPr>
        <w:rPr>
          <w:b/>
          <w:bCs/>
          <w:color w:val="00264D" w:themeColor="background2"/>
          <w:sz w:val="20"/>
          <w:szCs w:val="24"/>
        </w:rPr>
      </w:pPr>
      <w:r w:rsidRPr="00223EB9">
        <w:rPr>
          <w:b/>
          <w:bCs/>
          <w:color w:val="00264D" w:themeColor="background2"/>
          <w:sz w:val="20"/>
          <w:szCs w:val="24"/>
        </w:rPr>
        <w:t>Congress is in the early stages of transitioning three more clinics to its current portfolio of 14 clinics</w:t>
      </w:r>
    </w:p>
    <w:p w14:paraId="07E6B19A" w14:textId="1DDAC142" w:rsidR="008A6E18" w:rsidRPr="00D14998" w:rsidRDefault="00B159D2" w:rsidP="000F0C73">
      <w:pPr>
        <w:rPr>
          <w:lang w:eastAsia="en-AU"/>
        </w:rPr>
      </w:pPr>
      <w:r>
        <w:rPr>
          <w:lang w:eastAsia="en-AU"/>
        </w:rPr>
        <w:t xml:space="preserve">Central Australian Aboriginal </w:t>
      </w:r>
      <w:r w:rsidR="000F0C73" w:rsidRPr="000F0C73">
        <w:rPr>
          <w:lang w:eastAsia="en-AU"/>
        </w:rPr>
        <w:t xml:space="preserve">Congress </w:t>
      </w:r>
      <w:r>
        <w:rPr>
          <w:lang w:eastAsia="en-AU"/>
        </w:rPr>
        <w:t>(</w:t>
      </w:r>
      <w:r w:rsidR="000F0C73" w:rsidRPr="000F0C73">
        <w:rPr>
          <w:lang w:eastAsia="en-AU"/>
        </w:rPr>
        <w:t>Congress</w:t>
      </w:r>
      <w:r>
        <w:rPr>
          <w:lang w:eastAsia="en-AU"/>
        </w:rPr>
        <w:t>)</w:t>
      </w:r>
      <w:r w:rsidR="000F0C73" w:rsidRPr="000F0C73">
        <w:rPr>
          <w:lang w:eastAsia="en-AU"/>
        </w:rPr>
        <w:t xml:space="preserve"> is the </w:t>
      </w:r>
      <w:r w:rsidR="004A69DC">
        <w:rPr>
          <w:lang w:eastAsia="en-AU"/>
        </w:rPr>
        <w:t>NT’s</w:t>
      </w:r>
      <w:r w:rsidR="004A69DC" w:rsidRPr="000F0C73">
        <w:rPr>
          <w:lang w:eastAsia="en-AU"/>
        </w:rPr>
        <w:t xml:space="preserve"> </w:t>
      </w:r>
      <w:r w:rsidR="000F0C73" w:rsidRPr="000F0C73">
        <w:rPr>
          <w:lang w:eastAsia="en-AU"/>
        </w:rPr>
        <w:t>largest ACCHO</w:t>
      </w:r>
      <w:r w:rsidR="00122BE5">
        <w:rPr>
          <w:lang w:eastAsia="en-AU"/>
        </w:rPr>
        <w:t>. It has a longstanding</w:t>
      </w:r>
      <w:r w:rsidR="000F0C73" w:rsidRPr="000F0C73">
        <w:rPr>
          <w:lang w:eastAsia="en-AU"/>
        </w:rPr>
        <w:t xml:space="preserve"> history of delivering primary health services</w:t>
      </w:r>
      <w:r w:rsidR="00122BE5">
        <w:rPr>
          <w:lang w:eastAsia="en-AU"/>
        </w:rPr>
        <w:t xml:space="preserve"> and providing advocacy and support for Aboriginal people over the last 40 years</w:t>
      </w:r>
      <w:r w:rsidR="000F0C73" w:rsidRPr="000F0C73">
        <w:rPr>
          <w:lang w:eastAsia="en-AU"/>
        </w:rPr>
        <w:t xml:space="preserve">. It is in the early stages of transitioning primary health services in </w:t>
      </w:r>
      <w:proofErr w:type="spellStart"/>
      <w:r w:rsidR="000F0C73" w:rsidRPr="000F0C73">
        <w:rPr>
          <w:lang w:eastAsia="en-AU"/>
        </w:rPr>
        <w:t>Imanpa</w:t>
      </w:r>
      <w:proofErr w:type="spellEnd"/>
      <w:r w:rsidR="000F0C73" w:rsidRPr="000F0C73">
        <w:rPr>
          <w:lang w:eastAsia="en-AU"/>
        </w:rPr>
        <w:t>, Yulara and Kaltukatjara</w:t>
      </w:r>
      <w:r w:rsidR="00ED19E2">
        <w:rPr>
          <w:lang w:eastAsia="en-AU"/>
        </w:rPr>
        <w:t xml:space="preserve"> in Central Australia. </w:t>
      </w:r>
    </w:p>
    <w:p w14:paraId="1BBD6DA5" w14:textId="77777777" w:rsidR="00AA6942" w:rsidRDefault="00AA6942" w:rsidP="00AA6942">
      <w:pPr>
        <w:pStyle w:val="Heading2"/>
      </w:pPr>
      <w:bookmarkStart w:id="13" w:name="_Ref100246726"/>
      <w:bookmarkStart w:id="14" w:name="_Toc106294796"/>
      <w:r>
        <w:t>An evaluation of the P2CC program is timely</w:t>
      </w:r>
      <w:bookmarkEnd w:id="13"/>
      <w:bookmarkEnd w:id="14"/>
    </w:p>
    <w:p w14:paraId="4D2414BA" w14:textId="69274C39" w:rsidR="00A517E0" w:rsidRDefault="00A517E0" w:rsidP="00A517E0">
      <w:r>
        <w:t xml:space="preserve">Recent policy and strategy settings, including the National Agreement on Closing the Gap, the </w:t>
      </w:r>
      <w:r w:rsidRPr="00012ABD">
        <w:t>National Aboriginal and Torres Strait Islander Health Plan 2021-2031</w:t>
      </w:r>
      <w:r>
        <w:t xml:space="preserve">, and the </w:t>
      </w:r>
      <w:r w:rsidRPr="00855E28">
        <w:t xml:space="preserve">NT </w:t>
      </w:r>
      <w:r>
        <w:t xml:space="preserve">Health </w:t>
      </w:r>
      <w:r w:rsidRPr="00855E28">
        <w:t>Aboriginal Health Plan 2021-2031</w:t>
      </w:r>
      <w:r>
        <w:t xml:space="preserve">, reaffirmed </w:t>
      </w:r>
      <w:r w:rsidR="00D63EF0">
        <w:t>g</w:t>
      </w:r>
      <w:r>
        <w:t xml:space="preserve">overnments’ commitment to the three tenets of Aboriginal health strategy. With the track record of transition now established and with the commitment to continue the direction, it is timely to conduct a process evaluation to determine the success and lessons to be learnt regarding preparing for and supporting transition. </w:t>
      </w:r>
      <w:r w:rsidR="00CF1BC8">
        <w:t>Further information about the method for the evaluation is presented below.</w:t>
      </w:r>
    </w:p>
    <w:p w14:paraId="7FCA488E" w14:textId="5B3F1711" w:rsidR="007374B8" w:rsidRPr="00223EB9" w:rsidRDefault="007374B8" w:rsidP="00223EB9">
      <w:pPr>
        <w:rPr>
          <w:b/>
          <w:bCs/>
          <w:color w:val="00264D" w:themeColor="background2"/>
          <w:sz w:val="20"/>
          <w:szCs w:val="24"/>
        </w:rPr>
      </w:pPr>
      <w:r w:rsidRPr="00223EB9">
        <w:rPr>
          <w:b/>
          <w:bCs/>
          <w:color w:val="00264D" w:themeColor="background2"/>
          <w:sz w:val="20"/>
          <w:szCs w:val="24"/>
        </w:rPr>
        <w:t>The evaluation considered evidence from three sources</w:t>
      </w:r>
    </w:p>
    <w:p w14:paraId="5365F206" w14:textId="77777777" w:rsidR="007D4E37" w:rsidRPr="007D4E37" w:rsidRDefault="007D4E37" w:rsidP="007D4E37">
      <w:pPr>
        <w:rPr>
          <w:lang w:eastAsia="en-AU"/>
        </w:rPr>
      </w:pPr>
      <w:r w:rsidRPr="007D4E37">
        <w:rPr>
          <w:lang w:eastAsia="en-AU"/>
        </w:rPr>
        <w:t>These have included:</w:t>
      </w:r>
    </w:p>
    <w:p w14:paraId="0902B0D7" w14:textId="060CF36D" w:rsidR="007D4E37" w:rsidRPr="007D4E37" w:rsidRDefault="007D4E37" w:rsidP="007D4E37">
      <w:pPr>
        <w:pStyle w:val="Bullet"/>
      </w:pPr>
      <w:r w:rsidRPr="00916E16">
        <w:rPr>
          <w:rFonts w:asciiTheme="majorHAnsi" w:eastAsia="Segoe UI" w:hAnsiTheme="majorHAnsi" w:cstheme="majorHAnsi"/>
        </w:rPr>
        <w:t>Documentation</w:t>
      </w:r>
      <w:r w:rsidR="002D5FA1">
        <w:rPr>
          <w:rFonts w:eastAsia="Segoe UI"/>
        </w:rPr>
        <w:t xml:space="preserve"> – </w:t>
      </w:r>
      <w:r w:rsidRPr="007D4E37">
        <w:rPr>
          <w:rFonts w:eastAsia="Segoe UI"/>
        </w:rPr>
        <w:t>literature</w:t>
      </w:r>
      <w:r w:rsidR="00AE4F34">
        <w:rPr>
          <w:rFonts w:eastAsia="Segoe UI"/>
        </w:rPr>
        <w:t xml:space="preserve"> on lessons learned from other jurisdictions (see </w:t>
      </w:r>
      <w:r w:rsidR="00AE4F34">
        <w:rPr>
          <w:rFonts w:eastAsia="Segoe UI"/>
        </w:rPr>
        <w:fldChar w:fldCharType="begin"/>
      </w:r>
      <w:r w:rsidR="00AE4F34">
        <w:rPr>
          <w:rFonts w:eastAsia="Segoe UI"/>
        </w:rPr>
        <w:instrText xml:space="preserve"> REF _Ref100252243 \r \h </w:instrText>
      </w:r>
      <w:r w:rsidR="00AE4F34">
        <w:rPr>
          <w:rFonts w:eastAsia="Segoe UI"/>
        </w:rPr>
      </w:r>
      <w:r w:rsidR="00AE4F34">
        <w:rPr>
          <w:rFonts w:eastAsia="Segoe UI"/>
        </w:rPr>
        <w:fldChar w:fldCharType="separate"/>
      </w:r>
      <w:r w:rsidR="00A439E2">
        <w:rPr>
          <w:rFonts w:eastAsia="Segoe UI"/>
        </w:rPr>
        <w:t>Appendix B</w:t>
      </w:r>
      <w:r w:rsidR="00AE4F34">
        <w:rPr>
          <w:rFonts w:eastAsia="Segoe UI"/>
        </w:rPr>
        <w:fldChar w:fldCharType="end"/>
      </w:r>
      <w:r w:rsidR="00AE4F34">
        <w:rPr>
          <w:rFonts w:eastAsia="Segoe UI"/>
        </w:rPr>
        <w:t>)</w:t>
      </w:r>
      <w:r w:rsidR="00C24F41">
        <w:rPr>
          <w:rFonts w:eastAsia="Segoe UI"/>
        </w:rPr>
        <w:t>,</w:t>
      </w:r>
      <w:r w:rsidRPr="007D4E37">
        <w:rPr>
          <w:rFonts w:eastAsia="Segoe UI"/>
        </w:rPr>
        <w:t xml:space="preserve"> expert input about good practice</w:t>
      </w:r>
      <w:r w:rsidR="00AE4F34">
        <w:rPr>
          <w:rFonts w:eastAsia="Segoe UI"/>
        </w:rPr>
        <w:t xml:space="preserve"> (see </w:t>
      </w:r>
      <w:r w:rsidR="00AE4F34">
        <w:rPr>
          <w:rFonts w:eastAsia="Segoe UI"/>
        </w:rPr>
        <w:fldChar w:fldCharType="begin"/>
      </w:r>
      <w:r w:rsidR="00AE4F34">
        <w:rPr>
          <w:rFonts w:eastAsia="Segoe UI"/>
        </w:rPr>
        <w:instrText xml:space="preserve"> REF _Ref100320415 \r \h </w:instrText>
      </w:r>
      <w:r w:rsidR="00AE4F34">
        <w:rPr>
          <w:rFonts w:eastAsia="Segoe UI"/>
        </w:rPr>
      </w:r>
      <w:r w:rsidR="00AE4F34">
        <w:rPr>
          <w:rFonts w:eastAsia="Segoe UI"/>
        </w:rPr>
        <w:fldChar w:fldCharType="separate"/>
      </w:r>
      <w:r w:rsidR="00A439E2">
        <w:rPr>
          <w:rFonts w:eastAsia="Segoe UI"/>
        </w:rPr>
        <w:t>Appendix C</w:t>
      </w:r>
      <w:r w:rsidR="00AE4F34">
        <w:rPr>
          <w:rFonts w:eastAsia="Segoe UI"/>
        </w:rPr>
        <w:fldChar w:fldCharType="end"/>
      </w:r>
      <w:r w:rsidR="00AE4F34">
        <w:rPr>
          <w:rFonts w:eastAsia="Segoe UI"/>
        </w:rPr>
        <w:t>)</w:t>
      </w:r>
      <w:r w:rsidRPr="007D4E37">
        <w:rPr>
          <w:rFonts w:eastAsia="Segoe UI"/>
        </w:rPr>
        <w:t xml:space="preserve">, </w:t>
      </w:r>
      <w:r w:rsidR="00C24F41">
        <w:rPr>
          <w:rFonts w:eastAsia="Segoe UI"/>
        </w:rPr>
        <w:t xml:space="preserve">and </w:t>
      </w:r>
      <w:r w:rsidR="002D5FA1">
        <w:rPr>
          <w:rFonts w:eastAsia="Segoe UI"/>
        </w:rPr>
        <w:t>program and service documentation</w:t>
      </w:r>
    </w:p>
    <w:p w14:paraId="4746E7B8" w14:textId="4407B5A3" w:rsidR="007D4E37" w:rsidRPr="007D4E37" w:rsidRDefault="007D4E37" w:rsidP="007D4E37">
      <w:pPr>
        <w:pStyle w:val="Bullet"/>
      </w:pPr>
      <w:r w:rsidRPr="00916E16">
        <w:rPr>
          <w:rFonts w:asciiTheme="majorHAnsi" w:eastAsia="Segoe UI" w:hAnsiTheme="majorHAnsi" w:cstheme="majorHAnsi"/>
        </w:rPr>
        <w:t>Consultation</w:t>
      </w:r>
      <w:r w:rsidR="002D5FA1">
        <w:rPr>
          <w:rFonts w:eastAsia="Segoe UI"/>
        </w:rPr>
        <w:t xml:space="preserve"> – </w:t>
      </w:r>
      <w:r w:rsidR="00411CC1">
        <w:rPr>
          <w:rFonts w:eastAsia="Segoe UI"/>
        </w:rPr>
        <w:t xml:space="preserve">30 </w:t>
      </w:r>
      <w:r w:rsidRPr="007D4E37">
        <w:rPr>
          <w:rFonts w:eastAsia="Segoe UI"/>
        </w:rPr>
        <w:t>interviews and focus groups with a range of stakeholders</w:t>
      </w:r>
      <w:r w:rsidR="00260358">
        <w:rPr>
          <w:rFonts w:eastAsia="Segoe UI"/>
        </w:rPr>
        <w:t xml:space="preserve"> (see </w:t>
      </w:r>
      <w:r w:rsidR="00410EDF">
        <w:rPr>
          <w:rFonts w:eastAsia="Segoe UI"/>
        </w:rPr>
        <w:fldChar w:fldCharType="begin"/>
      </w:r>
      <w:r w:rsidR="00410EDF">
        <w:rPr>
          <w:rFonts w:eastAsia="Segoe UI"/>
        </w:rPr>
        <w:instrText xml:space="preserve"> REF _Ref100326315 \h </w:instrText>
      </w:r>
      <w:r w:rsidR="00410EDF">
        <w:rPr>
          <w:rFonts w:eastAsia="Segoe UI"/>
        </w:rPr>
      </w:r>
      <w:r w:rsidR="00410EDF">
        <w:rPr>
          <w:rFonts w:eastAsia="Segoe UI"/>
        </w:rPr>
        <w:fldChar w:fldCharType="separate"/>
      </w:r>
      <w:r w:rsidR="00A439E2">
        <w:t xml:space="preserve">Figure </w:t>
      </w:r>
      <w:r w:rsidR="00A439E2">
        <w:rPr>
          <w:noProof/>
        </w:rPr>
        <w:t>1</w:t>
      </w:r>
      <w:r w:rsidR="00410EDF">
        <w:rPr>
          <w:rFonts w:eastAsia="Segoe UI"/>
        </w:rPr>
        <w:fldChar w:fldCharType="end"/>
      </w:r>
      <w:r w:rsidR="00410EDF">
        <w:rPr>
          <w:rFonts w:eastAsia="Segoe UI"/>
        </w:rPr>
        <w:t>)</w:t>
      </w:r>
    </w:p>
    <w:p w14:paraId="06345FDB" w14:textId="51ED97FC" w:rsidR="007D4E37" w:rsidRPr="007D4E37" w:rsidRDefault="007D4E37" w:rsidP="007D4E37">
      <w:pPr>
        <w:pStyle w:val="Bullet"/>
      </w:pPr>
      <w:r w:rsidRPr="00916E16">
        <w:rPr>
          <w:rFonts w:asciiTheme="majorHAnsi" w:eastAsia="Segoe UI" w:hAnsiTheme="majorHAnsi" w:cstheme="majorHAnsi"/>
        </w:rPr>
        <w:t>Quantitative data</w:t>
      </w:r>
      <w:r w:rsidR="002D5FA1">
        <w:rPr>
          <w:rFonts w:eastAsia="Segoe UI"/>
        </w:rPr>
        <w:t xml:space="preserve"> –</w:t>
      </w:r>
      <w:r w:rsidR="00F36F9E" w:rsidRPr="007D4E37">
        <w:rPr>
          <w:rFonts w:eastAsia="Segoe UI"/>
        </w:rPr>
        <w:t xml:space="preserve"> </w:t>
      </w:r>
      <w:r w:rsidRPr="007D4E37">
        <w:rPr>
          <w:rFonts w:eastAsia="Segoe UI"/>
        </w:rPr>
        <w:t>financial information</w:t>
      </w:r>
      <w:r w:rsidR="00916E16">
        <w:rPr>
          <w:rFonts w:eastAsia="Segoe UI"/>
        </w:rPr>
        <w:t>.</w:t>
      </w:r>
    </w:p>
    <w:p w14:paraId="2435AE5C" w14:textId="0948E4FD" w:rsidR="007D4E37" w:rsidRDefault="007D4E37" w:rsidP="007D4E37">
      <w:pPr>
        <w:rPr>
          <w:lang w:eastAsia="en-AU"/>
        </w:rPr>
      </w:pPr>
      <w:r w:rsidRPr="007D4E37">
        <w:rPr>
          <w:lang w:eastAsia="en-AU"/>
        </w:rPr>
        <w:t>De-identified quotes have been included</w:t>
      </w:r>
      <w:r w:rsidR="001C12EB">
        <w:rPr>
          <w:lang w:eastAsia="en-AU"/>
        </w:rPr>
        <w:t xml:space="preserve"> throughout the report</w:t>
      </w:r>
      <w:r w:rsidRPr="007D4E37">
        <w:rPr>
          <w:lang w:eastAsia="en-AU"/>
        </w:rPr>
        <w:t xml:space="preserve"> to demonstrate key themes. These have been taken from transcribed notes and as such may not be verbatim.</w:t>
      </w:r>
    </w:p>
    <w:p w14:paraId="2482570C" w14:textId="419D60BF" w:rsidR="00410EDF" w:rsidRDefault="00410EDF" w:rsidP="009F0CEF">
      <w:pPr>
        <w:pStyle w:val="Caption"/>
      </w:pPr>
      <w:bookmarkStart w:id="15" w:name="_Ref100326315"/>
      <w:r>
        <w:lastRenderedPageBreak/>
        <w:t xml:space="preserve">Figure </w:t>
      </w:r>
      <w:r>
        <w:fldChar w:fldCharType="begin"/>
      </w:r>
      <w:r>
        <w:instrText xml:space="preserve"> SEQ Figure \* ARABIC </w:instrText>
      </w:r>
      <w:r>
        <w:fldChar w:fldCharType="separate"/>
      </w:r>
      <w:r w:rsidR="00A439E2">
        <w:rPr>
          <w:noProof/>
        </w:rPr>
        <w:t>1</w:t>
      </w:r>
      <w:r>
        <w:fldChar w:fldCharType="end"/>
      </w:r>
      <w:bookmarkEnd w:id="15"/>
      <w:r>
        <w:t xml:space="preserve"> |</w:t>
      </w:r>
      <w:r w:rsidRPr="00410EDF">
        <w:t xml:space="preserve"> </w:t>
      </w:r>
      <w:r>
        <w:t>Number of consultations conducted with each stakeholder group</w:t>
      </w:r>
    </w:p>
    <w:p w14:paraId="16A82B18" w14:textId="53C439B8" w:rsidR="00260358" w:rsidRDefault="0058668F" w:rsidP="007D4E37">
      <w:pPr>
        <w:rPr>
          <w:lang w:eastAsia="en-AU"/>
        </w:rPr>
      </w:pPr>
      <w:r w:rsidRPr="0058668F">
        <w:rPr>
          <w:noProof/>
        </w:rPr>
        <w:drawing>
          <wp:inline distT="0" distB="0" distL="0" distR="0" wp14:anchorId="1E178CD9" wp14:editId="151D1723">
            <wp:extent cx="5670550" cy="2530475"/>
            <wp:effectExtent l="0" t="0" r="6350" b="3175"/>
            <wp:docPr id="14" name="Picture 14" descr="There were a total of 30 consultations conducted with the stakeholders. 6 consultations with ACCHO staff, 4 with ACCHO Boards or Board-members, 7 with ACCHO CEOs and/or executives, 11 with NTAHF partners and 2 with other external stakehol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re were a total of 30 consultations conducted with the stakeholders. 6 consultations with ACCHO staff, 4 with ACCHO Boards or Board-members, 7 with ACCHO CEOs and/or executives, 11 with NTAHF partners and 2 with other external stakeholders.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70550" cy="2530475"/>
                    </a:xfrm>
                    <a:prstGeom prst="rect">
                      <a:avLst/>
                    </a:prstGeom>
                    <a:noFill/>
                    <a:ln>
                      <a:noFill/>
                    </a:ln>
                  </pic:spPr>
                </pic:pic>
              </a:graphicData>
            </a:graphic>
          </wp:inline>
        </w:drawing>
      </w:r>
    </w:p>
    <w:p w14:paraId="1B9AFB60" w14:textId="5188CBE0" w:rsidR="001D498C" w:rsidRPr="00223EB9" w:rsidRDefault="001D498C" w:rsidP="00223EB9">
      <w:pPr>
        <w:rPr>
          <w:b/>
          <w:bCs/>
          <w:color w:val="00264D" w:themeColor="background2"/>
          <w:sz w:val="20"/>
          <w:szCs w:val="24"/>
        </w:rPr>
      </w:pPr>
      <w:r w:rsidRPr="00223EB9">
        <w:rPr>
          <w:b/>
          <w:bCs/>
          <w:color w:val="00264D" w:themeColor="background2"/>
          <w:sz w:val="20"/>
          <w:szCs w:val="24"/>
        </w:rPr>
        <w:t>The evaluation was delivered in a cross-cultural context</w:t>
      </w:r>
    </w:p>
    <w:p w14:paraId="70FA291A" w14:textId="695EAB9C" w:rsidR="001E5B87" w:rsidRDefault="001E5B87" w:rsidP="001E5B87">
      <w:r>
        <w:t xml:space="preserve">The evaluation </w:t>
      </w:r>
      <w:r w:rsidR="00E56E00">
        <w:t>was</w:t>
      </w:r>
      <w:r>
        <w:t xml:space="preserve"> delivered, as the P2CC program has been, in a cross-cultural context. This </w:t>
      </w:r>
      <w:r w:rsidR="00E56E00">
        <w:t>made</w:t>
      </w:r>
      <w:r>
        <w:t xml:space="preserve"> a culturally effective approach to the evaluation essential. This </w:t>
      </w:r>
      <w:r w:rsidR="00E56E00">
        <w:t>meant</w:t>
      </w:r>
      <w:r>
        <w:t xml:space="preserve"> not just working in a way that </w:t>
      </w:r>
      <w:r w:rsidR="00E56E00">
        <w:t>was</w:t>
      </w:r>
      <w:r>
        <w:t xml:space="preserve"> safe but effectively drawing out meaning from context and empowering Aboriginal voices</w:t>
      </w:r>
      <w:r w:rsidR="00B73A16">
        <w:t xml:space="preserve">. </w:t>
      </w:r>
      <w:r w:rsidR="007C39D1">
        <w:t xml:space="preserve">This </w:t>
      </w:r>
      <w:r w:rsidR="004A69DC">
        <w:t>is important to</w:t>
      </w:r>
      <w:r>
        <w:t xml:space="preserve"> further </w:t>
      </w:r>
      <w:r w:rsidR="004A69DC">
        <w:t xml:space="preserve">the </w:t>
      </w:r>
      <w:r>
        <w:t xml:space="preserve">development of the P2CC program </w:t>
      </w:r>
      <w:r w:rsidR="004A69DC">
        <w:t xml:space="preserve">so it </w:t>
      </w:r>
      <w:r>
        <w:t>is the most effective it can be in terms of Aboriginal community preferences, priorities and values.</w:t>
      </w:r>
    </w:p>
    <w:p w14:paraId="0556EE5D" w14:textId="15F888CA" w:rsidR="00D51CE2" w:rsidRDefault="00D40901" w:rsidP="001E5B87">
      <w:r>
        <w:t>Several</w:t>
      </w:r>
      <w:r w:rsidR="00B75AD0">
        <w:t xml:space="preserve"> </w:t>
      </w:r>
      <w:r>
        <w:t>measures were implemented</w:t>
      </w:r>
      <w:r w:rsidR="00B75AD0">
        <w:t xml:space="preserve"> to ensure engagement was culturally appropriate:</w:t>
      </w:r>
    </w:p>
    <w:p w14:paraId="1FDA9E61" w14:textId="02148C3C" w:rsidR="00B75AD0" w:rsidRDefault="00C57FA5" w:rsidP="00B75AD0">
      <w:pPr>
        <w:pStyle w:val="Bullet"/>
      </w:pPr>
      <w:r>
        <w:t>Both t</w:t>
      </w:r>
      <w:r w:rsidR="00B75AD0">
        <w:t>he</w:t>
      </w:r>
      <w:r w:rsidR="004E1D6A" w:rsidRPr="004E1D6A">
        <w:t xml:space="preserve"> core team and expert advisers </w:t>
      </w:r>
      <w:r w:rsidR="00BC57EB">
        <w:t xml:space="preserve">comprised </w:t>
      </w:r>
      <w:r w:rsidR="005E3B1F">
        <w:t>Aboriginal and non-Aboriginal people</w:t>
      </w:r>
      <w:r w:rsidR="00BC57EB">
        <w:t xml:space="preserve"> with</w:t>
      </w:r>
      <w:r w:rsidR="00B75AD0">
        <w:t xml:space="preserve"> </w:t>
      </w:r>
      <w:r w:rsidR="004E1D6A" w:rsidRPr="004E1D6A">
        <w:t>experience</w:t>
      </w:r>
      <w:r w:rsidR="00BC57EB">
        <w:t xml:space="preserve"> </w:t>
      </w:r>
      <w:r w:rsidR="004E1D6A" w:rsidRPr="004E1D6A">
        <w:t>engaging with ACCHOs across the NT</w:t>
      </w:r>
    </w:p>
    <w:p w14:paraId="5640E7E1" w14:textId="6954863A" w:rsidR="00C57FA5" w:rsidRPr="000C758A" w:rsidRDefault="00C57FA5" w:rsidP="00C57FA5">
      <w:pPr>
        <w:pStyle w:val="Bullet"/>
      </w:pPr>
      <w:r w:rsidRPr="004E1D6A">
        <w:t xml:space="preserve">Two members of </w:t>
      </w:r>
      <w:r>
        <w:t>the</w:t>
      </w:r>
      <w:r w:rsidRPr="004E1D6A">
        <w:t xml:space="preserve"> core team </w:t>
      </w:r>
      <w:r>
        <w:t>were</w:t>
      </w:r>
      <w:r w:rsidRPr="004E1D6A">
        <w:t xml:space="preserve"> community facilitators </w:t>
      </w:r>
      <w:r>
        <w:t>with specialist expertise</w:t>
      </w:r>
      <w:r w:rsidRPr="004E1D6A">
        <w:t xml:space="preserve"> in conducting </w:t>
      </w:r>
      <w:r>
        <w:t xml:space="preserve">Aboriginal community </w:t>
      </w:r>
      <w:r w:rsidRPr="004E1D6A">
        <w:t>consultations</w:t>
      </w:r>
    </w:p>
    <w:p w14:paraId="6AAD5CC2" w14:textId="7D93CF49" w:rsidR="00C57FA5" w:rsidRDefault="00BC57EB" w:rsidP="00C57FA5">
      <w:pPr>
        <w:pStyle w:val="Bullet"/>
      </w:pPr>
      <w:r>
        <w:t xml:space="preserve">The consultation approach </w:t>
      </w:r>
      <w:r w:rsidR="00C57FA5">
        <w:t>for each ACCHO was tailored based on an initial briefing with the ACCHO’s CEO or Acting CEO.</w:t>
      </w:r>
    </w:p>
    <w:p w14:paraId="44BB307D" w14:textId="6FEA7B4D" w:rsidR="00C57FA5" w:rsidRDefault="000745B9" w:rsidP="002A0E70">
      <w:pPr>
        <w:pStyle w:val="Bullet"/>
        <w:numPr>
          <w:ilvl w:val="0"/>
          <w:numId w:val="0"/>
        </w:numPr>
      </w:pPr>
      <w:r>
        <w:t>It had originally been planned that l</w:t>
      </w:r>
      <w:r w:rsidR="00E94F2B">
        <w:t>ocally</w:t>
      </w:r>
      <w:r w:rsidR="006B7959">
        <w:t xml:space="preserve"> </w:t>
      </w:r>
      <w:r w:rsidR="00E94F2B">
        <w:t xml:space="preserve">based Aboriginal researchers </w:t>
      </w:r>
      <w:r w:rsidR="002A0E70">
        <w:t xml:space="preserve">would </w:t>
      </w:r>
      <w:r>
        <w:t>be</w:t>
      </w:r>
      <w:r w:rsidR="002A0E70">
        <w:t xml:space="preserve"> employed to co-facilitate consultations conducted with ACCHO Board-members and community-members during visits to communities; however, these visits did not eventuate (as discussed </w:t>
      </w:r>
      <w:r w:rsidR="005E3B1F">
        <w:t>below</w:t>
      </w:r>
      <w:r w:rsidR="002A0E70">
        <w:t>).</w:t>
      </w:r>
    </w:p>
    <w:p w14:paraId="7A71DC93" w14:textId="0836BBFF" w:rsidR="002A0E70" w:rsidRPr="00223EB9" w:rsidRDefault="002A0E70" w:rsidP="00223EB9">
      <w:pPr>
        <w:rPr>
          <w:b/>
          <w:bCs/>
          <w:color w:val="00264D" w:themeColor="background2"/>
          <w:sz w:val="20"/>
          <w:szCs w:val="24"/>
        </w:rPr>
      </w:pPr>
      <w:r w:rsidRPr="00223EB9">
        <w:rPr>
          <w:b/>
          <w:bCs/>
          <w:color w:val="00264D" w:themeColor="background2"/>
          <w:sz w:val="20"/>
          <w:szCs w:val="24"/>
        </w:rPr>
        <w:t>The evaluation had limitations</w:t>
      </w:r>
    </w:p>
    <w:p w14:paraId="730F027A" w14:textId="17E589B5" w:rsidR="002A0E70" w:rsidRPr="007D4E37" w:rsidRDefault="008D44F4" w:rsidP="002A0E70">
      <w:pPr>
        <w:rPr>
          <w:lang w:eastAsia="en-AU"/>
        </w:rPr>
      </w:pPr>
      <w:r>
        <w:rPr>
          <w:lang w:eastAsia="en-AU"/>
        </w:rPr>
        <w:t xml:space="preserve">The original evaluation plan included site visits to four communities to consult Board-members and community-members and conduct site visits. </w:t>
      </w:r>
      <w:r w:rsidR="00A82D17">
        <w:rPr>
          <w:lang w:eastAsia="en-AU"/>
        </w:rPr>
        <w:t xml:space="preserve">This was prevented by </w:t>
      </w:r>
      <w:r w:rsidR="002A0E70" w:rsidRPr="007D4E37">
        <w:rPr>
          <w:lang w:eastAsia="en-AU"/>
        </w:rPr>
        <w:t xml:space="preserve">COVID-19 restrictions </w:t>
      </w:r>
      <w:r w:rsidR="002A0E70">
        <w:rPr>
          <w:lang w:eastAsia="en-AU"/>
        </w:rPr>
        <w:t>and risks</w:t>
      </w:r>
      <w:r w:rsidR="00A82D17">
        <w:rPr>
          <w:lang w:eastAsia="en-AU"/>
        </w:rPr>
        <w:t>. Nous is still in discussion with one ACCHO to visit two communities in which they operate.</w:t>
      </w:r>
    </w:p>
    <w:p w14:paraId="77757E4F" w14:textId="7A13A729" w:rsidR="002A0E70" w:rsidRPr="002A0E70" w:rsidRDefault="00802379" w:rsidP="002A0E70">
      <w:pPr>
        <w:rPr>
          <w:lang w:eastAsia="en-AU"/>
        </w:rPr>
      </w:pPr>
      <w:r>
        <w:rPr>
          <w:lang w:eastAsia="en-AU"/>
        </w:rPr>
        <w:t xml:space="preserve">The evaluation was </w:t>
      </w:r>
      <w:r w:rsidR="007D41B8">
        <w:rPr>
          <w:lang w:eastAsia="en-AU"/>
        </w:rPr>
        <w:t xml:space="preserve">a process evaluation and accordingly did not consider the outcomes or impacts of transitions to community control. </w:t>
      </w:r>
    </w:p>
    <w:p w14:paraId="626BAF29" w14:textId="1D234CB5" w:rsidR="00777906" w:rsidRDefault="00777906" w:rsidP="00777906">
      <w:pPr>
        <w:rPr>
          <w:lang w:eastAsia="en-AU"/>
        </w:rPr>
      </w:pPr>
      <w:r>
        <w:rPr>
          <w:lang w:eastAsia="en-AU"/>
        </w:rPr>
        <w:br w:type="page"/>
      </w:r>
    </w:p>
    <w:p w14:paraId="50E3EE1F" w14:textId="48754B8D" w:rsidR="00916E0E" w:rsidRPr="009740D8" w:rsidRDefault="009740D8" w:rsidP="00916E0E">
      <w:pPr>
        <w:pStyle w:val="Heading1"/>
        <w:rPr>
          <w:color w:val="FFFFFF" w:themeColor="background1"/>
        </w:rPr>
      </w:pPr>
      <w:bookmarkStart w:id="16" w:name="_Toc106294797"/>
      <w:r w:rsidRPr="009740D8">
        <w:rPr>
          <w:noProof/>
          <w:color w:val="FFFFFF" w:themeColor="background1"/>
        </w:rPr>
        <w:lastRenderedPageBreak/>
        <w:drawing>
          <wp:anchor distT="0" distB="0" distL="114300" distR="114300" simplePos="0" relativeHeight="251658258" behindDoc="1" locked="0" layoutInCell="1" allowOverlap="1" wp14:anchorId="0353E201" wp14:editId="4F395FE9">
            <wp:simplePos x="0" y="0"/>
            <wp:positionH relativeFrom="margin">
              <wp:posOffset>-984250</wp:posOffset>
            </wp:positionH>
            <wp:positionV relativeFrom="paragraph">
              <wp:posOffset>-789305</wp:posOffset>
            </wp:positionV>
            <wp:extent cx="7562850" cy="1254642"/>
            <wp:effectExtent l="0" t="0" r="0" b="317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62850" cy="1254642"/>
                    </a:xfrm>
                    <a:prstGeom prst="rect">
                      <a:avLst/>
                    </a:prstGeom>
                    <a:noFill/>
                    <a:ln>
                      <a:noFill/>
                    </a:ln>
                  </pic:spPr>
                </pic:pic>
              </a:graphicData>
            </a:graphic>
            <wp14:sizeRelH relativeFrom="page">
              <wp14:pctWidth>0</wp14:pctWidth>
            </wp14:sizeRelH>
            <wp14:sizeRelV relativeFrom="page">
              <wp14:pctHeight>0</wp14:pctHeight>
            </wp14:sizeRelV>
          </wp:anchor>
        </w:drawing>
      </w:r>
      <w:r w:rsidR="00916E0E" w:rsidRPr="009740D8">
        <w:rPr>
          <w:color w:val="FFFFFF" w:themeColor="background1"/>
        </w:rPr>
        <w:t>Findings</w:t>
      </w:r>
      <w:bookmarkEnd w:id="16"/>
    </w:p>
    <w:p w14:paraId="4ECD160B" w14:textId="2C0FA288" w:rsidR="008F5D0B" w:rsidRDefault="008F5D0B" w:rsidP="008F5D0B">
      <w:pPr>
        <w:rPr>
          <w:lang w:eastAsia="en-AU"/>
        </w:rPr>
      </w:pPr>
      <w:r>
        <w:rPr>
          <w:lang w:eastAsia="en-AU"/>
        </w:rPr>
        <w:t>This section presents</w:t>
      </w:r>
      <w:r w:rsidR="00381766">
        <w:rPr>
          <w:lang w:eastAsia="en-AU"/>
        </w:rPr>
        <w:t xml:space="preserve"> evaluation findings, including:</w:t>
      </w:r>
    </w:p>
    <w:p w14:paraId="652FAA8A" w14:textId="75CF0961" w:rsidR="00381766" w:rsidRDefault="00381766" w:rsidP="00381766">
      <w:pPr>
        <w:pStyle w:val="Bullet"/>
      </w:pPr>
      <w:r>
        <w:t>Overarching findings</w:t>
      </w:r>
      <w:r w:rsidR="00B43C4E">
        <w:t xml:space="preserve"> (see Section</w:t>
      </w:r>
      <w:r w:rsidR="0076210C">
        <w:t xml:space="preserve"> </w:t>
      </w:r>
      <w:r w:rsidR="0076210C">
        <w:fldChar w:fldCharType="begin"/>
      </w:r>
      <w:r w:rsidR="0076210C">
        <w:instrText xml:space="preserve"> REF _Ref103676139 \r \h </w:instrText>
      </w:r>
      <w:r w:rsidR="0076210C">
        <w:fldChar w:fldCharType="separate"/>
      </w:r>
      <w:r w:rsidR="00A439E2">
        <w:t>3.1</w:t>
      </w:r>
      <w:r w:rsidR="0076210C">
        <w:fldChar w:fldCharType="end"/>
      </w:r>
      <w:r w:rsidR="00B43C4E">
        <w:t>)</w:t>
      </w:r>
    </w:p>
    <w:p w14:paraId="668A4498" w14:textId="1923882F" w:rsidR="00B43C4E" w:rsidRPr="008F5D0B" w:rsidRDefault="00B43C4E" w:rsidP="007371A9">
      <w:pPr>
        <w:pStyle w:val="Bullet"/>
      </w:pPr>
      <w:r>
        <w:t>Detailed findings by transition stage (see Section</w:t>
      </w:r>
      <w:r w:rsidR="0076210C">
        <w:t xml:space="preserve"> </w:t>
      </w:r>
      <w:r w:rsidR="0076210C">
        <w:fldChar w:fldCharType="begin"/>
      </w:r>
      <w:r w:rsidR="0076210C">
        <w:instrText xml:space="preserve"> REF _Ref103692653 \r \h </w:instrText>
      </w:r>
      <w:r w:rsidR="0076210C">
        <w:fldChar w:fldCharType="separate"/>
      </w:r>
      <w:r w:rsidR="00A439E2">
        <w:t>3.2</w:t>
      </w:r>
      <w:r w:rsidR="0076210C">
        <w:fldChar w:fldCharType="end"/>
      </w:r>
      <w:r>
        <w:t>).</w:t>
      </w:r>
    </w:p>
    <w:p w14:paraId="7D5D53FE" w14:textId="2751D8BB" w:rsidR="006F4F86" w:rsidRDefault="00C21C03" w:rsidP="00916E0E">
      <w:pPr>
        <w:pStyle w:val="Heading2"/>
      </w:pPr>
      <w:bookmarkStart w:id="17" w:name="_Ref103676139"/>
      <w:bookmarkStart w:id="18" w:name="_Ref103676158"/>
      <w:bookmarkStart w:id="19" w:name="_Toc106294798"/>
      <w:r>
        <w:t>The evaluation identified overarching findings</w:t>
      </w:r>
      <w:bookmarkEnd w:id="17"/>
      <w:bookmarkEnd w:id="18"/>
      <w:bookmarkEnd w:id="19"/>
    </w:p>
    <w:tbl>
      <w:tblPr>
        <w:tblStyle w:val="TableGrid"/>
        <w:tblW w:w="0" w:type="auto"/>
        <w:tblBorders>
          <w:top w:val="single" w:sz="24" w:space="0" w:color="00264D" w:themeColor="background2"/>
          <w:left w:val="none" w:sz="0" w:space="0" w:color="auto"/>
          <w:bottom w:val="none" w:sz="0" w:space="0" w:color="auto"/>
          <w:right w:val="none" w:sz="0" w:space="0" w:color="auto"/>
          <w:insideH w:val="single" w:sz="24" w:space="0" w:color="F8981D" w:themeColor="accent3"/>
          <w:insideV w:val="single" w:sz="24" w:space="0" w:color="F8981D" w:themeColor="accent3"/>
        </w:tblBorders>
        <w:shd w:val="clear" w:color="auto" w:fill="E6E6E1" w:themeFill="accent5"/>
        <w:tblLook w:val="04A0" w:firstRow="1" w:lastRow="0" w:firstColumn="1" w:lastColumn="0" w:noHBand="0" w:noVBand="1"/>
      </w:tblPr>
      <w:tblGrid>
        <w:gridCol w:w="8920"/>
      </w:tblGrid>
      <w:tr w:rsidR="007371A9" w14:paraId="31BB2A9D" w14:textId="77777777" w:rsidTr="007371A9">
        <w:tc>
          <w:tcPr>
            <w:tcW w:w="8920" w:type="dxa"/>
            <w:shd w:val="clear" w:color="auto" w:fill="E6E6E1" w:themeFill="accent5"/>
          </w:tcPr>
          <w:p w14:paraId="0EECF107" w14:textId="77777777" w:rsidR="007371A9" w:rsidRDefault="00E43F70" w:rsidP="007371A9">
            <w:pPr>
              <w:pStyle w:val="Heading5"/>
              <w:outlineLvl w:val="4"/>
              <w:rPr>
                <w:rFonts w:eastAsia="Segoe UI"/>
                <w:color w:val="00264D" w:themeColor="background2"/>
              </w:rPr>
            </w:pPr>
            <w:r w:rsidRPr="00E43F70">
              <w:rPr>
                <w:rFonts w:eastAsia="Segoe UI"/>
                <w:color w:val="00264D" w:themeColor="background2"/>
              </w:rPr>
              <w:t>Summary of findings</w:t>
            </w:r>
          </w:p>
          <w:p w14:paraId="77E2C8EE" w14:textId="37CDE511" w:rsidR="00E43F70" w:rsidRDefault="0064493B" w:rsidP="0064493B">
            <w:pPr>
              <w:pStyle w:val="Bullet"/>
            </w:pPr>
            <w:r w:rsidRPr="0064493B">
              <w:t>All stakeholders support the vision and objective of the program, but implementation challenges erode this support</w:t>
            </w:r>
            <w:r>
              <w:t>.</w:t>
            </w:r>
          </w:p>
          <w:p w14:paraId="32D69FFE" w14:textId="70D989FA" w:rsidR="0064493B" w:rsidRDefault="0064493B" w:rsidP="0064493B">
            <w:pPr>
              <w:pStyle w:val="Bullet"/>
            </w:pPr>
            <w:r w:rsidRPr="0064493B">
              <w:t>The level of funding, for both the transition process and ongoing operations, is seen to be a major barrier to progress</w:t>
            </w:r>
            <w:r>
              <w:t>.</w:t>
            </w:r>
          </w:p>
          <w:p w14:paraId="731692DA" w14:textId="648F1CA0" w:rsidR="0064493B" w:rsidRDefault="0064493B" w:rsidP="0064493B">
            <w:pPr>
              <w:pStyle w:val="Bullet"/>
            </w:pPr>
            <w:r w:rsidRPr="0064493B">
              <w:t>ACCHOs feel unsupported due to what they believe is a lack of evaluation, knowledge sharing and dissemination of supporting tools</w:t>
            </w:r>
            <w:r>
              <w:t>.</w:t>
            </w:r>
          </w:p>
          <w:p w14:paraId="4C4015FB" w14:textId="614A1A0A" w:rsidR="0064493B" w:rsidRDefault="0064493B" w:rsidP="0064493B">
            <w:pPr>
              <w:pStyle w:val="Bullet"/>
            </w:pPr>
            <w:r w:rsidRPr="0064493B">
              <w:t>There has been consistent feedback about the need for greater transparency and consistency in all aspects of the program</w:t>
            </w:r>
            <w:r>
              <w:t>.</w:t>
            </w:r>
          </w:p>
          <w:p w14:paraId="6A9D5B0E" w14:textId="72D5CB65" w:rsidR="0064493B" w:rsidRPr="00E43F70" w:rsidRDefault="0064493B" w:rsidP="0064493B">
            <w:pPr>
              <w:pStyle w:val="Bullet"/>
            </w:pPr>
            <w:r w:rsidRPr="0064493B">
              <w:t>There is potential to improve the staging of transition processes</w:t>
            </w:r>
            <w:r>
              <w:t>.</w:t>
            </w:r>
          </w:p>
        </w:tc>
      </w:tr>
    </w:tbl>
    <w:p w14:paraId="25803942" w14:textId="58512998" w:rsidR="00937E94" w:rsidRPr="00223EB9" w:rsidRDefault="00937E94" w:rsidP="00223EB9">
      <w:pPr>
        <w:rPr>
          <w:b/>
          <w:bCs/>
          <w:color w:val="00264D" w:themeColor="background2"/>
          <w:sz w:val="20"/>
          <w:szCs w:val="24"/>
          <w:lang w:val="en-US"/>
        </w:rPr>
      </w:pPr>
      <w:r w:rsidRPr="00223EB9">
        <w:rPr>
          <w:b/>
          <w:bCs/>
          <w:color w:val="00264D" w:themeColor="background2"/>
          <w:sz w:val="20"/>
          <w:szCs w:val="24"/>
        </w:rPr>
        <w:t>All stakeholders support the vision and objective of the program, but implementation challenges erode this support</w:t>
      </w:r>
    </w:p>
    <w:p w14:paraId="043C0148" w14:textId="005EA706" w:rsidR="00937E94" w:rsidRPr="00053B5D" w:rsidRDefault="00937E94" w:rsidP="00937E94">
      <w:pPr>
        <w:rPr>
          <w:lang w:eastAsia="en-AU"/>
        </w:rPr>
      </w:pPr>
      <w:r w:rsidRPr="00937E94">
        <w:rPr>
          <w:lang w:eastAsia="en-AU"/>
        </w:rPr>
        <w:t>All stakeholders consulted</w:t>
      </w:r>
      <w:r w:rsidR="0023394E">
        <w:rPr>
          <w:lang w:eastAsia="en-AU"/>
        </w:rPr>
        <w:t>, including ACCHO</w:t>
      </w:r>
      <w:r w:rsidR="00532BD5">
        <w:rPr>
          <w:lang w:eastAsia="en-AU"/>
        </w:rPr>
        <w:t>s, government and external stakeholders</w:t>
      </w:r>
      <w:r w:rsidR="0023394E">
        <w:rPr>
          <w:lang w:eastAsia="en-AU"/>
        </w:rPr>
        <w:t>,</w:t>
      </w:r>
      <w:r w:rsidRPr="00937E94">
        <w:rPr>
          <w:lang w:eastAsia="en-AU"/>
        </w:rPr>
        <w:t xml:space="preserve"> expressed support for the vision and intended outcomes of transitioning health services to community control. </w:t>
      </w:r>
      <w:r w:rsidR="0050230F">
        <w:rPr>
          <w:lang w:eastAsia="en-AU"/>
        </w:rPr>
        <w:t>Many stakeholders</w:t>
      </w:r>
      <w:r w:rsidRPr="00937E94">
        <w:rPr>
          <w:lang w:eastAsia="en-AU"/>
        </w:rPr>
        <w:t xml:space="preserve"> acknowledged the long and rich history of the regionalisation </w:t>
      </w:r>
      <w:r w:rsidR="00882C84">
        <w:rPr>
          <w:lang w:eastAsia="en-AU"/>
        </w:rPr>
        <w:t>and</w:t>
      </w:r>
      <w:r w:rsidRPr="00937E94">
        <w:rPr>
          <w:lang w:eastAsia="en-AU"/>
        </w:rPr>
        <w:t xml:space="preserve"> community control policy reform agenda</w:t>
      </w:r>
      <w:r w:rsidR="00532BD5">
        <w:rPr>
          <w:lang w:eastAsia="en-AU"/>
        </w:rPr>
        <w:t>,</w:t>
      </w:r>
      <w:r w:rsidR="00470B10">
        <w:rPr>
          <w:lang w:eastAsia="en-AU"/>
        </w:rPr>
        <w:t xml:space="preserve"> and </w:t>
      </w:r>
      <w:r w:rsidR="0050230F">
        <w:rPr>
          <w:lang w:eastAsia="en-AU"/>
        </w:rPr>
        <w:t>stakeholders</w:t>
      </w:r>
      <w:r w:rsidR="001B3C81">
        <w:rPr>
          <w:lang w:eastAsia="en-AU"/>
        </w:rPr>
        <w:t xml:space="preserve"> </w:t>
      </w:r>
      <w:r w:rsidR="00470B10">
        <w:rPr>
          <w:lang w:eastAsia="en-AU"/>
        </w:rPr>
        <w:t>were proud of what the program had achieved</w:t>
      </w:r>
      <w:r w:rsidRPr="00937E94">
        <w:rPr>
          <w:lang w:eastAsia="en-AU"/>
        </w:rPr>
        <w:t xml:space="preserve"> </w:t>
      </w:r>
      <w:r w:rsidR="00B5666E">
        <w:rPr>
          <w:lang w:eastAsia="en-AU"/>
        </w:rPr>
        <w:t>over the last decade</w:t>
      </w:r>
      <w:r w:rsidR="00470B10">
        <w:rPr>
          <w:lang w:eastAsia="en-AU"/>
        </w:rPr>
        <w:t>.</w:t>
      </w:r>
      <w:r w:rsidR="000D3BC9">
        <w:rPr>
          <w:lang w:eastAsia="en-AU"/>
        </w:rPr>
        <w:t xml:space="preserve"> </w:t>
      </w:r>
      <w:r w:rsidR="0023394E">
        <w:rPr>
          <w:lang w:eastAsia="en-AU"/>
        </w:rPr>
        <w:t>However, s</w:t>
      </w:r>
      <w:r w:rsidRPr="00937E94">
        <w:rPr>
          <w:lang w:eastAsia="en-AU"/>
        </w:rPr>
        <w:t xml:space="preserve">takeholders’ support for the program </w:t>
      </w:r>
      <w:r w:rsidR="00A20857">
        <w:rPr>
          <w:lang w:eastAsia="en-AU"/>
        </w:rPr>
        <w:t>was</w:t>
      </w:r>
      <w:r w:rsidRPr="00937E94">
        <w:rPr>
          <w:lang w:eastAsia="en-AU"/>
        </w:rPr>
        <w:t xml:space="preserve"> eroded by implementation challenges, citing perceptions of opaque processes, protracted financial negotiations and other timeframes, and unclear roles and responsibilities as the main contributing factors</w:t>
      </w:r>
      <w:r w:rsidR="00A20857">
        <w:rPr>
          <w:lang w:eastAsia="en-AU"/>
        </w:rPr>
        <w:t xml:space="preserve">. </w:t>
      </w:r>
    </w:p>
    <w:p w14:paraId="610B69F8" w14:textId="1E6876A5" w:rsidR="00937E94" w:rsidRPr="00223EB9" w:rsidRDefault="00937E94" w:rsidP="00223EB9">
      <w:pPr>
        <w:rPr>
          <w:b/>
          <w:bCs/>
          <w:color w:val="00264D" w:themeColor="background2"/>
          <w:sz w:val="20"/>
          <w:szCs w:val="24"/>
          <w:lang w:val="en-US"/>
        </w:rPr>
      </w:pPr>
      <w:r w:rsidRPr="00223EB9">
        <w:rPr>
          <w:b/>
          <w:bCs/>
          <w:color w:val="00264D" w:themeColor="background2"/>
          <w:sz w:val="20"/>
          <w:szCs w:val="24"/>
        </w:rPr>
        <w:t>The level of funding, for both the transition process and ongoing operations, is seen to be a major barrier to progress</w:t>
      </w:r>
    </w:p>
    <w:p w14:paraId="0DED38D2" w14:textId="11892DF0" w:rsidR="00937E94" w:rsidRPr="00937E94" w:rsidRDefault="00937E94" w:rsidP="00937E94">
      <w:pPr>
        <w:rPr>
          <w:lang w:eastAsia="en-AU"/>
        </w:rPr>
      </w:pPr>
      <w:r w:rsidRPr="00937E94">
        <w:rPr>
          <w:lang w:eastAsia="en-AU"/>
        </w:rPr>
        <w:t xml:space="preserve">While the transition process is budgeted in the business case stage and funded by the </w:t>
      </w:r>
      <w:r w:rsidR="00F82C19">
        <w:rPr>
          <w:lang w:eastAsia="en-AU"/>
        </w:rPr>
        <w:t>Australian Government</w:t>
      </w:r>
      <w:r w:rsidRPr="00937E94">
        <w:rPr>
          <w:lang w:eastAsia="en-AU"/>
        </w:rPr>
        <w:t xml:space="preserve">, stakeholders believe that this funding does not cover all the costs of transition. Stakeholders identified </w:t>
      </w:r>
      <w:r w:rsidR="00FF7781">
        <w:rPr>
          <w:lang w:eastAsia="en-AU"/>
        </w:rPr>
        <w:t xml:space="preserve">many gaps in </w:t>
      </w:r>
      <w:r w:rsidR="00916989">
        <w:rPr>
          <w:lang w:eastAsia="en-AU"/>
        </w:rPr>
        <w:t xml:space="preserve">transition </w:t>
      </w:r>
      <w:r w:rsidR="00FF7781">
        <w:rPr>
          <w:lang w:eastAsia="en-AU"/>
        </w:rPr>
        <w:t xml:space="preserve">funding including </w:t>
      </w:r>
      <w:r w:rsidRPr="00937E94">
        <w:rPr>
          <w:lang w:eastAsia="en-AU"/>
        </w:rPr>
        <w:t>infrastructure, staff housing and information technology (IT) costs. New ACCHOs require significant additional support to establish organisational structures, systems and processes and stakeholders believe that this has not been fully recognised. Specific NTG funding is not</w:t>
      </w:r>
      <w:r w:rsidR="00E50BFD">
        <w:rPr>
          <w:lang w:eastAsia="en-AU"/>
        </w:rPr>
        <w:t xml:space="preserve"> currently allocated</w:t>
      </w:r>
      <w:r w:rsidRPr="00937E94">
        <w:rPr>
          <w:lang w:eastAsia="en-AU"/>
        </w:rPr>
        <w:t xml:space="preserve"> to cover the costs NTG services bear in participating in transitions, which leads to delays as transitions end up competing with other priorities for the NTG staff involved.</w:t>
      </w:r>
    </w:p>
    <w:p w14:paraId="60A98F14" w14:textId="1F4F7328" w:rsidR="00720B9B" w:rsidRDefault="00937E94" w:rsidP="00937E94">
      <w:pPr>
        <w:rPr>
          <w:lang w:eastAsia="en-AU"/>
        </w:rPr>
      </w:pPr>
      <w:r w:rsidRPr="00937E94">
        <w:rPr>
          <w:lang w:eastAsia="en-AU"/>
        </w:rPr>
        <w:t xml:space="preserve">The </w:t>
      </w:r>
      <w:r w:rsidR="00F82C19">
        <w:rPr>
          <w:lang w:eastAsia="en-AU"/>
        </w:rPr>
        <w:t>Australian Government</w:t>
      </w:r>
      <w:r w:rsidRPr="00937E94">
        <w:rPr>
          <w:lang w:eastAsia="en-AU"/>
        </w:rPr>
        <w:t xml:space="preserve"> Department of Health</w:t>
      </w:r>
      <w:r w:rsidR="00D13DF1">
        <w:rPr>
          <w:lang w:eastAsia="en-AU"/>
        </w:rPr>
        <w:t xml:space="preserve"> </w:t>
      </w:r>
      <w:r w:rsidRPr="00937E94">
        <w:rPr>
          <w:lang w:eastAsia="en-AU"/>
        </w:rPr>
        <w:t>requires transitions to be cost</w:t>
      </w:r>
      <w:r w:rsidR="008A3CDF">
        <w:rPr>
          <w:lang w:eastAsia="en-AU"/>
        </w:rPr>
        <w:t>-</w:t>
      </w:r>
      <w:r w:rsidRPr="00937E94">
        <w:rPr>
          <w:lang w:eastAsia="en-AU"/>
        </w:rPr>
        <w:t>neutral in terms of the funding provided through the IAHP</w:t>
      </w:r>
      <w:r w:rsidR="00597A1E">
        <w:rPr>
          <w:lang w:eastAsia="en-AU"/>
        </w:rPr>
        <w:t xml:space="preserve"> for comprehensive primary health care</w:t>
      </w:r>
      <w:r w:rsidRPr="00937E94">
        <w:rPr>
          <w:lang w:eastAsia="en-AU"/>
        </w:rPr>
        <w:t xml:space="preserve">. Stakeholders generally argued that this is unrealistic due to the NTG’s economies of scale relative to ACCHOs, particularly with regard to resourcing and corporate services. The ACCHO’s IAHP funding may subsequently increase, when it </w:t>
      </w:r>
      <w:r w:rsidR="00EA10A0">
        <w:rPr>
          <w:lang w:eastAsia="en-AU"/>
        </w:rPr>
        <w:t xml:space="preserve">enters the </w:t>
      </w:r>
      <w:r w:rsidRPr="00937E94">
        <w:rPr>
          <w:lang w:eastAsia="en-AU"/>
        </w:rPr>
        <w:t xml:space="preserve">IAHP funding </w:t>
      </w:r>
      <w:r w:rsidR="00EA10A0">
        <w:rPr>
          <w:lang w:eastAsia="en-AU"/>
        </w:rPr>
        <w:t>model</w:t>
      </w:r>
      <w:r w:rsidRPr="00937E94">
        <w:rPr>
          <w:lang w:eastAsia="en-AU"/>
        </w:rPr>
        <w:t>, but this typically occurs only after ACCHOs commence operation on the existing level of funding.</w:t>
      </w:r>
      <w:r w:rsidR="00732443">
        <w:rPr>
          <w:lang w:eastAsia="en-AU"/>
        </w:rPr>
        <w:t xml:space="preserve"> </w:t>
      </w:r>
    </w:p>
    <w:p w14:paraId="46018AFD" w14:textId="77777777" w:rsidR="00720B9B" w:rsidRDefault="00720B9B">
      <w:pPr>
        <w:spacing w:after="160" w:line="259" w:lineRule="auto"/>
        <w:rPr>
          <w:lang w:eastAsia="en-AU"/>
        </w:rPr>
      </w:pPr>
      <w:r>
        <w:rPr>
          <w:lang w:eastAsia="en-AU"/>
        </w:rPr>
        <w:br w:type="page"/>
      </w:r>
    </w:p>
    <w:p w14:paraId="31943F5C" w14:textId="77777777" w:rsidR="00937E94" w:rsidRPr="00937E94" w:rsidRDefault="00937E94" w:rsidP="00937E94">
      <w:pPr>
        <w:rPr>
          <w:lang w:eastAsia="en-AU"/>
        </w:rPr>
      </w:pPr>
    </w:p>
    <w:p w14:paraId="63E2D458" w14:textId="111FA15D" w:rsidR="00937E94" w:rsidRPr="00223EB9" w:rsidRDefault="00937E94" w:rsidP="00223EB9">
      <w:pPr>
        <w:rPr>
          <w:b/>
          <w:bCs/>
          <w:color w:val="00264D" w:themeColor="background2"/>
          <w:sz w:val="20"/>
          <w:szCs w:val="24"/>
          <w:lang w:val="en-US"/>
        </w:rPr>
      </w:pPr>
      <w:r w:rsidRPr="00223EB9">
        <w:rPr>
          <w:b/>
          <w:bCs/>
          <w:color w:val="00264D" w:themeColor="background2"/>
          <w:sz w:val="20"/>
          <w:szCs w:val="24"/>
        </w:rPr>
        <w:t>ACCHOs feel unsupported due to what they believe is a lack of evaluation, knowledge sharing and dissemination of supporting tools</w:t>
      </w:r>
    </w:p>
    <w:p w14:paraId="1DE0A220" w14:textId="1AF1AC1F" w:rsidR="006D2DCA" w:rsidRDefault="00E750F9" w:rsidP="00937E94">
      <w:pPr>
        <w:rPr>
          <w:lang w:eastAsia="en-AU"/>
        </w:rPr>
      </w:pPr>
      <w:r>
        <w:rPr>
          <w:noProof/>
        </w:rPr>
        <mc:AlternateContent>
          <mc:Choice Requires="wps">
            <w:drawing>
              <wp:anchor distT="0" distB="0" distL="114300" distR="114300" simplePos="0" relativeHeight="251658256" behindDoc="0" locked="0" layoutInCell="1" allowOverlap="1" wp14:anchorId="3399170D" wp14:editId="78D86948">
                <wp:simplePos x="0" y="0"/>
                <wp:positionH relativeFrom="margin">
                  <wp:align>left</wp:align>
                </wp:positionH>
                <wp:positionV relativeFrom="paragraph">
                  <wp:posOffset>963675</wp:posOffset>
                </wp:positionV>
                <wp:extent cx="5692775" cy="723900"/>
                <wp:effectExtent l="0" t="0" r="3175" b="0"/>
                <wp:wrapThrough wrapText="bothSides">
                  <wp:wrapPolygon edited="0">
                    <wp:start x="0" y="0"/>
                    <wp:lineTo x="0" y="21032"/>
                    <wp:lineTo x="21540" y="21032"/>
                    <wp:lineTo x="21540" y="0"/>
                    <wp:lineTo x="0" y="0"/>
                  </wp:wrapPolygon>
                </wp:wrapThrough>
                <wp:docPr id="45" name="Text Box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92775" cy="7243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7514C0" w14:textId="1D09F942" w:rsidR="000C6018" w:rsidRPr="007B1359" w:rsidRDefault="000C6018" w:rsidP="00E750F9">
                            <w:pPr>
                              <w:pStyle w:val="Callout"/>
                              <w:pBdr>
                                <w:top w:val="single" w:sz="18" w:space="0" w:color="E6E6E1" w:themeColor="accent5"/>
                              </w:pBdr>
                              <w:rPr>
                                <w:i/>
                                <w:color w:val="00264D" w:themeColor="background2"/>
                                <w:sz w:val="18"/>
                                <w:szCs w:val="18"/>
                                <w:lang w:eastAsia="en-AU"/>
                              </w:rPr>
                            </w:pPr>
                            <w:r w:rsidRPr="00774D22">
                              <w:rPr>
                                <w:i/>
                                <w:iCs/>
                                <w:color w:val="F25E21" w:themeColor="accent2"/>
                                <w:lang w:val="en-US" w:eastAsia="en-AU"/>
                              </w:rPr>
                              <w:t>“It's hard to toe the line between wanting to have a clear framework but having organisations feeling like they are in control, and they are not being dictated to. Finding that balance is tricky.”</w:t>
                            </w:r>
                            <w:r w:rsidRPr="003A5CE9">
                              <w:rPr>
                                <w:i/>
                                <w:iCs/>
                                <w:color w:val="00264D" w:themeColor="background2"/>
                                <w:sz w:val="18"/>
                                <w:szCs w:val="18"/>
                                <w:lang w:eastAsia="en-AU"/>
                              </w:rPr>
                              <w:t xml:space="preserve"> </w:t>
                            </w:r>
                            <w:r>
                              <w:rPr>
                                <w:i/>
                                <w:iCs/>
                                <w:color w:val="00264D" w:themeColor="background2"/>
                                <w:sz w:val="18"/>
                                <w:szCs w:val="18"/>
                                <w:lang w:eastAsia="en-AU"/>
                              </w:rPr>
                              <w:t>ACCHO</w:t>
                            </w:r>
                            <w:r w:rsidRPr="003A5CE9">
                              <w:rPr>
                                <w:i/>
                                <w:iCs/>
                                <w:color w:val="00264D" w:themeColor="background2"/>
                                <w:sz w:val="18"/>
                                <w:szCs w:val="18"/>
                                <w:lang w:eastAsia="en-AU"/>
                              </w:rPr>
                              <w:t xml:space="preserve"> stakeholder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99170D" id="Text Box 45" o:spid="_x0000_s1027" type="#_x0000_t202" alt="&quot;&quot;" style="position:absolute;margin-left:0;margin-top:75.9pt;width:448.25pt;height:57pt;z-index:251658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" fillcolor="white [3201]" stroked="f" strokeweight=".5pt">
                <v:textbox inset="0,,1mm">
                  <w:txbxContent>
                    <w:p w14:paraId="117514C0" w14:textId="1D09F942" w:rsidR="000C6018" w:rsidRPr="007B1359" w:rsidRDefault="000C6018" w:rsidP="00E750F9">
                      <w:pPr>
                        <w:pStyle w:val="Callout"/>
                        <w:pBdr>
                          <w:top w:val="single" w:sz="18" w:space="0" w:color="E6E6E1" w:themeColor="accent5"/>
                        </w:pBdr>
                        <w:rPr>
                          <w:i/>
                          <w:color w:val="00264D" w:themeColor="background2"/>
                          <w:sz w:val="18"/>
                          <w:szCs w:val="18"/>
                          <w:lang w:eastAsia="en-AU"/>
                        </w:rPr>
                      </w:pPr>
                      <w:r w:rsidRPr="00774D22">
                        <w:rPr>
                          <w:i/>
                          <w:iCs/>
                          <w:color w:val="F25E21" w:themeColor="accent2"/>
                          <w:lang w:val="en-US" w:eastAsia="en-AU"/>
                        </w:rPr>
                        <w:t>“It's hard to toe the line between wanting to have a clear framework but having organisations feeling like they are in control, and they are not being dictated to. Finding that balance is tricky.”</w:t>
                      </w:r>
                      <w:r w:rsidRPr="003A5CE9">
                        <w:rPr>
                          <w:i/>
                          <w:iCs/>
                          <w:color w:val="00264D" w:themeColor="background2"/>
                          <w:sz w:val="18"/>
                          <w:szCs w:val="18"/>
                          <w:lang w:eastAsia="en-AU"/>
                        </w:rPr>
                        <w:t xml:space="preserve"> </w:t>
                      </w:r>
                      <w:r>
                        <w:rPr>
                          <w:i/>
                          <w:iCs/>
                          <w:color w:val="00264D" w:themeColor="background2"/>
                          <w:sz w:val="18"/>
                          <w:szCs w:val="18"/>
                          <w:lang w:eastAsia="en-AU"/>
                        </w:rPr>
                        <w:t>ACCHO</w:t>
                      </w:r>
                      <w:r w:rsidRPr="003A5CE9">
                        <w:rPr>
                          <w:i/>
                          <w:iCs/>
                          <w:color w:val="00264D" w:themeColor="background2"/>
                          <w:sz w:val="18"/>
                          <w:szCs w:val="18"/>
                          <w:lang w:eastAsia="en-AU"/>
                        </w:rPr>
                        <w:t xml:space="preserve"> stakeholder </w:t>
                      </w:r>
                    </w:p>
                  </w:txbxContent>
                </v:textbox>
                <w10:wrap type="through" anchorx="margin"/>
              </v:shape>
            </w:pict>
          </mc:Fallback>
        </mc:AlternateContent>
      </w:r>
      <w:r w:rsidR="00937E94" w:rsidRPr="00937E94">
        <w:rPr>
          <w:lang w:eastAsia="en-AU"/>
        </w:rPr>
        <w:t>Many stakeholders argued that a lack of evaluation of transitions, combined with their long</w:t>
      </w:r>
      <w:r w:rsidR="0044103B">
        <w:rPr>
          <w:lang w:eastAsia="en-AU"/>
        </w:rPr>
        <w:t xml:space="preserve"> timeframe</w:t>
      </w:r>
      <w:r w:rsidR="00937E94" w:rsidRPr="00937E94">
        <w:rPr>
          <w:lang w:eastAsia="en-AU"/>
        </w:rPr>
        <w:t>, has hindered</w:t>
      </w:r>
      <w:r w:rsidR="00A005C1">
        <w:rPr>
          <w:lang w:eastAsia="en-AU"/>
        </w:rPr>
        <w:t xml:space="preserve"> </w:t>
      </w:r>
      <w:r w:rsidR="00937E94" w:rsidRPr="00937E94">
        <w:rPr>
          <w:lang w:eastAsia="en-AU"/>
        </w:rPr>
        <w:t>knowledge sharing between transitions.</w:t>
      </w:r>
      <w:r w:rsidR="00A005C1">
        <w:rPr>
          <w:lang w:eastAsia="en-AU"/>
        </w:rPr>
        <w:t xml:space="preserve"> The high level of staff turnover in the </w:t>
      </w:r>
      <w:r w:rsidR="00F82C19">
        <w:rPr>
          <w:lang w:eastAsia="en-AU"/>
        </w:rPr>
        <w:t>Australian Government</w:t>
      </w:r>
      <w:r w:rsidR="00B84E3E">
        <w:rPr>
          <w:lang w:eastAsia="en-AU"/>
        </w:rPr>
        <w:t>, NTG and ACCHOs</w:t>
      </w:r>
      <w:r w:rsidR="00093BAB">
        <w:rPr>
          <w:lang w:eastAsia="en-AU"/>
        </w:rPr>
        <w:t xml:space="preserve">, </w:t>
      </w:r>
      <w:r w:rsidR="00D57FBA">
        <w:rPr>
          <w:lang w:eastAsia="en-AU"/>
        </w:rPr>
        <w:t>including</w:t>
      </w:r>
      <w:r w:rsidR="000C34A9">
        <w:rPr>
          <w:lang w:eastAsia="en-AU"/>
        </w:rPr>
        <w:t xml:space="preserve"> </w:t>
      </w:r>
      <w:r w:rsidR="00FF413D">
        <w:rPr>
          <w:lang w:eastAsia="en-AU"/>
        </w:rPr>
        <w:t>limited</w:t>
      </w:r>
      <w:r w:rsidR="001F7DA8">
        <w:rPr>
          <w:lang w:eastAsia="en-AU"/>
        </w:rPr>
        <w:t xml:space="preserve"> handovers </w:t>
      </w:r>
      <w:r w:rsidR="001F45B6">
        <w:rPr>
          <w:lang w:eastAsia="en-AU"/>
        </w:rPr>
        <w:t>between staff</w:t>
      </w:r>
      <w:r w:rsidR="004B583E">
        <w:rPr>
          <w:lang w:eastAsia="en-AU"/>
        </w:rPr>
        <w:t xml:space="preserve"> and </w:t>
      </w:r>
      <w:r w:rsidR="00077850">
        <w:rPr>
          <w:lang w:eastAsia="en-AU"/>
        </w:rPr>
        <w:t>patchy</w:t>
      </w:r>
      <w:r w:rsidR="00D57FBA">
        <w:rPr>
          <w:lang w:eastAsia="en-AU"/>
        </w:rPr>
        <w:t xml:space="preserve"> </w:t>
      </w:r>
      <w:r w:rsidR="006F625C">
        <w:rPr>
          <w:lang w:eastAsia="en-AU"/>
        </w:rPr>
        <w:t xml:space="preserve">record keeping </w:t>
      </w:r>
      <w:r w:rsidR="00D57FBA">
        <w:rPr>
          <w:lang w:eastAsia="en-AU"/>
        </w:rPr>
        <w:t>of transition</w:t>
      </w:r>
      <w:r w:rsidR="004479B8">
        <w:rPr>
          <w:lang w:eastAsia="en-AU"/>
        </w:rPr>
        <w:t xml:space="preserve"> documentation</w:t>
      </w:r>
      <w:r w:rsidR="0056682C">
        <w:rPr>
          <w:lang w:eastAsia="en-AU"/>
        </w:rPr>
        <w:t xml:space="preserve"> by all parties</w:t>
      </w:r>
      <w:r w:rsidR="00BC5736">
        <w:rPr>
          <w:lang w:eastAsia="en-AU"/>
        </w:rPr>
        <w:t>,</w:t>
      </w:r>
      <w:r w:rsidR="004479B8">
        <w:rPr>
          <w:lang w:eastAsia="en-AU"/>
        </w:rPr>
        <w:t xml:space="preserve"> has also hampered </w:t>
      </w:r>
      <w:r w:rsidR="00D156C8">
        <w:rPr>
          <w:lang w:eastAsia="en-AU"/>
        </w:rPr>
        <w:t xml:space="preserve">information </w:t>
      </w:r>
      <w:r w:rsidR="00E17223">
        <w:rPr>
          <w:lang w:eastAsia="en-AU"/>
        </w:rPr>
        <w:t>exchange over time</w:t>
      </w:r>
      <w:r w:rsidR="007359BE">
        <w:rPr>
          <w:lang w:eastAsia="en-AU"/>
        </w:rPr>
        <w:t xml:space="preserve"> and </w:t>
      </w:r>
      <w:r w:rsidR="005D64F2">
        <w:rPr>
          <w:lang w:eastAsia="en-AU"/>
        </w:rPr>
        <w:t xml:space="preserve">delayed </w:t>
      </w:r>
      <w:r w:rsidR="007359BE">
        <w:rPr>
          <w:lang w:eastAsia="en-AU"/>
        </w:rPr>
        <w:t xml:space="preserve">transition progress. </w:t>
      </w:r>
    </w:p>
    <w:p w14:paraId="5E985854" w14:textId="6AAE5442" w:rsidR="00937E94" w:rsidRPr="002203D0" w:rsidRDefault="004316E9" w:rsidP="00937E94">
      <w:pPr>
        <w:rPr>
          <w:lang w:eastAsia="en-AU"/>
        </w:rPr>
      </w:pPr>
      <w:r>
        <w:rPr>
          <w:lang w:eastAsia="en-AU"/>
        </w:rPr>
        <w:t>ACCHOs</w:t>
      </w:r>
      <w:r w:rsidR="00937E94" w:rsidRPr="00937E94">
        <w:rPr>
          <w:lang w:eastAsia="en-AU"/>
        </w:rPr>
        <w:t xml:space="preserve"> </w:t>
      </w:r>
      <w:r w:rsidR="00BC5736">
        <w:rPr>
          <w:lang w:eastAsia="en-AU"/>
        </w:rPr>
        <w:t>consistently reported that these</w:t>
      </w:r>
      <w:r w:rsidR="000E665F">
        <w:rPr>
          <w:lang w:eastAsia="en-AU"/>
        </w:rPr>
        <w:t xml:space="preserve"> factors, </w:t>
      </w:r>
      <w:r w:rsidR="00BC5736">
        <w:rPr>
          <w:lang w:eastAsia="en-AU"/>
        </w:rPr>
        <w:t>in addition to a</w:t>
      </w:r>
      <w:r w:rsidR="00937E94" w:rsidRPr="00937E94">
        <w:rPr>
          <w:lang w:eastAsia="en-AU"/>
        </w:rPr>
        <w:t xml:space="preserve"> lack of supporting documents such as project management tools</w:t>
      </w:r>
      <w:r w:rsidR="00BC5736">
        <w:rPr>
          <w:lang w:eastAsia="en-AU"/>
        </w:rPr>
        <w:t xml:space="preserve"> provided to them</w:t>
      </w:r>
      <w:r w:rsidR="00937E94" w:rsidRPr="00937E94">
        <w:rPr>
          <w:lang w:eastAsia="en-AU"/>
        </w:rPr>
        <w:t>, has resulted in ACCHOs and their staff feeling like they are starting from scratch</w:t>
      </w:r>
      <w:r w:rsidR="00BC5736">
        <w:rPr>
          <w:lang w:eastAsia="en-AU"/>
        </w:rPr>
        <w:t xml:space="preserve"> with each transition. </w:t>
      </w:r>
      <w:r w:rsidR="00937E94" w:rsidRPr="00937E94">
        <w:rPr>
          <w:lang w:eastAsia="en-AU"/>
        </w:rPr>
        <w:t>There is balance to be struck in supporting ACCHOs enough</w:t>
      </w:r>
      <w:r w:rsidR="002544AB" w:rsidRPr="00937E94">
        <w:rPr>
          <w:lang w:eastAsia="en-AU"/>
        </w:rPr>
        <w:t>,</w:t>
      </w:r>
      <w:r w:rsidR="00937E94" w:rsidRPr="00937E94">
        <w:rPr>
          <w:lang w:eastAsia="en-AU"/>
        </w:rPr>
        <w:t xml:space="preserve"> so they don’t have to 'reinvent the wheel'</w:t>
      </w:r>
      <w:r w:rsidR="002544AB">
        <w:rPr>
          <w:lang w:eastAsia="en-AU"/>
        </w:rPr>
        <w:t xml:space="preserve"> on the basics of transitioning</w:t>
      </w:r>
      <w:r w:rsidR="00937E94" w:rsidRPr="00937E94">
        <w:rPr>
          <w:lang w:eastAsia="en-AU"/>
        </w:rPr>
        <w:t>, and ensuring they have the freedom to manage transitions as they choose.</w:t>
      </w:r>
      <w:r w:rsidR="00E32200">
        <w:rPr>
          <w:lang w:eastAsia="en-AU"/>
        </w:rPr>
        <w:t xml:space="preserve"> </w:t>
      </w:r>
      <w:r w:rsidR="00937E94" w:rsidRPr="00937E94">
        <w:rPr>
          <w:lang w:eastAsia="en-AU"/>
        </w:rPr>
        <w:t>New ACCHOs face additional challenges in this area; for example, needing to develop corporate and clinical governance policies, processes and procedures from scratch.</w:t>
      </w:r>
      <w:r w:rsidR="003534E8">
        <w:rPr>
          <w:lang w:eastAsia="en-AU"/>
        </w:rPr>
        <w:t xml:space="preserve"> </w:t>
      </w:r>
      <w:r w:rsidR="00937E94" w:rsidRPr="00937E94">
        <w:rPr>
          <w:lang w:eastAsia="en-AU"/>
        </w:rPr>
        <w:t xml:space="preserve">Some stakeholders suggested ACCHOs would benefit from greater sharing of policies and procedures or even </w:t>
      </w:r>
      <w:r w:rsidR="002203D0">
        <w:rPr>
          <w:lang w:eastAsia="en-AU"/>
        </w:rPr>
        <w:t xml:space="preserve">shared </w:t>
      </w:r>
      <w:r w:rsidR="00937E94" w:rsidRPr="00937E94">
        <w:rPr>
          <w:lang w:eastAsia="en-AU"/>
        </w:rPr>
        <w:t>corporate services.</w:t>
      </w:r>
      <w:r w:rsidR="004F2CD9">
        <w:rPr>
          <w:lang w:eastAsia="en-AU"/>
        </w:rPr>
        <w:t xml:space="preserve"> </w:t>
      </w:r>
    </w:p>
    <w:p w14:paraId="36BF92B6" w14:textId="5215E29B" w:rsidR="00F52D10" w:rsidRPr="00223EB9" w:rsidRDefault="00F52D10" w:rsidP="00223EB9">
      <w:pPr>
        <w:rPr>
          <w:b/>
          <w:bCs/>
          <w:color w:val="00264D" w:themeColor="background2"/>
          <w:sz w:val="20"/>
          <w:szCs w:val="24"/>
          <w:lang w:val="en-US"/>
        </w:rPr>
      </w:pPr>
      <w:r w:rsidRPr="00223EB9">
        <w:rPr>
          <w:b/>
          <w:bCs/>
          <w:color w:val="00264D" w:themeColor="background2"/>
          <w:sz w:val="20"/>
          <w:szCs w:val="24"/>
        </w:rPr>
        <w:t>There has been consistent feedback about the need for greater transparency and consistency in all aspects of the program</w:t>
      </w:r>
    </w:p>
    <w:p w14:paraId="51DA065A" w14:textId="77777777" w:rsidR="00983103" w:rsidRDefault="00F52D10" w:rsidP="00F52D10">
      <w:pPr>
        <w:rPr>
          <w:lang w:eastAsia="en-AU"/>
        </w:rPr>
      </w:pPr>
      <w:r w:rsidRPr="00F52D10">
        <w:rPr>
          <w:lang w:eastAsia="en-AU"/>
        </w:rPr>
        <w:t>Stakeholders identified a need for greater transparency and consistency in multiple areas</w:t>
      </w:r>
      <w:r w:rsidR="00315D01">
        <w:rPr>
          <w:lang w:eastAsia="en-AU"/>
        </w:rPr>
        <w:t xml:space="preserve"> of the P2CC program</w:t>
      </w:r>
      <w:r w:rsidR="00983103">
        <w:rPr>
          <w:lang w:eastAsia="en-AU"/>
        </w:rPr>
        <w:t>. These included:</w:t>
      </w:r>
    </w:p>
    <w:p w14:paraId="7D554955" w14:textId="77777777" w:rsidR="00983103" w:rsidRDefault="00F52D10" w:rsidP="00983103">
      <w:pPr>
        <w:pStyle w:val="Bullet"/>
      </w:pPr>
      <w:r w:rsidRPr="00F52D10">
        <w:t>decision-making criteria and processes</w:t>
      </w:r>
    </w:p>
    <w:p w14:paraId="7B133A82" w14:textId="77777777" w:rsidR="00983103" w:rsidRDefault="00F52D10" w:rsidP="00983103">
      <w:pPr>
        <w:pStyle w:val="Bullet"/>
      </w:pPr>
      <w:r w:rsidRPr="00F52D10">
        <w:t>business case requirements and timeframes</w:t>
      </w:r>
    </w:p>
    <w:p w14:paraId="26ECA022" w14:textId="77777777" w:rsidR="00983103" w:rsidRDefault="00F52D10" w:rsidP="00983103">
      <w:pPr>
        <w:pStyle w:val="Bullet"/>
      </w:pPr>
      <w:r w:rsidRPr="00F52D10">
        <w:t>funding</w:t>
      </w:r>
      <w:r w:rsidR="00702CDB">
        <w:t xml:space="preserve"> and </w:t>
      </w:r>
      <w:r w:rsidRPr="00F52D10">
        <w:t>resource requirements and sources</w:t>
      </w:r>
    </w:p>
    <w:p w14:paraId="42A51898" w14:textId="77777777" w:rsidR="00983103" w:rsidRDefault="00F52D10" w:rsidP="00983103">
      <w:pPr>
        <w:pStyle w:val="Bullet"/>
      </w:pPr>
      <w:r w:rsidRPr="00F52D10">
        <w:t xml:space="preserve">roles and responsibilities of different parties in the transition process (particularly after approval), and </w:t>
      </w:r>
    </w:p>
    <w:p w14:paraId="6E6C174C" w14:textId="77777777" w:rsidR="00F52D10" w:rsidRPr="00983103" w:rsidRDefault="00F52D10" w:rsidP="00983103">
      <w:pPr>
        <w:pStyle w:val="Bullet"/>
      </w:pPr>
      <w:r w:rsidRPr="00F52D10">
        <w:t>arrangements to review and recalibrate the transition over time in response to invariable challenges.</w:t>
      </w:r>
    </w:p>
    <w:p w14:paraId="114C8DBF" w14:textId="66764DDF" w:rsidR="0034313A" w:rsidRDefault="00F52D10" w:rsidP="00F52D10">
      <w:pPr>
        <w:rPr>
          <w:lang w:eastAsia="en-AU"/>
        </w:rPr>
      </w:pPr>
      <w:r w:rsidRPr="00F52D10">
        <w:rPr>
          <w:lang w:eastAsia="en-AU"/>
        </w:rPr>
        <w:t>There is an apparent disconnect between the personal and emotional investment of communities and that of other stakeholders in the transition process.</w:t>
      </w:r>
      <w:r w:rsidR="00956F4D">
        <w:rPr>
          <w:lang w:eastAsia="en-AU"/>
        </w:rPr>
        <w:t xml:space="preserve"> </w:t>
      </w:r>
      <w:r w:rsidRPr="00F52D10">
        <w:rPr>
          <w:lang w:eastAsia="en-AU"/>
        </w:rPr>
        <w:t>Combined with the lack of transparency and consistency described above,</w:t>
      </w:r>
      <w:r w:rsidR="001F1BF2">
        <w:rPr>
          <w:lang w:eastAsia="en-AU"/>
        </w:rPr>
        <w:t xml:space="preserve"> and the limited opportunities to participate in the program,</w:t>
      </w:r>
      <w:r w:rsidRPr="00F52D10">
        <w:rPr>
          <w:lang w:eastAsia="en-AU"/>
        </w:rPr>
        <w:t xml:space="preserve"> this can exacerbate confusion and frustration on the part of communities. </w:t>
      </w:r>
      <w:r w:rsidR="00061F24">
        <w:rPr>
          <w:lang w:eastAsia="en-AU"/>
        </w:rPr>
        <w:t>ACCHOs and peak bodies</w:t>
      </w:r>
      <w:r w:rsidR="00BB0953">
        <w:rPr>
          <w:lang w:eastAsia="en-AU"/>
        </w:rPr>
        <w:t xml:space="preserve"> described </w:t>
      </w:r>
      <w:r w:rsidR="00F54358">
        <w:rPr>
          <w:lang w:eastAsia="en-AU"/>
        </w:rPr>
        <w:t xml:space="preserve">the passion </w:t>
      </w:r>
      <w:r w:rsidR="00A5044B">
        <w:rPr>
          <w:lang w:eastAsia="en-AU"/>
        </w:rPr>
        <w:t xml:space="preserve">and devotion </w:t>
      </w:r>
      <w:r w:rsidR="0036032E">
        <w:rPr>
          <w:lang w:eastAsia="en-AU"/>
        </w:rPr>
        <w:t xml:space="preserve">of communities to the transition process, and the stress and let down when transitions are </w:t>
      </w:r>
      <w:r w:rsidR="00A23907">
        <w:rPr>
          <w:lang w:eastAsia="en-AU"/>
        </w:rPr>
        <w:t>delayed,</w:t>
      </w:r>
      <w:r w:rsidR="0036032E">
        <w:rPr>
          <w:lang w:eastAsia="en-AU"/>
        </w:rPr>
        <w:t xml:space="preserve"> </w:t>
      </w:r>
      <w:r w:rsidR="00215A4A">
        <w:rPr>
          <w:lang w:eastAsia="en-AU"/>
        </w:rPr>
        <w:t xml:space="preserve">and the purpose of the program is lost in </w:t>
      </w:r>
      <w:r w:rsidR="005D7C2A">
        <w:rPr>
          <w:lang w:eastAsia="en-AU"/>
        </w:rPr>
        <w:t>bureaucratic</w:t>
      </w:r>
      <w:r w:rsidR="00215A4A">
        <w:rPr>
          <w:lang w:eastAsia="en-AU"/>
        </w:rPr>
        <w:t xml:space="preserve"> processes. </w:t>
      </w:r>
      <w:r w:rsidR="00150098">
        <w:rPr>
          <w:noProof/>
        </w:rPr>
        <mc:AlternateContent>
          <mc:Choice Requires="wps">
            <w:drawing>
              <wp:inline distT="0" distB="0" distL="0" distR="0" wp14:anchorId="63964305" wp14:editId="3D8EC2EF">
                <wp:extent cx="5130140" cy="700644"/>
                <wp:effectExtent l="0" t="0" r="0" b="4445"/>
                <wp:docPr id="42" name="Text Box 42" descr="“Lots of board members are elderly and want to see this transition in their lifetime…it’s the passion and heart of the community – we need to protect this – Non-government stakeholder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5130140" cy="7006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4879D2" w14:textId="77777777" w:rsidR="00150098" w:rsidRPr="00E62AD2" w:rsidRDefault="00150098" w:rsidP="00150098">
                            <w:pPr>
                              <w:pStyle w:val="Callout"/>
                              <w:pBdr>
                                <w:top w:val="single" w:sz="18" w:space="0" w:color="E6E6E1" w:themeColor="accent5"/>
                              </w:pBdr>
                              <w:rPr>
                                <w:color w:val="00264D" w:themeColor="background2"/>
                                <w:sz w:val="18"/>
                                <w:szCs w:val="18"/>
                              </w:rPr>
                            </w:pPr>
                            <w:r w:rsidRPr="00B5094C">
                              <w:rPr>
                                <w:i/>
                                <w:color w:val="F25E21" w:themeColor="accent2"/>
                                <w:lang w:val="en-US" w:eastAsia="en-AU"/>
                              </w:rPr>
                              <w:t>“</w:t>
                            </w:r>
                            <w:r>
                              <w:rPr>
                                <w:i/>
                                <w:color w:val="F25E21" w:themeColor="accent2"/>
                                <w:lang w:val="en-US" w:eastAsia="en-AU"/>
                              </w:rPr>
                              <w:t>Lots of board members are elderly and want to see this transition in their lifetime…it’s the passion and heart of the community – we need to protect this</w:t>
                            </w:r>
                            <w:r w:rsidRPr="00B5094C">
                              <w:rPr>
                                <w:i/>
                                <w:color w:val="F25E21" w:themeColor="accent2"/>
                                <w:lang w:val="en-US" w:eastAsia="en-AU"/>
                              </w:rPr>
                              <w:t> </w:t>
                            </w:r>
                            <w:r w:rsidRPr="005D5574">
                              <w:rPr>
                                <w:i/>
                                <w:color w:val="F25E21" w:themeColor="accent2"/>
                                <w:lang w:val="en-US" w:eastAsia="en-AU"/>
                              </w:rPr>
                              <w:t xml:space="preserve">– </w:t>
                            </w:r>
                            <w:r>
                              <w:rPr>
                                <w:i/>
                                <w:iCs/>
                                <w:color w:val="00264D" w:themeColor="background2"/>
                                <w:sz w:val="18"/>
                                <w:szCs w:val="18"/>
                                <w:lang w:val="en-US" w:eastAsia="en-AU"/>
                              </w:rPr>
                              <w:t xml:space="preserve">Non-government stakeholder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inline>
            </w:drawing>
          </mc:Choice>
          <mc:Fallback>
            <w:pict>
              <v:shape w14:anchorId="63964305" id="Text Box 42" o:spid="_x0000_s1028" type="#_x0000_t202" alt="“Lots of board members are elderly and want to see this transition in their lifetime…it’s the passion and heart of the community – we need to protect this – Non-government stakeholder  " style="width:403.95pt;height:5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" fillcolor="white [3201]" stroked="f" strokeweight=".5pt">
                <v:textbox inset="0,,1mm">
                  <w:txbxContent>
                    <w:p w14:paraId="3B4879D2" w14:textId="77777777" w:rsidR="00150098" w:rsidRPr="00E62AD2" w:rsidRDefault="00150098" w:rsidP="00150098">
                      <w:pPr>
                        <w:pStyle w:val="Callout"/>
                        <w:pBdr>
                          <w:top w:val="single" w:sz="18" w:space="0" w:color="E6E6E1" w:themeColor="accent5"/>
                        </w:pBdr>
                        <w:rPr>
                          <w:color w:val="00264D" w:themeColor="background2"/>
                          <w:sz w:val="18"/>
                          <w:szCs w:val="18"/>
                        </w:rPr>
                      </w:pPr>
                      <w:r w:rsidRPr="00B5094C">
                        <w:rPr>
                          <w:i/>
                          <w:color w:val="F25E21" w:themeColor="accent2"/>
                          <w:lang w:val="en-US" w:eastAsia="en-AU"/>
                        </w:rPr>
                        <w:t>“</w:t>
                      </w:r>
                      <w:r>
                        <w:rPr>
                          <w:i/>
                          <w:color w:val="F25E21" w:themeColor="accent2"/>
                          <w:lang w:val="en-US" w:eastAsia="en-AU"/>
                        </w:rPr>
                        <w:t>Lots of board members are elderly and want to see this transition in their lifetime…it’s the passion and heart of the community – we need to protect this</w:t>
                      </w:r>
                      <w:r w:rsidRPr="00B5094C">
                        <w:rPr>
                          <w:i/>
                          <w:color w:val="F25E21" w:themeColor="accent2"/>
                          <w:lang w:val="en-US" w:eastAsia="en-AU"/>
                        </w:rPr>
                        <w:t> </w:t>
                      </w:r>
                      <w:r w:rsidRPr="005D5574">
                        <w:rPr>
                          <w:i/>
                          <w:color w:val="F25E21" w:themeColor="accent2"/>
                          <w:lang w:val="en-US" w:eastAsia="en-AU"/>
                        </w:rPr>
                        <w:t xml:space="preserve">– </w:t>
                      </w:r>
                      <w:proofErr w:type="gramStart"/>
                      <w:r>
                        <w:rPr>
                          <w:i/>
                          <w:iCs/>
                          <w:color w:val="00264D" w:themeColor="background2"/>
                          <w:sz w:val="18"/>
                          <w:szCs w:val="18"/>
                          <w:lang w:val="en-US" w:eastAsia="en-AU"/>
                        </w:rPr>
                        <w:t>Non-government</w:t>
                      </w:r>
                      <w:proofErr w:type="gramEnd"/>
                      <w:r>
                        <w:rPr>
                          <w:i/>
                          <w:iCs/>
                          <w:color w:val="00264D" w:themeColor="background2"/>
                          <w:sz w:val="18"/>
                          <w:szCs w:val="18"/>
                          <w:lang w:val="en-US" w:eastAsia="en-AU"/>
                        </w:rPr>
                        <w:t xml:space="preserve"> stakeholder  </w:t>
                      </w:r>
                    </w:p>
                  </w:txbxContent>
                </v:textbox>
                <w10:anchorlock/>
              </v:shape>
            </w:pict>
          </mc:Fallback>
        </mc:AlternateContent>
      </w:r>
    </w:p>
    <w:p w14:paraId="3809608A" w14:textId="1930E083" w:rsidR="00150098" w:rsidRDefault="00F52D10" w:rsidP="00F52D10">
      <w:pPr>
        <w:rPr>
          <w:lang w:eastAsia="en-AU"/>
        </w:rPr>
      </w:pPr>
      <w:r w:rsidRPr="00F52D10">
        <w:rPr>
          <w:lang w:eastAsia="en-AU"/>
        </w:rPr>
        <w:t xml:space="preserve">The program could </w:t>
      </w:r>
      <w:r w:rsidR="00A8312C">
        <w:rPr>
          <w:lang w:eastAsia="en-AU"/>
        </w:rPr>
        <w:t xml:space="preserve">also </w:t>
      </w:r>
      <w:r w:rsidRPr="00F52D10">
        <w:rPr>
          <w:lang w:eastAsia="en-AU"/>
        </w:rPr>
        <w:t>be better communicated. For example, some stakeholders</w:t>
      </w:r>
      <w:r w:rsidR="00B453A9">
        <w:rPr>
          <w:lang w:eastAsia="en-AU"/>
        </w:rPr>
        <w:t>,</w:t>
      </w:r>
      <w:r w:rsidRPr="00F52D10">
        <w:rPr>
          <w:lang w:eastAsia="en-AU"/>
        </w:rPr>
        <w:t xml:space="preserve"> </w:t>
      </w:r>
      <w:r w:rsidR="00A8312C">
        <w:rPr>
          <w:lang w:eastAsia="en-AU"/>
        </w:rPr>
        <w:t>including ACCHOs</w:t>
      </w:r>
      <w:r w:rsidR="00B453A9">
        <w:rPr>
          <w:lang w:eastAsia="en-AU"/>
        </w:rPr>
        <w:t>,</w:t>
      </w:r>
      <w:r w:rsidR="00A8312C">
        <w:rPr>
          <w:lang w:eastAsia="en-AU"/>
        </w:rPr>
        <w:t xml:space="preserve"> </w:t>
      </w:r>
      <w:r w:rsidRPr="00F52D10">
        <w:rPr>
          <w:lang w:eastAsia="en-AU"/>
        </w:rPr>
        <w:t xml:space="preserve">were unaware of </w:t>
      </w:r>
      <w:r w:rsidR="00A8312C">
        <w:rPr>
          <w:lang w:eastAsia="en-AU"/>
        </w:rPr>
        <w:t>the program</w:t>
      </w:r>
      <w:r w:rsidR="003300D6">
        <w:rPr>
          <w:lang w:eastAsia="en-AU"/>
        </w:rPr>
        <w:t xml:space="preserve"> in </w:t>
      </w:r>
      <w:r w:rsidR="007551B2">
        <w:rPr>
          <w:lang w:eastAsia="en-AU"/>
        </w:rPr>
        <w:t xml:space="preserve">Nous’ </w:t>
      </w:r>
      <w:r w:rsidR="003300D6">
        <w:rPr>
          <w:lang w:eastAsia="en-AU"/>
        </w:rPr>
        <w:t>consultations</w:t>
      </w:r>
      <w:r w:rsidRPr="00F52D10">
        <w:rPr>
          <w:lang w:eastAsia="en-AU"/>
        </w:rPr>
        <w:t xml:space="preserve"> or unclear on its relationship to related processes such as regionalisation.</w:t>
      </w:r>
      <w:r w:rsidR="00F63D2A">
        <w:rPr>
          <w:lang w:eastAsia="en-AU"/>
        </w:rPr>
        <w:t xml:space="preserve"> </w:t>
      </w:r>
      <w:r w:rsidR="007233FD">
        <w:rPr>
          <w:lang w:eastAsia="en-AU"/>
        </w:rPr>
        <w:t xml:space="preserve">Stakeholders were unsure what the future pipeline of transitions were for the </w:t>
      </w:r>
      <w:r w:rsidR="00BF0336">
        <w:rPr>
          <w:lang w:eastAsia="en-AU"/>
        </w:rPr>
        <w:t xml:space="preserve">program or whether there was a plan in place to transition over the remaining health services to community control in the </w:t>
      </w:r>
      <w:r w:rsidR="004A69DC">
        <w:rPr>
          <w:lang w:eastAsia="en-AU"/>
        </w:rPr>
        <w:t>NT</w:t>
      </w:r>
      <w:r w:rsidR="00BF0336">
        <w:rPr>
          <w:lang w:eastAsia="en-AU"/>
        </w:rPr>
        <w:t xml:space="preserve">. </w:t>
      </w:r>
    </w:p>
    <w:p w14:paraId="5AC952C4" w14:textId="28D90EDC" w:rsidR="00F52D10" w:rsidRPr="00720B9B" w:rsidRDefault="00150098" w:rsidP="00720B9B">
      <w:pPr>
        <w:spacing w:after="160" w:line="259" w:lineRule="auto"/>
        <w:rPr>
          <w:lang w:eastAsia="en-AU"/>
        </w:rPr>
      </w:pPr>
      <w:r>
        <w:rPr>
          <w:lang w:eastAsia="en-AU"/>
        </w:rPr>
        <w:br w:type="page"/>
      </w:r>
      <w:r w:rsidR="00F52D10" w:rsidRPr="00223EB9">
        <w:rPr>
          <w:b/>
          <w:bCs/>
          <w:color w:val="00264D" w:themeColor="background2"/>
          <w:sz w:val="20"/>
          <w:szCs w:val="24"/>
        </w:rPr>
        <w:lastRenderedPageBreak/>
        <w:t>There is potential to improve the staging of transition processes</w:t>
      </w:r>
    </w:p>
    <w:p w14:paraId="256A360B" w14:textId="5A16A3FD" w:rsidR="00E05F2F" w:rsidRDefault="00F52D10" w:rsidP="00F52D10">
      <w:pPr>
        <w:rPr>
          <w:lang w:eastAsia="en-AU"/>
        </w:rPr>
      </w:pPr>
      <w:r w:rsidRPr="00F52D10">
        <w:rPr>
          <w:lang w:eastAsia="en-AU"/>
        </w:rPr>
        <w:t>Many stakeholders called for greater emphasis on, and a more structured approach to, the development stage of the transition process. This first stage is essential to understand communities’ needs and preferences and identify which pathways will best address them. At present, this stage is seen to be undermined by</w:t>
      </w:r>
      <w:r w:rsidR="007E57C9">
        <w:rPr>
          <w:lang w:eastAsia="en-AU"/>
        </w:rPr>
        <w:t xml:space="preserve"> several factors. </w:t>
      </w:r>
      <w:r w:rsidR="004E39A2">
        <w:rPr>
          <w:lang w:eastAsia="en-AU"/>
        </w:rPr>
        <w:t xml:space="preserve">For example, stakeholders reported a </w:t>
      </w:r>
      <w:r w:rsidRPr="00F52D10">
        <w:rPr>
          <w:lang w:eastAsia="en-AU"/>
        </w:rPr>
        <w:t>lack of trust and consistency in community consultation process</w:t>
      </w:r>
      <w:r w:rsidR="00C66517">
        <w:rPr>
          <w:lang w:eastAsia="en-AU"/>
        </w:rPr>
        <w:t>es</w:t>
      </w:r>
      <w:r w:rsidR="00F33F0A">
        <w:rPr>
          <w:lang w:eastAsia="en-AU"/>
        </w:rPr>
        <w:t xml:space="preserve">, </w:t>
      </w:r>
      <w:r w:rsidR="00824530">
        <w:rPr>
          <w:lang w:eastAsia="en-AU"/>
        </w:rPr>
        <w:t>which was often caused by</w:t>
      </w:r>
      <w:r w:rsidR="00F33F0A">
        <w:rPr>
          <w:lang w:eastAsia="en-AU"/>
        </w:rPr>
        <w:t xml:space="preserve"> </w:t>
      </w:r>
      <w:r w:rsidRPr="00F52D10">
        <w:rPr>
          <w:lang w:eastAsia="en-AU"/>
        </w:rPr>
        <w:t xml:space="preserve">multiple stakeholders </w:t>
      </w:r>
      <w:r w:rsidR="00ED150D">
        <w:rPr>
          <w:lang w:eastAsia="en-AU"/>
        </w:rPr>
        <w:t>undertaking</w:t>
      </w:r>
      <w:r w:rsidRPr="00F52D10">
        <w:rPr>
          <w:lang w:eastAsia="en-AU"/>
        </w:rPr>
        <w:t xml:space="preserve"> their own consultation processes, </w:t>
      </w:r>
      <w:r w:rsidR="00E412B8">
        <w:rPr>
          <w:lang w:eastAsia="en-AU"/>
        </w:rPr>
        <w:t>sometimes</w:t>
      </w:r>
      <w:r w:rsidRPr="00F52D10">
        <w:rPr>
          <w:lang w:eastAsia="en-AU"/>
        </w:rPr>
        <w:t xml:space="preserve"> producing conflicting findings and leading to delays</w:t>
      </w:r>
      <w:r w:rsidR="002E2E60">
        <w:rPr>
          <w:lang w:eastAsia="en-AU"/>
        </w:rPr>
        <w:t>.</w:t>
      </w:r>
      <w:r w:rsidR="00E412B8">
        <w:rPr>
          <w:lang w:eastAsia="en-AU"/>
        </w:rPr>
        <w:t xml:space="preserve"> </w:t>
      </w:r>
    </w:p>
    <w:p w14:paraId="16C20FD1" w14:textId="456DC8A1" w:rsidR="002E1242" w:rsidRDefault="00ED25C2" w:rsidP="00937E94">
      <w:pPr>
        <w:rPr>
          <w:lang w:eastAsia="en-AU"/>
        </w:rPr>
      </w:pPr>
      <w:r>
        <w:rPr>
          <w:lang w:eastAsia="en-AU"/>
        </w:rPr>
        <w:t xml:space="preserve">Stakeholders </w:t>
      </w:r>
      <w:r w:rsidR="00F03457">
        <w:rPr>
          <w:lang w:eastAsia="en-AU"/>
        </w:rPr>
        <w:t>also</w:t>
      </w:r>
      <w:r>
        <w:rPr>
          <w:lang w:eastAsia="en-AU"/>
        </w:rPr>
        <w:t xml:space="preserve"> reported </w:t>
      </w:r>
      <w:r w:rsidR="00BB6342">
        <w:rPr>
          <w:lang w:eastAsia="en-AU"/>
        </w:rPr>
        <w:t>an ‘all or nothing’</w:t>
      </w:r>
      <w:r w:rsidR="00F52D10" w:rsidRPr="00F52D10">
        <w:rPr>
          <w:lang w:eastAsia="en-AU"/>
        </w:rPr>
        <w:t xml:space="preserve"> conception of the choices to be made</w:t>
      </w:r>
      <w:r w:rsidR="00C574EB">
        <w:rPr>
          <w:lang w:eastAsia="en-AU"/>
        </w:rPr>
        <w:t xml:space="preserve">, for example, </w:t>
      </w:r>
      <w:r w:rsidR="00F52D10" w:rsidRPr="00F52D10">
        <w:rPr>
          <w:lang w:eastAsia="en-AU"/>
        </w:rPr>
        <w:t xml:space="preserve">assuming a community wants the </w:t>
      </w:r>
      <w:r w:rsidR="00D318EF">
        <w:rPr>
          <w:lang w:eastAsia="en-AU"/>
        </w:rPr>
        <w:t xml:space="preserve">entire </w:t>
      </w:r>
      <w:r w:rsidR="00F52D10" w:rsidRPr="00F52D10">
        <w:rPr>
          <w:lang w:eastAsia="en-AU"/>
        </w:rPr>
        <w:t>clinic to transition, when nuanced consultation could identify additional options</w:t>
      </w:r>
      <w:r w:rsidR="00C574EB">
        <w:rPr>
          <w:lang w:eastAsia="en-AU"/>
        </w:rPr>
        <w:t xml:space="preserve"> or more staged transitions. </w:t>
      </w:r>
      <w:r w:rsidR="00F52D10" w:rsidRPr="00F52D10">
        <w:rPr>
          <w:lang w:eastAsia="en-AU"/>
        </w:rPr>
        <w:t xml:space="preserve">Some stakeholders advocated for conducting transitions and building ACCHO and community capability more gradually over time, rather than transitioning entire services in a single step. However, other stakeholders argued this would lengthen already protracted transition processes. The transitions that have occurred to date have varied in their pace. The right approach is likely to vary depending on </w:t>
      </w:r>
      <w:r w:rsidR="00BB1DA2">
        <w:rPr>
          <w:lang w:eastAsia="en-AU"/>
        </w:rPr>
        <w:t xml:space="preserve">community preferences and </w:t>
      </w:r>
      <w:r w:rsidR="00F52D10" w:rsidRPr="00F52D10">
        <w:rPr>
          <w:lang w:eastAsia="en-AU"/>
        </w:rPr>
        <w:t>ACCHO’s capabilities.</w:t>
      </w:r>
      <w:r w:rsidR="005B42F8">
        <w:rPr>
          <w:lang w:eastAsia="en-AU"/>
        </w:rPr>
        <w:t xml:space="preserve"> </w:t>
      </w:r>
    </w:p>
    <w:p w14:paraId="6E04F6FE" w14:textId="78FF8651" w:rsidR="00EE2F2E" w:rsidRPr="00BC7D4F" w:rsidRDefault="00D0308B" w:rsidP="00937E94">
      <w:pPr>
        <w:rPr>
          <w:lang w:eastAsia="en-AU"/>
        </w:rPr>
      </w:pPr>
      <w:r>
        <w:t xml:space="preserve">Many stakeholders believed the ongoing partnership between the </w:t>
      </w:r>
      <w:r w:rsidR="00A55AAE">
        <w:t>NTG</w:t>
      </w:r>
      <w:r>
        <w:t xml:space="preserve"> and ACCHOs during and after transition could be more clearly communicated. As identified in the founding document for the P2CC program, there is a continuum of community governance and participation</w:t>
      </w:r>
      <w:r w:rsidR="00DA13A6">
        <w:t xml:space="preserve"> that changes over time</w:t>
      </w:r>
      <w:r>
        <w:t xml:space="preserve">. However, stakeholders reported that community members may view transition in </w:t>
      </w:r>
      <w:r w:rsidR="00480D1C">
        <w:t>“all or nothing”</w:t>
      </w:r>
      <w:r>
        <w:t xml:space="preserve"> terms; for example, expressing concern that the transition means the </w:t>
      </w:r>
      <w:r w:rsidR="00A55AAE">
        <w:t>NTG</w:t>
      </w:r>
      <w:r>
        <w:t xml:space="preserve"> will leave and the ACCHO will be wholly responsible for all health services in the area.</w:t>
      </w:r>
    </w:p>
    <w:p w14:paraId="1922E03A" w14:textId="77777777" w:rsidR="00150098" w:rsidRDefault="00150098" w:rsidP="00937E94">
      <w:pPr>
        <w:rPr>
          <w:lang w:eastAsia="en-AU"/>
        </w:rPr>
      </w:pPr>
      <w:r>
        <w:rPr>
          <w:noProof/>
        </w:rPr>
        <mc:AlternateContent>
          <mc:Choice Requires="wps">
            <w:drawing>
              <wp:inline distT="0" distB="0" distL="0" distR="0" wp14:anchorId="3ED000E7" wp14:editId="391CE150">
                <wp:extent cx="5890161" cy="593766"/>
                <wp:effectExtent l="0" t="0" r="0" b="0"/>
                <wp:docPr id="43" name="Text Box 43" descr="“Government at all levels struggles to work hand in hand [with ACCHOs] so it’s either we manage it or you manage it, when often they [ACCHOs] want a hybrid approach – Non-government stakeholder  "/>
                <wp:cNvGraphicFramePr/>
                <a:graphic xmlns:a="http://schemas.openxmlformats.org/drawingml/2006/main">
                  <a:graphicData uri="http://schemas.microsoft.com/office/word/2010/wordprocessingShape">
                    <wps:wsp>
                      <wps:cNvSpPr txBox="1"/>
                      <wps:spPr>
                        <a:xfrm>
                          <a:off x="0" y="0"/>
                          <a:ext cx="5890161" cy="5937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BF5CE7" w14:textId="7221A85C" w:rsidR="000C6018" w:rsidRPr="00E62AD2" w:rsidRDefault="000C6018" w:rsidP="00E03CC3">
                            <w:pPr>
                              <w:pStyle w:val="Callout"/>
                              <w:pBdr>
                                <w:top w:val="single" w:sz="18" w:space="0" w:color="E6E6E1" w:themeColor="accent5"/>
                              </w:pBdr>
                              <w:rPr>
                                <w:color w:val="00264D" w:themeColor="background2"/>
                                <w:sz w:val="18"/>
                                <w:szCs w:val="18"/>
                              </w:rPr>
                            </w:pPr>
                            <w:r w:rsidRPr="00B5094C">
                              <w:rPr>
                                <w:i/>
                                <w:color w:val="F25E21" w:themeColor="accent2"/>
                                <w:lang w:val="en-US" w:eastAsia="en-AU"/>
                              </w:rPr>
                              <w:t>“</w:t>
                            </w:r>
                            <w:r>
                              <w:rPr>
                                <w:i/>
                                <w:color w:val="F25E21" w:themeColor="accent2"/>
                                <w:lang w:val="en-US" w:eastAsia="en-AU"/>
                              </w:rPr>
                              <w:t>Government at all levels struggles to work hand in hand [with ACCHOs] so it’s either we manage it or you manage it, when often they [ACCHOs] want a hybrid approach</w:t>
                            </w:r>
                            <w:r w:rsidRPr="00B5094C">
                              <w:rPr>
                                <w:i/>
                                <w:color w:val="F25E21" w:themeColor="accent2"/>
                                <w:lang w:val="en-US" w:eastAsia="en-AU"/>
                              </w:rPr>
                              <w:t> </w:t>
                            </w:r>
                            <w:r w:rsidRPr="005D5574">
                              <w:rPr>
                                <w:i/>
                                <w:color w:val="F25E21" w:themeColor="accent2"/>
                                <w:lang w:val="en-US" w:eastAsia="en-AU"/>
                              </w:rPr>
                              <w:t xml:space="preserve">– </w:t>
                            </w:r>
                            <w:r>
                              <w:rPr>
                                <w:i/>
                                <w:iCs/>
                                <w:color w:val="00264D" w:themeColor="background2"/>
                                <w:sz w:val="18"/>
                                <w:szCs w:val="18"/>
                                <w:lang w:val="en-US" w:eastAsia="en-AU"/>
                              </w:rPr>
                              <w:t xml:space="preserve">Non-government stakeholder  </w:t>
                            </w:r>
                          </w:p>
                          <w:p w14:paraId="799F7E9C" w14:textId="77777777" w:rsidR="00150098" w:rsidRDefault="00150098"/>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inline>
            </w:drawing>
          </mc:Choice>
          <mc:Fallback>
            <w:pict>
              <v:shape w14:anchorId="3ED000E7" id="Text Box 43" o:spid="_x0000_s1029" type="#_x0000_t202" alt="“Government at all levels struggles to work hand in hand [with ACCHOs] so it’s either we manage it or you manage it, when often they [ACCHOs] want a hybrid approach – Non-government stakeholder  " style="width:463.8pt;height:4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" fillcolor="white [3201]" stroked="f" strokeweight=".5pt">
                <v:textbox inset="0,,1mm">
                  <w:txbxContent>
                    <w:p w14:paraId="76BF5CE7" w14:textId="7221A85C" w:rsidR="000C6018" w:rsidRPr="00E62AD2" w:rsidRDefault="000C6018" w:rsidP="00E03CC3">
                      <w:pPr>
                        <w:pStyle w:val="Callout"/>
                        <w:pBdr>
                          <w:top w:val="single" w:sz="18" w:space="0" w:color="E6E6E1" w:themeColor="accent5"/>
                        </w:pBdr>
                        <w:rPr>
                          <w:color w:val="00264D" w:themeColor="background2"/>
                          <w:sz w:val="18"/>
                          <w:szCs w:val="18"/>
                        </w:rPr>
                      </w:pPr>
                      <w:r w:rsidRPr="00B5094C">
                        <w:rPr>
                          <w:i/>
                          <w:color w:val="F25E21" w:themeColor="accent2"/>
                          <w:lang w:val="en-US" w:eastAsia="en-AU"/>
                        </w:rPr>
                        <w:t>“</w:t>
                      </w:r>
                      <w:r>
                        <w:rPr>
                          <w:i/>
                          <w:color w:val="F25E21" w:themeColor="accent2"/>
                          <w:lang w:val="en-US" w:eastAsia="en-AU"/>
                        </w:rPr>
                        <w:t xml:space="preserve">Government at all levels struggles to work hand in hand [with ACCHOs] so it’s either we manage </w:t>
                      </w:r>
                      <w:proofErr w:type="gramStart"/>
                      <w:r>
                        <w:rPr>
                          <w:i/>
                          <w:color w:val="F25E21" w:themeColor="accent2"/>
                          <w:lang w:val="en-US" w:eastAsia="en-AU"/>
                        </w:rPr>
                        <w:t>it</w:t>
                      </w:r>
                      <w:proofErr w:type="gramEnd"/>
                      <w:r>
                        <w:rPr>
                          <w:i/>
                          <w:color w:val="F25E21" w:themeColor="accent2"/>
                          <w:lang w:val="en-US" w:eastAsia="en-AU"/>
                        </w:rPr>
                        <w:t xml:space="preserve"> or you manage it, when often they [ACCHOs] want a hybrid approach</w:t>
                      </w:r>
                      <w:r w:rsidRPr="00B5094C">
                        <w:rPr>
                          <w:i/>
                          <w:color w:val="F25E21" w:themeColor="accent2"/>
                          <w:lang w:val="en-US" w:eastAsia="en-AU"/>
                        </w:rPr>
                        <w:t> </w:t>
                      </w:r>
                      <w:r w:rsidRPr="005D5574">
                        <w:rPr>
                          <w:i/>
                          <w:color w:val="F25E21" w:themeColor="accent2"/>
                          <w:lang w:val="en-US" w:eastAsia="en-AU"/>
                        </w:rPr>
                        <w:t xml:space="preserve">– </w:t>
                      </w:r>
                      <w:r>
                        <w:rPr>
                          <w:i/>
                          <w:iCs/>
                          <w:color w:val="00264D" w:themeColor="background2"/>
                          <w:sz w:val="18"/>
                          <w:szCs w:val="18"/>
                          <w:lang w:val="en-US" w:eastAsia="en-AU"/>
                        </w:rPr>
                        <w:t xml:space="preserve">Non-government stakeholder  </w:t>
                      </w:r>
                    </w:p>
                    <w:p w14:paraId="799F7E9C" w14:textId="77777777" w:rsidR="00150098" w:rsidRDefault="00150098"/>
                  </w:txbxContent>
                </v:textbox>
                <w10:anchorlock/>
              </v:shape>
            </w:pict>
          </mc:Fallback>
        </mc:AlternateContent>
      </w:r>
    </w:p>
    <w:p w14:paraId="5600D9F4" w14:textId="3CA327F6" w:rsidR="00150098" w:rsidRDefault="005B42F8" w:rsidP="00937E94">
      <w:pPr>
        <w:rPr>
          <w:lang w:eastAsia="en-AU"/>
        </w:rPr>
      </w:pPr>
      <w:r>
        <w:rPr>
          <w:lang w:eastAsia="en-AU"/>
        </w:rPr>
        <w:t xml:space="preserve">There was also debate as to whether new ACCHOs should be </w:t>
      </w:r>
      <w:r w:rsidR="00C7486F">
        <w:rPr>
          <w:lang w:eastAsia="en-AU"/>
        </w:rPr>
        <w:t xml:space="preserve">supported to </w:t>
      </w:r>
      <w:r w:rsidR="00983D32">
        <w:rPr>
          <w:lang w:eastAsia="en-AU"/>
        </w:rPr>
        <w:t xml:space="preserve">be </w:t>
      </w:r>
      <w:r w:rsidR="004065F4">
        <w:rPr>
          <w:lang w:eastAsia="en-AU"/>
        </w:rPr>
        <w:t>established</w:t>
      </w:r>
      <w:r w:rsidR="00983D32">
        <w:rPr>
          <w:lang w:eastAsia="en-AU"/>
        </w:rPr>
        <w:t xml:space="preserve"> under this </w:t>
      </w:r>
      <w:r w:rsidR="004065F4">
        <w:rPr>
          <w:lang w:eastAsia="en-AU"/>
        </w:rPr>
        <w:t>program</w:t>
      </w:r>
      <w:r w:rsidR="00983D32">
        <w:rPr>
          <w:lang w:eastAsia="en-AU"/>
        </w:rPr>
        <w:t xml:space="preserve"> at all, given the significant resources and costs involved in doing so. </w:t>
      </w:r>
      <w:r w:rsidR="004065F4">
        <w:rPr>
          <w:lang w:eastAsia="en-AU"/>
        </w:rPr>
        <w:t xml:space="preserve">Some stakeholders firmly believed that </w:t>
      </w:r>
      <w:r w:rsidR="001F721E">
        <w:rPr>
          <w:lang w:eastAsia="en-AU"/>
        </w:rPr>
        <w:t xml:space="preserve">new clinics should </w:t>
      </w:r>
      <w:r w:rsidR="00C203BC">
        <w:rPr>
          <w:lang w:eastAsia="en-AU"/>
        </w:rPr>
        <w:t xml:space="preserve">only </w:t>
      </w:r>
      <w:r w:rsidR="001F721E">
        <w:rPr>
          <w:lang w:eastAsia="en-AU"/>
        </w:rPr>
        <w:t xml:space="preserve">transition to existing </w:t>
      </w:r>
      <w:r w:rsidR="00F21181">
        <w:rPr>
          <w:lang w:eastAsia="en-AU"/>
        </w:rPr>
        <w:t xml:space="preserve">larger </w:t>
      </w:r>
      <w:r w:rsidR="001F721E">
        <w:rPr>
          <w:lang w:eastAsia="en-AU"/>
        </w:rPr>
        <w:t xml:space="preserve">ACCHOs so they can draw on resources and help to achieve economies and scale. </w:t>
      </w:r>
      <w:r w:rsidR="00325733">
        <w:rPr>
          <w:lang w:eastAsia="en-AU"/>
        </w:rPr>
        <w:t>However</w:t>
      </w:r>
      <w:r w:rsidR="003568AD">
        <w:rPr>
          <w:lang w:eastAsia="en-AU"/>
        </w:rPr>
        <w:t>,</w:t>
      </w:r>
      <w:r w:rsidR="00325733">
        <w:rPr>
          <w:lang w:eastAsia="en-AU"/>
        </w:rPr>
        <w:t xml:space="preserve"> other stakeholders</w:t>
      </w:r>
      <w:r w:rsidR="00AF4A72">
        <w:rPr>
          <w:lang w:eastAsia="en-AU"/>
        </w:rPr>
        <w:t xml:space="preserve"> </w:t>
      </w:r>
      <w:r w:rsidR="002D2333">
        <w:rPr>
          <w:lang w:eastAsia="en-AU"/>
        </w:rPr>
        <w:t>were concerned that</w:t>
      </w:r>
      <w:r w:rsidR="004C7710">
        <w:rPr>
          <w:lang w:eastAsia="en-AU"/>
        </w:rPr>
        <w:t xml:space="preserve"> </w:t>
      </w:r>
      <w:r w:rsidR="001B5630">
        <w:rPr>
          <w:lang w:eastAsia="en-AU"/>
        </w:rPr>
        <w:t>this would result in</w:t>
      </w:r>
      <w:r w:rsidR="004C7710">
        <w:rPr>
          <w:lang w:eastAsia="en-AU"/>
        </w:rPr>
        <w:t xml:space="preserve"> </w:t>
      </w:r>
      <w:r w:rsidR="00EC2BFD">
        <w:rPr>
          <w:lang w:eastAsia="en-AU"/>
        </w:rPr>
        <w:t xml:space="preserve">no </w:t>
      </w:r>
      <w:r w:rsidR="004C7710">
        <w:rPr>
          <w:lang w:eastAsia="en-AU"/>
        </w:rPr>
        <w:t>new ACCHOs be</w:t>
      </w:r>
      <w:r w:rsidR="001B5630">
        <w:rPr>
          <w:lang w:eastAsia="en-AU"/>
        </w:rPr>
        <w:t>ing</w:t>
      </w:r>
      <w:r w:rsidR="004C7710">
        <w:rPr>
          <w:lang w:eastAsia="en-AU"/>
        </w:rPr>
        <w:t xml:space="preserve"> supported </w:t>
      </w:r>
      <w:r w:rsidR="003C3745">
        <w:rPr>
          <w:lang w:eastAsia="en-AU"/>
        </w:rPr>
        <w:t xml:space="preserve">to </w:t>
      </w:r>
      <w:r w:rsidR="000B303B">
        <w:rPr>
          <w:lang w:eastAsia="en-AU"/>
        </w:rPr>
        <w:t xml:space="preserve">be </w:t>
      </w:r>
      <w:r w:rsidR="003C3745">
        <w:rPr>
          <w:lang w:eastAsia="en-AU"/>
        </w:rPr>
        <w:t xml:space="preserve">established </w:t>
      </w:r>
      <w:r w:rsidR="0063205D">
        <w:rPr>
          <w:lang w:eastAsia="en-AU"/>
        </w:rPr>
        <w:t>at all in future</w:t>
      </w:r>
      <w:r w:rsidR="003C3745">
        <w:rPr>
          <w:lang w:eastAsia="en-AU"/>
        </w:rPr>
        <w:t xml:space="preserve"> an</w:t>
      </w:r>
      <w:r w:rsidR="004C7710">
        <w:rPr>
          <w:lang w:eastAsia="en-AU"/>
        </w:rPr>
        <w:t>d that this was a disadvantage to communities.</w:t>
      </w:r>
      <w:r w:rsidR="00B37CC2">
        <w:rPr>
          <w:lang w:eastAsia="en-AU"/>
        </w:rPr>
        <w:t xml:space="preserve"> </w:t>
      </w:r>
    </w:p>
    <w:p w14:paraId="242EC6A4" w14:textId="1850FED6" w:rsidR="00387DD9" w:rsidRDefault="00C21C03" w:rsidP="00756039">
      <w:pPr>
        <w:pStyle w:val="Heading2"/>
      </w:pPr>
      <w:bookmarkStart w:id="20" w:name="_Ref103692653"/>
      <w:bookmarkStart w:id="21" w:name="_Toc106294799"/>
      <w:r>
        <w:t>The evaluation also identified findings specific to each transition stage</w:t>
      </w:r>
      <w:bookmarkEnd w:id="20"/>
      <w:bookmarkEnd w:id="21"/>
    </w:p>
    <w:p w14:paraId="50541CD3" w14:textId="77777777" w:rsidR="00150098" w:rsidRDefault="00190044" w:rsidP="00150098">
      <w:r>
        <w:t xml:space="preserve">There are four stages of the </w:t>
      </w:r>
      <w:r w:rsidR="007047BA">
        <w:t xml:space="preserve">transition process </w:t>
      </w:r>
      <w:r w:rsidR="00D97627">
        <w:t xml:space="preserve">outlined in the P2CC </w:t>
      </w:r>
      <w:r w:rsidR="00280F7C">
        <w:t xml:space="preserve">program </w:t>
      </w:r>
      <w:r w:rsidR="00D97627">
        <w:t>framework</w:t>
      </w:r>
      <w:r w:rsidR="00953087">
        <w:t xml:space="preserve"> as shown in </w:t>
      </w:r>
      <w:r w:rsidR="008669B3">
        <w:fldChar w:fldCharType="begin"/>
      </w:r>
      <w:r w:rsidR="008669B3">
        <w:instrText xml:space="preserve"> REF _Ref100258669 \h </w:instrText>
      </w:r>
      <w:r w:rsidR="008669B3">
        <w:fldChar w:fldCharType="separate"/>
      </w:r>
      <w:r w:rsidR="00A439E2">
        <w:t xml:space="preserve">Figure  </w:t>
      </w:r>
      <w:r w:rsidR="00A439E2">
        <w:rPr>
          <w:noProof/>
        </w:rPr>
        <w:t>2</w:t>
      </w:r>
      <w:r w:rsidR="008669B3">
        <w:fldChar w:fldCharType="end"/>
      </w:r>
      <w:r w:rsidR="00953087">
        <w:t xml:space="preserve"> below</w:t>
      </w:r>
      <w:r w:rsidR="00D97627">
        <w:t>: development, consolidation, implementation and evaluation</w:t>
      </w:r>
      <w:r w:rsidR="007B1789">
        <w:t xml:space="preserve"> (see </w:t>
      </w:r>
      <w:r w:rsidR="007B1789">
        <w:fldChar w:fldCharType="begin"/>
      </w:r>
      <w:r w:rsidR="007B1789">
        <w:instrText xml:space="preserve"> REF _Ref100258720 \r \h </w:instrText>
      </w:r>
      <w:r w:rsidR="007B1789">
        <w:fldChar w:fldCharType="separate"/>
      </w:r>
      <w:r w:rsidR="00A439E2">
        <w:t>Appendix D</w:t>
      </w:r>
      <w:r w:rsidR="007B1789">
        <w:fldChar w:fldCharType="end"/>
      </w:r>
      <w:r w:rsidR="007B1789">
        <w:t xml:space="preserve"> for more detail)</w:t>
      </w:r>
      <w:r w:rsidR="00D97627">
        <w:t xml:space="preserve">. For the purpose of this report, a ‘pre-transition’ stage has been identified which includes the steps in the transition process </w:t>
      </w:r>
      <w:r w:rsidR="00A43A35">
        <w:t xml:space="preserve">to identify </w:t>
      </w:r>
      <w:r w:rsidR="00953087">
        <w:t>and</w:t>
      </w:r>
      <w:r w:rsidR="00A43A35">
        <w:t xml:space="preserve"> select communities to be part of the P2C</w:t>
      </w:r>
      <w:r w:rsidR="007B1789">
        <w:t>C</w:t>
      </w:r>
      <w:r w:rsidR="00A43A35">
        <w:t xml:space="preserve"> program and award funding </w:t>
      </w:r>
      <w:r w:rsidR="00D97627">
        <w:t>to transition</w:t>
      </w:r>
      <w:r w:rsidR="007B1789">
        <w:t>.</w:t>
      </w:r>
      <w:bookmarkStart w:id="22" w:name="_Ref100258669"/>
      <w:bookmarkStart w:id="23" w:name="_Ref100302838"/>
    </w:p>
    <w:p w14:paraId="21859631" w14:textId="77777777" w:rsidR="00150098" w:rsidRDefault="00150098">
      <w:pPr>
        <w:spacing w:after="160" w:line="259" w:lineRule="auto"/>
      </w:pPr>
      <w:r>
        <w:br w:type="page"/>
      </w:r>
    </w:p>
    <w:p w14:paraId="64F9BE22" w14:textId="45E29BF3" w:rsidR="00DD0B35" w:rsidRDefault="008669B3" w:rsidP="00150098">
      <w:pPr>
        <w:rPr>
          <w:noProof/>
        </w:rPr>
      </w:pPr>
      <w:r>
        <w:lastRenderedPageBreak/>
        <w:t xml:space="preserve">Figure </w:t>
      </w:r>
      <w:r w:rsidR="00DD0B35">
        <w:t xml:space="preserve"> </w:t>
      </w:r>
      <w:r w:rsidR="00410EDF">
        <w:fldChar w:fldCharType="begin"/>
      </w:r>
      <w:r w:rsidR="00410EDF">
        <w:instrText xml:space="preserve"> SEQ Figure \* ARABIC </w:instrText>
      </w:r>
      <w:r w:rsidR="00410EDF">
        <w:fldChar w:fldCharType="separate"/>
      </w:r>
      <w:r w:rsidR="00A439E2">
        <w:rPr>
          <w:noProof/>
        </w:rPr>
        <w:t>2</w:t>
      </w:r>
      <w:r w:rsidR="00410EDF">
        <w:fldChar w:fldCharType="end"/>
      </w:r>
      <w:bookmarkEnd w:id="22"/>
      <w:r w:rsidR="00DD0B35">
        <w:t xml:space="preserve"> | Intended process map for P2CC</w:t>
      </w:r>
      <w:bookmarkEnd w:id="23"/>
      <w:r w:rsidR="00DD0B35">
        <w:t xml:space="preserve"> </w:t>
      </w:r>
      <w:r w:rsidR="00280F7C">
        <w:t>program</w:t>
      </w:r>
    </w:p>
    <w:p w14:paraId="06FE07CE" w14:textId="43C318C5" w:rsidR="00C048B2" w:rsidRPr="00ED2D72" w:rsidRDefault="00647461" w:rsidP="00ED2D72">
      <w:pPr>
        <w:rPr>
          <w:lang w:eastAsia="en-AU"/>
        </w:rPr>
      </w:pPr>
      <w:r w:rsidRPr="00647461">
        <w:rPr>
          <w:noProof/>
        </w:rPr>
        <w:drawing>
          <wp:inline distT="0" distB="0" distL="0" distR="0" wp14:anchorId="51D51591" wp14:editId="51F567EC">
            <wp:extent cx="5670550" cy="5014595"/>
            <wp:effectExtent l="0" t="0" r="6350" b="0"/>
            <wp:docPr id="11" name="Picture 11" descr="The intended process map for P2CC program is split into pre-transition and transition stages with key steps. Pre-transition stage, Development stage, Consolidation stage, Implementation stage and Evaluation st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intended process map for P2CC program is split into pre-transition and transition stages with key steps. Pre-transition stage, Development stage, Consolidation stage, Implementation stage and Evaluation stage.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70550" cy="5014595"/>
                    </a:xfrm>
                    <a:prstGeom prst="rect">
                      <a:avLst/>
                    </a:prstGeom>
                    <a:noFill/>
                    <a:ln>
                      <a:noFill/>
                    </a:ln>
                  </pic:spPr>
                </pic:pic>
              </a:graphicData>
            </a:graphic>
          </wp:inline>
        </w:drawing>
      </w:r>
    </w:p>
    <w:p w14:paraId="0ECF8655" w14:textId="72BD687C" w:rsidR="00916E0E" w:rsidRDefault="00916E0E" w:rsidP="00756039">
      <w:pPr>
        <w:pStyle w:val="Heading3"/>
      </w:pPr>
      <w:bookmarkStart w:id="24" w:name="_Ref100146936"/>
      <w:bookmarkStart w:id="25" w:name="_Ref100255737"/>
      <w:r>
        <w:t>Pre-transition</w:t>
      </w:r>
      <w:bookmarkEnd w:id="24"/>
      <w:r w:rsidR="00EB5EA4" w:rsidRPr="00C044F3">
        <w:rPr>
          <w:rStyle w:val="FootnoteReference"/>
          <w:sz w:val="22"/>
          <w:szCs w:val="16"/>
        </w:rPr>
        <w:footnoteReference w:id="13"/>
      </w:r>
      <w:bookmarkEnd w:id="25"/>
    </w:p>
    <w:tbl>
      <w:tblPr>
        <w:tblStyle w:val="NOUS"/>
        <w:tblW w:w="0" w:type="auto"/>
        <w:tblLook w:val="04A0" w:firstRow="1" w:lastRow="0" w:firstColumn="1" w:lastColumn="0" w:noHBand="0" w:noVBand="1"/>
      </w:tblPr>
      <w:tblGrid>
        <w:gridCol w:w="8930"/>
      </w:tblGrid>
      <w:tr w:rsidR="006A0D1A" w14:paraId="412ED2B6" w14:textId="77777777" w:rsidTr="006A0D1A">
        <w:trPr>
          <w:cnfStyle w:val="100000000000" w:firstRow="1" w:lastRow="0" w:firstColumn="0" w:lastColumn="0" w:oddVBand="0" w:evenVBand="0" w:oddHBand="0" w:evenHBand="0" w:firstRowFirstColumn="0" w:firstRowLastColumn="0" w:lastRowFirstColumn="0" w:lastRowLastColumn="0"/>
        </w:trPr>
        <w:tc>
          <w:tcPr>
            <w:tcW w:w="8930" w:type="dxa"/>
            <w:tcBorders>
              <w:top w:val="single" w:sz="18" w:space="0" w:color="00264D" w:themeColor="background2"/>
            </w:tcBorders>
          </w:tcPr>
          <w:p w14:paraId="2F84E6C7" w14:textId="77777777" w:rsidR="006A0D1A" w:rsidRPr="00063871" w:rsidRDefault="006A0D1A" w:rsidP="006A0D1A">
            <w:pPr>
              <w:rPr>
                <w:rFonts w:eastAsia="Segoe UI" w:cs="Times New Roman"/>
                <w:sz w:val="20"/>
                <w:szCs w:val="24"/>
                <w:lang w:eastAsia="en-AU"/>
              </w:rPr>
            </w:pPr>
            <w:r w:rsidRPr="00063871">
              <w:rPr>
                <w:rFonts w:eastAsia="Segoe UI" w:cs="Times New Roman"/>
                <w:sz w:val="20"/>
                <w:szCs w:val="24"/>
                <w:lang w:eastAsia="en-AU"/>
              </w:rPr>
              <w:t>Summary of findings</w:t>
            </w:r>
          </w:p>
          <w:p w14:paraId="7BA813D1" w14:textId="42F18450" w:rsidR="006A0D1A" w:rsidRPr="006A0D1A" w:rsidRDefault="006A0D1A" w:rsidP="006A0D1A">
            <w:pPr>
              <w:pStyle w:val="Bullet"/>
              <w:rPr>
                <w:b w:val="0"/>
                <w:bCs/>
                <w:lang w:val="en-US"/>
              </w:rPr>
            </w:pPr>
            <w:r w:rsidRPr="006A0D1A">
              <w:rPr>
                <w:rFonts w:eastAsiaTheme="minorEastAsia"/>
                <w:b w:val="0"/>
                <w:bCs/>
              </w:rPr>
              <w:t>NTAHF is generally seen to be a strong, tripartite governance body that is committed to the program</w:t>
            </w:r>
            <w:r w:rsidR="00E3304B">
              <w:rPr>
                <w:rFonts w:eastAsiaTheme="minorEastAsia"/>
                <w:b w:val="0"/>
                <w:bCs/>
              </w:rPr>
              <w:t>.</w:t>
            </w:r>
          </w:p>
          <w:p w14:paraId="536438D8" w14:textId="466DC774" w:rsidR="006A0D1A" w:rsidRPr="006A0D1A" w:rsidRDefault="006A0D1A" w:rsidP="006A0D1A">
            <w:pPr>
              <w:pStyle w:val="Bullet"/>
              <w:rPr>
                <w:b w:val="0"/>
                <w:bCs/>
              </w:rPr>
            </w:pPr>
            <w:r w:rsidRPr="006A0D1A">
              <w:rPr>
                <w:b w:val="0"/>
                <w:bCs/>
              </w:rPr>
              <w:t>NTAHF members' roles and responsibilities could be more clearly defined</w:t>
            </w:r>
            <w:r w:rsidR="00E3304B">
              <w:rPr>
                <w:b w:val="0"/>
                <w:bCs/>
              </w:rPr>
              <w:t>.</w:t>
            </w:r>
          </w:p>
          <w:p w14:paraId="1F17C3E8" w14:textId="7C899789" w:rsidR="006A0D1A" w:rsidRPr="006A0D1A" w:rsidRDefault="006A0D1A" w:rsidP="006A0D1A">
            <w:pPr>
              <w:pStyle w:val="Bullet"/>
              <w:rPr>
                <w:b w:val="0"/>
                <w:bCs/>
              </w:rPr>
            </w:pPr>
            <w:r w:rsidRPr="006A0D1A">
              <w:rPr>
                <w:b w:val="0"/>
              </w:rPr>
              <w:t>NTAHF processes overlap with other decision-making processes</w:t>
            </w:r>
            <w:r w:rsidR="00E3304B">
              <w:rPr>
                <w:b w:val="0"/>
              </w:rPr>
              <w:t>.</w:t>
            </w:r>
          </w:p>
          <w:p w14:paraId="4D4B175A" w14:textId="758540DB" w:rsidR="006A0D1A" w:rsidRPr="006A0D1A" w:rsidRDefault="006A0D1A" w:rsidP="006A0D1A">
            <w:pPr>
              <w:pStyle w:val="Bullet"/>
              <w:rPr>
                <w:b w:val="0"/>
                <w:bCs/>
              </w:rPr>
            </w:pPr>
            <w:r w:rsidRPr="006A0D1A">
              <w:rPr>
                <w:rFonts w:eastAsiaTheme="minorEastAsia"/>
                <w:b w:val="0"/>
              </w:rPr>
              <w:t>The NTAHF process to identify, select and prioritise transitions is perceived to be unclear</w:t>
            </w:r>
            <w:r w:rsidR="00E3304B">
              <w:rPr>
                <w:rFonts w:eastAsiaTheme="minorEastAsia"/>
                <w:b w:val="0"/>
              </w:rPr>
              <w:t>.</w:t>
            </w:r>
          </w:p>
          <w:p w14:paraId="4C7BB72B" w14:textId="14161330" w:rsidR="006A0D1A" w:rsidRPr="00C16726" w:rsidRDefault="00C16726" w:rsidP="006A0D1A">
            <w:pPr>
              <w:pStyle w:val="Bullet"/>
              <w:rPr>
                <w:b w:val="0"/>
              </w:rPr>
            </w:pPr>
            <w:r w:rsidRPr="00C16726">
              <w:rPr>
                <w:rFonts w:eastAsiaTheme="minorEastAsia"/>
                <w:b w:val="0"/>
              </w:rPr>
              <w:t>The business case is an important document, but is only the start of negotiations</w:t>
            </w:r>
            <w:r w:rsidR="00E3304B">
              <w:rPr>
                <w:rFonts w:eastAsiaTheme="minorEastAsia"/>
                <w:b w:val="0"/>
              </w:rPr>
              <w:t>.</w:t>
            </w:r>
          </w:p>
        </w:tc>
      </w:tr>
    </w:tbl>
    <w:p w14:paraId="500AA486" w14:textId="77777777" w:rsidR="00223EB9" w:rsidRDefault="00223EB9" w:rsidP="00223EB9">
      <w:pPr>
        <w:rPr>
          <w:b/>
          <w:bCs/>
          <w:color w:val="00264D" w:themeColor="background2"/>
          <w:sz w:val="20"/>
          <w:szCs w:val="24"/>
        </w:rPr>
      </w:pPr>
    </w:p>
    <w:p w14:paraId="6BC84F3C" w14:textId="384F913C" w:rsidR="00150098" w:rsidRDefault="00150098">
      <w:pPr>
        <w:spacing w:after="160" w:line="259" w:lineRule="auto"/>
        <w:rPr>
          <w:b/>
          <w:bCs/>
          <w:color w:val="00264D" w:themeColor="background2"/>
          <w:sz w:val="20"/>
          <w:szCs w:val="24"/>
        </w:rPr>
      </w:pPr>
      <w:r>
        <w:rPr>
          <w:b/>
          <w:bCs/>
          <w:color w:val="00264D" w:themeColor="background2"/>
          <w:sz w:val="20"/>
          <w:szCs w:val="24"/>
        </w:rPr>
        <w:br w:type="page"/>
      </w:r>
    </w:p>
    <w:p w14:paraId="5F838B3A" w14:textId="77777777" w:rsidR="00223EB9" w:rsidRDefault="00223EB9" w:rsidP="00223EB9">
      <w:pPr>
        <w:rPr>
          <w:b/>
          <w:bCs/>
          <w:color w:val="00264D" w:themeColor="background2"/>
          <w:sz w:val="20"/>
          <w:szCs w:val="24"/>
        </w:rPr>
      </w:pPr>
    </w:p>
    <w:p w14:paraId="00D89FBE" w14:textId="43569614" w:rsidR="00784D37" w:rsidRPr="00223EB9" w:rsidRDefault="00784D37" w:rsidP="00223EB9">
      <w:pPr>
        <w:rPr>
          <w:b/>
          <w:bCs/>
          <w:color w:val="00264D" w:themeColor="background2"/>
          <w:sz w:val="20"/>
          <w:szCs w:val="24"/>
          <w:lang w:val="en-US"/>
        </w:rPr>
      </w:pPr>
      <w:r w:rsidRPr="00223EB9">
        <w:rPr>
          <w:b/>
          <w:bCs/>
          <w:color w:val="00264D" w:themeColor="background2"/>
          <w:sz w:val="20"/>
          <w:szCs w:val="24"/>
        </w:rPr>
        <w:t>NTAHF is generally seen to be a strong tripartite governance body that is committed to the program</w:t>
      </w:r>
    </w:p>
    <w:p w14:paraId="4FDAFEBD" w14:textId="514F1FA4" w:rsidR="00784D37" w:rsidRPr="00387DD9" w:rsidRDefault="007E058E" w:rsidP="00784D37">
      <w:pPr>
        <w:rPr>
          <w:lang w:eastAsia="en-AU"/>
        </w:rPr>
      </w:pPr>
      <w:r>
        <w:rPr>
          <w:lang w:eastAsia="en-AU"/>
        </w:rPr>
        <w:t>G</w:t>
      </w:r>
      <w:r w:rsidR="00784D37" w:rsidRPr="00784D37">
        <w:rPr>
          <w:lang w:eastAsia="en-AU"/>
        </w:rPr>
        <w:t>overnment stakeholders</w:t>
      </w:r>
      <w:r w:rsidR="00154065">
        <w:rPr>
          <w:lang w:eastAsia="en-AU"/>
        </w:rPr>
        <w:t xml:space="preserve"> </w:t>
      </w:r>
      <w:r w:rsidR="00784D37" w:rsidRPr="00784D37">
        <w:rPr>
          <w:lang w:eastAsia="en-AU"/>
        </w:rPr>
        <w:t>commented on the clear commitment of NTAHF and its diverse membership as a critical enabler of the program.</w:t>
      </w:r>
      <w:r w:rsidR="009B4920">
        <w:rPr>
          <w:lang w:eastAsia="en-AU"/>
        </w:rPr>
        <w:t xml:space="preserve"> </w:t>
      </w:r>
      <w:r w:rsidR="00F82C19">
        <w:rPr>
          <w:lang w:eastAsia="en-AU"/>
        </w:rPr>
        <w:t>Australian Government</w:t>
      </w:r>
      <w:r>
        <w:rPr>
          <w:lang w:eastAsia="en-AU"/>
        </w:rPr>
        <w:t xml:space="preserve"> stakeholders</w:t>
      </w:r>
      <w:r w:rsidR="009B4920">
        <w:rPr>
          <w:lang w:eastAsia="en-AU"/>
        </w:rPr>
        <w:t xml:space="preserve"> </w:t>
      </w:r>
      <w:r w:rsidR="00376A3C">
        <w:rPr>
          <w:lang w:eastAsia="en-AU"/>
        </w:rPr>
        <w:t>highlighted</w:t>
      </w:r>
      <w:r w:rsidR="009B4920">
        <w:rPr>
          <w:lang w:eastAsia="en-AU"/>
        </w:rPr>
        <w:t xml:space="preserve"> the fact that </w:t>
      </w:r>
      <w:r w:rsidR="00D61D62">
        <w:rPr>
          <w:lang w:eastAsia="en-AU"/>
        </w:rPr>
        <w:t>the forum is highly engaged and invested in achieving outcomes</w:t>
      </w:r>
      <w:r w:rsidR="00F90C24">
        <w:rPr>
          <w:lang w:eastAsia="en-AU"/>
        </w:rPr>
        <w:t xml:space="preserve">. </w:t>
      </w:r>
      <w:r w:rsidR="00805FAC">
        <w:rPr>
          <w:lang w:eastAsia="en-AU"/>
        </w:rPr>
        <w:t xml:space="preserve">Government </w:t>
      </w:r>
      <w:r w:rsidR="00423AED">
        <w:rPr>
          <w:lang w:eastAsia="en-AU"/>
        </w:rPr>
        <w:t xml:space="preserve">stakeholders </w:t>
      </w:r>
      <w:r w:rsidR="00805FAC">
        <w:rPr>
          <w:lang w:eastAsia="en-AU"/>
        </w:rPr>
        <w:t xml:space="preserve">reported that </w:t>
      </w:r>
      <w:r w:rsidR="00FE6D0F">
        <w:rPr>
          <w:lang w:eastAsia="en-AU"/>
        </w:rPr>
        <w:t>NTAHF</w:t>
      </w:r>
      <w:r w:rsidR="00805FAC">
        <w:rPr>
          <w:lang w:eastAsia="en-AU"/>
        </w:rPr>
        <w:t xml:space="preserve"> is one </w:t>
      </w:r>
      <w:r w:rsidR="004413F6">
        <w:rPr>
          <w:lang w:eastAsia="en-AU"/>
        </w:rPr>
        <w:t xml:space="preserve">of the strongest tripartite forums that </w:t>
      </w:r>
      <w:r w:rsidR="00E32DFA">
        <w:rPr>
          <w:lang w:eastAsia="en-AU"/>
        </w:rPr>
        <w:t>the Australian Government</w:t>
      </w:r>
      <w:r w:rsidR="004413F6">
        <w:rPr>
          <w:lang w:eastAsia="en-AU"/>
        </w:rPr>
        <w:t xml:space="preserve"> </w:t>
      </w:r>
      <w:r w:rsidR="00387DD9">
        <w:rPr>
          <w:lang w:eastAsia="en-AU"/>
        </w:rPr>
        <w:t xml:space="preserve">works with. </w:t>
      </w:r>
      <w:r w:rsidR="00784D37" w:rsidRPr="00784D37">
        <w:rPr>
          <w:lang w:eastAsia="en-AU"/>
        </w:rPr>
        <w:t>Government stakeholders</w:t>
      </w:r>
      <w:r w:rsidR="00423AED">
        <w:rPr>
          <w:lang w:eastAsia="en-AU"/>
        </w:rPr>
        <w:t xml:space="preserve"> also</w:t>
      </w:r>
      <w:r w:rsidR="00784D37" w:rsidRPr="00784D37">
        <w:rPr>
          <w:lang w:eastAsia="en-AU"/>
        </w:rPr>
        <w:t xml:space="preserve"> believed that NTAHF members are well placed to advise on transitions to community control and funding allocations. </w:t>
      </w:r>
      <w:r w:rsidR="002C17D4">
        <w:rPr>
          <w:lang w:eastAsia="en-AU"/>
        </w:rPr>
        <w:t xml:space="preserve">The Aboriginal Medical Services Alliance NT (AMSANT) is represented </w:t>
      </w:r>
      <w:r w:rsidR="00B10640">
        <w:rPr>
          <w:lang w:eastAsia="en-AU"/>
        </w:rPr>
        <w:t xml:space="preserve">on </w:t>
      </w:r>
      <w:r w:rsidR="00CA535E">
        <w:rPr>
          <w:lang w:eastAsia="en-AU"/>
        </w:rPr>
        <w:t>NTAHF</w:t>
      </w:r>
      <w:r w:rsidR="000F5217">
        <w:rPr>
          <w:lang w:eastAsia="en-AU"/>
        </w:rPr>
        <w:t xml:space="preserve">. </w:t>
      </w:r>
      <w:r w:rsidR="000D5854">
        <w:rPr>
          <w:lang w:eastAsia="en-AU"/>
        </w:rPr>
        <w:t xml:space="preserve">While the AMSANT representatives </w:t>
      </w:r>
      <w:r w:rsidR="00CA535E">
        <w:rPr>
          <w:lang w:eastAsia="en-AU"/>
        </w:rPr>
        <w:t xml:space="preserve">on NTAHF </w:t>
      </w:r>
      <w:r w:rsidR="00B10640">
        <w:rPr>
          <w:lang w:eastAsia="en-AU"/>
        </w:rPr>
        <w:t xml:space="preserve">happen to </w:t>
      </w:r>
      <w:r w:rsidR="0011169E">
        <w:rPr>
          <w:lang w:eastAsia="en-AU"/>
        </w:rPr>
        <w:t>cu</w:t>
      </w:r>
      <w:r w:rsidR="00687149">
        <w:rPr>
          <w:lang w:eastAsia="en-AU"/>
        </w:rPr>
        <w:t xml:space="preserve">rrently </w:t>
      </w:r>
      <w:r w:rsidR="00B10640">
        <w:rPr>
          <w:lang w:eastAsia="en-AU"/>
        </w:rPr>
        <w:t>both be from Congress</w:t>
      </w:r>
      <w:r w:rsidR="00A376F3">
        <w:rPr>
          <w:lang w:eastAsia="en-AU"/>
        </w:rPr>
        <w:t>,</w:t>
      </w:r>
      <w:r w:rsidR="00D82EAE">
        <w:rPr>
          <w:lang w:eastAsia="en-AU"/>
        </w:rPr>
        <w:t xml:space="preserve"> </w:t>
      </w:r>
      <w:r w:rsidR="0047478F">
        <w:rPr>
          <w:lang w:eastAsia="en-AU"/>
        </w:rPr>
        <w:t>they</w:t>
      </w:r>
      <w:r w:rsidR="00D82EAE">
        <w:rPr>
          <w:lang w:eastAsia="en-AU"/>
        </w:rPr>
        <w:t xml:space="preserve"> wear their ‘AMSANT hats’</w:t>
      </w:r>
      <w:r w:rsidR="00A376F3">
        <w:rPr>
          <w:lang w:eastAsia="en-AU"/>
        </w:rPr>
        <w:t xml:space="preserve"> while </w:t>
      </w:r>
      <w:r w:rsidR="00CA535E">
        <w:rPr>
          <w:lang w:eastAsia="en-AU"/>
        </w:rPr>
        <w:t>performing their NTAHF-related responsibilities.</w:t>
      </w:r>
      <w:r w:rsidR="00EC42AB">
        <w:rPr>
          <w:lang w:eastAsia="en-AU"/>
        </w:rPr>
        <w:t xml:space="preserve"> </w:t>
      </w:r>
      <w:r w:rsidR="00CA535E">
        <w:rPr>
          <w:lang w:eastAsia="en-AU"/>
        </w:rPr>
        <w:t>However,</w:t>
      </w:r>
      <w:r w:rsidR="00B6352E">
        <w:rPr>
          <w:lang w:eastAsia="en-AU"/>
        </w:rPr>
        <w:t xml:space="preserve"> s</w:t>
      </w:r>
      <w:r w:rsidR="00A63E7E">
        <w:rPr>
          <w:lang w:eastAsia="en-AU"/>
        </w:rPr>
        <w:t xml:space="preserve">ome stakeholders </w:t>
      </w:r>
      <w:r w:rsidR="00CA535E">
        <w:rPr>
          <w:lang w:eastAsia="en-AU"/>
        </w:rPr>
        <w:t>suggested</w:t>
      </w:r>
      <w:r w:rsidR="00B6352E">
        <w:rPr>
          <w:lang w:eastAsia="en-AU"/>
        </w:rPr>
        <w:t xml:space="preserve"> that wider ACCHO </w:t>
      </w:r>
      <w:r w:rsidR="00A63E7E">
        <w:rPr>
          <w:lang w:eastAsia="en-AU"/>
        </w:rPr>
        <w:t>representation</w:t>
      </w:r>
      <w:r w:rsidR="006944EC">
        <w:rPr>
          <w:lang w:eastAsia="en-AU"/>
        </w:rPr>
        <w:t xml:space="preserve"> </w:t>
      </w:r>
      <w:r w:rsidR="00FC521A">
        <w:rPr>
          <w:lang w:eastAsia="en-AU"/>
        </w:rPr>
        <w:t xml:space="preserve">at NTAHF </w:t>
      </w:r>
      <w:r w:rsidR="006944EC">
        <w:rPr>
          <w:lang w:eastAsia="en-AU"/>
        </w:rPr>
        <w:t>could be beneficial.</w:t>
      </w:r>
      <w:r w:rsidR="00A63E7E">
        <w:rPr>
          <w:lang w:eastAsia="en-AU"/>
        </w:rPr>
        <w:t xml:space="preserve"> </w:t>
      </w:r>
      <w:r w:rsidR="00150098">
        <w:rPr>
          <w:noProof/>
        </w:rPr>
        <mc:AlternateContent>
          <mc:Choice Requires="wps">
            <w:drawing>
              <wp:inline distT="0" distB="0" distL="0" distR="0" wp14:anchorId="637DC672" wp14:editId="0C5F3419">
                <wp:extent cx="5676405" cy="736270"/>
                <wp:effectExtent l="0" t="0" r="635" b="0"/>
                <wp:docPr id="5" name="Text Box 5" descr="“I think NTAHF is really well placed to advise the Commonwealth on transitions to community control and where the funding should go.” Government stakeholder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5676405" cy="736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E20E65" w14:textId="77777777" w:rsidR="00150098" w:rsidRPr="00E62AD2" w:rsidRDefault="00150098" w:rsidP="00150098">
                            <w:pPr>
                              <w:pStyle w:val="Callout"/>
                              <w:pBdr>
                                <w:top w:val="single" w:sz="18" w:space="0" w:color="E6E6E1" w:themeColor="accent5"/>
                              </w:pBdr>
                              <w:rPr>
                                <w:color w:val="00264D" w:themeColor="background2"/>
                                <w:sz w:val="18"/>
                                <w:szCs w:val="18"/>
                              </w:rPr>
                            </w:pPr>
                            <w:r w:rsidRPr="00B5094C">
                              <w:rPr>
                                <w:i/>
                                <w:color w:val="F25E21" w:themeColor="accent2"/>
                                <w:lang w:val="en-US" w:eastAsia="en-AU"/>
                              </w:rPr>
                              <w:t xml:space="preserve">“I think NTAHF is really well placed to advise the Commonwealth on transitions to community control and where the funding should go.” </w:t>
                            </w:r>
                            <w:r>
                              <w:rPr>
                                <w:i/>
                                <w:iCs/>
                                <w:color w:val="00264D" w:themeColor="background2"/>
                                <w:sz w:val="18"/>
                                <w:szCs w:val="18"/>
                                <w:lang w:val="en-US" w:eastAsia="en-AU"/>
                              </w:rPr>
                              <w:t xml:space="preserve">Government stakeholder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inline>
            </w:drawing>
          </mc:Choice>
          <mc:Fallback>
            <w:pict>
              <v:shape w14:anchorId="637DC672" id="Text Box 5" o:spid="_x0000_s1030" type="#_x0000_t202" alt="“I think NTAHF is really well placed to advise the Commonwealth on transitions to community control and where the funding should go.” Government stakeholder " style="width:446.95pt;height:5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" fillcolor="white [3201]" stroked="f" strokeweight=".5pt">
                <v:textbox style="mso-fit-shape-to-text:t" inset="0,,1mm">
                  <w:txbxContent>
                    <w:p w14:paraId="4EE20E65" w14:textId="77777777" w:rsidR="00150098" w:rsidRPr="00E62AD2" w:rsidRDefault="00150098" w:rsidP="00150098">
                      <w:pPr>
                        <w:pStyle w:val="Callout"/>
                        <w:pBdr>
                          <w:top w:val="single" w:sz="18" w:space="0" w:color="E6E6E1" w:themeColor="accent5"/>
                        </w:pBdr>
                        <w:rPr>
                          <w:color w:val="00264D" w:themeColor="background2"/>
                          <w:sz w:val="18"/>
                          <w:szCs w:val="18"/>
                        </w:rPr>
                      </w:pPr>
                      <w:r w:rsidRPr="00B5094C">
                        <w:rPr>
                          <w:i/>
                          <w:color w:val="F25E21" w:themeColor="accent2"/>
                          <w:lang w:val="en-US" w:eastAsia="en-AU"/>
                        </w:rPr>
                        <w:t xml:space="preserve">“I think NTAHF is really well placed to advise the Commonwealth on transitions to community control and where the funding should go.” </w:t>
                      </w:r>
                      <w:r>
                        <w:rPr>
                          <w:i/>
                          <w:iCs/>
                          <w:color w:val="00264D" w:themeColor="background2"/>
                          <w:sz w:val="18"/>
                          <w:szCs w:val="18"/>
                          <w:lang w:val="en-US" w:eastAsia="en-AU"/>
                        </w:rPr>
                        <w:t xml:space="preserve">Government stakeholder </w:t>
                      </w:r>
                    </w:p>
                  </w:txbxContent>
                </v:textbox>
                <w10:anchorlock/>
              </v:shape>
            </w:pict>
          </mc:Fallback>
        </mc:AlternateContent>
      </w:r>
    </w:p>
    <w:p w14:paraId="1F6B7E9A" w14:textId="7087718A" w:rsidR="00784D37" w:rsidRPr="00223EB9" w:rsidRDefault="00784D37" w:rsidP="00223EB9">
      <w:pPr>
        <w:rPr>
          <w:b/>
          <w:bCs/>
          <w:lang w:val="en-US"/>
        </w:rPr>
      </w:pPr>
      <w:r w:rsidRPr="00223EB9">
        <w:rPr>
          <w:b/>
          <w:bCs/>
          <w:color w:val="00264D" w:themeColor="background2"/>
          <w:sz w:val="20"/>
          <w:szCs w:val="24"/>
        </w:rPr>
        <w:t>NTAHF members' roles and responsibilities could be more clearly defined </w:t>
      </w:r>
    </w:p>
    <w:p w14:paraId="700A014D" w14:textId="6F09D708" w:rsidR="006A6EEF" w:rsidRDefault="00F82C19" w:rsidP="0099256F">
      <w:pPr>
        <w:rPr>
          <w:lang w:eastAsia="en-AU"/>
        </w:rPr>
      </w:pPr>
      <w:r>
        <w:rPr>
          <w:lang w:eastAsia="en-AU"/>
        </w:rPr>
        <w:t>Australian Government</w:t>
      </w:r>
      <w:r w:rsidR="007B4F92">
        <w:rPr>
          <w:lang w:eastAsia="en-AU"/>
        </w:rPr>
        <w:t xml:space="preserve"> and </w:t>
      </w:r>
      <w:r w:rsidR="00E6228F">
        <w:rPr>
          <w:lang w:eastAsia="en-AU"/>
        </w:rPr>
        <w:t>NTG</w:t>
      </w:r>
      <w:r w:rsidR="007B4F92">
        <w:rPr>
          <w:lang w:eastAsia="en-AU"/>
        </w:rPr>
        <w:t xml:space="preserve"> stakeholders</w:t>
      </w:r>
      <w:r w:rsidR="00784D37" w:rsidRPr="00784D37">
        <w:rPr>
          <w:lang w:eastAsia="en-AU"/>
        </w:rPr>
        <w:t xml:space="preserve"> called for greater clarity around the roles and responsibilities of some of NTAHF’s key members</w:t>
      </w:r>
      <w:r w:rsidR="00FC2082">
        <w:rPr>
          <w:lang w:eastAsia="en-AU"/>
        </w:rPr>
        <w:t>, particularly the</w:t>
      </w:r>
      <w:r w:rsidR="00784D37" w:rsidRPr="00784D37">
        <w:rPr>
          <w:lang w:eastAsia="en-AU"/>
        </w:rPr>
        <w:t xml:space="preserve"> National Indigenous Australians Agency (NIAA), NT Primary Health Network (PHN) and AMSANT. </w:t>
      </w:r>
    </w:p>
    <w:p w14:paraId="2F652E71" w14:textId="65151548" w:rsidR="006A6EEF" w:rsidRDefault="00E6228F" w:rsidP="0099256F">
      <w:pPr>
        <w:rPr>
          <w:lang w:eastAsia="en-AU"/>
        </w:rPr>
      </w:pPr>
      <w:r>
        <w:rPr>
          <w:lang w:eastAsia="en-AU"/>
        </w:rPr>
        <w:t xml:space="preserve">Stakeholders commented on the fact that </w:t>
      </w:r>
      <w:r w:rsidR="0054031A">
        <w:rPr>
          <w:lang w:eastAsia="en-AU"/>
        </w:rPr>
        <w:t xml:space="preserve">NIAA </w:t>
      </w:r>
      <w:r w:rsidR="00800480">
        <w:rPr>
          <w:lang w:eastAsia="en-AU"/>
        </w:rPr>
        <w:t>a</w:t>
      </w:r>
      <w:r w:rsidR="0078434E">
        <w:rPr>
          <w:lang w:eastAsia="en-AU"/>
        </w:rPr>
        <w:t xml:space="preserve">s a key member </w:t>
      </w:r>
      <w:r w:rsidR="0054031A">
        <w:rPr>
          <w:lang w:eastAsia="en-AU"/>
        </w:rPr>
        <w:t xml:space="preserve">could play a more significant role in the program, for example, </w:t>
      </w:r>
      <w:r w:rsidR="00784D37" w:rsidRPr="00784D37">
        <w:rPr>
          <w:lang w:eastAsia="en-AU"/>
        </w:rPr>
        <w:t xml:space="preserve">in identifying grant </w:t>
      </w:r>
      <w:r w:rsidR="002B52EA">
        <w:rPr>
          <w:lang w:eastAsia="en-AU"/>
        </w:rPr>
        <w:t xml:space="preserve">opportunities to assist with funding gaps </w:t>
      </w:r>
      <w:r w:rsidR="00784D37" w:rsidRPr="00784D37">
        <w:rPr>
          <w:lang w:eastAsia="en-AU"/>
        </w:rPr>
        <w:t xml:space="preserve">or </w:t>
      </w:r>
      <w:r w:rsidR="009E415D">
        <w:rPr>
          <w:lang w:eastAsia="en-AU"/>
        </w:rPr>
        <w:t xml:space="preserve">coordinate health and community </w:t>
      </w:r>
      <w:r w:rsidR="00784D37" w:rsidRPr="00784D37">
        <w:rPr>
          <w:lang w:eastAsia="en-AU"/>
        </w:rPr>
        <w:t>infrastructure</w:t>
      </w:r>
      <w:r w:rsidR="004561D3">
        <w:rPr>
          <w:lang w:eastAsia="en-AU"/>
        </w:rPr>
        <w:t xml:space="preserve">. </w:t>
      </w:r>
      <w:r w:rsidR="009A36A6">
        <w:rPr>
          <w:lang w:eastAsia="en-AU"/>
        </w:rPr>
        <w:t xml:space="preserve">Stakeholders </w:t>
      </w:r>
      <w:r w:rsidR="00173D8A">
        <w:rPr>
          <w:lang w:eastAsia="en-AU"/>
        </w:rPr>
        <w:t xml:space="preserve">also </w:t>
      </w:r>
      <w:r w:rsidR="00344FE5">
        <w:rPr>
          <w:lang w:eastAsia="en-AU"/>
        </w:rPr>
        <w:t xml:space="preserve">called for greater clarity of </w:t>
      </w:r>
      <w:r w:rsidR="00784D37" w:rsidRPr="00784D37">
        <w:rPr>
          <w:lang w:eastAsia="en-AU"/>
        </w:rPr>
        <w:t xml:space="preserve">NT </w:t>
      </w:r>
      <w:r w:rsidR="007C4390">
        <w:rPr>
          <w:lang w:eastAsia="en-AU"/>
        </w:rPr>
        <w:t>PHN’s</w:t>
      </w:r>
      <w:r w:rsidR="009F6985" w:rsidRPr="00784D37">
        <w:rPr>
          <w:lang w:eastAsia="en-AU"/>
        </w:rPr>
        <w:t xml:space="preserve"> </w:t>
      </w:r>
      <w:r w:rsidR="00784D37" w:rsidRPr="00784D37">
        <w:rPr>
          <w:lang w:eastAsia="en-AU"/>
        </w:rPr>
        <w:t>rol</w:t>
      </w:r>
      <w:r w:rsidR="00173D8A">
        <w:rPr>
          <w:lang w:eastAsia="en-AU"/>
        </w:rPr>
        <w:t xml:space="preserve">e, which </w:t>
      </w:r>
      <w:r w:rsidR="00402256">
        <w:rPr>
          <w:lang w:eastAsia="en-AU"/>
        </w:rPr>
        <w:t xml:space="preserve">in some cases has assisted transitions </w:t>
      </w:r>
      <w:r w:rsidR="00841CB5">
        <w:rPr>
          <w:lang w:eastAsia="en-AU"/>
        </w:rPr>
        <w:t>by stepping in as a</w:t>
      </w:r>
      <w:r w:rsidR="00402256">
        <w:rPr>
          <w:lang w:eastAsia="en-AU"/>
        </w:rPr>
        <w:t xml:space="preserve"> key transition partner</w:t>
      </w:r>
      <w:r w:rsidR="00841CB5">
        <w:rPr>
          <w:lang w:eastAsia="en-AU"/>
        </w:rPr>
        <w:t xml:space="preserve"> </w:t>
      </w:r>
      <w:r w:rsidR="0053162A">
        <w:rPr>
          <w:lang w:eastAsia="en-AU"/>
        </w:rPr>
        <w:t>and which has the capacity to</w:t>
      </w:r>
      <w:r w:rsidR="00784D37" w:rsidRPr="00784D37">
        <w:rPr>
          <w:lang w:eastAsia="en-AU"/>
        </w:rPr>
        <w:t xml:space="preserve"> advocat</w:t>
      </w:r>
      <w:r w:rsidR="00CA1F59">
        <w:rPr>
          <w:lang w:eastAsia="en-AU"/>
        </w:rPr>
        <w:t>e</w:t>
      </w:r>
      <w:r w:rsidR="00784D37" w:rsidRPr="00784D37">
        <w:rPr>
          <w:lang w:eastAsia="en-AU"/>
        </w:rPr>
        <w:t xml:space="preserve"> for </w:t>
      </w:r>
      <w:r w:rsidR="00A845D6">
        <w:rPr>
          <w:lang w:eastAsia="en-AU"/>
        </w:rPr>
        <w:t xml:space="preserve">the ACCHO </w:t>
      </w:r>
      <w:r w:rsidR="0053162A">
        <w:rPr>
          <w:lang w:eastAsia="en-AU"/>
        </w:rPr>
        <w:t xml:space="preserve">and provide </w:t>
      </w:r>
      <w:r w:rsidR="00784D37" w:rsidRPr="00784D37">
        <w:rPr>
          <w:lang w:eastAsia="en-AU"/>
        </w:rPr>
        <w:t>funding</w:t>
      </w:r>
      <w:r w:rsidR="0053162A">
        <w:rPr>
          <w:lang w:eastAsia="en-AU"/>
        </w:rPr>
        <w:t>.</w:t>
      </w:r>
      <w:r w:rsidR="00784D37" w:rsidRPr="00784D37">
        <w:rPr>
          <w:lang w:eastAsia="en-AU"/>
        </w:rPr>
        <w:t xml:space="preserve"> </w:t>
      </w:r>
    </w:p>
    <w:p w14:paraId="64BA75A5" w14:textId="28059887" w:rsidR="00A25F75" w:rsidRDefault="00DF7B99" w:rsidP="0099256F">
      <w:pPr>
        <w:rPr>
          <w:lang w:eastAsia="en-AU"/>
        </w:rPr>
      </w:pPr>
      <w:r>
        <w:rPr>
          <w:lang w:eastAsia="en-AU"/>
        </w:rPr>
        <w:t xml:space="preserve">Finally, </w:t>
      </w:r>
      <w:r w:rsidR="004235DD">
        <w:rPr>
          <w:lang w:eastAsia="en-AU"/>
        </w:rPr>
        <w:t>several</w:t>
      </w:r>
      <w:r w:rsidR="00B07B6D">
        <w:rPr>
          <w:lang w:eastAsia="en-AU"/>
        </w:rPr>
        <w:t xml:space="preserve"> </w:t>
      </w:r>
      <w:r>
        <w:rPr>
          <w:lang w:eastAsia="en-AU"/>
        </w:rPr>
        <w:t>stakeholders</w:t>
      </w:r>
      <w:r w:rsidR="00E52F7A">
        <w:rPr>
          <w:lang w:eastAsia="en-AU"/>
        </w:rPr>
        <w:t xml:space="preserve"> reported that</w:t>
      </w:r>
      <w:r>
        <w:rPr>
          <w:lang w:eastAsia="en-AU"/>
        </w:rPr>
        <w:t xml:space="preserve"> </w:t>
      </w:r>
      <w:r w:rsidR="00784D37" w:rsidRPr="00784D37">
        <w:rPr>
          <w:lang w:eastAsia="en-AU"/>
        </w:rPr>
        <w:t xml:space="preserve">AMSANT’s diverse role </w:t>
      </w:r>
      <w:r w:rsidR="00FA70AA">
        <w:rPr>
          <w:lang w:eastAsia="en-AU"/>
        </w:rPr>
        <w:t xml:space="preserve">needs defining. </w:t>
      </w:r>
      <w:r w:rsidR="002A4175">
        <w:rPr>
          <w:lang w:eastAsia="en-AU"/>
        </w:rPr>
        <w:t>It has played many different roles</w:t>
      </w:r>
      <w:r w:rsidR="00BA0C75">
        <w:rPr>
          <w:lang w:eastAsia="en-AU"/>
        </w:rPr>
        <w:t xml:space="preserve"> throughout the program</w:t>
      </w:r>
      <w:r w:rsidR="00B22AEE">
        <w:rPr>
          <w:lang w:eastAsia="en-AU"/>
        </w:rPr>
        <w:t>,</w:t>
      </w:r>
      <w:r w:rsidR="00BA0C75">
        <w:rPr>
          <w:lang w:eastAsia="en-AU"/>
        </w:rPr>
        <w:t xml:space="preserve"> including being</w:t>
      </w:r>
      <w:r w:rsidR="00784D37" w:rsidRPr="00784D37">
        <w:rPr>
          <w:lang w:eastAsia="en-AU"/>
        </w:rPr>
        <w:t xml:space="preserve"> an advocate</w:t>
      </w:r>
      <w:r w:rsidR="00BA0C75">
        <w:rPr>
          <w:lang w:eastAsia="en-AU"/>
        </w:rPr>
        <w:t xml:space="preserve"> for transitions</w:t>
      </w:r>
      <w:r w:rsidR="00784D37" w:rsidRPr="00784D37">
        <w:rPr>
          <w:lang w:eastAsia="en-AU"/>
        </w:rPr>
        <w:t>,</w:t>
      </w:r>
      <w:r w:rsidR="009A31CB">
        <w:rPr>
          <w:lang w:eastAsia="en-AU"/>
        </w:rPr>
        <w:t xml:space="preserve"> </w:t>
      </w:r>
      <w:r w:rsidR="001E1550">
        <w:rPr>
          <w:lang w:eastAsia="en-AU"/>
        </w:rPr>
        <w:t xml:space="preserve">an </w:t>
      </w:r>
      <w:r w:rsidR="00784D37" w:rsidRPr="00784D37">
        <w:rPr>
          <w:lang w:eastAsia="en-AU"/>
        </w:rPr>
        <w:t>auspic</w:t>
      </w:r>
      <w:r w:rsidR="00DB57D1">
        <w:rPr>
          <w:lang w:eastAsia="en-AU"/>
        </w:rPr>
        <w:t>e</w:t>
      </w:r>
      <w:r w:rsidR="00784D37" w:rsidRPr="00784D37">
        <w:rPr>
          <w:lang w:eastAsia="en-AU"/>
        </w:rPr>
        <w:t xml:space="preserve"> body</w:t>
      </w:r>
      <w:r w:rsidR="00E04480">
        <w:rPr>
          <w:lang w:eastAsia="en-AU"/>
        </w:rPr>
        <w:t xml:space="preserve"> for transitions</w:t>
      </w:r>
      <w:r w:rsidR="00BA0C75">
        <w:rPr>
          <w:lang w:eastAsia="en-AU"/>
        </w:rPr>
        <w:t xml:space="preserve"> </w:t>
      </w:r>
      <w:r w:rsidR="0026059A">
        <w:rPr>
          <w:lang w:eastAsia="en-AU"/>
        </w:rPr>
        <w:t xml:space="preserve">(including </w:t>
      </w:r>
      <w:r w:rsidR="004235DD">
        <w:rPr>
          <w:lang w:eastAsia="en-AU"/>
        </w:rPr>
        <w:t xml:space="preserve">receiving funding on behalf of </w:t>
      </w:r>
      <w:r w:rsidR="00C06CAE">
        <w:rPr>
          <w:lang w:eastAsia="en-AU"/>
        </w:rPr>
        <w:t xml:space="preserve">an </w:t>
      </w:r>
      <w:r w:rsidR="004235DD">
        <w:rPr>
          <w:lang w:eastAsia="en-AU"/>
        </w:rPr>
        <w:t>ACCHO</w:t>
      </w:r>
      <w:r w:rsidR="0026059A">
        <w:rPr>
          <w:lang w:eastAsia="en-AU"/>
        </w:rPr>
        <w:t>)</w:t>
      </w:r>
      <w:r w:rsidR="0099256F">
        <w:rPr>
          <w:lang w:eastAsia="en-AU"/>
        </w:rPr>
        <w:t xml:space="preserve"> and providing </w:t>
      </w:r>
      <w:r w:rsidR="002D12AB">
        <w:rPr>
          <w:lang w:eastAsia="en-AU"/>
        </w:rPr>
        <w:t>varied</w:t>
      </w:r>
      <w:r w:rsidR="00A25F75">
        <w:rPr>
          <w:lang w:eastAsia="en-AU"/>
        </w:rPr>
        <w:t xml:space="preserve"> member support</w:t>
      </w:r>
      <w:r w:rsidR="00CD3158">
        <w:rPr>
          <w:lang w:eastAsia="en-AU"/>
        </w:rPr>
        <w:t xml:space="preserve"> to ACCHOs</w:t>
      </w:r>
      <w:r w:rsidR="00A25F75">
        <w:rPr>
          <w:lang w:eastAsia="en-AU"/>
        </w:rPr>
        <w:t>.</w:t>
      </w:r>
      <w:r w:rsidR="00F60778">
        <w:rPr>
          <w:lang w:eastAsia="en-AU"/>
        </w:rPr>
        <w:t xml:space="preserve"> Stakeholders raised the challenge of resourcing this diverse range of activities. </w:t>
      </w:r>
    </w:p>
    <w:p w14:paraId="04CD6B2E" w14:textId="5929BD49" w:rsidR="006F218C" w:rsidRPr="00223EB9" w:rsidRDefault="006F218C" w:rsidP="00223EB9">
      <w:pPr>
        <w:rPr>
          <w:b/>
          <w:bCs/>
          <w:color w:val="00264D" w:themeColor="background2"/>
          <w:sz w:val="20"/>
          <w:szCs w:val="24"/>
          <w:lang w:val="en-US"/>
        </w:rPr>
      </w:pPr>
      <w:r w:rsidRPr="00223EB9">
        <w:rPr>
          <w:b/>
          <w:bCs/>
          <w:color w:val="00264D" w:themeColor="background2"/>
          <w:sz w:val="20"/>
          <w:szCs w:val="24"/>
        </w:rPr>
        <w:t xml:space="preserve">NTAHF processes overlap with other decision-making processes </w:t>
      </w:r>
    </w:p>
    <w:p w14:paraId="56234BE5" w14:textId="256ADBD7" w:rsidR="00150098" w:rsidRDefault="009739A7" w:rsidP="006E507D">
      <w:pPr>
        <w:rPr>
          <w:lang w:eastAsia="en-AU"/>
        </w:rPr>
      </w:pPr>
      <w:r>
        <w:rPr>
          <w:lang w:eastAsia="en-AU"/>
        </w:rPr>
        <w:t>G</w:t>
      </w:r>
      <w:r w:rsidR="00127AC3">
        <w:rPr>
          <w:lang w:eastAsia="en-AU"/>
        </w:rPr>
        <w:t>overnment</w:t>
      </w:r>
      <w:r>
        <w:rPr>
          <w:lang w:eastAsia="en-AU"/>
        </w:rPr>
        <w:t xml:space="preserve">, ACCHO and other </w:t>
      </w:r>
      <w:r w:rsidR="00784D37" w:rsidRPr="00784D37">
        <w:rPr>
          <w:lang w:eastAsia="en-AU"/>
        </w:rPr>
        <w:t xml:space="preserve">stakeholders argued that there is a lack of clarity between NTAHF process and other decision-making processes, </w:t>
      </w:r>
      <w:r w:rsidR="005E31F3">
        <w:rPr>
          <w:lang w:eastAsia="en-AU"/>
        </w:rPr>
        <w:t xml:space="preserve">for example, </w:t>
      </w:r>
      <w:r w:rsidR="00784D37" w:rsidRPr="00784D37">
        <w:rPr>
          <w:lang w:eastAsia="en-AU"/>
        </w:rPr>
        <w:t xml:space="preserve">the subsequent </w:t>
      </w:r>
      <w:r w:rsidR="00F82C19">
        <w:rPr>
          <w:lang w:eastAsia="en-AU"/>
        </w:rPr>
        <w:t>Australian Government</w:t>
      </w:r>
      <w:r w:rsidR="00784D37" w:rsidRPr="00784D37">
        <w:rPr>
          <w:lang w:eastAsia="en-AU"/>
        </w:rPr>
        <w:t xml:space="preserve"> </w:t>
      </w:r>
      <w:r w:rsidR="00E055D0">
        <w:rPr>
          <w:lang w:eastAsia="en-AU"/>
        </w:rPr>
        <w:t xml:space="preserve">Department of Health </w:t>
      </w:r>
      <w:r w:rsidR="00784D37" w:rsidRPr="00784D37">
        <w:rPr>
          <w:lang w:eastAsia="en-AU"/>
        </w:rPr>
        <w:t xml:space="preserve">decision </w:t>
      </w:r>
      <w:r w:rsidR="006D216F">
        <w:rPr>
          <w:lang w:eastAsia="en-AU"/>
        </w:rPr>
        <w:t>to provide</w:t>
      </w:r>
      <w:r w:rsidR="00C372A5">
        <w:rPr>
          <w:lang w:eastAsia="en-AU"/>
        </w:rPr>
        <w:t xml:space="preserve"> transition funding </w:t>
      </w:r>
      <w:r w:rsidR="00784D37" w:rsidRPr="00784D37">
        <w:rPr>
          <w:lang w:eastAsia="en-AU"/>
        </w:rPr>
        <w:t xml:space="preserve">and the </w:t>
      </w:r>
      <w:r w:rsidR="00C271D2">
        <w:rPr>
          <w:lang w:eastAsia="en-AU"/>
        </w:rPr>
        <w:t>L</w:t>
      </w:r>
      <w:r w:rsidR="00784D37" w:rsidRPr="00784D37">
        <w:rPr>
          <w:lang w:eastAsia="en-AU"/>
        </w:rPr>
        <w:t xml:space="preserve">ocal </w:t>
      </w:r>
      <w:r w:rsidR="00C271D2">
        <w:rPr>
          <w:lang w:eastAsia="en-AU"/>
        </w:rPr>
        <w:t>D</w:t>
      </w:r>
      <w:r w:rsidR="00784D37" w:rsidRPr="00784D37">
        <w:rPr>
          <w:lang w:eastAsia="en-AU"/>
        </w:rPr>
        <w:t>ecision</w:t>
      </w:r>
      <w:r w:rsidR="00C271D2">
        <w:rPr>
          <w:lang w:eastAsia="en-AU"/>
        </w:rPr>
        <w:t xml:space="preserve"> M</w:t>
      </w:r>
      <w:r w:rsidR="00784D37" w:rsidRPr="00784D37">
        <w:rPr>
          <w:lang w:eastAsia="en-AU"/>
        </w:rPr>
        <w:t>aking process</w:t>
      </w:r>
      <w:r w:rsidR="00E53AB5">
        <w:rPr>
          <w:lang w:eastAsia="en-AU"/>
        </w:rPr>
        <w:t xml:space="preserve">, which is </w:t>
      </w:r>
      <w:r w:rsidR="00F15256">
        <w:rPr>
          <w:lang w:eastAsia="en-AU"/>
        </w:rPr>
        <w:t xml:space="preserve">run by </w:t>
      </w:r>
      <w:r w:rsidR="005B79B5">
        <w:rPr>
          <w:lang w:eastAsia="en-AU"/>
        </w:rPr>
        <w:t xml:space="preserve">CM&amp;C </w:t>
      </w:r>
      <w:r w:rsidR="00E53AB5">
        <w:rPr>
          <w:lang w:eastAsia="en-AU"/>
        </w:rPr>
        <w:t>and</w:t>
      </w:r>
      <w:r w:rsidR="00F15256">
        <w:rPr>
          <w:lang w:eastAsia="en-AU"/>
        </w:rPr>
        <w:t xml:space="preserve"> which </w:t>
      </w:r>
      <w:r w:rsidR="007A52D7">
        <w:rPr>
          <w:lang w:eastAsia="en-AU"/>
        </w:rPr>
        <w:t xml:space="preserve">also discusses transitioning clinics and </w:t>
      </w:r>
      <w:r w:rsidR="00270CE6">
        <w:rPr>
          <w:lang w:eastAsia="en-AU"/>
        </w:rPr>
        <w:t xml:space="preserve">other health </w:t>
      </w:r>
      <w:r w:rsidR="007A52D7">
        <w:rPr>
          <w:lang w:eastAsia="en-AU"/>
        </w:rPr>
        <w:t>care services</w:t>
      </w:r>
      <w:r w:rsidR="00EF0E4E">
        <w:rPr>
          <w:lang w:eastAsia="en-AU"/>
        </w:rPr>
        <w:t>.</w:t>
      </w:r>
      <w:r w:rsidR="007A52D7">
        <w:rPr>
          <w:lang w:eastAsia="en-AU"/>
        </w:rPr>
        <w:t xml:space="preserve"> </w:t>
      </w:r>
      <w:r w:rsidR="00EF0E4E">
        <w:rPr>
          <w:lang w:eastAsia="en-AU"/>
        </w:rPr>
        <w:t xml:space="preserve">This </w:t>
      </w:r>
      <w:r w:rsidR="007A52D7">
        <w:rPr>
          <w:lang w:eastAsia="en-AU"/>
        </w:rPr>
        <w:t>is a separate process from th</w:t>
      </w:r>
      <w:r w:rsidR="00EF0E4E">
        <w:rPr>
          <w:lang w:eastAsia="en-AU"/>
        </w:rPr>
        <w:t>at of</w:t>
      </w:r>
      <w:r w:rsidR="007A52D7">
        <w:rPr>
          <w:lang w:eastAsia="en-AU"/>
        </w:rPr>
        <w:t xml:space="preserve"> </w:t>
      </w:r>
      <w:r w:rsidR="009B68B1">
        <w:rPr>
          <w:lang w:eastAsia="en-AU"/>
        </w:rPr>
        <w:t xml:space="preserve">the </w:t>
      </w:r>
      <w:r w:rsidR="007A52D7">
        <w:rPr>
          <w:lang w:eastAsia="en-AU"/>
        </w:rPr>
        <w:t>P2CC</w:t>
      </w:r>
      <w:r w:rsidR="009B68B1">
        <w:rPr>
          <w:lang w:eastAsia="en-AU"/>
        </w:rPr>
        <w:t xml:space="preserve"> program</w:t>
      </w:r>
      <w:r w:rsidR="00EF0E4E">
        <w:rPr>
          <w:lang w:eastAsia="en-AU"/>
        </w:rPr>
        <w:t xml:space="preserve">, </w:t>
      </w:r>
      <w:r w:rsidR="007A52D7">
        <w:rPr>
          <w:lang w:eastAsia="en-AU"/>
        </w:rPr>
        <w:t>which has its own criteria. This</w:t>
      </w:r>
      <w:r w:rsidR="005B5EA6">
        <w:rPr>
          <w:lang w:eastAsia="en-AU"/>
        </w:rPr>
        <w:t xml:space="preserve"> lack of coordination between processes</w:t>
      </w:r>
      <w:r w:rsidR="007A52D7">
        <w:rPr>
          <w:lang w:eastAsia="en-AU"/>
        </w:rPr>
        <w:t xml:space="preserve"> caused confusion amongst </w:t>
      </w:r>
      <w:r w:rsidR="00DF77BB">
        <w:rPr>
          <w:lang w:eastAsia="en-AU"/>
        </w:rPr>
        <w:t xml:space="preserve">some </w:t>
      </w:r>
      <w:r w:rsidR="007A52D7">
        <w:rPr>
          <w:lang w:eastAsia="en-AU"/>
        </w:rPr>
        <w:t>communities in terms of what</w:t>
      </w:r>
      <w:r w:rsidR="005B5EA6">
        <w:rPr>
          <w:lang w:eastAsia="en-AU"/>
        </w:rPr>
        <w:t xml:space="preserve"> is possible </w:t>
      </w:r>
      <w:r w:rsidR="006B61FE">
        <w:rPr>
          <w:lang w:eastAsia="en-AU"/>
        </w:rPr>
        <w:t>regarding</w:t>
      </w:r>
      <w:r w:rsidR="005B5EA6">
        <w:rPr>
          <w:lang w:eastAsia="en-AU"/>
        </w:rPr>
        <w:t xml:space="preserve"> </w:t>
      </w:r>
      <w:r w:rsidR="006B61FE">
        <w:rPr>
          <w:lang w:eastAsia="en-AU"/>
        </w:rPr>
        <w:t xml:space="preserve">local </w:t>
      </w:r>
      <w:r w:rsidR="005B5EA6">
        <w:rPr>
          <w:lang w:eastAsia="en-AU"/>
        </w:rPr>
        <w:t xml:space="preserve">transitions. </w:t>
      </w:r>
    </w:p>
    <w:p w14:paraId="0F8089F2" w14:textId="77777777" w:rsidR="00150098" w:rsidRDefault="00150098">
      <w:pPr>
        <w:spacing w:after="160" w:line="259" w:lineRule="auto"/>
        <w:rPr>
          <w:lang w:eastAsia="en-AU"/>
        </w:rPr>
      </w:pPr>
      <w:r>
        <w:rPr>
          <w:lang w:eastAsia="en-AU"/>
        </w:rPr>
        <w:br w:type="page"/>
      </w:r>
    </w:p>
    <w:p w14:paraId="2341912B" w14:textId="77777777" w:rsidR="006E507D" w:rsidRDefault="006E507D" w:rsidP="006E507D">
      <w:pPr>
        <w:rPr>
          <w:lang w:eastAsia="en-AU"/>
        </w:rPr>
      </w:pPr>
    </w:p>
    <w:p w14:paraId="500245DE" w14:textId="78AC22A7" w:rsidR="00784D37" w:rsidRPr="00223EB9" w:rsidRDefault="00784D37" w:rsidP="00223EB9">
      <w:pPr>
        <w:rPr>
          <w:b/>
          <w:bCs/>
          <w:color w:val="00264D" w:themeColor="background2"/>
          <w:sz w:val="20"/>
          <w:szCs w:val="24"/>
          <w:lang w:val="en-US"/>
        </w:rPr>
      </w:pPr>
      <w:r w:rsidRPr="00223EB9">
        <w:rPr>
          <w:b/>
          <w:bCs/>
          <w:color w:val="00264D" w:themeColor="background2"/>
          <w:sz w:val="20"/>
          <w:szCs w:val="24"/>
        </w:rPr>
        <w:t>The NTAHF process to identify, select and prioritise transitions is perceived to be unclear</w:t>
      </w:r>
    </w:p>
    <w:p w14:paraId="023F2F44" w14:textId="26652E9E" w:rsidR="00784D37" w:rsidRPr="00784D37" w:rsidRDefault="00784D37" w:rsidP="00784D37">
      <w:pPr>
        <w:rPr>
          <w:lang w:eastAsia="en-AU"/>
        </w:rPr>
      </w:pPr>
      <w:r w:rsidRPr="00784D37">
        <w:rPr>
          <w:lang w:eastAsia="en-AU"/>
        </w:rPr>
        <w:t>Both AC</w:t>
      </w:r>
      <w:r w:rsidR="00974CCF">
        <w:rPr>
          <w:lang w:eastAsia="en-AU"/>
        </w:rPr>
        <w:t>C</w:t>
      </w:r>
      <w:r w:rsidRPr="00784D37">
        <w:rPr>
          <w:lang w:eastAsia="en-AU"/>
        </w:rPr>
        <w:t>HO</w:t>
      </w:r>
      <w:r w:rsidR="000834C9">
        <w:rPr>
          <w:lang w:eastAsia="en-AU"/>
        </w:rPr>
        <w:t xml:space="preserve"> </w:t>
      </w:r>
      <w:r w:rsidRPr="00784D37">
        <w:rPr>
          <w:lang w:eastAsia="en-AU"/>
        </w:rPr>
        <w:t>and government stakeholders suggested that there could be a more robust, proactive and transparent process to identify which communities will transition to community control. It is currently not clear who initiates conversations about new transitions. </w:t>
      </w:r>
      <w:r w:rsidR="00090E67">
        <w:rPr>
          <w:lang w:eastAsia="en-AU"/>
        </w:rPr>
        <w:t>It is also currently not clear how different regions are prioritised</w:t>
      </w:r>
      <w:r w:rsidR="00403DE1">
        <w:rPr>
          <w:lang w:eastAsia="en-AU"/>
        </w:rPr>
        <w:t xml:space="preserve">. </w:t>
      </w:r>
      <w:r w:rsidR="00C568A4">
        <w:rPr>
          <w:lang w:eastAsia="en-AU"/>
        </w:rPr>
        <w:t xml:space="preserve">ACCHO and government stakeholders </w:t>
      </w:r>
      <w:r w:rsidR="009F07FD">
        <w:rPr>
          <w:lang w:eastAsia="en-AU"/>
        </w:rPr>
        <w:t xml:space="preserve">commented on the fact that there is no process to </w:t>
      </w:r>
      <w:r w:rsidR="0026383B">
        <w:rPr>
          <w:lang w:eastAsia="en-AU"/>
        </w:rPr>
        <w:t xml:space="preserve">identify which clinics </w:t>
      </w:r>
      <w:r w:rsidR="00044224">
        <w:rPr>
          <w:lang w:eastAsia="en-AU"/>
        </w:rPr>
        <w:t xml:space="preserve">are </w:t>
      </w:r>
      <w:r w:rsidR="0026383B">
        <w:rPr>
          <w:lang w:eastAsia="en-AU"/>
        </w:rPr>
        <w:t xml:space="preserve">in the pipeline </w:t>
      </w:r>
      <w:r w:rsidR="00044224">
        <w:rPr>
          <w:lang w:eastAsia="en-AU"/>
        </w:rPr>
        <w:t xml:space="preserve">and </w:t>
      </w:r>
      <w:r w:rsidR="0026383B">
        <w:rPr>
          <w:lang w:eastAsia="en-AU"/>
        </w:rPr>
        <w:t xml:space="preserve">would possibly like to </w:t>
      </w:r>
      <w:r w:rsidR="00400D1E">
        <w:rPr>
          <w:lang w:eastAsia="en-AU"/>
        </w:rPr>
        <w:t xml:space="preserve">commence </w:t>
      </w:r>
      <w:r w:rsidR="0026383B">
        <w:rPr>
          <w:lang w:eastAsia="en-AU"/>
        </w:rPr>
        <w:t xml:space="preserve">transition next and no process to let regions know when </w:t>
      </w:r>
      <w:r w:rsidR="00400D1E">
        <w:rPr>
          <w:lang w:eastAsia="en-AU"/>
        </w:rPr>
        <w:t>an opportunity</w:t>
      </w:r>
      <w:r w:rsidR="0026383B">
        <w:rPr>
          <w:lang w:eastAsia="en-AU"/>
        </w:rPr>
        <w:t xml:space="preserve"> becomes available to transition</w:t>
      </w:r>
      <w:r w:rsidR="00B32F57" w:rsidRPr="00FD1DB4">
        <w:rPr>
          <w:lang w:eastAsia="en-AU"/>
        </w:rPr>
        <w:t>.</w:t>
      </w:r>
      <w:r w:rsidR="00B32F57">
        <w:rPr>
          <w:lang w:eastAsia="en-AU"/>
        </w:rPr>
        <w:t xml:space="preserve"> </w:t>
      </w:r>
      <w:r w:rsidR="00150098">
        <w:rPr>
          <w:noProof/>
        </w:rPr>
        <mc:AlternateContent>
          <mc:Choice Requires="wps">
            <w:drawing>
              <wp:inline distT="0" distB="0" distL="0" distR="0" wp14:anchorId="12BA1D9F" wp14:editId="1F571903">
                <wp:extent cx="5308270" cy="831273"/>
                <wp:effectExtent l="0" t="0" r="6985" b="6985"/>
                <wp:docPr id="7" name="Text Box 7" descr="“How can we do it [identify communities to transition] so it's more rigorous and timely and less bureaucratic - and more transparent in terms of what primary healthcare dollars are being invested by the NTG” – ACCHO stakeholder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5308270" cy="8312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EF107D" w14:textId="77777777" w:rsidR="00150098" w:rsidRDefault="00150098" w:rsidP="00150098">
                            <w:pPr>
                              <w:pStyle w:val="Callout"/>
                              <w:pBdr>
                                <w:top w:val="single" w:sz="18" w:space="0" w:color="E6E6E1" w:themeColor="accent5"/>
                              </w:pBdr>
                              <w:rPr>
                                <w:i/>
                                <w:iCs/>
                                <w:color w:val="00264D" w:themeColor="background2"/>
                                <w:sz w:val="18"/>
                                <w:szCs w:val="18"/>
                                <w:lang w:val="en-US" w:eastAsia="en-AU"/>
                              </w:rPr>
                            </w:pPr>
                            <w:r w:rsidRPr="00B5094C">
                              <w:rPr>
                                <w:i/>
                                <w:color w:val="F25E21" w:themeColor="accent2"/>
                                <w:lang w:val="en-US" w:eastAsia="en-AU"/>
                              </w:rPr>
                              <w:t>“</w:t>
                            </w:r>
                            <w:r w:rsidRPr="00BD7D9D">
                              <w:rPr>
                                <w:i/>
                                <w:iCs/>
                                <w:color w:val="F25E21" w:themeColor="accent2"/>
                                <w:lang w:val="en-US" w:eastAsia="en-AU"/>
                              </w:rPr>
                              <w:t>How can we do it [identify communities to transition] so it's more rigorous and timely and less bureaucratic - and more transparent in terms of what primary healthcare dollars are being invested by the NTG</w:t>
                            </w:r>
                            <w:r>
                              <w:rPr>
                                <w:i/>
                                <w:iCs/>
                                <w:color w:val="F25E21" w:themeColor="accent2"/>
                                <w:lang w:val="en-US" w:eastAsia="en-AU"/>
                              </w:rPr>
                              <w:t xml:space="preserve">” </w:t>
                            </w:r>
                            <w:r w:rsidRPr="005D5574">
                              <w:rPr>
                                <w:i/>
                                <w:color w:val="F25E21" w:themeColor="accent2"/>
                                <w:lang w:val="en-US" w:eastAsia="en-AU"/>
                              </w:rPr>
                              <w:t xml:space="preserve">– </w:t>
                            </w:r>
                            <w:r>
                              <w:rPr>
                                <w:i/>
                                <w:iCs/>
                                <w:color w:val="00264D" w:themeColor="background2"/>
                                <w:sz w:val="18"/>
                                <w:szCs w:val="18"/>
                                <w:lang w:val="en-US" w:eastAsia="en-AU"/>
                              </w:rPr>
                              <w:t xml:space="preserve">ACCHO stakeholder </w:t>
                            </w:r>
                          </w:p>
                          <w:p w14:paraId="26585943" w14:textId="77777777" w:rsidR="00150098" w:rsidRPr="00E62AD2" w:rsidRDefault="00150098" w:rsidP="00150098">
                            <w:pPr>
                              <w:pStyle w:val="Callout"/>
                              <w:pBdr>
                                <w:top w:val="single" w:sz="18" w:space="0" w:color="E6E6E1" w:themeColor="accent5"/>
                              </w:pBdr>
                              <w:rPr>
                                <w:color w:val="00264D" w:themeColor="background2"/>
                                <w:sz w:val="18"/>
                                <w:szCs w:val="18"/>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inline>
            </w:drawing>
          </mc:Choice>
          <mc:Fallback>
            <w:pict>
              <v:shape w14:anchorId="12BA1D9F" id="Text Box 7" o:spid="_x0000_s1031" type="#_x0000_t202" alt="“How can we do it [identify communities to transition] so it's more rigorous and timely and less bureaucratic - and more transparent in terms of what primary healthcare dollars are being invested by the NTG” – ACCHO stakeholder " style="width:417.95pt;height:6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" fillcolor="white [3201]" stroked="f" strokeweight=".5pt">
                <v:textbox inset="0,,1mm">
                  <w:txbxContent>
                    <w:p w14:paraId="18EF107D" w14:textId="77777777" w:rsidR="00150098" w:rsidRDefault="00150098" w:rsidP="00150098">
                      <w:pPr>
                        <w:pStyle w:val="Callout"/>
                        <w:pBdr>
                          <w:top w:val="single" w:sz="18" w:space="0" w:color="E6E6E1" w:themeColor="accent5"/>
                        </w:pBdr>
                        <w:rPr>
                          <w:i/>
                          <w:iCs/>
                          <w:color w:val="00264D" w:themeColor="background2"/>
                          <w:sz w:val="18"/>
                          <w:szCs w:val="18"/>
                          <w:lang w:val="en-US" w:eastAsia="en-AU"/>
                        </w:rPr>
                      </w:pPr>
                      <w:r w:rsidRPr="00B5094C">
                        <w:rPr>
                          <w:i/>
                          <w:color w:val="F25E21" w:themeColor="accent2"/>
                          <w:lang w:val="en-US" w:eastAsia="en-AU"/>
                        </w:rPr>
                        <w:t>“</w:t>
                      </w:r>
                      <w:r w:rsidRPr="00BD7D9D">
                        <w:rPr>
                          <w:i/>
                          <w:iCs/>
                          <w:color w:val="F25E21" w:themeColor="accent2"/>
                          <w:lang w:val="en-US" w:eastAsia="en-AU"/>
                        </w:rPr>
                        <w:t xml:space="preserve">How can we do it [identify communities to transition] so it's </w:t>
                      </w:r>
                      <w:proofErr w:type="gramStart"/>
                      <w:r w:rsidRPr="00BD7D9D">
                        <w:rPr>
                          <w:i/>
                          <w:iCs/>
                          <w:color w:val="F25E21" w:themeColor="accent2"/>
                          <w:lang w:val="en-US" w:eastAsia="en-AU"/>
                        </w:rPr>
                        <w:t>more rigorous and timely</w:t>
                      </w:r>
                      <w:proofErr w:type="gramEnd"/>
                      <w:r w:rsidRPr="00BD7D9D">
                        <w:rPr>
                          <w:i/>
                          <w:iCs/>
                          <w:color w:val="F25E21" w:themeColor="accent2"/>
                          <w:lang w:val="en-US" w:eastAsia="en-AU"/>
                        </w:rPr>
                        <w:t xml:space="preserve"> and less bureaucratic - and more transparent in terms of what primary healthcare dollars are being invested by the NTG</w:t>
                      </w:r>
                      <w:r>
                        <w:rPr>
                          <w:i/>
                          <w:iCs/>
                          <w:color w:val="F25E21" w:themeColor="accent2"/>
                          <w:lang w:val="en-US" w:eastAsia="en-AU"/>
                        </w:rPr>
                        <w:t xml:space="preserve">” </w:t>
                      </w:r>
                      <w:r w:rsidRPr="005D5574">
                        <w:rPr>
                          <w:i/>
                          <w:color w:val="F25E21" w:themeColor="accent2"/>
                          <w:lang w:val="en-US" w:eastAsia="en-AU"/>
                        </w:rPr>
                        <w:t xml:space="preserve">– </w:t>
                      </w:r>
                      <w:r>
                        <w:rPr>
                          <w:i/>
                          <w:iCs/>
                          <w:color w:val="00264D" w:themeColor="background2"/>
                          <w:sz w:val="18"/>
                          <w:szCs w:val="18"/>
                          <w:lang w:val="en-US" w:eastAsia="en-AU"/>
                        </w:rPr>
                        <w:t xml:space="preserve">ACCHO stakeholder </w:t>
                      </w:r>
                    </w:p>
                    <w:p w14:paraId="26585943" w14:textId="77777777" w:rsidR="00150098" w:rsidRPr="00E62AD2" w:rsidRDefault="00150098" w:rsidP="00150098">
                      <w:pPr>
                        <w:pStyle w:val="Callout"/>
                        <w:pBdr>
                          <w:top w:val="single" w:sz="18" w:space="0" w:color="E6E6E1" w:themeColor="accent5"/>
                        </w:pBdr>
                        <w:rPr>
                          <w:color w:val="00264D" w:themeColor="background2"/>
                          <w:sz w:val="18"/>
                          <w:szCs w:val="18"/>
                        </w:rPr>
                      </w:pPr>
                    </w:p>
                  </w:txbxContent>
                </v:textbox>
                <w10:anchorlock/>
              </v:shape>
            </w:pict>
          </mc:Fallback>
        </mc:AlternateContent>
      </w:r>
    </w:p>
    <w:p w14:paraId="4D050078" w14:textId="56E9BE88" w:rsidR="00784D37" w:rsidRPr="00784D37" w:rsidRDefault="00010326" w:rsidP="00784D37">
      <w:pPr>
        <w:rPr>
          <w:lang w:eastAsia="en-AU"/>
        </w:rPr>
      </w:pPr>
      <w:r w:rsidRPr="00784D37">
        <w:rPr>
          <w:lang w:eastAsia="en-AU"/>
        </w:rPr>
        <w:t>Government stakeholders</w:t>
      </w:r>
      <w:r>
        <w:rPr>
          <w:lang w:eastAsia="en-AU"/>
        </w:rPr>
        <w:t xml:space="preserve"> </w:t>
      </w:r>
      <w:r w:rsidR="00784D37" w:rsidRPr="00784D37">
        <w:rPr>
          <w:lang w:eastAsia="en-AU"/>
        </w:rPr>
        <w:t xml:space="preserve">highlighted that </w:t>
      </w:r>
      <w:r w:rsidR="00ED2DFF">
        <w:rPr>
          <w:lang w:eastAsia="en-AU"/>
        </w:rPr>
        <w:t xml:space="preserve">a positive progression of the program was </w:t>
      </w:r>
      <w:r w:rsidR="00E04569">
        <w:rPr>
          <w:lang w:eastAsia="en-AU"/>
        </w:rPr>
        <w:t>the creation of</w:t>
      </w:r>
      <w:r w:rsidR="00ED2DFF">
        <w:rPr>
          <w:lang w:eastAsia="en-AU"/>
        </w:rPr>
        <w:t xml:space="preserve"> a set of criteria </w:t>
      </w:r>
      <w:r w:rsidR="00E47C69">
        <w:rPr>
          <w:lang w:eastAsia="en-AU"/>
        </w:rPr>
        <w:t xml:space="preserve">to assess </w:t>
      </w:r>
      <w:r w:rsidR="00FD745A">
        <w:rPr>
          <w:lang w:eastAsia="en-AU"/>
        </w:rPr>
        <w:t xml:space="preserve">the </w:t>
      </w:r>
      <w:r w:rsidR="00E47C69">
        <w:rPr>
          <w:lang w:eastAsia="en-AU"/>
        </w:rPr>
        <w:t xml:space="preserve">readiness </w:t>
      </w:r>
      <w:r w:rsidR="00F34886">
        <w:rPr>
          <w:lang w:eastAsia="en-AU"/>
        </w:rPr>
        <w:t>of a region for</w:t>
      </w:r>
      <w:r w:rsidR="00E47C69">
        <w:rPr>
          <w:lang w:eastAsia="en-AU"/>
        </w:rPr>
        <w:t xml:space="preserve"> transition.</w:t>
      </w:r>
      <w:r w:rsidR="00A371C0">
        <w:rPr>
          <w:lang w:eastAsia="en-AU"/>
        </w:rPr>
        <w:t xml:space="preserve"> </w:t>
      </w:r>
      <w:r w:rsidR="00E04569">
        <w:rPr>
          <w:lang w:eastAsia="en-AU"/>
        </w:rPr>
        <w:t>However,</w:t>
      </w:r>
      <w:r w:rsidR="00A371C0">
        <w:rPr>
          <w:lang w:eastAsia="en-AU"/>
        </w:rPr>
        <w:t xml:space="preserve"> stakeholders noted </w:t>
      </w:r>
      <w:r w:rsidR="00886F4E">
        <w:rPr>
          <w:lang w:eastAsia="en-AU"/>
        </w:rPr>
        <w:t>these</w:t>
      </w:r>
      <w:r w:rsidR="0039761B">
        <w:rPr>
          <w:lang w:eastAsia="en-AU"/>
        </w:rPr>
        <w:t xml:space="preserve"> criteria w</w:t>
      </w:r>
      <w:r w:rsidR="00886F4E">
        <w:rPr>
          <w:lang w:eastAsia="en-AU"/>
        </w:rPr>
        <w:t>ere</w:t>
      </w:r>
      <w:r w:rsidR="0039761B">
        <w:rPr>
          <w:lang w:eastAsia="en-AU"/>
        </w:rPr>
        <w:t xml:space="preserve"> only developed </w:t>
      </w:r>
      <w:r w:rsidR="00B1534E">
        <w:rPr>
          <w:lang w:eastAsia="en-AU"/>
        </w:rPr>
        <w:t>after</w:t>
      </w:r>
      <w:r w:rsidR="00FA29C9">
        <w:rPr>
          <w:lang w:eastAsia="en-AU"/>
        </w:rPr>
        <w:t xml:space="preserve"> the</w:t>
      </w:r>
      <w:r w:rsidR="00F50B2A">
        <w:rPr>
          <w:lang w:eastAsia="en-AU"/>
        </w:rPr>
        <w:t xml:space="preserve"> </w:t>
      </w:r>
      <w:r w:rsidR="0039761B">
        <w:rPr>
          <w:lang w:eastAsia="en-AU"/>
        </w:rPr>
        <w:t>Red Lily</w:t>
      </w:r>
      <w:r w:rsidR="00F7325C">
        <w:rPr>
          <w:lang w:eastAsia="en-AU"/>
        </w:rPr>
        <w:t xml:space="preserve"> </w:t>
      </w:r>
      <w:r w:rsidR="001600A4">
        <w:rPr>
          <w:lang w:eastAsia="en-AU"/>
        </w:rPr>
        <w:t>transition was underway</w:t>
      </w:r>
      <w:r w:rsidR="0039761B">
        <w:rPr>
          <w:lang w:eastAsia="en-AU"/>
        </w:rPr>
        <w:t xml:space="preserve">, </w:t>
      </w:r>
      <w:r w:rsidR="009747E5">
        <w:rPr>
          <w:lang w:eastAsia="en-AU"/>
        </w:rPr>
        <w:t xml:space="preserve">and </w:t>
      </w:r>
      <w:r w:rsidR="00606014">
        <w:rPr>
          <w:lang w:eastAsia="en-AU"/>
        </w:rPr>
        <w:t xml:space="preserve">they believed </w:t>
      </w:r>
      <w:r w:rsidR="00B1534E">
        <w:rPr>
          <w:lang w:eastAsia="en-AU"/>
        </w:rPr>
        <w:t xml:space="preserve">previous transitions including the Red Lily transition had not </w:t>
      </w:r>
      <w:r w:rsidR="00713FCE">
        <w:rPr>
          <w:lang w:eastAsia="en-AU"/>
        </w:rPr>
        <w:t xml:space="preserve">undergone adequate </w:t>
      </w:r>
      <w:r w:rsidR="00B67841">
        <w:rPr>
          <w:lang w:eastAsia="en-AU"/>
        </w:rPr>
        <w:t>assessment of</w:t>
      </w:r>
      <w:r w:rsidR="00713FCE">
        <w:rPr>
          <w:lang w:eastAsia="en-AU"/>
        </w:rPr>
        <w:t xml:space="preserve"> the readiness of the region to transition. </w:t>
      </w:r>
      <w:r w:rsidR="00F82C19">
        <w:rPr>
          <w:lang w:eastAsia="en-AU"/>
        </w:rPr>
        <w:t>Government</w:t>
      </w:r>
      <w:r w:rsidR="001053FC">
        <w:rPr>
          <w:lang w:eastAsia="en-AU"/>
        </w:rPr>
        <w:t xml:space="preserve"> stakeholders</w:t>
      </w:r>
      <w:r w:rsidR="00291F83">
        <w:rPr>
          <w:lang w:eastAsia="en-AU"/>
        </w:rPr>
        <w:t xml:space="preserve"> also noted that </w:t>
      </w:r>
      <w:r w:rsidR="006E3CE3">
        <w:rPr>
          <w:lang w:eastAsia="en-AU"/>
        </w:rPr>
        <w:t>since the</w:t>
      </w:r>
      <w:r w:rsidR="00291F83">
        <w:rPr>
          <w:lang w:eastAsia="en-AU"/>
        </w:rPr>
        <w:t xml:space="preserve"> criteria ha</w:t>
      </w:r>
      <w:r w:rsidR="00287270">
        <w:rPr>
          <w:lang w:eastAsia="en-AU"/>
        </w:rPr>
        <w:t>ve</w:t>
      </w:r>
      <w:r w:rsidR="006E3CE3">
        <w:rPr>
          <w:lang w:eastAsia="en-AU"/>
        </w:rPr>
        <w:t xml:space="preserve"> been developed, </w:t>
      </w:r>
      <w:r w:rsidR="00287270">
        <w:rPr>
          <w:lang w:eastAsia="en-AU"/>
        </w:rPr>
        <w:t xml:space="preserve">they </w:t>
      </w:r>
      <w:r w:rsidR="006E3CE3">
        <w:rPr>
          <w:lang w:eastAsia="en-AU"/>
        </w:rPr>
        <w:t>ha</w:t>
      </w:r>
      <w:r w:rsidR="00446F58">
        <w:rPr>
          <w:lang w:eastAsia="en-AU"/>
        </w:rPr>
        <w:t>ve</w:t>
      </w:r>
      <w:r w:rsidR="00291F83">
        <w:rPr>
          <w:lang w:eastAsia="en-AU"/>
        </w:rPr>
        <w:t xml:space="preserve"> not been applied consistently</w:t>
      </w:r>
      <w:r w:rsidR="00607FDD">
        <w:rPr>
          <w:lang w:eastAsia="en-AU"/>
        </w:rPr>
        <w:t>,</w:t>
      </w:r>
      <w:r w:rsidR="00FA1ACC">
        <w:rPr>
          <w:lang w:eastAsia="en-AU"/>
        </w:rPr>
        <w:t xml:space="preserve"> causing confusion around the selection process</w:t>
      </w:r>
      <w:r w:rsidR="00291F83">
        <w:rPr>
          <w:lang w:eastAsia="en-AU"/>
        </w:rPr>
        <w:t>. For example,</w:t>
      </w:r>
      <w:r w:rsidR="00F54B3A">
        <w:rPr>
          <w:lang w:eastAsia="en-AU"/>
        </w:rPr>
        <w:t xml:space="preserve"> some regions have been </w:t>
      </w:r>
      <w:r w:rsidR="00041AD7">
        <w:rPr>
          <w:lang w:eastAsia="en-AU"/>
        </w:rPr>
        <w:t xml:space="preserve">subsequently </w:t>
      </w:r>
      <w:r w:rsidR="00F54B3A">
        <w:rPr>
          <w:lang w:eastAsia="en-AU"/>
        </w:rPr>
        <w:t xml:space="preserve">approved for transition </w:t>
      </w:r>
      <w:r w:rsidR="00F33E48">
        <w:rPr>
          <w:lang w:eastAsia="en-AU"/>
        </w:rPr>
        <w:t>without meeting</w:t>
      </w:r>
      <w:r w:rsidR="00F54B3A">
        <w:rPr>
          <w:lang w:eastAsia="en-AU"/>
        </w:rPr>
        <w:t xml:space="preserve"> the </w:t>
      </w:r>
      <w:r w:rsidR="00F33E48">
        <w:rPr>
          <w:lang w:eastAsia="en-AU"/>
        </w:rPr>
        <w:t>requirement</w:t>
      </w:r>
      <w:r w:rsidR="00F54B3A">
        <w:rPr>
          <w:lang w:eastAsia="en-AU"/>
        </w:rPr>
        <w:t xml:space="preserve"> that the region </w:t>
      </w:r>
      <w:r w:rsidR="00F94D43">
        <w:rPr>
          <w:lang w:eastAsia="en-AU"/>
        </w:rPr>
        <w:t xml:space="preserve">must </w:t>
      </w:r>
      <w:r w:rsidR="00F54B3A">
        <w:rPr>
          <w:lang w:eastAsia="en-AU"/>
        </w:rPr>
        <w:t xml:space="preserve">have a minimum Aboriginal population of 2,500 people. </w:t>
      </w:r>
    </w:p>
    <w:p w14:paraId="13CA5E7F" w14:textId="603F56D3" w:rsidR="003C4835" w:rsidRDefault="00784D37" w:rsidP="00784D37">
      <w:pPr>
        <w:rPr>
          <w:lang w:eastAsia="en-AU"/>
        </w:rPr>
      </w:pPr>
      <w:r w:rsidRPr="00784D37">
        <w:rPr>
          <w:lang w:eastAsia="en-AU"/>
        </w:rPr>
        <w:t>Government</w:t>
      </w:r>
      <w:r w:rsidR="007B1247">
        <w:rPr>
          <w:lang w:eastAsia="en-AU"/>
        </w:rPr>
        <w:t xml:space="preserve">, </w:t>
      </w:r>
      <w:r w:rsidRPr="00784D37">
        <w:rPr>
          <w:lang w:eastAsia="en-AU"/>
        </w:rPr>
        <w:t>ACCHO</w:t>
      </w:r>
      <w:r w:rsidR="007B1247">
        <w:rPr>
          <w:lang w:eastAsia="en-AU"/>
        </w:rPr>
        <w:t xml:space="preserve"> and other key stakeholders also</w:t>
      </w:r>
      <w:r w:rsidRPr="00784D37">
        <w:rPr>
          <w:lang w:eastAsia="en-AU"/>
        </w:rPr>
        <w:t xml:space="preserve"> questioned the </w:t>
      </w:r>
      <w:r w:rsidR="00D72CFF">
        <w:rPr>
          <w:lang w:eastAsia="en-AU"/>
        </w:rPr>
        <w:t>guideline</w:t>
      </w:r>
      <w:r w:rsidRPr="00784D37">
        <w:rPr>
          <w:lang w:eastAsia="en-AU"/>
        </w:rPr>
        <w:t xml:space="preserve"> </w:t>
      </w:r>
      <w:r w:rsidR="007B1247">
        <w:rPr>
          <w:lang w:eastAsia="en-AU"/>
        </w:rPr>
        <w:t xml:space="preserve">that the </w:t>
      </w:r>
      <w:r w:rsidR="004428E6">
        <w:rPr>
          <w:lang w:eastAsia="en-AU"/>
        </w:rPr>
        <w:t xml:space="preserve">P2CC </w:t>
      </w:r>
      <w:r w:rsidR="009B68B1">
        <w:rPr>
          <w:lang w:eastAsia="en-AU"/>
        </w:rPr>
        <w:t xml:space="preserve">program </w:t>
      </w:r>
      <w:r w:rsidR="004428E6">
        <w:rPr>
          <w:lang w:eastAsia="en-AU"/>
        </w:rPr>
        <w:t>can only</w:t>
      </w:r>
      <w:r w:rsidRPr="00784D37">
        <w:rPr>
          <w:lang w:eastAsia="en-AU"/>
        </w:rPr>
        <w:t xml:space="preserve"> </w:t>
      </w:r>
      <w:r w:rsidR="00570C04">
        <w:rPr>
          <w:lang w:eastAsia="en-AU"/>
        </w:rPr>
        <w:t>focus on transitioning</w:t>
      </w:r>
      <w:r w:rsidRPr="00784D37">
        <w:rPr>
          <w:lang w:eastAsia="en-AU"/>
        </w:rPr>
        <w:t xml:space="preserve"> three regions at a time</w:t>
      </w:r>
      <w:r w:rsidR="002F3CE4">
        <w:rPr>
          <w:lang w:eastAsia="en-AU"/>
        </w:rPr>
        <w:t xml:space="preserve"> (which might include multiple clinics)</w:t>
      </w:r>
      <w:r w:rsidR="004428E6">
        <w:rPr>
          <w:lang w:eastAsia="en-AU"/>
        </w:rPr>
        <w:t xml:space="preserve">. Stakeholders noted that this </w:t>
      </w:r>
      <w:r w:rsidR="00E12630">
        <w:rPr>
          <w:lang w:eastAsia="en-AU"/>
        </w:rPr>
        <w:t>guideline</w:t>
      </w:r>
      <w:r w:rsidR="004428E6">
        <w:rPr>
          <w:lang w:eastAsia="en-AU"/>
        </w:rPr>
        <w:t xml:space="preserve"> was developed due to the </w:t>
      </w:r>
      <w:r w:rsidR="00EE2FF5">
        <w:rPr>
          <w:lang w:eastAsia="en-AU"/>
        </w:rPr>
        <w:t xml:space="preserve">amount of </w:t>
      </w:r>
      <w:r w:rsidR="00F82C19">
        <w:rPr>
          <w:lang w:eastAsia="en-AU"/>
        </w:rPr>
        <w:t>Australian Government</w:t>
      </w:r>
      <w:r w:rsidR="004428E6">
        <w:rPr>
          <w:lang w:eastAsia="en-AU"/>
        </w:rPr>
        <w:t xml:space="preserve"> funding </w:t>
      </w:r>
      <w:r w:rsidR="00EE2FF5">
        <w:rPr>
          <w:lang w:eastAsia="en-AU"/>
        </w:rPr>
        <w:t>available at one time for transitions and the</w:t>
      </w:r>
      <w:r w:rsidR="00226996">
        <w:rPr>
          <w:lang w:eastAsia="en-AU"/>
        </w:rPr>
        <w:t xml:space="preserve"> </w:t>
      </w:r>
      <w:r w:rsidR="004428E6">
        <w:rPr>
          <w:lang w:eastAsia="en-AU"/>
        </w:rPr>
        <w:t>Government</w:t>
      </w:r>
      <w:r w:rsidR="001B478C">
        <w:rPr>
          <w:lang w:eastAsia="en-AU"/>
        </w:rPr>
        <w:t xml:space="preserve"> (both </w:t>
      </w:r>
      <w:r w:rsidR="00F82C19">
        <w:rPr>
          <w:lang w:eastAsia="en-AU"/>
        </w:rPr>
        <w:t>Australian Government</w:t>
      </w:r>
      <w:r w:rsidR="001B478C">
        <w:rPr>
          <w:lang w:eastAsia="en-AU"/>
        </w:rPr>
        <w:t xml:space="preserve"> and </w:t>
      </w:r>
      <w:r w:rsidR="00CA52D1">
        <w:rPr>
          <w:lang w:eastAsia="en-AU"/>
        </w:rPr>
        <w:t>NT</w:t>
      </w:r>
      <w:r w:rsidR="001B478C">
        <w:rPr>
          <w:lang w:eastAsia="en-AU"/>
        </w:rPr>
        <w:t>)</w:t>
      </w:r>
      <w:r w:rsidR="004428E6">
        <w:rPr>
          <w:lang w:eastAsia="en-AU"/>
        </w:rPr>
        <w:t xml:space="preserve"> resources </w:t>
      </w:r>
      <w:r w:rsidR="00FD6B3C">
        <w:rPr>
          <w:lang w:eastAsia="en-AU"/>
        </w:rPr>
        <w:t>available</w:t>
      </w:r>
      <w:r w:rsidR="004428E6">
        <w:rPr>
          <w:lang w:eastAsia="en-AU"/>
        </w:rPr>
        <w:t xml:space="preserve"> to work on processing transitions at one time. </w:t>
      </w:r>
      <w:r w:rsidR="00E07C24">
        <w:rPr>
          <w:lang w:eastAsia="en-AU"/>
        </w:rPr>
        <w:t xml:space="preserve">Many stakeholders including ACCHOs, government and </w:t>
      </w:r>
      <w:r w:rsidR="00FC301B">
        <w:rPr>
          <w:lang w:eastAsia="en-AU"/>
        </w:rPr>
        <w:t>non-government</w:t>
      </w:r>
      <w:r w:rsidR="00E07C24">
        <w:rPr>
          <w:lang w:eastAsia="en-AU"/>
        </w:rPr>
        <w:t xml:space="preserve"> stakeholders commented </w:t>
      </w:r>
      <w:r w:rsidR="00EA679D">
        <w:rPr>
          <w:lang w:eastAsia="en-AU"/>
        </w:rPr>
        <w:t>on the slow speed at which transitions were occurring and questioned</w:t>
      </w:r>
      <w:r w:rsidR="00E07C24">
        <w:rPr>
          <w:lang w:eastAsia="en-AU"/>
        </w:rPr>
        <w:t xml:space="preserve"> whether this </w:t>
      </w:r>
      <w:r w:rsidR="00E12630">
        <w:rPr>
          <w:lang w:eastAsia="en-AU"/>
        </w:rPr>
        <w:t>guideline</w:t>
      </w:r>
      <w:r w:rsidR="00E07C24">
        <w:rPr>
          <w:lang w:eastAsia="en-AU"/>
        </w:rPr>
        <w:t xml:space="preserve"> could be revised if there was a greater commitment to the program in the future. </w:t>
      </w:r>
    </w:p>
    <w:p w14:paraId="7954B8A6" w14:textId="11C9301C" w:rsidR="00465896" w:rsidRPr="00465896" w:rsidRDefault="00CF22CE" w:rsidP="00784D37">
      <w:pPr>
        <w:rPr>
          <w:lang w:eastAsia="en-AU"/>
        </w:rPr>
      </w:pPr>
      <w:r>
        <w:rPr>
          <w:lang w:eastAsia="en-AU"/>
        </w:rPr>
        <w:t xml:space="preserve">Research reviewed as part of the </w:t>
      </w:r>
      <w:r w:rsidR="005263DC" w:rsidRPr="00F62C41">
        <w:rPr>
          <w:lang w:eastAsia="en-AU"/>
        </w:rPr>
        <w:t xml:space="preserve">literature </w:t>
      </w:r>
      <w:r>
        <w:rPr>
          <w:lang w:eastAsia="en-AU"/>
        </w:rPr>
        <w:t>review</w:t>
      </w:r>
      <w:r w:rsidR="005263DC" w:rsidRPr="00F62C41">
        <w:rPr>
          <w:lang w:eastAsia="en-AU"/>
        </w:rPr>
        <w:t xml:space="preserve"> commented on the </w:t>
      </w:r>
      <w:r w:rsidR="00465896" w:rsidRPr="00F62C41">
        <w:rPr>
          <w:lang w:eastAsia="en-AU"/>
        </w:rPr>
        <w:t>importance of having realistic expectations for how long the transition process can take</w:t>
      </w:r>
      <w:r w:rsidR="00F57C0D" w:rsidRPr="00F62C41">
        <w:rPr>
          <w:lang w:eastAsia="en-AU"/>
        </w:rPr>
        <w:t>,</w:t>
      </w:r>
      <w:r w:rsidR="00C142CE" w:rsidRPr="00F62C41">
        <w:rPr>
          <w:lang w:eastAsia="en-AU"/>
        </w:rPr>
        <w:t xml:space="preserve"> with some transitions in Australia taking up to 30 years to fully transition</w:t>
      </w:r>
      <w:r w:rsidR="00465896" w:rsidRPr="00F62C41">
        <w:rPr>
          <w:lang w:eastAsia="en-AU"/>
        </w:rPr>
        <w:t>.</w:t>
      </w:r>
      <w:r w:rsidR="00546221" w:rsidRPr="00F62C41">
        <w:rPr>
          <w:rStyle w:val="FootnoteReference"/>
          <w:lang w:eastAsia="en-AU"/>
        </w:rPr>
        <w:footnoteReference w:id="14"/>
      </w:r>
      <w:r w:rsidR="00465896" w:rsidRPr="00F62C41">
        <w:rPr>
          <w:lang w:eastAsia="en-AU"/>
        </w:rPr>
        <w:t xml:space="preserve"> </w:t>
      </w:r>
      <w:r w:rsidR="00976B43" w:rsidRPr="00F62C41">
        <w:rPr>
          <w:lang w:eastAsia="en-AU"/>
        </w:rPr>
        <w:t>E</w:t>
      </w:r>
      <w:r w:rsidR="00465896" w:rsidRPr="00F62C41">
        <w:rPr>
          <w:lang w:eastAsia="en-AU"/>
        </w:rPr>
        <w:t xml:space="preserve">fforts in Australia to transfer to community control are generally </w:t>
      </w:r>
      <w:r w:rsidR="00976B43" w:rsidRPr="00F62C41">
        <w:rPr>
          <w:lang w:eastAsia="en-AU"/>
        </w:rPr>
        <w:t>assumed</w:t>
      </w:r>
      <w:r w:rsidR="003C62CB" w:rsidRPr="00F62C41">
        <w:rPr>
          <w:lang w:eastAsia="en-AU"/>
        </w:rPr>
        <w:t xml:space="preserve"> to be </w:t>
      </w:r>
      <w:r w:rsidR="00465896" w:rsidRPr="00F62C41">
        <w:rPr>
          <w:lang w:eastAsia="en-AU"/>
        </w:rPr>
        <w:t xml:space="preserve">conducted </w:t>
      </w:r>
      <w:r w:rsidR="003C62CB" w:rsidRPr="00F62C41">
        <w:rPr>
          <w:lang w:eastAsia="en-AU"/>
        </w:rPr>
        <w:t>over shorter timeframes (the P2CC framework outlines an indicative 5</w:t>
      </w:r>
      <w:r w:rsidR="00376C44" w:rsidRPr="00F62C41">
        <w:rPr>
          <w:lang w:eastAsia="en-AU"/>
        </w:rPr>
        <w:t>-</w:t>
      </w:r>
      <w:r w:rsidR="003C62CB" w:rsidRPr="00F62C41">
        <w:rPr>
          <w:lang w:eastAsia="en-AU"/>
        </w:rPr>
        <w:t>year timeframe)</w:t>
      </w:r>
      <w:r w:rsidR="003F7E74" w:rsidRPr="00F62C41">
        <w:rPr>
          <w:lang w:eastAsia="en-AU"/>
        </w:rPr>
        <w:t>. However</w:t>
      </w:r>
      <w:r w:rsidR="005F6097" w:rsidRPr="00F62C41">
        <w:rPr>
          <w:lang w:eastAsia="en-AU"/>
        </w:rPr>
        <w:t>,</w:t>
      </w:r>
      <w:r w:rsidR="003F7E74" w:rsidRPr="00F62C41">
        <w:rPr>
          <w:lang w:eastAsia="en-AU"/>
        </w:rPr>
        <w:t xml:space="preserve"> as </w:t>
      </w:r>
      <w:r w:rsidR="00100F56" w:rsidRPr="00F62C41">
        <w:rPr>
          <w:lang w:eastAsia="en-AU"/>
        </w:rPr>
        <w:t>this evaluation shows there is a significant variation in the effort and funding needed for different t</w:t>
      </w:r>
      <w:r w:rsidR="00FD086D" w:rsidRPr="00F62C41">
        <w:rPr>
          <w:lang w:eastAsia="en-AU"/>
        </w:rPr>
        <w:t xml:space="preserve">ransitions with some quickly transitioning, with others taking a </w:t>
      </w:r>
      <w:r w:rsidR="00054E6B" w:rsidRPr="00F62C41">
        <w:rPr>
          <w:lang w:eastAsia="en-AU"/>
        </w:rPr>
        <w:t>lot longer.</w:t>
      </w:r>
      <w:r w:rsidR="00A42690" w:rsidRPr="00F62C41">
        <w:rPr>
          <w:lang w:eastAsia="en-AU"/>
        </w:rPr>
        <w:t xml:space="preserve"> </w:t>
      </w:r>
      <w:r w:rsidR="005B0F92" w:rsidRPr="00F62C41">
        <w:rPr>
          <w:lang w:eastAsia="en-AU"/>
        </w:rPr>
        <w:t>Lavoie et al. (2016) commented</w:t>
      </w:r>
      <w:r w:rsidR="00A42690" w:rsidRPr="00F62C41">
        <w:rPr>
          <w:lang w:eastAsia="en-AU"/>
        </w:rPr>
        <w:t xml:space="preserve"> on the fact that </w:t>
      </w:r>
      <w:r w:rsidR="005B0F92" w:rsidRPr="00F62C41">
        <w:rPr>
          <w:lang w:eastAsia="en-AU"/>
        </w:rPr>
        <w:t>efforts</w:t>
      </w:r>
      <w:r w:rsidR="00A42690" w:rsidRPr="00F62C41">
        <w:rPr>
          <w:lang w:eastAsia="en-AU"/>
        </w:rPr>
        <w:t xml:space="preserve"> in</w:t>
      </w:r>
      <w:r w:rsidR="00465896" w:rsidRPr="00F62C41">
        <w:rPr>
          <w:lang w:eastAsia="en-AU"/>
        </w:rPr>
        <w:t xml:space="preserve"> </w:t>
      </w:r>
      <w:r w:rsidR="005B0F92" w:rsidRPr="00F62C41">
        <w:rPr>
          <w:lang w:eastAsia="en-AU"/>
        </w:rPr>
        <w:t>Australia to transfer to community control under an assumed</w:t>
      </w:r>
      <w:r w:rsidR="00465896" w:rsidRPr="00F62C41">
        <w:rPr>
          <w:lang w:eastAsia="en-AU"/>
        </w:rPr>
        <w:t xml:space="preserve"> short time frame </w:t>
      </w:r>
      <w:r w:rsidR="00761F38" w:rsidRPr="00F62C41">
        <w:rPr>
          <w:lang w:eastAsia="en-AU"/>
        </w:rPr>
        <w:t>are</w:t>
      </w:r>
      <w:r w:rsidR="00465896" w:rsidRPr="00F62C41">
        <w:rPr>
          <w:lang w:eastAsia="en-AU"/>
        </w:rPr>
        <w:t xml:space="preserve"> often not realistic and risk creating feelings of failure</w:t>
      </w:r>
      <w:r w:rsidR="00152C90" w:rsidRPr="00F62C41">
        <w:rPr>
          <w:lang w:eastAsia="en-AU"/>
        </w:rPr>
        <w:t>.</w:t>
      </w:r>
      <w:r w:rsidR="005B0F92" w:rsidRPr="001A14FB">
        <w:rPr>
          <w:rStyle w:val="FootnoteReference"/>
          <w:lang w:eastAsia="en-AU"/>
        </w:rPr>
        <w:footnoteReference w:id="15"/>
      </w:r>
    </w:p>
    <w:p w14:paraId="34A4F770" w14:textId="77777777" w:rsidR="00784D37" w:rsidRPr="00223EB9" w:rsidRDefault="00784D37" w:rsidP="00223EB9">
      <w:pPr>
        <w:rPr>
          <w:b/>
          <w:bCs/>
          <w:color w:val="00264D" w:themeColor="background2"/>
          <w:sz w:val="20"/>
          <w:szCs w:val="24"/>
          <w:lang w:val="en-US"/>
        </w:rPr>
      </w:pPr>
      <w:r w:rsidRPr="00223EB9">
        <w:rPr>
          <w:b/>
          <w:bCs/>
          <w:color w:val="00264D" w:themeColor="background2"/>
          <w:sz w:val="20"/>
          <w:szCs w:val="24"/>
        </w:rPr>
        <w:t>The business case is an important document, but is only the start of negotiations</w:t>
      </w:r>
    </w:p>
    <w:p w14:paraId="2BA26B01" w14:textId="24A74C9A" w:rsidR="005C3BE0" w:rsidRDefault="00784D37" w:rsidP="00784D37">
      <w:pPr>
        <w:rPr>
          <w:lang w:eastAsia="en-AU"/>
        </w:rPr>
      </w:pPr>
      <w:r w:rsidRPr="00784D37">
        <w:rPr>
          <w:lang w:eastAsia="en-AU"/>
        </w:rPr>
        <w:t xml:space="preserve">ACCHOs and government stakeholders agreed that the development of the business case was an essential pre-transition process and that the template </w:t>
      </w:r>
      <w:r w:rsidR="00B41164">
        <w:rPr>
          <w:lang w:eastAsia="en-AU"/>
        </w:rPr>
        <w:t>was</w:t>
      </w:r>
      <w:r w:rsidRPr="00784D37">
        <w:rPr>
          <w:lang w:eastAsia="en-AU"/>
        </w:rPr>
        <w:t xml:space="preserve"> robust. </w:t>
      </w:r>
      <w:r w:rsidR="00F77AB9">
        <w:rPr>
          <w:lang w:eastAsia="en-AU"/>
        </w:rPr>
        <w:t xml:space="preserve">The template </w:t>
      </w:r>
      <w:r w:rsidR="006D545B">
        <w:rPr>
          <w:lang w:eastAsia="en-AU"/>
        </w:rPr>
        <w:t>requires key areas to be demonstrated</w:t>
      </w:r>
      <w:r w:rsidR="00D80853">
        <w:rPr>
          <w:lang w:eastAsia="en-AU"/>
        </w:rPr>
        <w:t>,</w:t>
      </w:r>
      <w:r w:rsidR="006D545B">
        <w:rPr>
          <w:lang w:eastAsia="en-AU"/>
        </w:rPr>
        <w:t xml:space="preserve"> including the p</w:t>
      </w:r>
      <w:r w:rsidR="007C7601">
        <w:rPr>
          <w:lang w:eastAsia="en-AU"/>
        </w:rPr>
        <w:t>roposed model of care</w:t>
      </w:r>
      <w:r w:rsidR="006D545B">
        <w:rPr>
          <w:lang w:eastAsia="en-AU"/>
        </w:rPr>
        <w:t xml:space="preserve"> for the new clinic(s), </w:t>
      </w:r>
      <w:r w:rsidR="0067125E">
        <w:rPr>
          <w:lang w:eastAsia="en-AU"/>
        </w:rPr>
        <w:t xml:space="preserve">evidence of the </w:t>
      </w:r>
      <w:r w:rsidR="0038480F">
        <w:rPr>
          <w:lang w:eastAsia="en-AU"/>
        </w:rPr>
        <w:t>support for change, demonstrated governance</w:t>
      </w:r>
      <w:r w:rsidR="0067125E">
        <w:rPr>
          <w:lang w:eastAsia="en-AU"/>
        </w:rPr>
        <w:t xml:space="preserve"> capability</w:t>
      </w:r>
      <w:r w:rsidR="0038480F">
        <w:rPr>
          <w:lang w:eastAsia="en-AU"/>
        </w:rPr>
        <w:t xml:space="preserve">, </w:t>
      </w:r>
      <w:r w:rsidR="009C195A">
        <w:rPr>
          <w:lang w:eastAsia="en-AU"/>
        </w:rPr>
        <w:t xml:space="preserve">transition risks, expected benefits, </w:t>
      </w:r>
      <w:r w:rsidR="0067125E">
        <w:rPr>
          <w:lang w:eastAsia="en-AU"/>
        </w:rPr>
        <w:t>and an</w:t>
      </w:r>
      <w:r w:rsidR="002A65BA">
        <w:rPr>
          <w:lang w:eastAsia="en-AU"/>
        </w:rPr>
        <w:t xml:space="preserve"> estimation of costs and milestones associated with the transition process</w:t>
      </w:r>
      <w:r w:rsidR="0067125E">
        <w:rPr>
          <w:lang w:eastAsia="en-AU"/>
        </w:rPr>
        <w:t>.</w:t>
      </w:r>
      <w:r w:rsidR="000E5EA2">
        <w:rPr>
          <w:lang w:eastAsia="en-AU"/>
        </w:rPr>
        <w:t xml:space="preserve"> </w:t>
      </w:r>
    </w:p>
    <w:p w14:paraId="0E0C5DFF" w14:textId="5CD80198" w:rsidR="007E13D0" w:rsidRDefault="008D381A" w:rsidP="00784D37">
      <w:pPr>
        <w:rPr>
          <w:lang w:eastAsia="en-AU"/>
        </w:rPr>
      </w:pPr>
      <w:r>
        <w:rPr>
          <w:noProof/>
        </w:rPr>
        <w:lastRenderedPageBreak/>
        <mc:AlternateContent>
          <mc:Choice Requires="wps">
            <w:drawing>
              <wp:inline distT="0" distB="0" distL="0" distR="0" wp14:anchorId="2DC9DC92" wp14:editId="62CA1F17">
                <wp:extent cx="5498275" cy="819397"/>
                <wp:effectExtent l="0" t="0" r="7620" b="0"/>
                <wp:docPr id="12" name="Text Box 12" descr="“I would say going through NTAHF is more of a tick-a-box exercise.”– ACCHO stakeholder &#10;“Yes, NTAHF approves the business case as is – yet we have to work with them [ACCHOs] for months to make it acceptable.“ - Government stakeholder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5498275"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7BAEF" w14:textId="67B70595" w:rsidR="000C6018" w:rsidRDefault="000C6018" w:rsidP="00C91BC3">
                            <w:pPr>
                              <w:pStyle w:val="Callout"/>
                              <w:pBdr>
                                <w:top w:val="single" w:sz="18" w:space="0" w:color="E6E6E1" w:themeColor="accent5"/>
                              </w:pBdr>
                              <w:rPr>
                                <w:i/>
                                <w:iCs/>
                                <w:color w:val="00264D" w:themeColor="background2"/>
                                <w:sz w:val="18"/>
                                <w:szCs w:val="18"/>
                                <w:lang w:val="en-US" w:eastAsia="en-AU"/>
                              </w:rPr>
                            </w:pPr>
                            <w:r w:rsidRPr="00B5094C">
                              <w:rPr>
                                <w:i/>
                                <w:color w:val="F25E21" w:themeColor="accent2"/>
                                <w:lang w:val="en-US" w:eastAsia="en-AU"/>
                              </w:rPr>
                              <w:t>“</w:t>
                            </w:r>
                            <w:r w:rsidRPr="008D381A">
                              <w:rPr>
                                <w:i/>
                                <w:iCs/>
                                <w:color w:val="F25E21" w:themeColor="accent2"/>
                                <w:lang w:val="en-US" w:eastAsia="en-AU"/>
                              </w:rPr>
                              <w:t>I would say going through NTAHF is more of a tick-a-box exercise.”</w:t>
                            </w:r>
                            <w:r w:rsidRPr="005D5574">
                              <w:rPr>
                                <w:i/>
                                <w:color w:val="F25E21" w:themeColor="accent2"/>
                                <w:lang w:val="en-US" w:eastAsia="en-AU"/>
                              </w:rPr>
                              <w:t xml:space="preserve">– </w:t>
                            </w:r>
                            <w:r>
                              <w:rPr>
                                <w:i/>
                                <w:iCs/>
                                <w:color w:val="00264D" w:themeColor="background2"/>
                                <w:sz w:val="18"/>
                                <w:szCs w:val="18"/>
                                <w:lang w:val="en-US" w:eastAsia="en-AU"/>
                              </w:rPr>
                              <w:t xml:space="preserve">ACCHO stakeholder </w:t>
                            </w:r>
                          </w:p>
                          <w:p w14:paraId="4361E22D" w14:textId="0C0B5AEE" w:rsidR="000C6018" w:rsidRPr="003A5CE9" w:rsidRDefault="000C6018" w:rsidP="003A5CE9">
                            <w:pPr>
                              <w:pStyle w:val="Callout"/>
                              <w:pBdr>
                                <w:top w:val="single" w:sz="18" w:space="0" w:color="E6E6E1" w:themeColor="accent5"/>
                              </w:pBdr>
                              <w:rPr>
                                <w:i/>
                                <w:iCs/>
                                <w:color w:val="00264D" w:themeColor="background2"/>
                                <w:sz w:val="18"/>
                                <w:szCs w:val="18"/>
                                <w:lang w:eastAsia="en-AU"/>
                              </w:rPr>
                            </w:pPr>
                            <w:r w:rsidRPr="003A5CE9">
                              <w:rPr>
                                <w:i/>
                                <w:iCs/>
                                <w:color w:val="F25E21" w:themeColor="accent2"/>
                                <w:lang w:val="en-US" w:eastAsia="en-AU"/>
                              </w:rPr>
                              <w:t>“Yes, NTAHF approves the business case as is – yet we have to work with them [ACCHOs] for months to make it acceptable.“</w:t>
                            </w:r>
                            <w:r w:rsidRPr="003A5CE9">
                              <w:rPr>
                                <w:i/>
                                <w:iCs/>
                                <w:color w:val="00264D" w:themeColor="background2"/>
                                <w:sz w:val="18"/>
                                <w:szCs w:val="18"/>
                                <w:lang w:eastAsia="en-AU"/>
                              </w:rPr>
                              <w:t xml:space="preserve"> </w:t>
                            </w:r>
                            <w:r>
                              <w:rPr>
                                <w:i/>
                                <w:iCs/>
                                <w:color w:val="00264D" w:themeColor="background2"/>
                                <w:sz w:val="18"/>
                                <w:szCs w:val="18"/>
                                <w:lang w:eastAsia="en-AU"/>
                              </w:rPr>
                              <w:t xml:space="preserve">- </w:t>
                            </w:r>
                            <w:r w:rsidRPr="003A5CE9">
                              <w:rPr>
                                <w:i/>
                                <w:iCs/>
                                <w:color w:val="00264D" w:themeColor="background2"/>
                                <w:sz w:val="18"/>
                                <w:szCs w:val="18"/>
                                <w:lang w:eastAsia="en-AU"/>
                              </w:rPr>
                              <w:t>Government stakeholder </w:t>
                            </w:r>
                          </w:p>
                          <w:p w14:paraId="487DA6D3" w14:textId="77777777" w:rsidR="000C6018" w:rsidRPr="003F680B" w:rsidRDefault="000C6018" w:rsidP="00C91BC3">
                            <w:pPr>
                              <w:pStyle w:val="Callout"/>
                              <w:pBdr>
                                <w:top w:val="single" w:sz="18" w:space="0" w:color="E6E6E1" w:themeColor="accent5"/>
                              </w:pBdr>
                              <w:rPr>
                                <w:i/>
                                <w:iCs/>
                                <w:color w:val="00264D" w:themeColor="background2"/>
                                <w:sz w:val="18"/>
                                <w:szCs w:val="18"/>
                                <w:lang w:val="en-US" w:eastAsia="en-AU"/>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inline>
            </w:drawing>
          </mc:Choice>
          <mc:Fallback>
            <w:pict>
              <v:shape w14:anchorId="2DC9DC92" id="Text Box 12" o:spid="_x0000_s1032" type="#_x0000_t202" alt="“I would say going through NTAHF is more of a tick-a-box exercise.”– ACCHO stakeholder &#10;“Yes, NTAHF approves the business case as is – yet we have to work with them [ACCHOs] for months to make it acceptable.“ - Government stakeholder " style="width:432.95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" fillcolor="white [3201]" stroked="f" strokeweight=".5pt">
                <v:textbox inset="0,,1mm">
                  <w:txbxContent>
                    <w:p w14:paraId="6307BAEF" w14:textId="67B70595" w:rsidR="000C6018" w:rsidRDefault="000C6018" w:rsidP="00C91BC3">
                      <w:pPr>
                        <w:pStyle w:val="Callout"/>
                        <w:pBdr>
                          <w:top w:val="single" w:sz="18" w:space="0" w:color="E6E6E1" w:themeColor="accent5"/>
                        </w:pBdr>
                        <w:rPr>
                          <w:i/>
                          <w:iCs/>
                          <w:color w:val="00264D" w:themeColor="background2"/>
                          <w:sz w:val="18"/>
                          <w:szCs w:val="18"/>
                          <w:lang w:val="en-US" w:eastAsia="en-AU"/>
                        </w:rPr>
                      </w:pPr>
                      <w:r w:rsidRPr="00B5094C">
                        <w:rPr>
                          <w:i/>
                          <w:color w:val="F25E21" w:themeColor="accent2"/>
                          <w:lang w:val="en-US" w:eastAsia="en-AU"/>
                        </w:rPr>
                        <w:t>“</w:t>
                      </w:r>
                      <w:r w:rsidRPr="008D381A">
                        <w:rPr>
                          <w:i/>
                          <w:iCs/>
                          <w:color w:val="F25E21" w:themeColor="accent2"/>
                          <w:lang w:val="en-US" w:eastAsia="en-AU"/>
                        </w:rPr>
                        <w:t>I would say going through NTAHF is more of a tick-a-box exercise.”</w:t>
                      </w:r>
                      <w:r w:rsidRPr="005D5574">
                        <w:rPr>
                          <w:i/>
                          <w:color w:val="F25E21" w:themeColor="accent2"/>
                          <w:lang w:val="en-US" w:eastAsia="en-AU"/>
                        </w:rPr>
                        <w:t xml:space="preserve">– </w:t>
                      </w:r>
                      <w:r>
                        <w:rPr>
                          <w:i/>
                          <w:iCs/>
                          <w:color w:val="00264D" w:themeColor="background2"/>
                          <w:sz w:val="18"/>
                          <w:szCs w:val="18"/>
                          <w:lang w:val="en-US" w:eastAsia="en-AU"/>
                        </w:rPr>
                        <w:t xml:space="preserve">ACCHO stakeholder </w:t>
                      </w:r>
                    </w:p>
                    <w:p w14:paraId="4361E22D" w14:textId="0C0B5AEE" w:rsidR="000C6018" w:rsidRPr="003A5CE9" w:rsidRDefault="000C6018" w:rsidP="003A5CE9">
                      <w:pPr>
                        <w:pStyle w:val="Callout"/>
                        <w:pBdr>
                          <w:top w:val="single" w:sz="18" w:space="0" w:color="E6E6E1" w:themeColor="accent5"/>
                        </w:pBdr>
                        <w:rPr>
                          <w:i/>
                          <w:iCs/>
                          <w:color w:val="00264D" w:themeColor="background2"/>
                          <w:sz w:val="18"/>
                          <w:szCs w:val="18"/>
                          <w:lang w:eastAsia="en-AU"/>
                        </w:rPr>
                      </w:pPr>
                      <w:r w:rsidRPr="003A5CE9">
                        <w:rPr>
                          <w:i/>
                          <w:iCs/>
                          <w:color w:val="F25E21" w:themeColor="accent2"/>
                          <w:lang w:val="en-US" w:eastAsia="en-AU"/>
                        </w:rPr>
                        <w:t xml:space="preserve">“Yes, NTAHF approves the business case as is – yet we have to work with them [ACCHOs] for months to make it </w:t>
                      </w:r>
                      <w:proofErr w:type="gramStart"/>
                      <w:r w:rsidRPr="003A5CE9">
                        <w:rPr>
                          <w:i/>
                          <w:iCs/>
                          <w:color w:val="F25E21" w:themeColor="accent2"/>
                          <w:lang w:val="en-US" w:eastAsia="en-AU"/>
                        </w:rPr>
                        <w:t>acceptable.“</w:t>
                      </w:r>
                      <w:proofErr w:type="gramEnd"/>
                      <w:r w:rsidRPr="003A5CE9">
                        <w:rPr>
                          <w:i/>
                          <w:iCs/>
                          <w:color w:val="00264D" w:themeColor="background2"/>
                          <w:sz w:val="18"/>
                          <w:szCs w:val="18"/>
                          <w:lang w:eastAsia="en-AU"/>
                        </w:rPr>
                        <w:t xml:space="preserve"> </w:t>
                      </w:r>
                      <w:r>
                        <w:rPr>
                          <w:i/>
                          <w:iCs/>
                          <w:color w:val="00264D" w:themeColor="background2"/>
                          <w:sz w:val="18"/>
                          <w:szCs w:val="18"/>
                          <w:lang w:eastAsia="en-AU"/>
                        </w:rPr>
                        <w:t xml:space="preserve">- </w:t>
                      </w:r>
                      <w:r w:rsidRPr="003A5CE9">
                        <w:rPr>
                          <w:i/>
                          <w:iCs/>
                          <w:color w:val="00264D" w:themeColor="background2"/>
                          <w:sz w:val="18"/>
                          <w:szCs w:val="18"/>
                          <w:lang w:eastAsia="en-AU"/>
                        </w:rPr>
                        <w:t>Government stakeholder </w:t>
                      </w:r>
                    </w:p>
                    <w:p w14:paraId="487DA6D3" w14:textId="77777777" w:rsidR="000C6018" w:rsidRPr="003F680B" w:rsidRDefault="000C6018" w:rsidP="00C91BC3">
                      <w:pPr>
                        <w:pStyle w:val="Callout"/>
                        <w:pBdr>
                          <w:top w:val="single" w:sz="18" w:space="0" w:color="E6E6E1" w:themeColor="accent5"/>
                        </w:pBdr>
                        <w:rPr>
                          <w:i/>
                          <w:iCs/>
                          <w:color w:val="00264D" w:themeColor="background2"/>
                          <w:sz w:val="18"/>
                          <w:szCs w:val="18"/>
                          <w:lang w:val="en-US" w:eastAsia="en-AU"/>
                        </w:rPr>
                      </w:pPr>
                    </w:p>
                  </w:txbxContent>
                </v:textbox>
                <w10:anchorlock/>
              </v:shape>
            </w:pict>
          </mc:Fallback>
        </mc:AlternateContent>
      </w:r>
      <w:r w:rsidR="00C347F3">
        <w:rPr>
          <w:lang w:eastAsia="en-AU"/>
        </w:rPr>
        <w:t xml:space="preserve">The budget detailed in the business case, however, </w:t>
      </w:r>
      <w:r w:rsidR="004264F6">
        <w:rPr>
          <w:lang w:eastAsia="en-AU"/>
        </w:rPr>
        <w:t xml:space="preserve">is only an estimated budget </w:t>
      </w:r>
      <w:r w:rsidR="00754E44">
        <w:rPr>
          <w:lang w:eastAsia="en-AU"/>
        </w:rPr>
        <w:t xml:space="preserve">for </w:t>
      </w:r>
      <w:r w:rsidR="00542CC0">
        <w:rPr>
          <w:lang w:eastAsia="en-AU"/>
        </w:rPr>
        <w:t xml:space="preserve">the </w:t>
      </w:r>
      <w:r w:rsidR="00BE670E">
        <w:rPr>
          <w:lang w:eastAsia="en-AU"/>
        </w:rPr>
        <w:t xml:space="preserve">use of the requested </w:t>
      </w:r>
      <w:r w:rsidR="00F82C19">
        <w:rPr>
          <w:lang w:eastAsia="en-AU"/>
        </w:rPr>
        <w:t>Australian Government</w:t>
      </w:r>
      <w:r w:rsidR="00BE670E">
        <w:rPr>
          <w:lang w:eastAsia="en-AU"/>
        </w:rPr>
        <w:t xml:space="preserve"> funding</w:t>
      </w:r>
      <w:r w:rsidR="00FE7B47">
        <w:rPr>
          <w:lang w:eastAsia="en-AU"/>
        </w:rPr>
        <w:t>,</w:t>
      </w:r>
      <w:r w:rsidR="00BE670E">
        <w:rPr>
          <w:lang w:eastAsia="en-AU"/>
        </w:rPr>
        <w:t xml:space="preserve"> </w:t>
      </w:r>
      <w:r w:rsidR="00542CC0">
        <w:rPr>
          <w:lang w:eastAsia="en-AU"/>
        </w:rPr>
        <w:t>based o</w:t>
      </w:r>
      <w:r w:rsidR="007F15DA">
        <w:rPr>
          <w:lang w:eastAsia="en-AU"/>
        </w:rPr>
        <w:t>n</w:t>
      </w:r>
      <w:r w:rsidR="00542CC0">
        <w:rPr>
          <w:lang w:eastAsia="en-AU"/>
        </w:rPr>
        <w:t xml:space="preserve"> a series of assumptions. </w:t>
      </w:r>
      <w:r w:rsidR="005F6611">
        <w:rPr>
          <w:lang w:eastAsia="en-AU"/>
        </w:rPr>
        <w:t xml:space="preserve">In </w:t>
      </w:r>
      <w:r w:rsidR="00542F17">
        <w:rPr>
          <w:lang w:eastAsia="en-AU"/>
        </w:rPr>
        <w:t>some</w:t>
      </w:r>
      <w:r w:rsidR="005F6611">
        <w:rPr>
          <w:lang w:eastAsia="en-AU"/>
        </w:rPr>
        <w:t xml:space="preserve"> </w:t>
      </w:r>
      <w:r w:rsidR="009B7ED2">
        <w:rPr>
          <w:lang w:eastAsia="en-AU"/>
        </w:rPr>
        <w:t>cases,</w:t>
      </w:r>
      <w:r w:rsidR="005F6611">
        <w:rPr>
          <w:lang w:eastAsia="en-AU"/>
        </w:rPr>
        <w:t xml:space="preserve"> preliminary quotes were provided in the business case, with a note that more accurate costs would be provided during the project</w:t>
      </w:r>
      <w:r w:rsidR="000A2450">
        <w:rPr>
          <w:lang w:eastAsia="en-AU"/>
        </w:rPr>
        <w:t xml:space="preserve"> (e.g</w:t>
      </w:r>
      <w:r w:rsidR="00D238B9">
        <w:rPr>
          <w:lang w:eastAsia="en-AU"/>
        </w:rPr>
        <w:t>.,</w:t>
      </w:r>
      <w:r w:rsidR="000A2450">
        <w:rPr>
          <w:lang w:eastAsia="en-AU"/>
        </w:rPr>
        <w:t xml:space="preserve"> around IT costs)</w:t>
      </w:r>
      <w:r w:rsidR="005F39A4">
        <w:rPr>
          <w:lang w:eastAsia="en-AU"/>
        </w:rPr>
        <w:t>.</w:t>
      </w:r>
      <w:r w:rsidR="001A4725">
        <w:rPr>
          <w:lang w:eastAsia="en-AU"/>
        </w:rPr>
        <w:t xml:space="preserve"> </w:t>
      </w:r>
      <w:r w:rsidR="00C347F3">
        <w:rPr>
          <w:lang w:eastAsia="en-AU"/>
        </w:rPr>
        <w:t>The business case also does not include</w:t>
      </w:r>
      <w:r w:rsidR="00BE670E">
        <w:rPr>
          <w:lang w:eastAsia="en-AU"/>
        </w:rPr>
        <w:t xml:space="preserve"> </w:t>
      </w:r>
      <w:r w:rsidR="00AC2137" w:rsidRPr="00AC2137">
        <w:rPr>
          <w:lang w:eastAsia="en-AU"/>
        </w:rPr>
        <w:t>confirmation of funding availability to obtain or upgrade</w:t>
      </w:r>
      <w:r w:rsidR="00C347F3">
        <w:rPr>
          <w:lang w:eastAsia="en-AU"/>
        </w:rPr>
        <w:t xml:space="preserve"> clinic infrastructure</w:t>
      </w:r>
      <w:r w:rsidR="00542F17">
        <w:rPr>
          <w:lang w:eastAsia="en-AU"/>
        </w:rPr>
        <w:t xml:space="preserve">, or </w:t>
      </w:r>
      <w:r w:rsidR="00E42713">
        <w:rPr>
          <w:lang w:eastAsia="en-AU"/>
        </w:rPr>
        <w:t>estimates of the costs required for</w:t>
      </w:r>
      <w:r w:rsidR="00542F17">
        <w:rPr>
          <w:lang w:eastAsia="en-AU"/>
        </w:rPr>
        <w:t xml:space="preserve"> staff</w:t>
      </w:r>
      <w:r w:rsidR="00213171">
        <w:rPr>
          <w:lang w:eastAsia="en-AU"/>
        </w:rPr>
        <w:t xml:space="preserve"> or contract workers</w:t>
      </w:r>
      <w:r w:rsidR="001C4B38">
        <w:rPr>
          <w:lang w:eastAsia="en-AU"/>
        </w:rPr>
        <w:t xml:space="preserve"> (e.g. allowances)</w:t>
      </w:r>
      <w:r w:rsidR="00213171">
        <w:rPr>
          <w:lang w:eastAsia="en-AU"/>
        </w:rPr>
        <w:t>.</w:t>
      </w:r>
      <w:r w:rsidR="001A4725">
        <w:rPr>
          <w:lang w:eastAsia="en-AU"/>
        </w:rPr>
        <w:t xml:space="preserve"> </w:t>
      </w:r>
      <w:r w:rsidR="00857222">
        <w:rPr>
          <w:lang w:eastAsia="en-AU"/>
        </w:rPr>
        <w:t>Some b</w:t>
      </w:r>
      <w:r w:rsidR="004B175E">
        <w:rPr>
          <w:lang w:eastAsia="en-AU"/>
        </w:rPr>
        <w:t xml:space="preserve">usiness </w:t>
      </w:r>
      <w:r w:rsidR="00DA037A">
        <w:rPr>
          <w:lang w:eastAsia="en-AU"/>
        </w:rPr>
        <w:t>cases highlighted that these costs would be</w:t>
      </w:r>
      <w:r w:rsidR="0048235A">
        <w:rPr>
          <w:lang w:eastAsia="en-AU"/>
        </w:rPr>
        <w:t xml:space="preserve"> negotiated after the business case stage, with the assumption that either the ACCHO or </w:t>
      </w:r>
      <w:r w:rsidR="006D3AE9">
        <w:rPr>
          <w:lang w:eastAsia="en-AU"/>
        </w:rPr>
        <w:t>NTG</w:t>
      </w:r>
      <w:r w:rsidR="001715A3">
        <w:rPr>
          <w:lang w:eastAsia="en-AU"/>
        </w:rPr>
        <w:t xml:space="preserve"> would</w:t>
      </w:r>
      <w:r w:rsidR="0048235A">
        <w:rPr>
          <w:lang w:eastAsia="en-AU"/>
        </w:rPr>
        <w:t xml:space="preserve"> fund these activities</w:t>
      </w:r>
      <w:r w:rsidR="00091CCB">
        <w:rPr>
          <w:lang w:eastAsia="en-AU"/>
        </w:rPr>
        <w:t xml:space="preserve">, </w:t>
      </w:r>
      <w:r w:rsidR="0089072E">
        <w:rPr>
          <w:lang w:eastAsia="en-AU"/>
        </w:rPr>
        <w:t>despite</w:t>
      </w:r>
      <w:r w:rsidR="00091CCB">
        <w:rPr>
          <w:lang w:eastAsia="en-AU"/>
        </w:rPr>
        <w:t xml:space="preserve"> </w:t>
      </w:r>
      <w:r w:rsidR="00283DA5">
        <w:rPr>
          <w:lang w:eastAsia="en-AU"/>
        </w:rPr>
        <w:t xml:space="preserve">adequate funding for these activities </w:t>
      </w:r>
      <w:r w:rsidR="0089072E">
        <w:rPr>
          <w:lang w:eastAsia="en-AU"/>
        </w:rPr>
        <w:t>being</w:t>
      </w:r>
      <w:r w:rsidR="004F681F">
        <w:rPr>
          <w:lang w:eastAsia="en-AU"/>
        </w:rPr>
        <w:t xml:space="preserve"> essential for a transition to be feasible</w:t>
      </w:r>
      <w:r w:rsidR="0048235A">
        <w:rPr>
          <w:lang w:eastAsia="en-AU"/>
        </w:rPr>
        <w:t xml:space="preserve">. </w:t>
      </w:r>
    </w:p>
    <w:p w14:paraId="19991B93" w14:textId="06464BB0" w:rsidR="00784D37" w:rsidRPr="006B1864" w:rsidRDefault="00784D37" w:rsidP="00784D37">
      <w:pPr>
        <w:rPr>
          <w:lang w:eastAsia="en-AU"/>
        </w:rPr>
      </w:pPr>
      <w:r w:rsidRPr="00784D37">
        <w:rPr>
          <w:lang w:eastAsia="en-AU"/>
        </w:rPr>
        <w:t>AC</w:t>
      </w:r>
      <w:r w:rsidR="00963D9A">
        <w:rPr>
          <w:lang w:eastAsia="en-AU"/>
        </w:rPr>
        <w:t>C</w:t>
      </w:r>
      <w:r w:rsidRPr="00784D37">
        <w:rPr>
          <w:lang w:eastAsia="en-AU"/>
        </w:rPr>
        <w:t xml:space="preserve">HO and government stakeholders questioned whether NTAHF, in signing off the business case, is undertaking a comprehensive assessment of transitions. </w:t>
      </w:r>
      <w:r w:rsidR="00E10764">
        <w:rPr>
          <w:lang w:eastAsia="en-AU"/>
        </w:rPr>
        <w:t xml:space="preserve">Often business case documents are </w:t>
      </w:r>
      <w:r w:rsidR="00D91620">
        <w:rPr>
          <w:lang w:eastAsia="en-AU"/>
        </w:rPr>
        <w:t>lengthy,</w:t>
      </w:r>
      <w:r w:rsidR="00E10764">
        <w:rPr>
          <w:lang w:eastAsia="en-AU"/>
        </w:rPr>
        <w:t xml:space="preserve"> </w:t>
      </w:r>
      <w:r w:rsidR="007F6DD8">
        <w:rPr>
          <w:lang w:eastAsia="en-AU"/>
        </w:rPr>
        <w:t>and s</w:t>
      </w:r>
      <w:r w:rsidR="00217F22">
        <w:rPr>
          <w:lang w:eastAsia="en-AU"/>
        </w:rPr>
        <w:t>ome stakeholders</w:t>
      </w:r>
      <w:r w:rsidR="006827B9">
        <w:rPr>
          <w:lang w:eastAsia="en-AU"/>
        </w:rPr>
        <w:t xml:space="preserve"> </w:t>
      </w:r>
      <w:r w:rsidR="00217F22">
        <w:rPr>
          <w:lang w:eastAsia="en-AU"/>
        </w:rPr>
        <w:t>questioned the amount of additional due diligence</w:t>
      </w:r>
      <w:r w:rsidR="00006E7F">
        <w:rPr>
          <w:lang w:eastAsia="en-AU"/>
        </w:rPr>
        <w:t xml:space="preserve"> </w:t>
      </w:r>
      <w:r w:rsidR="00217F22">
        <w:rPr>
          <w:lang w:eastAsia="en-AU"/>
        </w:rPr>
        <w:t>that NTAHF does</w:t>
      </w:r>
      <w:r w:rsidR="006827B9">
        <w:rPr>
          <w:lang w:eastAsia="en-AU"/>
        </w:rPr>
        <w:t>, for example to scrutinise budget figures</w:t>
      </w:r>
      <w:r w:rsidR="00940589">
        <w:rPr>
          <w:lang w:eastAsia="en-AU"/>
        </w:rPr>
        <w:t xml:space="preserve">. </w:t>
      </w:r>
      <w:r w:rsidRPr="00784D37">
        <w:rPr>
          <w:lang w:eastAsia="en-AU"/>
        </w:rPr>
        <w:t xml:space="preserve">There is </w:t>
      </w:r>
      <w:r w:rsidR="006827B9">
        <w:rPr>
          <w:lang w:eastAsia="en-AU"/>
        </w:rPr>
        <w:t xml:space="preserve">also </w:t>
      </w:r>
      <w:r w:rsidRPr="00784D37">
        <w:rPr>
          <w:lang w:eastAsia="en-AU"/>
        </w:rPr>
        <w:t>often significant negotiation (including around funding from NTG) that occurs after the business case phase</w:t>
      </w:r>
      <w:r w:rsidR="00CA622E">
        <w:rPr>
          <w:lang w:eastAsia="en-AU"/>
        </w:rPr>
        <w:t xml:space="preserve">, </w:t>
      </w:r>
      <w:r w:rsidRPr="00784D37">
        <w:rPr>
          <w:lang w:eastAsia="en-AU"/>
        </w:rPr>
        <w:t xml:space="preserve">in some cases years after the business case is approved in principle. As the final approval for </w:t>
      </w:r>
      <w:r w:rsidR="00067CD4">
        <w:rPr>
          <w:lang w:eastAsia="en-AU"/>
        </w:rPr>
        <w:t>the</w:t>
      </w:r>
      <w:r w:rsidRPr="00784D37">
        <w:rPr>
          <w:lang w:eastAsia="en-AU"/>
        </w:rPr>
        <w:t xml:space="preserve"> provision of transition </w:t>
      </w:r>
      <w:r w:rsidR="00D73B12">
        <w:rPr>
          <w:lang w:eastAsia="en-AU"/>
        </w:rPr>
        <w:t>funding</w:t>
      </w:r>
      <w:r w:rsidRPr="00784D37">
        <w:rPr>
          <w:lang w:eastAsia="en-AU"/>
        </w:rPr>
        <w:t xml:space="preserve"> sits with the </w:t>
      </w:r>
      <w:r w:rsidR="00F82C19">
        <w:rPr>
          <w:lang w:eastAsia="en-AU"/>
        </w:rPr>
        <w:t>Australian Government</w:t>
      </w:r>
      <w:r w:rsidR="009277EA">
        <w:rPr>
          <w:lang w:eastAsia="en-AU"/>
        </w:rPr>
        <w:t xml:space="preserve"> Department of Health</w:t>
      </w:r>
      <w:r w:rsidRPr="00784D37">
        <w:rPr>
          <w:lang w:eastAsia="en-AU"/>
        </w:rPr>
        <w:t>, some stakeholders argued NTAHF</w:t>
      </w:r>
      <w:r w:rsidR="009470B4">
        <w:rPr>
          <w:lang w:eastAsia="en-AU"/>
        </w:rPr>
        <w:t>’s</w:t>
      </w:r>
      <w:r w:rsidRPr="00784D37">
        <w:rPr>
          <w:lang w:eastAsia="en-AU"/>
        </w:rPr>
        <w:t xml:space="preserve"> sign-off could be seen as a provisional sign-off. </w:t>
      </w:r>
    </w:p>
    <w:p w14:paraId="56E69C1E" w14:textId="7EBA6909" w:rsidR="00916E0E" w:rsidRDefault="00916E0E" w:rsidP="00756039">
      <w:pPr>
        <w:pStyle w:val="Heading3"/>
      </w:pPr>
      <w:bookmarkStart w:id="26" w:name="_Ref100253061"/>
      <w:bookmarkStart w:id="27" w:name="_Ref100260903"/>
      <w:bookmarkStart w:id="28" w:name="_Ref100261648"/>
      <w:r>
        <w:t>Development</w:t>
      </w:r>
      <w:bookmarkEnd w:id="26"/>
      <w:bookmarkEnd w:id="27"/>
      <w:bookmarkEnd w:id="28"/>
    </w:p>
    <w:tbl>
      <w:tblPr>
        <w:tblStyle w:val="NOUS"/>
        <w:tblW w:w="0" w:type="auto"/>
        <w:tblLook w:val="04A0" w:firstRow="1" w:lastRow="0" w:firstColumn="1" w:lastColumn="0" w:noHBand="0" w:noVBand="1"/>
      </w:tblPr>
      <w:tblGrid>
        <w:gridCol w:w="8930"/>
      </w:tblGrid>
      <w:tr w:rsidR="00E67740" w14:paraId="4A0DD91A" w14:textId="77777777" w:rsidTr="00E67740">
        <w:trPr>
          <w:cnfStyle w:val="100000000000" w:firstRow="1" w:lastRow="0" w:firstColumn="0" w:lastColumn="0" w:oddVBand="0" w:evenVBand="0" w:oddHBand="0" w:evenHBand="0" w:firstRowFirstColumn="0" w:firstRowLastColumn="0" w:lastRowFirstColumn="0" w:lastRowLastColumn="0"/>
        </w:trPr>
        <w:tc>
          <w:tcPr>
            <w:tcW w:w="8930" w:type="dxa"/>
            <w:tcBorders>
              <w:top w:val="single" w:sz="24" w:space="0" w:color="00264D" w:themeColor="background2"/>
            </w:tcBorders>
          </w:tcPr>
          <w:p w14:paraId="280AC5A3" w14:textId="15896CDB" w:rsidR="00E67740" w:rsidRPr="007F52CD" w:rsidRDefault="00E67740" w:rsidP="00E67740">
            <w:pPr>
              <w:rPr>
                <w:rFonts w:eastAsia="Segoe UI" w:cs="Times New Roman"/>
                <w:sz w:val="20"/>
                <w:szCs w:val="24"/>
                <w:lang w:eastAsia="en-AU"/>
              </w:rPr>
            </w:pPr>
            <w:r w:rsidRPr="007F52CD">
              <w:rPr>
                <w:rFonts w:eastAsia="Segoe UI" w:cs="Times New Roman"/>
                <w:sz w:val="20"/>
                <w:szCs w:val="24"/>
                <w:lang w:eastAsia="en-AU"/>
              </w:rPr>
              <w:t>Summary</w:t>
            </w:r>
            <w:r w:rsidR="007F52CD">
              <w:rPr>
                <w:rFonts w:eastAsia="Segoe UI" w:cs="Times New Roman"/>
                <w:sz w:val="20"/>
                <w:szCs w:val="24"/>
                <w:lang w:eastAsia="en-AU"/>
              </w:rPr>
              <w:t xml:space="preserve"> of findings </w:t>
            </w:r>
          </w:p>
          <w:p w14:paraId="6108C9B6" w14:textId="2DEAD535" w:rsidR="00E67740" w:rsidRPr="00E67740" w:rsidRDefault="00E67740" w:rsidP="00E67740">
            <w:pPr>
              <w:pStyle w:val="Bullet"/>
              <w:rPr>
                <w:b w:val="0"/>
                <w:bCs/>
                <w:lang w:val="en-US"/>
              </w:rPr>
            </w:pPr>
            <w:r w:rsidRPr="00E67740">
              <w:rPr>
                <w:rFonts w:eastAsiaTheme="minorEastAsia"/>
                <w:b w:val="0"/>
                <w:bCs/>
              </w:rPr>
              <w:t>Stakeholders argued that defining different pathways to community control could improve the program</w:t>
            </w:r>
            <w:r w:rsidR="00E3304B">
              <w:rPr>
                <w:rFonts w:eastAsiaTheme="minorEastAsia"/>
                <w:b w:val="0"/>
                <w:bCs/>
              </w:rPr>
              <w:t>.</w:t>
            </w:r>
          </w:p>
          <w:p w14:paraId="15E08A98" w14:textId="2D38407E" w:rsidR="00E67740" w:rsidRPr="00E67740" w:rsidRDefault="00E67740" w:rsidP="00E67740">
            <w:pPr>
              <w:pStyle w:val="Bullet"/>
              <w:rPr>
                <w:b w:val="0"/>
                <w:bCs/>
                <w:lang w:val="en-US"/>
              </w:rPr>
            </w:pPr>
            <w:r w:rsidRPr="00E67740">
              <w:rPr>
                <w:rFonts w:eastAsiaTheme="minorEastAsia"/>
                <w:b w:val="0"/>
                <w:bCs/>
              </w:rPr>
              <w:t>Genuine and coordinated community consultation is essential to identifying needs</w:t>
            </w:r>
            <w:r w:rsidR="00E3304B">
              <w:rPr>
                <w:rFonts w:eastAsiaTheme="minorEastAsia"/>
                <w:b w:val="0"/>
                <w:bCs/>
              </w:rPr>
              <w:t>.</w:t>
            </w:r>
          </w:p>
          <w:p w14:paraId="5C12A27D" w14:textId="2E097C85" w:rsidR="00E67740" w:rsidRPr="00E67740" w:rsidRDefault="00E67740" w:rsidP="00E67740">
            <w:pPr>
              <w:pStyle w:val="Bullet"/>
              <w:rPr>
                <w:b w:val="0"/>
                <w:bCs/>
                <w:lang w:val="en-US"/>
              </w:rPr>
            </w:pPr>
            <w:r w:rsidRPr="00E67740">
              <w:rPr>
                <w:rFonts w:eastAsiaTheme="minorEastAsia"/>
                <w:b w:val="0"/>
              </w:rPr>
              <w:t xml:space="preserve">Unresolved financial negotiations </w:t>
            </w:r>
            <w:r w:rsidR="001C4B38">
              <w:rPr>
                <w:rFonts w:eastAsiaTheme="minorEastAsia"/>
                <w:b w:val="0"/>
              </w:rPr>
              <w:t>are</w:t>
            </w:r>
            <w:r w:rsidRPr="00E67740">
              <w:rPr>
                <w:rFonts w:eastAsiaTheme="minorEastAsia"/>
                <w:b w:val="0"/>
              </w:rPr>
              <w:t xml:space="preserve"> seen to be a major barrier to transition</w:t>
            </w:r>
            <w:r w:rsidR="00E3304B">
              <w:rPr>
                <w:rFonts w:eastAsiaTheme="minorEastAsia"/>
                <w:b w:val="0"/>
              </w:rPr>
              <w:t>.</w:t>
            </w:r>
          </w:p>
          <w:p w14:paraId="5D02A8AD" w14:textId="5DB7E011" w:rsidR="00E67740" w:rsidRPr="00E67740" w:rsidRDefault="00E67740" w:rsidP="00E67740">
            <w:pPr>
              <w:pStyle w:val="Bullet"/>
              <w:rPr>
                <w:b w:val="0"/>
                <w:bCs/>
                <w:lang w:val="en-US"/>
              </w:rPr>
            </w:pPr>
            <w:r w:rsidRPr="00345E10">
              <w:rPr>
                <w:rFonts w:eastAsiaTheme="minorEastAsia"/>
                <w:b w:val="0"/>
              </w:rPr>
              <w:t>Some stakeholders felt that the role</w:t>
            </w:r>
            <w:r w:rsidR="00152C90" w:rsidRPr="00345E10">
              <w:rPr>
                <w:rFonts w:eastAsiaTheme="minorEastAsia"/>
                <w:b w:val="0"/>
              </w:rPr>
              <w:t>s</w:t>
            </w:r>
            <w:r w:rsidRPr="00345E10">
              <w:rPr>
                <w:rFonts w:eastAsiaTheme="minorEastAsia"/>
                <w:b w:val="0"/>
              </w:rPr>
              <w:t xml:space="preserve"> of </w:t>
            </w:r>
            <w:r w:rsidR="00152C90" w:rsidRPr="00345E10">
              <w:rPr>
                <w:rFonts w:eastAsiaTheme="minorEastAsia"/>
                <w:b w:val="0"/>
              </w:rPr>
              <w:t xml:space="preserve">the Australian and NT </w:t>
            </w:r>
            <w:r w:rsidR="003215E6" w:rsidRPr="00345E10">
              <w:rPr>
                <w:rFonts w:eastAsiaTheme="minorEastAsia"/>
                <w:b w:val="0"/>
              </w:rPr>
              <w:t>government</w:t>
            </w:r>
            <w:r w:rsidR="00152C90" w:rsidRPr="00345E10">
              <w:rPr>
                <w:rFonts w:eastAsiaTheme="minorEastAsia"/>
                <w:b w:val="0"/>
              </w:rPr>
              <w:t>s</w:t>
            </w:r>
            <w:r w:rsidRPr="00345E10">
              <w:rPr>
                <w:rFonts w:eastAsiaTheme="minorEastAsia"/>
                <w:b w:val="0"/>
              </w:rPr>
              <w:t xml:space="preserve"> in the transition process need to be better defined</w:t>
            </w:r>
            <w:r w:rsidR="00E3304B">
              <w:rPr>
                <w:rFonts w:eastAsiaTheme="minorEastAsia"/>
                <w:b w:val="0"/>
              </w:rPr>
              <w:t>.</w:t>
            </w:r>
          </w:p>
        </w:tc>
      </w:tr>
    </w:tbl>
    <w:p w14:paraId="71C08822" w14:textId="77777777" w:rsidR="00062339" w:rsidRPr="00223EB9" w:rsidRDefault="00062339" w:rsidP="00223EB9">
      <w:pPr>
        <w:rPr>
          <w:b/>
          <w:bCs/>
          <w:color w:val="00264D" w:themeColor="background2"/>
          <w:sz w:val="20"/>
          <w:szCs w:val="24"/>
          <w:lang w:val="en-US"/>
        </w:rPr>
      </w:pPr>
      <w:r w:rsidRPr="00223EB9">
        <w:rPr>
          <w:b/>
          <w:bCs/>
          <w:color w:val="00264D" w:themeColor="background2"/>
          <w:sz w:val="20"/>
          <w:szCs w:val="24"/>
        </w:rPr>
        <w:t>Stakeholders argued that defining different pathways to community control could improve the program</w:t>
      </w:r>
    </w:p>
    <w:p w14:paraId="57CC9256" w14:textId="1C7571C5" w:rsidR="00BB6830" w:rsidRDefault="0069173A" w:rsidP="00062339">
      <w:pPr>
        <w:rPr>
          <w:lang w:eastAsia="en-AU"/>
        </w:rPr>
      </w:pPr>
      <w:r>
        <w:rPr>
          <w:lang w:eastAsia="en-AU"/>
        </w:rPr>
        <w:t xml:space="preserve">A key part of the development stage of the P2CC </w:t>
      </w:r>
      <w:r w:rsidR="009B68B1">
        <w:rPr>
          <w:lang w:eastAsia="en-AU"/>
        </w:rPr>
        <w:t xml:space="preserve">program </w:t>
      </w:r>
      <w:r>
        <w:rPr>
          <w:lang w:eastAsia="en-AU"/>
        </w:rPr>
        <w:t>process is to evaluate</w:t>
      </w:r>
      <w:r w:rsidR="00504211">
        <w:rPr>
          <w:lang w:eastAsia="en-AU"/>
        </w:rPr>
        <w:t xml:space="preserve"> community control service models and assess which service model might be the best model that reflects </w:t>
      </w:r>
      <w:r w:rsidR="00BB6830">
        <w:rPr>
          <w:lang w:eastAsia="en-AU"/>
        </w:rPr>
        <w:t xml:space="preserve">different </w:t>
      </w:r>
      <w:r w:rsidR="00504211">
        <w:rPr>
          <w:lang w:eastAsia="en-AU"/>
        </w:rPr>
        <w:t xml:space="preserve">community needs. </w:t>
      </w:r>
      <w:r w:rsidR="00747F5F">
        <w:rPr>
          <w:lang w:eastAsia="en-AU"/>
        </w:rPr>
        <w:t xml:space="preserve">The P2CC </w:t>
      </w:r>
      <w:r w:rsidR="009B68B1">
        <w:rPr>
          <w:lang w:eastAsia="en-AU"/>
        </w:rPr>
        <w:t xml:space="preserve">program </w:t>
      </w:r>
      <w:r w:rsidR="00747F5F">
        <w:rPr>
          <w:lang w:eastAsia="en-AU"/>
        </w:rPr>
        <w:t xml:space="preserve">framework document outlines </w:t>
      </w:r>
      <w:r w:rsidR="008262B5">
        <w:rPr>
          <w:lang w:eastAsia="en-AU"/>
        </w:rPr>
        <w:t xml:space="preserve">nine different service model examples </w:t>
      </w:r>
      <w:r w:rsidR="000C474E">
        <w:rPr>
          <w:lang w:eastAsia="en-AU"/>
        </w:rPr>
        <w:t>that sit along a continuum of community participation and control</w:t>
      </w:r>
      <w:r w:rsidR="0094082D">
        <w:rPr>
          <w:lang w:eastAsia="en-AU"/>
        </w:rPr>
        <w:t xml:space="preserve"> (from being funded and managed solely by the government or alternatively by an Aboriginal Health Service)</w:t>
      </w:r>
      <w:r w:rsidR="000C474E">
        <w:rPr>
          <w:lang w:eastAsia="en-AU"/>
        </w:rPr>
        <w:t xml:space="preserve"> </w:t>
      </w:r>
      <w:r w:rsidR="008262B5">
        <w:rPr>
          <w:lang w:eastAsia="en-AU"/>
        </w:rPr>
        <w:t xml:space="preserve">and </w:t>
      </w:r>
      <w:r w:rsidR="00376453">
        <w:rPr>
          <w:lang w:eastAsia="en-AU"/>
        </w:rPr>
        <w:t xml:space="preserve">identifies </w:t>
      </w:r>
      <w:r w:rsidR="00C473E8">
        <w:rPr>
          <w:lang w:eastAsia="en-AU"/>
        </w:rPr>
        <w:t xml:space="preserve">a ‘partnership matrix’ of </w:t>
      </w:r>
      <w:r w:rsidR="00376453">
        <w:rPr>
          <w:lang w:eastAsia="en-AU"/>
        </w:rPr>
        <w:t xml:space="preserve">how the responsibilities between </w:t>
      </w:r>
      <w:r w:rsidR="008262B5">
        <w:rPr>
          <w:lang w:eastAsia="en-AU"/>
        </w:rPr>
        <w:t>the</w:t>
      </w:r>
      <w:r w:rsidR="00A43134">
        <w:rPr>
          <w:lang w:eastAsia="en-AU"/>
        </w:rPr>
        <w:t xml:space="preserve"> government and the community</w:t>
      </w:r>
      <w:r w:rsidR="00376453">
        <w:rPr>
          <w:lang w:eastAsia="en-AU"/>
        </w:rPr>
        <w:t xml:space="preserve"> might differ under each example.</w:t>
      </w:r>
      <w:r w:rsidR="00701E0D">
        <w:rPr>
          <w:lang w:eastAsia="en-AU"/>
        </w:rPr>
        <w:t xml:space="preserve"> The framework recognises that the </w:t>
      </w:r>
      <w:r w:rsidR="00035B9D">
        <w:rPr>
          <w:lang w:eastAsia="en-AU"/>
        </w:rPr>
        <w:t>“</w:t>
      </w:r>
      <w:r w:rsidR="00701E0D">
        <w:rPr>
          <w:lang w:eastAsia="en-AU"/>
        </w:rPr>
        <w:t>continuum is not sequential</w:t>
      </w:r>
      <w:r w:rsidR="00035B9D">
        <w:rPr>
          <w:lang w:eastAsia="en-AU"/>
        </w:rPr>
        <w:t>”</w:t>
      </w:r>
      <w:r w:rsidR="00035B9D">
        <w:rPr>
          <w:rStyle w:val="FootnoteReference"/>
          <w:lang w:eastAsia="en-AU"/>
        </w:rPr>
        <w:footnoteReference w:id="16"/>
      </w:r>
      <w:r w:rsidR="008875F9">
        <w:rPr>
          <w:lang w:eastAsia="en-AU"/>
        </w:rPr>
        <w:t xml:space="preserve"> </w:t>
      </w:r>
      <w:r w:rsidR="00701E0D">
        <w:rPr>
          <w:lang w:eastAsia="en-AU"/>
        </w:rPr>
        <w:t xml:space="preserve">and that </w:t>
      </w:r>
      <w:r w:rsidR="007C708A">
        <w:rPr>
          <w:lang w:eastAsia="en-AU"/>
        </w:rPr>
        <w:t>the level of community control can change in either direction as preferences change over time. T</w:t>
      </w:r>
      <w:r w:rsidR="00701E0D">
        <w:rPr>
          <w:lang w:eastAsia="en-AU"/>
        </w:rPr>
        <w:t xml:space="preserve">he </w:t>
      </w:r>
      <w:r w:rsidR="002217C7">
        <w:rPr>
          <w:lang w:eastAsia="en-AU"/>
        </w:rPr>
        <w:t xml:space="preserve">examples </w:t>
      </w:r>
      <w:r w:rsidR="007C708A">
        <w:rPr>
          <w:lang w:eastAsia="en-AU"/>
        </w:rPr>
        <w:t xml:space="preserve">provided </w:t>
      </w:r>
      <w:r w:rsidR="002217C7">
        <w:rPr>
          <w:lang w:eastAsia="en-AU"/>
        </w:rPr>
        <w:t>are</w:t>
      </w:r>
      <w:r w:rsidR="007C708A">
        <w:rPr>
          <w:lang w:eastAsia="en-AU"/>
        </w:rPr>
        <w:t xml:space="preserve"> </w:t>
      </w:r>
      <w:r w:rsidR="002217C7">
        <w:rPr>
          <w:lang w:eastAsia="en-AU"/>
        </w:rPr>
        <w:t>“not meant to limit the range of service models that might be considered</w:t>
      </w:r>
      <w:r w:rsidR="00C92FBD">
        <w:rPr>
          <w:lang w:eastAsia="en-AU"/>
        </w:rPr>
        <w:t>,</w:t>
      </w:r>
      <w:r w:rsidR="002217C7">
        <w:rPr>
          <w:lang w:eastAsia="en-AU"/>
        </w:rPr>
        <w:t xml:space="preserve"> but rather </w:t>
      </w:r>
      <w:r w:rsidR="00A852D5">
        <w:rPr>
          <w:lang w:eastAsia="en-AU"/>
        </w:rPr>
        <w:t xml:space="preserve">to demonstrate how the mix of capability </w:t>
      </w:r>
      <w:r w:rsidR="00A852D5">
        <w:rPr>
          <w:lang w:eastAsia="en-AU"/>
        </w:rPr>
        <w:lastRenderedPageBreak/>
        <w:t>requirements and responsibilities change as a community progresses towards community control”</w:t>
      </w:r>
      <w:r w:rsidR="00913F1C">
        <w:rPr>
          <w:lang w:eastAsia="en-AU"/>
        </w:rPr>
        <w:t>.</w:t>
      </w:r>
      <w:r w:rsidR="00A41BF4" w:rsidRPr="00A41BF4">
        <w:rPr>
          <w:rStyle w:val="FootnoteReference"/>
          <w:lang w:eastAsia="en-AU"/>
        </w:rPr>
        <w:t xml:space="preserve"> </w:t>
      </w:r>
      <w:r w:rsidR="00A41BF4">
        <w:rPr>
          <w:rStyle w:val="FootnoteReference"/>
          <w:lang w:eastAsia="en-AU"/>
        </w:rPr>
        <w:footnoteReference w:id="17"/>
      </w:r>
      <w:r w:rsidR="00A852D5">
        <w:rPr>
          <w:lang w:eastAsia="en-AU"/>
        </w:rPr>
        <w:t xml:space="preserve"> </w:t>
      </w:r>
      <w:r w:rsidR="00715C73">
        <w:rPr>
          <w:lang w:eastAsia="en-AU"/>
        </w:rPr>
        <w:t>The framework therefore identifies a wide range of different approaches and possibilities to achieving whatever level of community control is desired by each community.</w:t>
      </w:r>
    </w:p>
    <w:p w14:paraId="609A4810" w14:textId="79AAF884" w:rsidR="00150098" w:rsidRDefault="00150098" w:rsidP="00062339">
      <w:pPr>
        <w:rPr>
          <w:lang w:eastAsia="en-AU"/>
        </w:rPr>
      </w:pPr>
      <w:r>
        <w:rPr>
          <w:noProof/>
        </w:rPr>
        <mc:AlternateContent>
          <mc:Choice Requires="wps">
            <w:drawing>
              <wp:inline distT="0" distB="0" distL="0" distR="0" wp14:anchorId="2F0CC8C7" wp14:editId="22EAD6B9">
                <wp:extent cx="5272644" cy="748146"/>
                <wp:effectExtent l="0" t="0" r="4445" b="0"/>
                <wp:docPr id="19" name="Text Box 19" descr="“We just assume we know what they want – that they want to run their own health center, but maybe they want to just work more closely with the people running the health service.“ Government stakeholder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5272644" cy="7481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493B79" w14:textId="77777777" w:rsidR="00150098" w:rsidRPr="003A5CE9" w:rsidRDefault="00150098" w:rsidP="00150098">
                            <w:pPr>
                              <w:pStyle w:val="Callout"/>
                              <w:pBdr>
                                <w:top w:val="single" w:sz="18" w:space="0" w:color="E6E6E1" w:themeColor="accent5"/>
                              </w:pBdr>
                              <w:rPr>
                                <w:i/>
                                <w:iCs/>
                                <w:color w:val="00264D" w:themeColor="background2"/>
                                <w:sz w:val="18"/>
                                <w:szCs w:val="18"/>
                                <w:lang w:eastAsia="en-AU"/>
                              </w:rPr>
                            </w:pPr>
                            <w:r w:rsidRPr="003A5CE9">
                              <w:rPr>
                                <w:i/>
                                <w:iCs/>
                                <w:color w:val="F25E21" w:themeColor="accent2"/>
                                <w:lang w:val="en-US" w:eastAsia="en-AU"/>
                              </w:rPr>
                              <w:t>“</w:t>
                            </w:r>
                            <w:r>
                              <w:rPr>
                                <w:i/>
                                <w:iCs/>
                                <w:color w:val="F25E21" w:themeColor="accent2"/>
                                <w:lang w:val="en-US" w:eastAsia="en-AU"/>
                              </w:rPr>
                              <w:t>We just assume we know what they want – that they want to run their own health center, but maybe they want to just work more closely with the people running the health service</w:t>
                            </w:r>
                            <w:r w:rsidRPr="003A5CE9">
                              <w:rPr>
                                <w:i/>
                                <w:iCs/>
                                <w:color w:val="F25E21" w:themeColor="accent2"/>
                                <w:lang w:val="en-US" w:eastAsia="en-AU"/>
                              </w:rPr>
                              <w:t>.“</w:t>
                            </w:r>
                            <w:r w:rsidRPr="003A5CE9">
                              <w:rPr>
                                <w:i/>
                                <w:iCs/>
                                <w:color w:val="00264D" w:themeColor="background2"/>
                                <w:sz w:val="18"/>
                                <w:szCs w:val="18"/>
                                <w:lang w:eastAsia="en-AU"/>
                              </w:rPr>
                              <w:t xml:space="preserve"> Government stakeholder </w:t>
                            </w:r>
                          </w:p>
                          <w:p w14:paraId="0C7B8506" w14:textId="77777777" w:rsidR="00150098" w:rsidRPr="003F680B" w:rsidRDefault="00150098" w:rsidP="00150098">
                            <w:pPr>
                              <w:pStyle w:val="Callout"/>
                              <w:pBdr>
                                <w:top w:val="single" w:sz="18" w:space="0" w:color="E6E6E1" w:themeColor="accent5"/>
                              </w:pBdr>
                              <w:rPr>
                                <w:i/>
                                <w:iCs/>
                                <w:color w:val="00264D" w:themeColor="background2"/>
                                <w:sz w:val="18"/>
                                <w:szCs w:val="18"/>
                                <w:lang w:val="en-US" w:eastAsia="en-AU"/>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inline>
            </w:drawing>
          </mc:Choice>
          <mc:Fallback>
            <w:pict>
              <v:shape w14:anchorId="2F0CC8C7" id="Text Box 19" o:spid="_x0000_s1033" type="#_x0000_t202" alt="“We just assume we know what they want – that they want to run their own health center, but maybe they want to just work more closely with the people running the health service.“ Government stakeholder " style="width:415.15pt;height:5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" fillcolor="white [3201]" stroked="f" strokeweight=".5pt">
                <v:textbox inset="0,,1mm">
                  <w:txbxContent>
                    <w:p w14:paraId="58493B79" w14:textId="77777777" w:rsidR="00150098" w:rsidRPr="003A5CE9" w:rsidRDefault="00150098" w:rsidP="00150098">
                      <w:pPr>
                        <w:pStyle w:val="Callout"/>
                        <w:pBdr>
                          <w:top w:val="single" w:sz="18" w:space="0" w:color="E6E6E1" w:themeColor="accent5"/>
                        </w:pBdr>
                        <w:rPr>
                          <w:i/>
                          <w:iCs/>
                          <w:color w:val="00264D" w:themeColor="background2"/>
                          <w:sz w:val="18"/>
                          <w:szCs w:val="18"/>
                          <w:lang w:eastAsia="en-AU"/>
                        </w:rPr>
                      </w:pPr>
                      <w:r w:rsidRPr="003A5CE9">
                        <w:rPr>
                          <w:i/>
                          <w:iCs/>
                          <w:color w:val="F25E21" w:themeColor="accent2"/>
                          <w:lang w:val="en-US" w:eastAsia="en-AU"/>
                        </w:rPr>
                        <w:t>“</w:t>
                      </w:r>
                      <w:r>
                        <w:rPr>
                          <w:i/>
                          <w:iCs/>
                          <w:color w:val="F25E21" w:themeColor="accent2"/>
                          <w:lang w:val="en-US" w:eastAsia="en-AU"/>
                        </w:rPr>
                        <w:t xml:space="preserve">We just assume we know what they want – that they want to run their own health center, but maybe they want to just work more closely with the people running the health </w:t>
                      </w:r>
                      <w:proofErr w:type="gramStart"/>
                      <w:r>
                        <w:rPr>
                          <w:i/>
                          <w:iCs/>
                          <w:color w:val="F25E21" w:themeColor="accent2"/>
                          <w:lang w:val="en-US" w:eastAsia="en-AU"/>
                        </w:rPr>
                        <w:t>service</w:t>
                      </w:r>
                      <w:r w:rsidRPr="003A5CE9">
                        <w:rPr>
                          <w:i/>
                          <w:iCs/>
                          <w:color w:val="F25E21" w:themeColor="accent2"/>
                          <w:lang w:val="en-US" w:eastAsia="en-AU"/>
                        </w:rPr>
                        <w:t>.“</w:t>
                      </w:r>
                      <w:proofErr w:type="gramEnd"/>
                      <w:r w:rsidRPr="003A5CE9">
                        <w:rPr>
                          <w:i/>
                          <w:iCs/>
                          <w:color w:val="00264D" w:themeColor="background2"/>
                          <w:sz w:val="18"/>
                          <w:szCs w:val="18"/>
                          <w:lang w:eastAsia="en-AU"/>
                        </w:rPr>
                        <w:t xml:space="preserve"> Government stakeholder </w:t>
                      </w:r>
                    </w:p>
                    <w:p w14:paraId="0C7B8506" w14:textId="77777777" w:rsidR="00150098" w:rsidRPr="003F680B" w:rsidRDefault="00150098" w:rsidP="00150098">
                      <w:pPr>
                        <w:pStyle w:val="Callout"/>
                        <w:pBdr>
                          <w:top w:val="single" w:sz="18" w:space="0" w:color="E6E6E1" w:themeColor="accent5"/>
                        </w:pBdr>
                        <w:rPr>
                          <w:i/>
                          <w:iCs/>
                          <w:color w:val="00264D" w:themeColor="background2"/>
                          <w:sz w:val="18"/>
                          <w:szCs w:val="18"/>
                          <w:lang w:val="en-US" w:eastAsia="en-AU"/>
                        </w:rPr>
                      </w:pPr>
                    </w:p>
                  </w:txbxContent>
                </v:textbox>
                <w10:anchorlock/>
              </v:shape>
            </w:pict>
          </mc:Fallback>
        </mc:AlternateContent>
      </w:r>
    </w:p>
    <w:p w14:paraId="023376D1" w14:textId="6904CE23" w:rsidR="00062339" w:rsidRDefault="009A5C27" w:rsidP="00062339">
      <w:pPr>
        <w:rPr>
          <w:lang w:eastAsia="en-AU"/>
        </w:rPr>
      </w:pPr>
      <w:r>
        <w:rPr>
          <w:lang w:eastAsia="en-AU"/>
        </w:rPr>
        <w:t xml:space="preserve">When referencing the </w:t>
      </w:r>
      <w:r w:rsidR="00305AC9">
        <w:rPr>
          <w:lang w:eastAsia="en-AU"/>
        </w:rPr>
        <w:t>P2CC</w:t>
      </w:r>
      <w:r w:rsidR="009B68B1">
        <w:rPr>
          <w:lang w:eastAsia="en-AU"/>
        </w:rPr>
        <w:t xml:space="preserve"> program</w:t>
      </w:r>
      <w:r w:rsidR="00305AC9">
        <w:rPr>
          <w:lang w:eastAsia="en-AU"/>
        </w:rPr>
        <w:t xml:space="preserve"> framework</w:t>
      </w:r>
      <w:r>
        <w:rPr>
          <w:lang w:eastAsia="en-AU"/>
        </w:rPr>
        <w:t>, however, g</w:t>
      </w:r>
      <w:r w:rsidR="00062339" w:rsidRPr="00062339">
        <w:rPr>
          <w:lang w:eastAsia="en-AU"/>
        </w:rPr>
        <w:t>overnment stakeholders</w:t>
      </w:r>
      <w:r w:rsidR="008D1147">
        <w:rPr>
          <w:lang w:eastAsia="en-AU"/>
        </w:rPr>
        <w:t xml:space="preserve"> (</w:t>
      </w:r>
      <w:r w:rsidR="00F82C19">
        <w:rPr>
          <w:lang w:eastAsia="en-AU"/>
        </w:rPr>
        <w:t>Australian Government</w:t>
      </w:r>
      <w:r w:rsidR="008D1147">
        <w:rPr>
          <w:lang w:eastAsia="en-AU"/>
        </w:rPr>
        <w:t>)</w:t>
      </w:r>
      <w:r w:rsidR="00F847FE">
        <w:rPr>
          <w:lang w:eastAsia="en-AU"/>
        </w:rPr>
        <w:t xml:space="preserve">, </w:t>
      </w:r>
      <w:r>
        <w:rPr>
          <w:lang w:eastAsia="en-AU"/>
        </w:rPr>
        <w:t xml:space="preserve">highlighted the disconnect between </w:t>
      </w:r>
      <w:r w:rsidR="00C27C84">
        <w:rPr>
          <w:lang w:eastAsia="en-AU"/>
        </w:rPr>
        <w:t>identifying the</w:t>
      </w:r>
      <w:r>
        <w:rPr>
          <w:lang w:eastAsia="en-AU"/>
        </w:rPr>
        <w:t xml:space="preserve"> </w:t>
      </w:r>
      <w:r w:rsidR="00D82530">
        <w:rPr>
          <w:lang w:eastAsia="en-AU"/>
        </w:rPr>
        <w:t>different approaches</w:t>
      </w:r>
      <w:r>
        <w:rPr>
          <w:lang w:eastAsia="en-AU"/>
        </w:rPr>
        <w:t xml:space="preserve"> outlined in the framework, </w:t>
      </w:r>
      <w:r w:rsidR="00E97AEC">
        <w:rPr>
          <w:lang w:eastAsia="en-AU"/>
        </w:rPr>
        <w:t>and the operationalisation of different</w:t>
      </w:r>
      <w:r>
        <w:rPr>
          <w:lang w:eastAsia="en-AU"/>
        </w:rPr>
        <w:t xml:space="preserve"> approaches</w:t>
      </w:r>
      <w:r w:rsidRPr="08981AA6">
        <w:rPr>
          <w:lang w:eastAsia="en-AU"/>
        </w:rPr>
        <w:t>.</w:t>
      </w:r>
      <w:r>
        <w:rPr>
          <w:lang w:eastAsia="en-AU"/>
        </w:rPr>
        <w:t xml:space="preserve"> </w:t>
      </w:r>
      <w:r w:rsidR="00D77618">
        <w:rPr>
          <w:lang w:eastAsia="en-AU"/>
        </w:rPr>
        <w:t>S</w:t>
      </w:r>
      <w:r w:rsidR="00E878FA">
        <w:rPr>
          <w:lang w:eastAsia="en-AU"/>
        </w:rPr>
        <w:t>takeholders noted that t</w:t>
      </w:r>
      <w:r w:rsidR="00062339" w:rsidRPr="00062339">
        <w:rPr>
          <w:lang w:eastAsia="en-AU"/>
        </w:rPr>
        <w:t>here is little guidance or structure as to how to execute these pathway</w:t>
      </w:r>
      <w:r w:rsidR="00286E30">
        <w:rPr>
          <w:lang w:eastAsia="en-AU"/>
        </w:rPr>
        <w:t>s.</w:t>
      </w:r>
      <w:r w:rsidR="007B3165">
        <w:rPr>
          <w:lang w:eastAsia="en-AU"/>
        </w:rPr>
        <w:t xml:space="preserve"> </w:t>
      </w:r>
      <w:r w:rsidR="006D6470">
        <w:rPr>
          <w:lang w:eastAsia="en-AU"/>
        </w:rPr>
        <w:t>The</w:t>
      </w:r>
      <w:r w:rsidR="007B3165">
        <w:rPr>
          <w:lang w:eastAsia="en-AU"/>
        </w:rPr>
        <w:t xml:space="preserve"> framework identifies a four-stage process </w:t>
      </w:r>
      <w:r w:rsidR="00363947">
        <w:rPr>
          <w:lang w:eastAsia="en-AU"/>
        </w:rPr>
        <w:t>to guide the implementation of particular service models</w:t>
      </w:r>
      <w:r w:rsidR="000732E5">
        <w:rPr>
          <w:lang w:eastAsia="en-AU"/>
        </w:rPr>
        <w:t xml:space="preserve"> (development, consolidation, implementation, evaluation)</w:t>
      </w:r>
      <w:r w:rsidR="006D6470">
        <w:rPr>
          <w:lang w:eastAsia="en-AU"/>
        </w:rPr>
        <w:t xml:space="preserve">. </w:t>
      </w:r>
      <w:r w:rsidR="00010FFC">
        <w:rPr>
          <w:lang w:eastAsia="en-AU"/>
        </w:rPr>
        <w:t>However,</w:t>
      </w:r>
      <w:r w:rsidR="006D6470">
        <w:rPr>
          <w:lang w:eastAsia="en-AU"/>
        </w:rPr>
        <w:t xml:space="preserve"> these four stages provide a broad guide to the </w:t>
      </w:r>
      <w:r w:rsidR="009B0C8A">
        <w:rPr>
          <w:lang w:eastAsia="en-AU"/>
        </w:rPr>
        <w:t xml:space="preserve">overall </w:t>
      </w:r>
      <w:r w:rsidR="006D6470">
        <w:rPr>
          <w:lang w:eastAsia="en-AU"/>
        </w:rPr>
        <w:t xml:space="preserve">transition process, rather than </w:t>
      </w:r>
      <w:r w:rsidR="009B0C8A">
        <w:rPr>
          <w:lang w:eastAsia="en-AU"/>
        </w:rPr>
        <w:t xml:space="preserve">a tailored approach </w:t>
      </w:r>
      <w:r w:rsidR="000841E6">
        <w:rPr>
          <w:lang w:eastAsia="en-AU"/>
        </w:rPr>
        <w:t xml:space="preserve">based on the different pathway chosen. </w:t>
      </w:r>
      <w:r w:rsidR="00286E30">
        <w:rPr>
          <w:lang w:eastAsia="en-AU"/>
        </w:rPr>
        <w:t>There is also no</w:t>
      </w:r>
      <w:r w:rsidR="00062339" w:rsidRPr="00062339">
        <w:rPr>
          <w:lang w:eastAsia="en-AU"/>
        </w:rPr>
        <w:t xml:space="preserve"> acknowledgement</w:t>
      </w:r>
      <w:r w:rsidR="00B130E5">
        <w:rPr>
          <w:lang w:eastAsia="en-AU"/>
        </w:rPr>
        <w:t xml:space="preserve"> in the framework</w:t>
      </w:r>
      <w:r w:rsidR="00062339" w:rsidRPr="00062339">
        <w:rPr>
          <w:lang w:eastAsia="en-AU"/>
        </w:rPr>
        <w:t xml:space="preserve"> of the significant differences in timeframes and resources needed</w:t>
      </w:r>
      <w:r w:rsidR="003710AF">
        <w:rPr>
          <w:lang w:eastAsia="en-AU"/>
        </w:rPr>
        <w:t xml:space="preserve"> to execute different pathways</w:t>
      </w:r>
      <w:r w:rsidR="00A94932">
        <w:rPr>
          <w:lang w:eastAsia="en-AU"/>
        </w:rPr>
        <w:t>.</w:t>
      </w:r>
    </w:p>
    <w:p w14:paraId="50C3367A" w14:textId="51D24EAB" w:rsidR="00F6112C" w:rsidRDefault="009474C8" w:rsidP="00062339">
      <w:pPr>
        <w:rPr>
          <w:lang w:eastAsia="en-AU"/>
        </w:rPr>
      </w:pPr>
      <w:r>
        <w:rPr>
          <w:lang w:eastAsia="en-AU"/>
        </w:rPr>
        <w:t xml:space="preserve">Another important feature of the P2CC </w:t>
      </w:r>
      <w:r w:rsidR="009B68B1">
        <w:rPr>
          <w:lang w:eastAsia="en-AU"/>
        </w:rPr>
        <w:t xml:space="preserve">program </w:t>
      </w:r>
      <w:r>
        <w:rPr>
          <w:lang w:eastAsia="en-AU"/>
        </w:rPr>
        <w:t>framework is the</w:t>
      </w:r>
      <w:r w:rsidR="001D46A5">
        <w:rPr>
          <w:lang w:eastAsia="en-AU"/>
        </w:rPr>
        <w:t xml:space="preserve"> requirement for health service providers to be both ‘competent and capable’ of delivering health services. </w:t>
      </w:r>
      <w:r w:rsidR="004300FF">
        <w:rPr>
          <w:lang w:eastAsia="en-AU"/>
        </w:rPr>
        <w:t>‘</w:t>
      </w:r>
      <w:r w:rsidR="001F2EF5">
        <w:rPr>
          <w:lang w:eastAsia="en-AU"/>
        </w:rPr>
        <w:t>Capability</w:t>
      </w:r>
      <w:r w:rsidR="004300FF">
        <w:rPr>
          <w:lang w:eastAsia="en-AU"/>
        </w:rPr>
        <w:t>’</w:t>
      </w:r>
      <w:r w:rsidR="001F2EF5">
        <w:rPr>
          <w:lang w:eastAsia="en-AU"/>
        </w:rPr>
        <w:t xml:space="preserve"> looks at the </w:t>
      </w:r>
      <w:r w:rsidR="00034B99">
        <w:rPr>
          <w:lang w:eastAsia="en-AU"/>
        </w:rPr>
        <w:t xml:space="preserve">extent to which the health service provider can demonstrate </w:t>
      </w:r>
      <w:r w:rsidR="006F45E5">
        <w:rPr>
          <w:lang w:eastAsia="en-AU"/>
        </w:rPr>
        <w:t xml:space="preserve">that </w:t>
      </w:r>
      <w:r w:rsidR="00034B99">
        <w:rPr>
          <w:lang w:eastAsia="en-AU"/>
        </w:rPr>
        <w:t xml:space="preserve">they have an ongoing relationship to the community and </w:t>
      </w:r>
      <w:r w:rsidR="0041110C">
        <w:rPr>
          <w:lang w:eastAsia="en-AU"/>
        </w:rPr>
        <w:t xml:space="preserve">that they are serving </w:t>
      </w:r>
      <w:r w:rsidR="0082699E">
        <w:rPr>
          <w:lang w:eastAsia="en-AU"/>
        </w:rPr>
        <w:t>community</w:t>
      </w:r>
      <w:r w:rsidR="00771F9A">
        <w:rPr>
          <w:lang w:eastAsia="en-AU"/>
        </w:rPr>
        <w:t xml:space="preserve"> needs</w:t>
      </w:r>
      <w:r w:rsidR="00034B99">
        <w:rPr>
          <w:lang w:eastAsia="en-AU"/>
        </w:rPr>
        <w:t xml:space="preserve">. </w:t>
      </w:r>
      <w:r w:rsidR="004300FF">
        <w:rPr>
          <w:lang w:eastAsia="en-AU"/>
        </w:rPr>
        <w:t>‘</w:t>
      </w:r>
      <w:r w:rsidR="00034B99">
        <w:rPr>
          <w:lang w:eastAsia="en-AU"/>
        </w:rPr>
        <w:t>Competency</w:t>
      </w:r>
      <w:r w:rsidR="004300FF">
        <w:rPr>
          <w:lang w:eastAsia="en-AU"/>
        </w:rPr>
        <w:t>’</w:t>
      </w:r>
      <w:r w:rsidR="00034B99">
        <w:rPr>
          <w:lang w:eastAsia="en-AU"/>
        </w:rPr>
        <w:t xml:space="preserve"> looks at the extent to which health service </w:t>
      </w:r>
      <w:r w:rsidR="0082699E">
        <w:rPr>
          <w:lang w:eastAsia="en-AU"/>
        </w:rPr>
        <w:t>providers</w:t>
      </w:r>
      <w:r w:rsidR="00034B99">
        <w:rPr>
          <w:lang w:eastAsia="en-AU"/>
        </w:rPr>
        <w:t xml:space="preserve"> can demonstrate their ability to </w:t>
      </w:r>
      <w:r w:rsidR="0041110C">
        <w:rPr>
          <w:lang w:eastAsia="en-AU"/>
        </w:rPr>
        <w:t xml:space="preserve">use resources efficiently and diligently to achieve health outcomes. </w:t>
      </w:r>
      <w:r w:rsidR="00033CF0">
        <w:rPr>
          <w:lang w:eastAsia="en-AU"/>
        </w:rPr>
        <w:t xml:space="preserve">The framework </w:t>
      </w:r>
      <w:r w:rsidR="003A01C6">
        <w:rPr>
          <w:lang w:eastAsia="en-AU"/>
        </w:rPr>
        <w:t>outlines</w:t>
      </w:r>
      <w:r w:rsidR="00033CF0">
        <w:rPr>
          <w:lang w:eastAsia="en-AU"/>
        </w:rPr>
        <w:t xml:space="preserve"> the different capabilities </w:t>
      </w:r>
      <w:r w:rsidR="005C00C6">
        <w:rPr>
          <w:lang w:eastAsia="en-AU"/>
        </w:rPr>
        <w:t xml:space="preserve">required for </w:t>
      </w:r>
      <w:r w:rsidR="008F46B6">
        <w:rPr>
          <w:lang w:eastAsia="en-AU"/>
        </w:rPr>
        <w:t xml:space="preserve">each </w:t>
      </w:r>
      <w:r w:rsidR="005C00C6">
        <w:rPr>
          <w:lang w:eastAsia="en-AU"/>
        </w:rPr>
        <w:t>of</w:t>
      </w:r>
      <w:r w:rsidR="00EE6829">
        <w:rPr>
          <w:lang w:eastAsia="en-AU"/>
        </w:rPr>
        <w:t xml:space="preserve"> the</w:t>
      </w:r>
      <w:r w:rsidR="004C0F08">
        <w:rPr>
          <w:lang w:eastAsia="en-AU"/>
        </w:rPr>
        <w:t xml:space="preserve"> </w:t>
      </w:r>
      <w:r w:rsidR="003A01C6">
        <w:rPr>
          <w:lang w:eastAsia="en-AU"/>
        </w:rPr>
        <w:t xml:space="preserve">nine </w:t>
      </w:r>
      <w:r w:rsidR="00EE6829">
        <w:rPr>
          <w:lang w:eastAsia="en-AU"/>
        </w:rPr>
        <w:t>service model examples</w:t>
      </w:r>
      <w:r w:rsidR="003A01C6">
        <w:rPr>
          <w:lang w:eastAsia="en-AU"/>
        </w:rPr>
        <w:t xml:space="preserve"> provided. </w:t>
      </w:r>
      <w:r w:rsidR="008F46B6">
        <w:rPr>
          <w:lang w:eastAsia="en-AU"/>
        </w:rPr>
        <w:t xml:space="preserve">However, </w:t>
      </w:r>
      <w:r w:rsidR="00B22000">
        <w:rPr>
          <w:lang w:eastAsia="en-AU"/>
        </w:rPr>
        <w:t xml:space="preserve">both ACCHO and government </w:t>
      </w:r>
      <w:r w:rsidR="0048122B">
        <w:rPr>
          <w:lang w:eastAsia="en-AU"/>
        </w:rPr>
        <w:t xml:space="preserve">stakeholders </w:t>
      </w:r>
      <w:r w:rsidR="00D1294C">
        <w:rPr>
          <w:lang w:eastAsia="en-AU"/>
        </w:rPr>
        <w:t xml:space="preserve">reported that they believe there was not enough consideration </w:t>
      </w:r>
      <w:r w:rsidR="00B22000">
        <w:rPr>
          <w:lang w:eastAsia="en-AU"/>
        </w:rPr>
        <w:t xml:space="preserve">on </w:t>
      </w:r>
      <w:r w:rsidR="00234535">
        <w:rPr>
          <w:lang w:eastAsia="en-AU"/>
        </w:rPr>
        <w:t>assessing the</w:t>
      </w:r>
      <w:r w:rsidR="00B22000">
        <w:rPr>
          <w:lang w:eastAsia="en-AU"/>
        </w:rPr>
        <w:t xml:space="preserve"> maturity of organisations </w:t>
      </w:r>
      <w:r w:rsidR="00234535">
        <w:rPr>
          <w:lang w:eastAsia="en-AU"/>
        </w:rPr>
        <w:t xml:space="preserve">to transition and </w:t>
      </w:r>
      <w:r w:rsidR="00186FB5">
        <w:rPr>
          <w:lang w:eastAsia="en-AU"/>
        </w:rPr>
        <w:t>their</w:t>
      </w:r>
      <w:r w:rsidR="00234535">
        <w:rPr>
          <w:lang w:eastAsia="en-AU"/>
        </w:rPr>
        <w:t xml:space="preserve"> capability and capacity</w:t>
      </w:r>
      <w:r w:rsidR="00B23621">
        <w:rPr>
          <w:lang w:eastAsia="en-AU"/>
        </w:rPr>
        <w:t>,</w:t>
      </w:r>
      <w:r w:rsidR="00A757C0">
        <w:rPr>
          <w:lang w:eastAsia="en-AU"/>
        </w:rPr>
        <w:t xml:space="preserve"> up to and including Red Lily</w:t>
      </w:r>
      <w:r w:rsidR="00B23621">
        <w:rPr>
          <w:lang w:eastAsia="en-AU"/>
        </w:rPr>
        <w:t>,</w:t>
      </w:r>
      <w:r w:rsidR="00A757C0">
        <w:rPr>
          <w:lang w:eastAsia="en-AU"/>
        </w:rPr>
        <w:t xml:space="preserve"> and before the transition criteria </w:t>
      </w:r>
      <w:r w:rsidR="00C24969">
        <w:rPr>
          <w:lang w:eastAsia="en-AU"/>
        </w:rPr>
        <w:t xml:space="preserve">were </w:t>
      </w:r>
      <w:r w:rsidR="00A757C0">
        <w:rPr>
          <w:lang w:eastAsia="en-AU"/>
        </w:rPr>
        <w:t>established</w:t>
      </w:r>
      <w:r w:rsidR="00851F1A">
        <w:rPr>
          <w:lang w:eastAsia="en-AU"/>
        </w:rPr>
        <w:t xml:space="preserve">. </w:t>
      </w:r>
    </w:p>
    <w:p w14:paraId="0B61EA26" w14:textId="5B1151B2" w:rsidR="00062339" w:rsidRPr="000E3F82" w:rsidRDefault="00E83D41" w:rsidP="00062339">
      <w:pPr>
        <w:rPr>
          <w:lang w:eastAsia="en-AU"/>
        </w:rPr>
      </w:pPr>
      <w:r>
        <w:rPr>
          <w:lang w:eastAsia="en-AU"/>
        </w:rPr>
        <w:t xml:space="preserve">One </w:t>
      </w:r>
      <w:r w:rsidR="00062339" w:rsidRPr="00062339">
        <w:rPr>
          <w:lang w:eastAsia="en-AU"/>
        </w:rPr>
        <w:t>ACCHO</w:t>
      </w:r>
      <w:r w:rsidR="00BA056F">
        <w:rPr>
          <w:lang w:eastAsia="en-AU"/>
        </w:rPr>
        <w:t xml:space="preserve">, </w:t>
      </w:r>
      <w:proofErr w:type="spellStart"/>
      <w:r w:rsidR="000E3F82">
        <w:rPr>
          <w:lang w:eastAsia="en-AU"/>
        </w:rPr>
        <w:t>Mala’la</w:t>
      </w:r>
      <w:proofErr w:type="spellEnd"/>
      <w:r w:rsidR="00BA056F">
        <w:rPr>
          <w:lang w:eastAsia="en-AU"/>
        </w:rPr>
        <w:t>, did however opt for a slower</w:t>
      </w:r>
      <w:r w:rsidR="00062339" w:rsidRPr="00062339">
        <w:rPr>
          <w:lang w:eastAsia="en-AU"/>
        </w:rPr>
        <w:t xml:space="preserve"> staged approach </w:t>
      </w:r>
      <w:r w:rsidR="00BA056F">
        <w:rPr>
          <w:lang w:eastAsia="en-AU"/>
        </w:rPr>
        <w:t>to transition</w:t>
      </w:r>
      <w:r w:rsidR="00062339" w:rsidRPr="00062339">
        <w:rPr>
          <w:lang w:eastAsia="en-AU"/>
        </w:rPr>
        <w:t xml:space="preserve"> and transferred some programs first, before transferring all clinical services. This helped to demonstrate capability and build the confidence of funders. </w:t>
      </w:r>
      <w:proofErr w:type="spellStart"/>
      <w:r w:rsidR="00113276">
        <w:rPr>
          <w:lang w:eastAsia="en-AU"/>
        </w:rPr>
        <w:t>Mala’la</w:t>
      </w:r>
      <w:r w:rsidR="00952B29">
        <w:rPr>
          <w:lang w:eastAsia="en-AU"/>
        </w:rPr>
        <w:t>’s</w:t>
      </w:r>
      <w:proofErr w:type="spellEnd"/>
      <w:r w:rsidR="00952B29">
        <w:rPr>
          <w:lang w:eastAsia="en-AU"/>
        </w:rPr>
        <w:t xml:space="preserve"> Maningrida clinic had slowly </w:t>
      </w:r>
      <w:r w:rsidR="00AC7160">
        <w:rPr>
          <w:lang w:eastAsia="en-AU"/>
        </w:rPr>
        <w:t xml:space="preserve">been transitioning services over to community control </w:t>
      </w:r>
      <w:r w:rsidR="00DF3497">
        <w:rPr>
          <w:lang w:eastAsia="en-AU"/>
        </w:rPr>
        <w:t>years</w:t>
      </w:r>
      <w:r w:rsidR="00AC7160">
        <w:rPr>
          <w:lang w:eastAsia="en-AU"/>
        </w:rPr>
        <w:t xml:space="preserve"> before</w:t>
      </w:r>
      <w:r w:rsidR="00BB65E9">
        <w:rPr>
          <w:lang w:eastAsia="en-AU"/>
        </w:rPr>
        <w:t xml:space="preserve"> the</w:t>
      </w:r>
      <w:r w:rsidR="007805DB">
        <w:rPr>
          <w:lang w:eastAsia="en-AU"/>
        </w:rPr>
        <w:t xml:space="preserve"> full</w:t>
      </w:r>
      <w:r w:rsidR="00AC7160">
        <w:rPr>
          <w:lang w:eastAsia="en-AU"/>
        </w:rPr>
        <w:t xml:space="preserve"> transition. </w:t>
      </w:r>
      <w:r w:rsidR="00F279EC">
        <w:rPr>
          <w:lang w:eastAsia="en-AU"/>
        </w:rPr>
        <w:t>The Board and community decided to i</w:t>
      </w:r>
      <w:r w:rsidR="00F36AB1">
        <w:rPr>
          <w:lang w:eastAsia="en-AU"/>
        </w:rPr>
        <w:t xml:space="preserve">nitially </w:t>
      </w:r>
      <w:r w:rsidR="00933371">
        <w:rPr>
          <w:lang w:eastAsia="en-AU"/>
        </w:rPr>
        <w:t>run</w:t>
      </w:r>
      <w:r w:rsidR="00F36AB1">
        <w:rPr>
          <w:lang w:eastAsia="en-AU"/>
        </w:rPr>
        <w:t xml:space="preserve"> programs including </w:t>
      </w:r>
      <w:r w:rsidR="00782AFA">
        <w:rPr>
          <w:lang w:eastAsia="en-AU"/>
        </w:rPr>
        <w:t>men’s</w:t>
      </w:r>
      <w:r w:rsidR="00F36AB1">
        <w:rPr>
          <w:lang w:eastAsia="en-AU"/>
        </w:rPr>
        <w:t xml:space="preserve"> and mental health</w:t>
      </w:r>
      <w:r w:rsidR="00F117FF">
        <w:rPr>
          <w:lang w:eastAsia="en-AU"/>
        </w:rPr>
        <w:t xml:space="preserve"> programs through what was previously an acute</w:t>
      </w:r>
      <w:r w:rsidR="006D7396">
        <w:rPr>
          <w:lang w:eastAsia="en-AU"/>
        </w:rPr>
        <w:t>-</w:t>
      </w:r>
      <w:r w:rsidR="00FA10DD">
        <w:rPr>
          <w:lang w:eastAsia="en-AU"/>
        </w:rPr>
        <w:t>only</w:t>
      </w:r>
      <w:r w:rsidR="00F117FF">
        <w:rPr>
          <w:lang w:eastAsia="en-AU"/>
        </w:rPr>
        <w:t xml:space="preserve"> </w:t>
      </w:r>
      <w:r w:rsidR="00A55AAE">
        <w:rPr>
          <w:lang w:eastAsia="en-AU"/>
        </w:rPr>
        <w:t>NTG</w:t>
      </w:r>
      <w:r w:rsidR="0041532C">
        <w:rPr>
          <w:lang w:eastAsia="en-AU"/>
        </w:rPr>
        <w:t xml:space="preserve"> </w:t>
      </w:r>
      <w:r w:rsidR="00F117FF">
        <w:rPr>
          <w:lang w:eastAsia="en-AU"/>
        </w:rPr>
        <w:t>clinic</w:t>
      </w:r>
      <w:r w:rsidR="00782AFA">
        <w:rPr>
          <w:lang w:eastAsia="en-AU"/>
        </w:rPr>
        <w:t xml:space="preserve">. These </w:t>
      </w:r>
      <w:r w:rsidR="007B2408">
        <w:rPr>
          <w:lang w:eastAsia="en-AU"/>
        </w:rPr>
        <w:t>programs</w:t>
      </w:r>
      <w:r w:rsidR="00782AFA">
        <w:rPr>
          <w:lang w:eastAsia="en-AU"/>
        </w:rPr>
        <w:t xml:space="preserve"> demonstrated </w:t>
      </w:r>
      <w:r w:rsidR="007B2408">
        <w:rPr>
          <w:lang w:eastAsia="en-AU"/>
        </w:rPr>
        <w:t xml:space="preserve">Malala’s </w:t>
      </w:r>
      <w:r w:rsidR="00782AFA">
        <w:rPr>
          <w:lang w:eastAsia="en-AU"/>
        </w:rPr>
        <w:t>clinical and corporate governance</w:t>
      </w:r>
      <w:r w:rsidR="00756D60">
        <w:rPr>
          <w:lang w:eastAsia="en-AU"/>
        </w:rPr>
        <w:t xml:space="preserve"> </w:t>
      </w:r>
      <w:r w:rsidR="00782AFA">
        <w:rPr>
          <w:lang w:eastAsia="en-AU"/>
        </w:rPr>
        <w:t xml:space="preserve">ability </w:t>
      </w:r>
      <w:r w:rsidR="00756D60">
        <w:rPr>
          <w:lang w:eastAsia="en-AU"/>
        </w:rPr>
        <w:t xml:space="preserve">to funders </w:t>
      </w:r>
      <w:r w:rsidR="00BC4DE4">
        <w:rPr>
          <w:lang w:eastAsia="en-AU"/>
        </w:rPr>
        <w:t xml:space="preserve">and </w:t>
      </w:r>
      <w:r w:rsidR="002F2AA4">
        <w:rPr>
          <w:lang w:eastAsia="en-AU"/>
        </w:rPr>
        <w:t>also helped to build the</w:t>
      </w:r>
      <w:r w:rsidR="00BC4DE4">
        <w:rPr>
          <w:lang w:eastAsia="en-AU"/>
        </w:rPr>
        <w:t xml:space="preserve"> confidence </w:t>
      </w:r>
      <w:r w:rsidR="002F2AA4">
        <w:rPr>
          <w:lang w:eastAsia="en-AU"/>
        </w:rPr>
        <w:t>of the community who was used to</w:t>
      </w:r>
      <w:r w:rsidR="00113E4F">
        <w:rPr>
          <w:lang w:eastAsia="en-AU"/>
        </w:rPr>
        <w:t xml:space="preserve"> </w:t>
      </w:r>
      <w:r w:rsidR="002F2AA4">
        <w:rPr>
          <w:lang w:eastAsia="en-AU"/>
        </w:rPr>
        <w:t>government</w:t>
      </w:r>
      <w:r w:rsidR="00487B41">
        <w:rPr>
          <w:lang w:eastAsia="en-AU"/>
        </w:rPr>
        <w:t>-</w:t>
      </w:r>
      <w:r w:rsidR="002F2AA4">
        <w:rPr>
          <w:lang w:eastAsia="en-AU"/>
        </w:rPr>
        <w:t>run services</w:t>
      </w:r>
      <w:r w:rsidR="00522493">
        <w:rPr>
          <w:lang w:eastAsia="en-AU"/>
        </w:rPr>
        <w:t xml:space="preserve">. </w:t>
      </w:r>
      <w:r w:rsidR="00756D60">
        <w:rPr>
          <w:lang w:eastAsia="en-AU"/>
        </w:rPr>
        <w:t xml:space="preserve"> </w:t>
      </w:r>
    </w:p>
    <w:p w14:paraId="46606C74" w14:textId="6174F08E" w:rsidR="00062339" w:rsidRPr="00223EB9" w:rsidRDefault="00062339" w:rsidP="00223EB9">
      <w:pPr>
        <w:rPr>
          <w:b/>
          <w:bCs/>
          <w:color w:val="00264D" w:themeColor="background2"/>
          <w:sz w:val="20"/>
          <w:szCs w:val="24"/>
          <w:lang w:val="en-US"/>
        </w:rPr>
      </w:pPr>
      <w:r w:rsidRPr="00223EB9">
        <w:rPr>
          <w:b/>
          <w:bCs/>
          <w:color w:val="00264D" w:themeColor="background2"/>
          <w:sz w:val="20"/>
          <w:szCs w:val="24"/>
        </w:rPr>
        <w:t>Genuine and coordinated community consultation is essential to identifying needs </w:t>
      </w:r>
    </w:p>
    <w:p w14:paraId="3B783D2D" w14:textId="07C739BD" w:rsidR="009A6C79" w:rsidRDefault="00062339" w:rsidP="00062339">
      <w:pPr>
        <w:rPr>
          <w:lang w:eastAsia="en-AU"/>
        </w:rPr>
      </w:pPr>
      <w:r w:rsidRPr="00062339">
        <w:rPr>
          <w:lang w:eastAsia="en-AU"/>
        </w:rPr>
        <w:t>ACCHOs</w:t>
      </w:r>
      <w:r w:rsidR="0062375A">
        <w:rPr>
          <w:lang w:eastAsia="en-AU"/>
        </w:rPr>
        <w:t xml:space="preserve"> </w:t>
      </w:r>
      <w:r w:rsidRPr="00062339">
        <w:rPr>
          <w:lang w:eastAsia="en-AU"/>
        </w:rPr>
        <w:t xml:space="preserve">and government stakeholders raised the importance of </w:t>
      </w:r>
      <w:r w:rsidR="00682090">
        <w:rPr>
          <w:lang w:eastAsia="en-AU"/>
        </w:rPr>
        <w:t xml:space="preserve">early </w:t>
      </w:r>
      <w:r w:rsidRPr="00062339">
        <w:rPr>
          <w:lang w:eastAsia="en-AU"/>
        </w:rPr>
        <w:t>consultation with the community to ensure community needs are understood.</w:t>
      </w:r>
      <w:r w:rsidR="004D4838">
        <w:rPr>
          <w:lang w:eastAsia="en-AU"/>
        </w:rPr>
        <w:t xml:space="preserve"> Educating the community about what is involved in </w:t>
      </w:r>
      <w:r w:rsidR="00C369CF">
        <w:rPr>
          <w:lang w:eastAsia="en-AU"/>
        </w:rPr>
        <w:t xml:space="preserve">the transition of services to community control </w:t>
      </w:r>
      <w:r w:rsidR="001B5861">
        <w:rPr>
          <w:lang w:eastAsia="en-AU"/>
        </w:rPr>
        <w:t>was</w:t>
      </w:r>
      <w:r w:rsidR="00C369CF">
        <w:rPr>
          <w:lang w:eastAsia="en-AU"/>
        </w:rPr>
        <w:t xml:space="preserve"> also </w:t>
      </w:r>
      <w:r w:rsidR="001B5861">
        <w:rPr>
          <w:lang w:eastAsia="en-AU"/>
        </w:rPr>
        <w:t xml:space="preserve">seen as </w:t>
      </w:r>
      <w:r w:rsidR="00C369CF">
        <w:rPr>
          <w:lang w:eastAsia="en-AU"/>
        </w:rPr>
        <w:t>an important part of community engagement</w:t>
      </w:r>
      <w:r w:rsidR="0063764E">
        <w:rPr>
          <w:lang w:eastAsia="en-AU"/>
        </w:rPr>
        <w:t xml:space="preserve">, particularly in areas </w:t>
      </w:r>
      <w:r w:rsidR="000D0F0D">
        <w:rPr>
          <w:lang w:eastAsia="en-AU"/>
        </w:rPr>
        <w:t>where English is a second language.</w:t>
      </w:r>
      <w:r w:rsidRPr="00062339">
        <w:rPr>
          <w:lang w:eastAsia="en-AU"/>
        </w:rPr>
        <w:t> Some stakeholders</w:t>
      </w:r>
      <w:r w:rsidR="00303845">
        <w:rPr>
          <w:lang w:eastAsia="en-AU"/>
        </w:rPr>
        <w:t xml:space="preserve"> </w:t>
      </w:r>
      <w:r w:rsidRPr="00062339">
        <w:rPr>
          <w:lang w:eastAsia="en-AU"/>
        </w:rPr>
        <w:t xml:space="preserve">reported that there is currently no standard approach to community consultation across transitions. </w:t>
      </w:r>
      <w:r w:rsidR="00B24EFC">
        <w:rPr>
          <w:lang w:eastAsia="en-AU"/>
        </w:rPr>
        <w:t>Some</w:t>
      </w:r>
      <w:r w:rsidR="003E0C63">
        <w:rPr>
          <w:lang w:eastAsia="en-AU"/>
        </w:rPr>
        <w:t xml:space="preserve"> ACCHO </w:t>
      </w:r>
      <w:r w:rsidR="00162945">
        <w:rPr>
          <w:lang w:eastAsia="en-AU"/>
        </w:rPr>
        <w:t xml:space="preserve">and government stakeholders </w:t>
      </w:r>
      <w:r w:rsidR="003E0C63">
        <w:rPr>
          <w:lang w:eastAsia="en-AU"/>
        </w:rPr>
        <w:t xml:space="preserve">commented on the challenges of </w:t>
      </w:r>
      <w:r w:rsidR="00B97C2E">
        <w:rPr>
          <w:lang w:eastAsia="en-AU"/>
        </w:rPr>
        <w:t xml:space="preserve">identifying </w:t>
      </w:r>
      <w:r w:rsidR="00443055">
        <w:rPr>
          <w:lang w:eastAsia="en-AU"/>
        </w:rPr>
        <w:t xml:space="preserve">who speaks for the community within </w:t>
      </w:r>
      <w:r w:rsidR="00B24EFC">
        <w:rPr>
          <w:lang w:eastAsia="en-AU"/>
        </w:rPr>
        <w:t>different</w:t>
      </w:r>
      <w:r w:rsidR="00443055">
        <w:rPr>
          <w:lang w:eastAsia="en-AU"/>
        </w:rPr>
        <w:t xml:space="preserve"> </w:t>
      </w:r>
      <w:r w:rsidR="00162945">
        <w:rPr>
          <w:lang w:eastAsia="en-AU"/>
        </w:rPr>
        <w:t>community contexts</w:t>
      </w:r>
      <w:r w:rsidR="00B97C2E">
        <w:rPr>
          <w:lang w:eastAsia="en-AU"/>
        </w:rPr>
        <w:t>.</w:t>
      </w:r>
      <w:r w:rsidR="00443055">
        <w:rPr>
          <w:lang w:eastAsia="en-AU"/>
        </w:rPr>
        <w:t xml:space="preserve"> </w:t>
      </w:r>
      <w:r w:rsidR="009B71D8" w:rsidRPr="009B71D8">
        <w:rPr>
          <w:lang w:eastAsia="en-AU"/>
        </w:rPr>
        <w:t xml:space="preserve">Often </w:t>
      </w:r>
      <w:r w:rsidR="009B71D8">
        <w:rPr>
          <w:lang w:eastAsia="en-AU"/>
        </w:rPr>
        <w:t>there are</w:t>
      </w:r>
      <w:r w:rsidR="009B71D8" w:rsidRPr="009B71D8">
        <w:rPr>
          <w:lang w:eastAsia="en-AU"/>
        </w:rPr>
        <w:t xml:space="preserve"> cultural connections</w:t>
      </w:r>
      <w:r w:rsidR="009B71D8">
        <w:rPr>
          <w:lang w:eastAsia="en-AU"/>
        </w:rPr>
        <w:t xml:space="preserve"> and hierarchies that </w:t>
      </w:r>
      <w:r w:rsidR="00B757F1">
        <w:rPr>
          <w:lang w:eastAsia="en-AU"/>
        </w:rPr>
        <w:t xml:space="preserve">are difficult to understand for </w:t>
      </w:r>
      <w:r w:rsidR="004C620E">
        <w:rPr>
          <w:lang w:eastAsia="en-AU"/>
        </w:rPr>
        <w:t xml:space="preserve">people who </w:t>
      </w:r>
      <w:r w:rsidR="00B757F1">
        <w:rPr>
          <w:lang w:eastAsia="en-AU"/>
        </w:rPr>
        <w:t>are not</w:t>
      </w:r>
      <w:r w:rsidR="004C620E">
        <w:rPr>
          <w:lang w:eastAsia="en-AU"/>
        </w:rPr>
        <w:t xml:space="preserve"> from that community</w:t>
      </w:r>
      <w:r w:rsidR="009B71D8" w:rsidRPr="009B71D8">
        <w:rPr>
          <w:lang w:eastAsia="en-AU"/>
        </w:rPr>
        <w:t xml:space="preserve">. </w:t>
      </w:r>
      <w:r w:rsidR="00FE4A93">
        <w:rPr>
          <w:lang w:eastAsia="en-AU"/>
        </w:rPr>
        <w:t xml:space="preserve">Government stakeholders </w:t>
      </w:r>
      <w:r w:rsidR="002E31AF">
        <w:rPr>
          <w:lang w:eastAsia="en-AU"/>
        </w:rPr>
        <w:t xml:space="preserve">noted the challenges of being confident </w:t>
      </w:r>
      <w:r w:rsidR="00117751">
        <w:rPr>
          <w:lang w:eastAsia="en-AU"/>
        </w:rPr>
        <w:t>that they understand what the community really wants.</w:t>
      </w:r>
    </w:p>
    <w:p w14:paraId="6A45C432" w14:textId="00FEB931" w:rsidR="00CE0E72" w:rsidRDefault="00062339" w:rsidP="00CE0E72">
      <w:pPr>
        <w:rPr>
          <w:lang w:eastAsia="en-AU"/>
        </w:rPr>
      </w:pPr>
      <w:r w:rsidRPr="00062339">
        <w:rPr>
          <w:lang w:eastAsia="en-AU"/>
        </w:rPr>
        <w:t xml:space="preserve">Some stakeholders were not always confident with the consultation process and believed that it could be subject to bias, depending on who gathered the feedback. One ACCHO highlighted that an instrumental </w:t>
      </w:r>
      <w:r w:rsidRPr="00062339">
        <w:rPr>
          <w:lang w:eastAsia="en-AU"/>
        </w:rPr>
        <w:lastRenderedPageBreak/>
        <w:t>part of one transition was contracting an independent local organisation to undertake the consultation.</w:t>
      </w:r>
      <w:r w:rsidR="00B659A7">
        <w:rPr>
          <w:lang w:eastAsia="en-AU"/>
        </w:rPr>
        <w:t xml:space="preserve"> </w:t>
      </w:r>
      <w:r w:rsidR="0041728C">
        <w:rPr>
          <w:lang w:eastAsia="en-AU"/>
        </w:rPr>
        <w:t xml:space="preserve">Other stakeholders </w:t>
      </w:r>
      <w:r w:rsidR="00B659A7">
        <w:rPr>
          <w:lang w:eastAsia="en-AU"/>
        </w:rPr>
        <w:t xml:space="preserve">agreed that having someone </w:t>
      </w:r>
      <w:r w:rsidR="0041728C">
        <w:rPr>
          <w:lang w:eastAsia="en-AU"/>
        </w:rPr>
        <w:t xml:space="preserve">independent </w:t>
      </w:r>
      <w:r w:rsidR="00B659A7">
        <w:rPr>
          <w:lang w:eastAsia="en-AU"/>
        </w:rPr>
        <w:t xml:space="preserve">do the consultation who understands the community context </w:t>
      </w:r>
      <w:r w:rsidR="0041728C">
        <w:rPr>
          <w:lang w:eastAsia="en-AU"/>
        </w:rPr>
        <w:t>and can undertake the consultation in a culturally safe way</w:t>
      </w:r>
      <w:r w:rsidR="00B659A7">
        <w:rPr>
          <w:lang w:eastAsia="en-AU"/>
        </w:rPr>
        <w:t xml:space="preserve"> is important.</w:t>
      </w:r>
      <w:r w:rsidR="005926A0">
        <w:rPr>
          <w:lang w:eastAsia="en-AU"/>
        </w:rPr>
        <w:t xml:space="preserve"> Stakeholders commented on the fact </w:t>
      </w:r>
      <w:r w:rsidR="00D85328">
        <w:rPr>
          <w:lang w:eastAsia="en-AU"/>
        </w:rPr>
        <w:t>that it is not always the case that</w:t>
      </w:r>
      <w:r w:rsidR="005926A0">
        <w:rPr>
          <w:lang w:eastAsia="en-AU"/>
        </w:rPr>
        <w:t xml:space="preserve"> communities want </w:t>
      </w:r>
      <w:r w:rsidR="00D2784C">
        <w:rPr>
          <w:lang w:eastAsia="en-AU"/>
        </w:rPr>
        <w:t xml:space="preserve">all their health </w:t>
      </w:r>
      <w:r w:rsidR="005926A0">
        <w:rPr>
          <w:lang w:eastAsia="en-AU"/>
        </w:rPr>
        <w:t xml:space="preserve">services to be transitioned </w:t>
      </w:r>
      <w:r w:rsidR="00AD28A5">
        <w:rPr>
          <w:lang w:eastAsia="en-AU"/>
        </w:rPr>
        <w:t xml:space="preserve">to community control </w:t>
      </w:r>
      <w:r w:rsidR="00D85328">
        <w:rPr>
          <w:lang w:eastAsia="en-AU"/>
        </w:rPr>
        <w:t>at once</w:t>
      </w:r>
      <w:r w:rsidR="005926A0">
        <w:rPr>
          <w:lang w:eastAsia="en-AU"/>
        </w:rPr>
        <w:t>.</w:t>
      </w:r>
      <w:r w:rsidR="00483FDB">
        <w:rPr>
          <w:lang w:eastAsia="en-AU"/>
        </w:rPr>
        <w:t xml:space="preserve"> </w:t>
      </w:r>
      <w:r w:rsidR="00445772">
        <w:rPr>
          <w:lang w:eastAsia="en-AU"/>
        </w:rPr>
        <w:t>Understanding exactly what is needed by the community</w:t>
      </w:r>
      <w:r w:rsidR="00B36B72">
        <w:rPr>
          <w:lang w:eastAsia="en-AU"/>
        </w:rPr>
        <w:t>, their preparedness,</w:t>
      </w:r>
      <w:r w:rsidR="00445772">
        <w:rPr>
          <w:lang w:eastAsia="en-AU"/>
        </w:rPr>
        <w:t xml:space="preserve"> </w:t>
      </w:r>
      <w:r w:rsidR="0058433E">
        <w:rPr>
          <w:lang w:eastAsia="en-AU"/>
        </w:rPr>
        <w:t>and how that is best executed is an</w:t>
      </w:r>
      <w:r w:rsidR="00445772">
        <w:rPr>
          <w:lang w:eastAsia="en-AU"/>
        </w:rPr>
        <w:t xml:space="preserve"> essential part of the process which </w:t>
      </w:r>
      <w:r w:rsidR="00190CE0">
        <w:rPr>
          <w:lang w:eastAsia="en-AU"/>
        </w:rPr>
        <w:t xml:space="preserve">many </w:t>
      </w:r>
      <w:r w:rsidR="00DB46AF">
        <w:rPr>
          <w:lang w:eastAsia="en-AU"/>
        </w:rPr>
        <w:t xml:space="preserve">government </w:t>
      </w:r>
      <w:r w:rsidR="00190CE0">
        <w:rPr>
          <w:lang w:eastAsia="en-AU"/>
        </w:rPr>
        <w:t>stakeholders believed</w:t>
      </w:r>
      <w:r w:rsidR="00445772">
        <w:rPr>
          <w:lang w:eastAsia="en-AU"/>
        </w:rPr>
        <w:t xml:space="preserve"> is not given enough consideration.</w:t>
      </w:r>
    </w:p>
    <w:p w14:paraId="270F9C1D" w14:textId="0B2F7A2C" w:rsidR="00CE0E72" w:rsidRDefault="00150098" w:rsidP="00720B9B">
      <w:pPr>
        <w:rPr>
          <w:lang w:eastAsia="en-AU"/>
        </w:rPr>
      </w:pPr>
      <w:r>
        <w:rPr>
          <w:noProof/>
        </w:rPr>
        <mc:AlternateContent>
          <mc:Choice Requires="wps">
            <w:drawing>
              <wp:inline distT="0" distB="0" distL="0" distR="0" wp14:anchorId="0D9E8746" wp14:editId="2673E04C">
                <wp:extent cx="5462649" cy="724395"/>
                <wp:effectExtent l="0" t="0" r="5080" b="0"/>
                <wp:docPr id="16" name="Text Box 16" descr="“Who starts the community consultation? How do we know a non-bias and collective process has happened? We are so removed from the local voice.“ Government stakeholder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5462649" cy="7243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D817E5" w14:textId="77777777" w:rsidR="00150098" w:rsidRPr="003A5CE9" w:rsidRDefault="00150098" w:rsidP="00150098">
                            <w:pPr>
                              <w:pStyle w:val="Callout"/>
                              <w:pBdr>
                                <w:top w:val="single" w:sz="18" w:space="0" w:color="E6E6E1" w:themeColor="accent5"/>
                              </w:pBdr>
                              <w:rPr>
                                <w:i/>
                                <w:iCs/>
                                <w:color w:val="00264D" w:themeColor="background2"/>
                                <w:sz w:val="18"/>
                                <w:szCs w:val="18"/>
                                <w:lang w:eastAsia="en-AU"/>
                              </w:rPr>
                            </w:pPr>
                            <w:r w:rsidRPr="003A5CE9">
                              <w:rPr>
                                <w:i/>
                                <w:iCs/>
                                <w:color w:val="F25E21" w:themeColor="accent2"/>
                                <w:lang w:val="en-US" w:eastAsia="en-AU"/>
                              </w:rPr>
                              <w:t>“</w:t>
                            </w:r>
                            <w:r w:rsidRPr="00443014">
                              <w:rPr>
                                <w:i/>
                                <w:iCs/>
                                <w:color w:val="F25E21" w:themeColor="accent2"/>
                                <w:lang w:val="en-US" w:eastAsia="en-AU"/>
                              </w:rPr>
                              <w:t>Who starts the community consultation? How do we know a non-bias and collective process has happened? We are so removed from the local voice</w:t>
                            </w:r>
                            <w:r w:rsidRPr="003A5CE9">
                              <w:rPr>
                                <w:i/>
                                <w:iCs/>
                                <w:color w:val="F25E21" w:themeColor="accent2"/>
                                <w:lang w:val="en-US" w:eastAsia="en-AU"/>
                              </w:rPr>
                              <w:t>.“</w:t>
                            </w:r>
                            <w:r w:rsidRPr="003A5CE9">
                              <w:rPr>
                                <w:i/>
                                <w:iCs/>
                                <w:color w:val="00264D" w:themeColor="background2"/>
                                <w:sz w:val="18"/>
                                <w:szCs w:val="18"/>
                                <w:lang w:eastAsia="en-AU"/>
                              </w:rPr>
                              <w:t xml:space="preserve"> Government stakeholder </w:t>
                            </w:r>
                          </w:p>
                          <w:p w14:paraId="7D19661C" w14:textId="77777777" w:rsidR="00150098" w:rsidRPr="003F680B" w:rsidRDefault="00150098" w:rsidP="00150098">
                            <w:pPr>
                              <w:pStyle w:val="Callout"/>
                              <w:pBdr>
                                <w:top w:val="single" w:sz="18" w:space="0" w:color="E6E6E1" w:themeColor="accent5"/>
                              </w:pBdr>
                              <w:rPr>
                                <w:i/>
                                <w:iCs/>
                                <w:color w:val="00264D" w:themeColor="background2"/>
                                <w:sz w:val="18"/>
                                <w:szCs w:val="18"/>
                                <w:lang w:val="en-US" w:eastAsia="en-AU"/>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inline>
            </w:drawing>
          </mc:Choice>
          <mc:Fallback>
            <w:pict>
              <v:shape w14:anchorId="0D9E8746" id="Text Box 16" o:spid="_x0000_s1034" type="#_x0000_t202" alt="“Who starts the community consultation? How do we know a non-bias and collective process has happened? We are so removed from the local voice.“ Government stakeholder " style="width:430.15pt;height:5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" fillcolor="white [3201]" stroked="f" strokeweight=".5pt">
                <v:textbox inset="0,,1mm">
                  <w:txbxContent>
                    <w:p w14:paraId="00D817E5" w14:textId="77777777" w:rsidR="00150098" w:rsidRPr="003A5CE9" w:rsidRDefault="00150098" w:rsidP="00150098">
                      <w:pPr>
                        <w:pStyle w:val="Callout"/>
                        <w:pBdr>
                          <w:top w:val="single" w:sz="18" w:space="0" w:color="E6E6E1" w:themeColor="accent5"/>
                        </w:pBdr>
                        <w:rPr>
                          <w:i/>
                          <w:iCs/>
                          <w:color w:val="00264D" w:themeColor="background2"/>
                          <w:sz w:val="18"/>
                          <w:szCs w:val="18"/>
                          <w:lang w:eastAsia="en-AU"/>
                        </w:rPr>
                      </w:pPr>
                      <w:r w:rsidRPr="003A5CE9">
                        <w:rPr>
                          <w:i/>
                          <w:iCs/>
                          <w:color w:val="F25E21" w:themeColor="accent2"/>
                          <w:lang w:val="en-US" w:eastAsia="en-AU"/>
                        </w:rPr>
                        <w:t>“</w:t>
                      </w:r>
                      <w:r w:rsidRPr="00443014">
                        <w:rPr>
                          <w:i/>
                          <w:iCs/>
                          <w:color w:val="F25E21" w:themeColor="accent2"/>
                          <w:lang w:val="en-US" w:eastAsia="en-AU"/>
                        </w:rPr>
                        <w:t xml:space="preserve">Who starts the community consultation? How do we know a non-bias and collective process has happened? We are so removed from the local </w:t>
                      </w:r>
                      <w:proofErr w:type="gramStart"/>
                      <w:r w:rsidRPr="00443014">
                        <w:rPr>
                          <w:i/>
                          <w:iCs/>
                          <w:color w:val="F25E21" w:themeColor="accent2"/>
                          <w:lang w:val="en-US" w:eastAsia="en-AU"/>
                        </w:rPr>
                        <w:t>voice</w:t>
                      </w:r>
                      <w:r w:rsidRPr="003A5CE9">
                        <w:rPr>
                          <w:i/>
                          <w:iCs/>
                          <w:color w:val="F25E21" w:themeColor="accent2"/>
                          <w:lang w:val="en-US" w:eastAsia="en-AU"/>
                        </w:rPr>
                        <w:t>.“</w:t>
                      </w:r>
                      <w:proofErr w:type="gramEnd"/>
                      <w:r w:rsidRPr="003A5CE9">
                        <w:rPr>
                          <w:i/>
                          <w:iCs/>
                          <w:color w:val="00264D" w:themeColor="background2"/>
                          <w:sz w:val="18"/>
                          <w:szCs w:val="18"/>
                          <w:lang w:eastAsia="en-AU"/>
                        </w:rPr>
                        <w:t xml:space="preserve"> Government stakeholder </w:t>
                      </w:r>
                    </w:p>
                    <w:p w14:paraId="7D19661C" w14:textId="77777777" w:rsidR="00150098" w:rsidRPr="003F680B" w:rsidRDefault="00150098" w:rsidP="00150098">
                      <w:pPr>
                        <w:pStyle w:val="Callout"/>
                        <w:pBdr>
                          <w:top w:val="single" w:sz="18" w:space="0" w:color="E6E6E1" w:themeColor="accent5"/>
                        </w:pBdr>
                        <w:rPr>
                          <w:i/>
                          <w:iCs/>
                          <w:color w:val="00264D" w:themeColor="background2"/>
                          <w:sz w:val="18"/>
                          <w:szCs w:val="18"/>
                          <w:lang w:val="en-US" w:eastAsia="en-AU"/>
                        </w:rPr>
                      </w:pPr>
                    </w:p>
                  </w:txbxContent>
                </v:textbox>
                <w10:anchorlock/>
              </v:shape>
            </w:pict>
          </mc:Fallback>
        </mc:AlternateContent>
      </w:r>
    </w:p>
    <w:p w14:paraId="1B503952" w14:textId="28C6D31C" w:rsidR="00062339" w:rsidRPr="00223EB9" w:rsidRDefault="00062339" w:rsidP="00223EB9">
      <w:pPr>
        <w:rPr>
          <w:b/>
          <w:bCs/>
          <w:color w:val="00264D" w:themeColor="background2"/>
          <w:sz w:val="20"/>
          <w:szCs w:val="24"/>
          <w:lang w:val="en-US"/>
        </w:rPr>
      </w:pPr>
      <w:r w:rsidRPr="00223EB9">
        <w:rPr>
          <w:b/>
          <w:bCs/>
          <w:color w:val="00264D" w:themeColor="background2"/>
          <w:sz w:val="20"/>
          <w:szCs w:val="24"/>
        </w:rPr>
        <w:t xml:space="preserve">Unresolved financial negotiations </w:t>
      </w:r>
      <w:r w:rsidR="001C4B38" w:rsidRPr="00223EB9">
        <w:rPr>
          <w:b/>
          <w:bCs/>
          <w:color w:val="00264D" w:themeColor="background2"/>
          <w:sz w:val="20"/>
          <w:szCs w:val="24"/>
        </w:rPr>
        <w:t>are</w:t>
      </w:r>
      <w:r w:rsidRPr="00223EB9">
        <w:rPr>
          <w:b/>
          <w:bCs/>
          <w:color w:val="00264D" w:themeColor="background2"/>
          <w:sz w:val="20"/>
          <w:szCs w:val="24"/>
        </w:rPr>
        <w:t xml:space="preserve"> seen to be a major barrier to transition</w:t>
      </w:r>
    </w:p>
    <w:p w14:paraId="03483AB6" w14:textId="40B89FCB" w:rsidR="00AA129B" w:rsidRDefault="00CB3346" w:rsidP="00062339">
      <w:pPr>
        <w:rPr>
          <w:lang w:eastAsia="en-AU"/>
        </w:rPr>
      </w:pPr>
      <w:r>
        <w:rPr>
          <w:lang w:eastAsia="en-AU"/>
        </w:rPr>
        <w:t xml:space="preserve">NTG </w:t>
      </w:r>
      <w:r w:rsidR="00062339" w:rsidRPr="00062339">
        <w:rPr>
          <w:lang w:eastAsia="en-AU"/>
        </w:rPr>
        <w:t>stakeholders raised the challenge of sourcing additional funding</w:t>
      </w:r>
      <w:r w:rsidR="00C722E8">
        <w:rPr>
          <w:lang w:eastAsia="en-AU"/>
        </w:rPr>
        <w:t xml:space="preserve"> needed to support successful transition</w:t>
      </w:r>
      <w:r w:rsidR="00E43966">
        <w:rPr>
          <w:lang w:eastAsia="en-AU"/>
        </w:rPr>
        <w:t xml:space="preserve"> (e.g. </w:t>
      </w:r>
      <w:r w:rsidR="00062339" w:rsidRPr="00062339">
        <w:rPr>
          <w:lang w:eastAsia="en-AU"/>
        </w:rPr>
        <w:t>for infrastructure,</w:t>
      </w:r>
      <w:r w:rsidR="00220730">
        <w:rPr>
          <w:lang w:eastAsia="en-AU"/>
        </w:rPr>
        <w:t xml:space="preserve"> </w:t>
      </w:r>
      <w:r w:rsidR="00BC70BD">
        <w:rPr>
          <w:lang w:eastAsia="en-AU"/>
        </w:rPr>
        <w:t xml:space="preserve">building </w:t>
      </w:r>
      <w:r w:rsidR="00220730">
        <w:rPr>
          <w:lang w:eastAsia="en-AU"/>
        </w:rPr>
        <w:t>repairs</w:t>
      </w:r>
      <w:r w:rsidR="00062339" w:rsidRPr="00062339">
        <w:rPr>
          <w:lang w:eastAsia="en-AU"/>
        </w:rPr>
        <w:t xml:space="preserve"> or time spent managing transitions</w:t>
      </w:r>
      <w:r w:rsidR="00E43966">
        <w:rPr>
          <w:lang w:eastAsia="en-AU"/>
        </w:rPr>
        <w:t>) and reported this can lead to delays</w:t>
      </w:r>
      <w:r w:rsidR="00062339" w:rsidRPr="00062339">
        <w:rPr>
          <w:lang w:eastAsia="en-AU"/>
        </w:rPr>
        <w:t xml:space="preserve">. </w:t>
      </w:r>
      <w:r w:rsidR="009163C2">
        <w:rPr>
          <w:lang w:eastAsia="en-AU"/>
        </w:rPr>
        <w:t xml:space="preserve">These costs </w:t>
      </w:r>
      <w:r w:rsidR="006351E0">
        <w:rPr>
          <w:lang w:eastAsia="en-AU"/>
        </w:rPr>
        <w:t xml:space="preserve">are </w:t>
      </w:r>
      <w:r w:rsidR="009163C2">
        <w:rPr>
          <w:lang w:eastAsia="en-AU"/>
        </w:rPr>
        <w:t xml:space="preserve">not included in the </w:t>
      </w:r>
      <w:r w:rsidR="00F82C19">
        <w:rPr>
          <w:lang w:eastAsia="en-AU"/>
        </w:rPr>
        <w:t>Australian Government</w:t>
      </w:r>
      <w:r w:rsidR="000F5CF3">
        <w:rPr>
          <w:lang w:eastAsia="en-AU"/>
        </w:rPr>
        <w:t xml:space="preserve"> Department of Health</w:t>
      </w:r>
      <w:r w:rsidR="009163C2">
        <w:rPr>
          <w:lang w:eastAsia="en-AU"/>
        </w:rPr>
        <w:t>’s transition funding</w:t>
      </w:r>
      <w:r w:rsidR="00E60182">
        <w:rPr>
          <w:lang w:eastAsia="en-AU"/>
        </w:rPr>
        <w:t>. The Australian Government Department of Health ha</w:t>
      </w:r>
      <w:r w:rsidR="00964F7F">
        <w:rPr>
          <w:lang w:eastAsia="en-AU"/>
        </w:rPr>
        <w:t>s</w:t>
      </w:r>
      <w:r w:rsidR="00E60182">
        <w:rPr>
          <w:lang w:eastAsia="en-AU"/>
        </w:rPr>
        <w:t xml:space="preserve"> expressed</w:t>
      </w:r>
      <w:r w:rsidR="00274C76">
        <w:rPr>
          <w:lang w:eastAsia="en-AU"/>
        </w:rPr>
        <w:t xml:space="preserve"> it has been </w:t>
      </w:r>
      <w:r w:rsidR="009B6B3D">
        <w:rPr>
          <w:lang w:eastAsia="en-AU"/>
        </w:rPr>
        <w:t>its</w:t>
      </w:r>
      <w:r w:rsidR="00274C76">
        <w:rPr>
          <w:lang w:eastAsia="en-AU"/>
        </w:rPr>
        <w:t xml:space="preserve"> </w:t>
      </w:r>
      <w:r w:rsidR="00BD5C41" w:rsidRPr="00BD5C41">
        <w:rPr>
          <w:lang w:eastAsia="en-AU"/>
        </w:rPr>
        <w:t xml:space="preserve">long-standing position that infrastructure being transferred must be fit for purpose </w:t>
      </w:r>
      <w:r w:rsidR="00C91322">
        <w:rPr>
          <w:lang w:eastAsia="en-AU"/>
        </w:rPr>
        <w:t>(</w:t>
      </w:r>
      <w:r w:rsidR="00BD5C41" w:rsidRPr="00BD5C41">
        <w:rPr>
          <w:lang w:eastAsia="en-AU"/>
        </w:rPr>
        <w:t>and infrastructure being leased must include an appropriate maintenance schedule</w:t>
      </w:r>
      <w:r w:rsidR="00C91322">
        <w:rPr>
          <w:lang w:eastAsia="en-AU"/>
        </w:rPr>
        <w:t>)</w:t>
      </w:r>
      <w:r w:rsidR="00BD5C41" w:rsidRPr="00BD5C41">
        <w:rPr>
          <w:lang w:eastAsia="en-AU"/>
        </w:rPr>
        <w:t xml:space="preserve">. </w:t>
      </w:r>
      <w:r w:rsidR="000F5CF3">
        <w:rPr>
          <w:lang w:eastAsia="en-AU"/>
        </w:rPr>
        <w:t>It</w:t>
      </w:r>
      <w:r w:rsidR="00BD5C41" w:rsidRPr="00BD5C41">
        <w:rPr>
          <w:lang w:eastAsia="en-AU"/>
        </w:rPr>
        <w:t xml:space="preserve"> will generally not support any requests for capital works funding for at least two years from the date of transition except in urgent or unforeseen circumstances (e.g. natural disasters).</w:t>
      </w:r>
    </w:p>
    <w:p w14:paraId="5229209E" w14:textId="506C535B" w:rsidR="002E460A" w:rsidRDefault="00F2616B" w:rsidP="00062339">
      <w:pPr>
        <w:rPr>
          <w:lang w:eastAsia="en-AU"/>
        </w:rPr>
      </w:pPr>
      <w:r>
        <w:rPr>
          <w:lang w:eastAsia="en-AU"/>
        </w:rPr>
        <w:t>It was</w:t>
      </w:r>
      <w:r w:rsidR="003C271F">
        <w:rPr>
          <w:lang w:eastAsia="en-AU"/>
        </w:rPr>
        <w:t xml:space="preserve"> noted </w:t>
      </w:r>
      <w:r w:rsidR="00E1483D">
        <w:rPr>
          <w:lang w:eastAsia="en-AU"/>
        </w:rPr>
        <w:t xml:space="preserve">that </w:t>
      </w:r>
      <w:r w:rsidR="003C271F">
        <w:rPr>
          <w:lang w:eastAsia="en-AU"/>
        </w:rPr>
        <w:t>t</w:t>
      </w:r>
      <w:r w:rsidR="005703A9">
        <w:rPr>
          <w:lang w:eastAsia="en-AU"/>
        </w:rPr>
        <w:t>he NT</w:t>
      </w:r>
      <w:r w:rsidR="003C271F">
        <w:rPr>
          <w:lang w:eastAsia="en-AU"/>
        </w:rPr>
        <w:t xml:space="preserve">G </w:t>
      </w:r>
      <w:r w:rsidR="002E460A">
        <w:rPr>
          <w:lang w:eastAsia="en-AU"/>
        </w:rPr>
        <w:t>remains the owner of all health centres and associated infrastructure including staff housing</w:t>
      </w:r>
      <w:r w:rsidR="00280900">
        <w:rPr>
          <w:lang w:eastAsia="en-AU"/>
        </w:rPr>
        <w:t>, with these being leased to the ACCHO. As such, the NTG retains responsibility for repairs, maintenance and capital works.</w:t>
      </w:r>
      <w:r w:rsidR="004807C0">
        <w:rPr>
          <w:lang w:eastAsia="en-AU"/>
        </w:rPr>
        <w:t xml:space="preserve"> This means</w:t>
      </w:r>
      <w:r w:rsidR="002842F1">
        <w:rPr>
          <w:lang w:eastAsia="en-AU"/>
        </w:rPr>
        <w:t xml:space="preserve"> funding for</w:t>
      </w:r>
      <w:r w:rsidR="004807C0">
        <w:rPr>
          <w:lang w:eastAsia="en-AU"/>
        </w:rPr>
        <w:t xml:space="preserve"> these costs do</w:t>
      </w:r>
      <w:r w:rsidR="002842F1">
        <w:rPr>
          <w:lang w:eastAsia="en-AU"/>
        </w:rPr>
        <w:t>es</w:t>
      </w:r>
      <w:r w:rsidR="004807C0">
        <w:rPr>
          <w:lang w:eastAsia="en-AU"/>
        </w:rPr>
        <w:t xml:space="preserve"> not need to be included in transition budgets. </w:t>
      </w:r>
      <w:r w:rsidR="00A151AC">
        <w:rPr>
          <w:lang w:eastAsia="en-AU"/>
        </w:rPr>
        <w:t xml:space="preserve">However, </w:t>
      </w:r>
      <w:r w:rsidR="00577487">
        <w:rPr>
          <w:lang w:eastAsia="en-AU"/>
        </w:rPr>
        <w:t xml:space="preserve">the </w:t>
      </w:r>
      <w:r w:rsidR="00BC5C8C">
        <w:rPr>
          <w:lang w:eastAsia="en-AU"/>
        </w:rPr>
        <w:t>requirement</w:t>
      </w:r>
      <w:r w:rsidR="00577487">
        <w:rPr>
          <w:lang w:eastAsia="en-AU"/>
        </w:rPr>
        <w:t xml:space="preserve"> for infrastructure to be fit-for-purpose </w:t>
      </w:r>
      <w:r w:rsidR="00BC5C8C">
        <w:rPr>
          <w:lang w:eastAsia="en-AU"/>
        </w:rPr>
        <w:t xml:space="preserve">means </w:t>
      </w:r>
      <w:r w:rsidR="005D4513">
        <w:rPr>
          <w:lang w:eastAsia="en-AU"/>
        </w:rPr>
        <w:t>these issues can still cause delays</w:t>
      </w:r>
      <w:r w:rsidR="001105C4">
        <w:rPr>
          <w:lang w:eastAsia="en-AU"/>
        </w:rPr>
        <w:t xml:space="preserve">, as is currently occurring in Jabiru and Gunbalanya (e.g. where </w:t>
      </w:r>
      <w:r w:rsidR="00763537">
        <w:rPr>
          <w:lang w:eastAsia="en-AU"/>
        </w:rPr>
        <w:t>necessary repairs cannot be made in a timely fashion).</w:t>
      </w:r>
      <w:r w:rsidR="001105C4">
        <w:rPr>
          <w:lang w:eastAsia="en-AU"/>
        </w:rPr>
        <w:t xml:space="preserve"> </w:t>
      </w:r>
    </w:p>
    <w:p w14:paraId="3B5FC583" w14:textId="6F5A1C6B" w:rsidR="001C1196" w:rsidRDefault="001E3D53" w:rsidP="00062339">
      <w:pPr>
        <w:rPr>
          <w:lang w:eastAsia="en-AU"/>
        </w:rPr>
      </w:pPr>
      <w:r>
        <w:rPr>
          <w:lang w:eastAsia="en-AU"/>
        </w:rPr>
        <w:t xml:space="preserve">ACCHO stakeholders raised the frustration of costs not being adequately estimated </w:t>
      </w:r>
      <w:r w:rsidR="006B328A">
        <w:rPr>
          <w:lang w:eastAsia="en-AU"/>
        </w:rPr>
        <w:t>for</w:t>
      </w:r>
      <w:r>
        <w:rPr>
          <w:lang w:eastAsia="en-AU"/>
        </w:rPr>
        <w:t xml:space="preserve"> transition funding</w:t>
      </w:r>
      <w:r w:rsidR="00B2371B">
        <w:rPr>
          <w:lang w:eastAsia="en-AU"/>
        </w:rPr>
        <w:t xml:space="preserve"> (e.g. repairs, cleaning)</w:t>
      </w:r>
      <w:r w:rsidR="00540218">
        <w:rPr>
          <w:lang w:eastAsia="en-AU"/>
        </w:rPr>
        <w:t>,</w:t>
      </w:r>
      <w:r w:rsidR="003D03F5">
        <w:rPr>
          <w:lang w:eastAsia="en-AU"/>
        </w:rPr>
        <w:t xml:space="preserve"> </w:t>
      </w:r>
      <w:r>
        <w:rPr>
          <w:lang w:eastAsia="en-AU"/>
        </w:rPr>
        <w:t xml:space="preserve">as well as </w:t>
      </w:r>
      <w:r w:rsidR="006B328A">
        <w:rPr>
          <w:lang w:eastAsia="en-AU"/>
        </w:rPr>
        <w:t xml:space="preserve">for </w:t>
      </w:r>
      <w:r w:rsidR="00D3163D">
        <w:rPr>
          <w:lang w:eastAsia="en-AU"/>
        </w:rPr>
        <w:t xml:space="preserve">ongoing capital </w:t>
      </w:r>
      <w:r w:rsidR="00AA3CB0">
        <w:rPr>
          <w:lang w:eastAsia="en-AU"/>
        </w:rPr>
        <w:t>costs</w:t>
      </w:r>
      <w:r w:rsidR="00D3163D">
        <w:rPr>
          <w:lang w:eastAsia="en-AU"/>
        </w:rPr>
        <w:t xml:space="preserve"> </w:t>
      </w:r>
      <w:r w:rsidR="00B0554D">
        <w:rPr>
          <w:lang w:eastAsia="en-AU"/>
        </w:rPr>
        <w:t xml:space="preserve">(e.g. buildings, staff accommodation) </w:t>
      </w:r>
      <w:r w:rsidR="00D3163D">
        <w:rPr>
          <w:lang w:eastAsia="en-AU"/>
        </w:rPr>
        <w:t>and operational costs</w:t>
      </w:r>
      <w:r w:rsidR="00D04A4F">
        <w:rPr>
          <w:lang w:eastAsia="en-AU"/>
        </w:rPr>
        <w:t xml:space="preserve"> (e.g. </w:t>
      </w:r>
      <w:r w:rsidR="00B2371B">
        <w:rPr>
          <w:lang w:eastAsia="en-AU"/>
        </w:rPr>
        <w:t xml:space="preserve">IT, </w:t>
      </w:r>
      <w:r w:rsidR="00D04A4F">
        <w:rPr>
          <w:lang w:eastAsia="en-AU"/>
        </w:rPr>
        <w:t>insurance, freight for vehicles</w:t>
      </w:r>
      <w:r w:rsidR="00BA0301">
        <w:rPr>
          <w:lang w:eastAsia="en-AU"/>
        </w:rPr>
        <w:t>, leases</w:t>
      </w:r>
      <w:r w:rsidR="00D04A4F">
        <w:rPr>
          <w:lang w:eastAsia="en-AU"/>
        </w:rPr>
        <w:t>)</w:t>
      </w:r>
      <w:r w:rsidR="003876E5">
        <w:rPr>
          <w:lang w:eastAsia="en-AU"/>
        </w:rPr>
        <w:t>.</w:t>
      </w:r>
      <w:r w:rsidR="00F43D2B">
        <w:rPr>
          <w:lang w:eastAsia="en-AU"/>
        </w:rPr>
        <w:t xml:space="preserve"> </w:t>
      </w:r>
      <w:r w:rsidR="0018393F">
        <w:rPr>
          <w:lang w:eastAsia="en-AU"/>
        </w:rPr>
        <w:t>Government s</w:t>
      </w:r>
      <w:r w:rsidR="00992508">
        <w:rPr>
          <w:lang w:eastAsia="en-AU"/>
        </w:rPr>
        <w:t>takeholders also commented on the fact that it naturally costs more to establish an entirely new health service such as Red Lily</w:t>
      </w:r>
      <w:r w:rsidR="001C1196">
        <w:rPr>
          <w:lang w:eastAsia="en-AU"/>
        </w:rPr>
        <w:t xml:space="preserve"> and that these additional</w:t>
      </w:r>
      <w:r w:rsidR="00F94500">
        <w:rPr>
          <w:lang w:eastAsia="en-AU"/>
        </w:rPr>
        <w:t xml:space="preserve"> seed funding</w:t>
      </w:r>
      <w:r w:rsidR="001C1196">
        <w:rPr>
          <w:lang w:eastAsia="en-AU"/>
        </w:rPr>
        <w:t xml:space="preserve"> costs were not adequately estimated. </w:t>
      </w:r>
      <w:r w:rsidR="008E2595">
        <w:rPr>
          <w:lang w:eastAsia="en-AU"/>
        </w:rPr>
        <w:t xml:space="preserve">ACCHOs reported </w:t>
      </w:r>
      <w:r w:rsidR="00757AE1">
        <w:rPr>
          <w:lang w:eastAsia="en-AU"/>
        </w:rPr>
        <w:t>being consistently</w:t>
      </w:r>
      <w:r w:rsidR="008A7CB6">
        <w:rPr>
          <w:lang w:eastAsia="en-AU"/>
        </w:rPr>
        <w:t xml:space="preserve"> surprised that these costs had not been resolved or adequately budgeted </w:t>
      </w:r>
      <w:r w:rsidR="00400409">
        <w:rPr>
          <w:lang w:eastAsia="en-AU"/>
        </w:rPr>
        <w:t>for before</w:t>
      </w:r>
      <w:r w:rsidR="008A7CB6">
        <w:rPr>
          <w:lang w:eastAsia="en-AU"/>
        </w:rPr>
        <w:t xml:space="preserve"> transition funding had been approved. </w:t>
      </w:r>
    </w:p>
    <w:p w14:paraId="2C9F4A14" w14:textId="4C6D21D8" w:rsidR="00E32E75" w:rsidRPr="009A7884" w:rsidRDefault="002468B0" w:rsidP="00062339">
      <w:pPr>
        <w:rPr>
          <w:lang w:eastAsia="en-AU"/>
        </w:rPr>
      </w:pPr>
      <w:r>
        <w:rPr>
          <w:lang w:eastAsia="en-AU"/>
        </w:rPr>
        <w:t xml:space="preserve">Funding to </w:t>
      </w:r>
      <w:r w:rsidR="0045528C">
        <w:rPr>
          <w:lang w:eastAsia="en-AU"/>
        </w:rPr>
        <w:t>c</w:t>
      </w:r>
      <w:r w:rsidR="000A2152">
        <w:rPr>
          <w:lang w:eastAsia="en-AU"/>
        </w:rPr>
        <w:t>over the g</w:t>
      </w:r>
      <w:r w:rsidR="008747D0">
        <w:rPr>
          <w:lang w:eastAsia="en-AU"/>
        </w:rPr>
        <w:t xml:space="preserve">aps </w:t>
      </w:r>
      <w:r w:rsidR="000A2152">
        <w:rPr>
          <w:lang w:eastAsia="en-AU"/>
        </w:rPr>
        <w:t>was</w:t>
      </w:r>
      <w:r w:rsidR="00DB7414">
        <w:rPr>
          <w:lang w:eastAsia="en-AU"/>
        </w:rPr>
        <w:t xml:space="preserve"> </w:t>
      </w:r>
      <w:r w:rsidR="009614BE">
        <w:rPr>
          <w:lang w:eastAsia="en-AU"/>
        </w:rPr>
        <w:t>subsequently</w:t>
      </w:r>
      <w:r w:rsidR="00DB7414">
        <w:rPr>
          <w:lang w:eastAsia="en-AU"/>
        </w:rPr>
        <w:t xml:space="preserve"> sought from the </w:t>
      </w:r>
      <w:r w:rsidR="00A55AAE">
        <w:rPr>
          <w:lang w:eastAsia="en-AU"/>
        </w:rPr>
        <w:t>NTG</w:t>
      </w:r>
      <w:r w:rsidR="00DB7414">
        <w:rPr>
          <w:lang w:eastAsia="en-AU"/>
        </w:rPr>
        <w:t xml:space="preserve"> </w:t>
      </w:r>
      <w:r w:rsidR="00186D69">
        <w:rPr>
          <w:lang w:eastAsia="en-AU"/>
        </w:rPr>
        <w:t>causing major delays</w:t>
      </w:r>
      <w:r w:rsidR="00BA0301">
        <w:rPr>
          <w:lang w:eastAsia="en-AU"/>
        </w:rPr>
        <w:t>.</w:t>
      </w:r>
      <w:r w:rsidR="003D03F5">
        <w:rPr>
          <w:lang w:eastAsia="en-AU"/>
        </w:rPr>
        <w:t xml:space="preserve"> </w:t>
      </w:r>
      <w:r w:rsidR="00B30AE4">
        <w:rPr>
          <w:lang w:eastAsia="en-AU"/>
        </w:rPr>
        <w:t xml:space="preserve">For example, the Red Lily </w:t>
      </w:r>
      <w:r w:rsidR="00490454">
        <w:rPr>
          <w:lang w:eastAsia="en-AU"/>
        </w:rPr>
        <w:t>Gunbal</w:t>
      </w:r>
      <w:r w:rsidR="00202005">
        <w:rPr>
          <w:lang w:eastAsia="en-AU"/>
        </w:rPr>
        <w:t>anya</w:t>
      </w:r>
      <w:r w:rsidR="00B30AE4">
        <w:rPr>
          <w:lang w:eastAsia="en-AU"/>
        </w:rPr>
        <w:t xml:space="preserve"> transition has been delayed </w:t>
      </w:r>
      <w:r w:rsidR="007943C3">
        <w:rPr>
          <w:lang w:eastAsia="en-AU"/>
        </w:rPr>
        <w:t xml:space="preserve">until further </w:t>
      </w:r>
      <w:r w:rsidR="00F4747A">
        <w:rPr>
          <w:lang w:eastAsia="en-AU"/>
        </w:rPr>
        <w:t>notice</w:t>
      </w:r>
      <w:r w:rsidR="00B30AE4">
        <w:rPr>
          <w:lang w:eastAsia="en-AU"/>
        </w:rPr>
        <w:t xml:space="preserve"> due to ongoing negotiations to rebuild the </w:t>
      </w:r>
      <w:r w:rsidR="00AA5740">
        <w:rPr>
          <w:lang w:eastAsia="en-AU"/>
        </w:rPr>
        <w:t>clinic</w:t>
      </w:r>
      <w:r w:rsidR="00B30AE4">
        <w:rPr>
          <w:lang w:eastAsia="en-AU"/>
        </w:rPr>
        <w:t xml:space="preserve"> to ensure it is fit for purpose before Red Lily manages the clinic. </w:t>
      </w:r>
      <w:r w:rsidR="0037240B">
        <w:rPr>
          <w:lang w:eastAsia="en-AU"/>
        </w:rPr>
        <w:t>Issues around costs and ownership of capital assets ha</w:t>
      </w:r>
      <w:r w:rsidR="00CE4816">
        <w:rPr>
          <w:lang w:eastAsia="en-AU"/>
        </w:rPr>
        <w:t>ve</w:t>
      </w:r>
      <w:r w:rsidR="0037240B">
        <w:rPr>
          <w:lang w:eastAsia="en-AU"/>
        </w:rPr>
        <w:t xml:space="preserve"> been reported as a longstanding barrier to transitioning health services to community control and the broader regionalisation process.</w:t>
      </w:r>
      <w:r w:rsidR="0037240B">
        <w:rPr>
          <w:rStyle w:val="FootnoteReference"/>
          <w:lang w:eastAsia="en-AU"/>
        </w:rPr>
        <w:footnoteReference w:id="18"/>
      </w:r>
      <w:r w:rsidR="0037240B">
        <w:rPr>
          <w:lang w:eastAsia="en-AU"/>
        </w:rPr>
        <w:t xml:space="preserve"> </w:t>
      </w:r>
    </w:p>
    <w:p w14:paraId="0CD3462F" w14:textId="086200C2" w:rsidR="00062339" w:rsidRDefault="00062339" w:rsidP="00062339">
      <w:pPr>
        <w:rPr>
          <w:lang w:eastAsia="en-AU"/>
        </w:rPr>
      </w:pPr>
      <w:r w:rsidRPr="00062339">
        <w:rPr>
          <w:lang w:eastAsia="en-AU"/>
        </w:rPr>
        <w:t xml:space="preserve">One ACCHO called for a </w:t>
      </w:r>
      <w:r w:rsidR="005256CD">
        <w:rPr>
          <w:lang w:eastAsia="en-AU"/>
        </w:rPr>
        <w:t xml:space="preserve">more standardised approach to the budgeting of </w:t>
      </w:r>
      <w:r w:rsidRPr="00062339">
        <w:rPr>
          <w:lang w:eastAsia="en-AU"/>
        </w:rPr>
        <w:t>health service delivery costs</w:t>
      </w:r>
      <w:r w:rsidR="003F5C30">
        <w:rPr>
          <w:lang w:eastAsia="en-AU"/>
        </w:rPr>
        <w:t>,</w:t>
      </w:r>
      <w:r w:rsidRPr="00062339">
        <w:rPr>
          <w:lang w:eastAsia="en-AU"/>
        </w:rPr>
        <w:t xml:space="preserve"> </w:t>
      </w:r>
      <w:r w:rsidR="00841FF8">
        <w:rPr>
          <w:lang w:eastAsia="en-AU"/>
        </w:rPr>
        <w:t xml:space="preserve">including a </w:t>
      </w:r>
      <w:r w:rsidRPr="00062339">
        <w:rPr>
          <w:lang w:eastAsia="en-AU"/>
        </w:rPr>
        <w:t xml:space="preserve">standardised template </w:t>
      </w:r>
      <w:r w:rsidR="00841FF8">
        <w:rPr>
          <w:lang w:eastAsia="en-AU"/>
        </w:rPr>
        <w:t>for</w:t>
      </w:r>
      <w:r w:rsidRPr="00062339">
        <w:rPr>
          <w:lang w:eastAsia="en-AU"/>
        </w:rPr>
        <w:t xml:space="preserve"> costs and a systematic approach for funding negotiation with the NTG (e.g. infrastructure, recurring costs, staff housing). </w:t>
      </w:r>
      <w:r w:rsidR="00070494">
        <w:rPr>
          <w:lang w:eastAsia="en-AU"/>
        </w:rPr>
        <w:t>Stakeholders commented on the fact that while these</w:t>
      </w:r>
      <w:r w:rsidR="005E0089">
        <w:rPr>
          <w:lang w:eastAsia="en-AU"/>
        </w:rPr>
        <w:t xml:space="preserve"> documents </w:t>
      </w:r>
      <w:r w:rsidR="00070494">
        <w:rPr>
          <w:lang w:eastAsia="en-AU"/>
        </w:rPr>
        <w:t>were developed progressively</w:t>
      </w:r>
      <w:r w:rsidR="00176038">
        <w:rPr>
          <w:lang w:eastAsia="en-AU"/>
        </w:rPr>
        <w:t xml:space="preserve"> for transitions</w:t>
      </w:r>
      <w:r w:rsidR="00070494">
        <w:rPr>
          <w:lang w:eastAsia="en-AU"/>
        </w:rPr>
        <w:t>, they were never officially</w:t>
      </w:r>
      <w:r w:rsidR="005E0089">
        <w:rPr>
          <w:lang w:eastAsia="en-AU"/>
        </w:rPr>
        <w:t xml:space="preserve"> </w:t>
      </w:r>
      <w:r w:rsidR="00207598">
        <w:rPr>
          <w:lang w:eastAsia="en-AU"/>
        </w:rPr>
        <w:t>implemented across the program</w:t>
      </w:r>
      <w:r w:rsidR="005E0089">
        <w:rPr>
          <w:lang w:eastAsia="en-AU"/>
        </w:rPr>
        <w:t xml:space="preserve">. </w:t>
      </w:r>
    </w:p>
    <w:p w14:paraId="20381FE4" w14:textId="723F14E0" w:rsidR="00062339" w:rsidRPr="00720B9B" w:rsidRDefault="002E3023" w:rsidP="00720B9B">
      <w:pPr>
        <w:rPr>
          <w:lang w:eastAsia="en-AU"/>
        </w:rPr>
      </w:pPr>
      <w:r>
        <w:rPr>
          <w:noProof/>
        </w:rPr>
        <w:lastRenderedPageBreak/>
        <mc:AlternateContent>
          <mc:Choice Requires="wps">
            <w:drawing>
              <wp:inline distT="0" distB="0" distL="0" distR="0" wp14:anchorId="4D8DD25E" wp14:editId="3F85DF61">
                <wp:extent cx="5652654" cy="1674421"/>
                <wp:effectExtent l="0" t="0" r="5715" b="2540"/>
                <wp:docPr id="21" name="Text Box 21" descr="“They [NTG] really don't understand what it costs to run a health service.“ ACCHO stakeholder &#10;“Part of the transition is actually negotiating what the money is that’s going to actually transition over – but that should all be sorted before.” ACCHO stakeholder &#10;“The cost for Red Lily providing the same services as NT Health, it’s significantly more because of the economies of scale [NT Health has].” - ACCHO stakeholder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5652654" cy="16744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D1E85F" w14:textId="77777777" w:rsidR="002E3023" w:rsidRDefault="002E3023" w:rsidP="002E3023">
                            <w:pPr>
                              <w:pStyle w:val="Callout"/>
                              <w:pBdr>
                                <w:top w:val="single" w:sz="18" w:space="0" w:color="E6E6E1" w:themeColor="accent5"/>
                              </w:pBdr>
                              <w:rPr>
                                <w:i/>
                                <w:iCs/>
                                <w:color w:val="00264D" w:themeColor="background2"/>
                                <w:sz w:val="18"/>
                                <w:szCs w:val="18"/>
                                <w:lang w:eastAsia="en-AU"/>
                              </w:rPr>
                            </w:pPr>
                            <w:r w:rsidRPr="003A5CE9">
                              <w:rPr>
                                <w:i/>
                                <w:iCs/>
                                <w:color w:val="F25E21" w:themeColor="accent2"/>
                                <w:lang w:val="en-US" w:eastAsia="en-AU"/>
                              </w:rPr>
                              <w:t>“</w:t>
                            </w:r>
                            <w:r w:rsidRPr="00841539">
                              <w:rPr>
                                <w:i/>
                                <w:iCs/>
                                <w:color w:val="F25E21" w:themeColor="accent2"/>
                                <w:lang w:val="en-US" w:eastAsia="en-AU"/>
                              </w:rPr>
                              <w:t>They [</w:t>
                            </w:r>
                            <w:r>
                              <w:rPr>
                                <w:i/>
                                <w:iCs/>
                                <w:color w:val="F25E21" w:themeColor="accent2"/>
                                <w:lang w:val="en-US" w:eastAsia="en-AU"/>
                              </w:rPr>
                              <w:t>NTG</w:t>
                            </w:r>
                            <w:r w:rsidRPr="00841539">
                              <w:rPr>
                                <w:i/>
                                <w:iCs/>
                                <w:color w:val="F25E21" w:themeColor="accent2"/>
                                <w:lang w:val="en-US" w:eastAsia="en-AU"/>
                              </w:rPr>
                              <w:t>] really don't understand what it costs to run a health service</w:t>
                            </w:r>
                            <w:r w:rsidRPr="003A5CE9">
                              <w:rPr>
                                <w:i/>
                                <w:iCs/>
                                <w:color w:val="F25E21" w:themeColor="accent2"/>
                                <w:lang w:val="en-US" w:eastAsia="en-AU"/>
                              </w:rPr>
                              <w:t>.“</w:t>
                            </w:r>
                            <w:r w:rsidRPr="003A5CE9">
                              <w:rPr>
                                <w:i/>
                                <w:iCs/>
                                <w:color w:val="00264D" w:themeColor="background2"/>
                                <w:sz w:val="18"/>
                                <w:szCs w:val="18"/>
                                <w:lang w:eastAsia="en-AU"/>
                              </w:rPr>
                              <w:t xml:space="preserve"> </w:t>
                            </w:r>
                            <w:r>
                              <w:rPr>
                                <w:i/>
                                <w:iCs/>
                                <w:color w:val="00264D" w:themeColor="background2"/>
                                <w:sz w:val="18"/>
                                <w:szCs w:val="18"/>
                                <w:lang w:eastAsia="en-AU"/>
                              </w:rPr>
                              <w:t>ACCHO</w:t>
                            </w:r>
                            <w:r w:rsidRPr="003A5CE9">
                              <w:rPr>
                                <w:i/>
                                <w:iCs/>
                                <w:color w:val="00264D" w:themeColor="background2"/>
                                <w:sz w:val="18"/>
                                <w:szCs w:val="18"/>
                                <w:lang w:eastAsia="en-AU"/>
                              </w:rPr>
                              <w:t xml:space="preserve"> stakeholder </w:t>
                            </w:r>
                          </w:p>
                          <w:p w14:paraId="59CC5835" w14:textId="77777777" w:rsidR="002E3023" w:rsidRDefault="002E3023" w:rsidP="002E3023">
                            <w:pPr>
                              <w:pStyle w:val="Callout"/>
                              <w:pBdr>
                                <w:top w:val="single" w:sz="18" w:space="0" w:color="E6E6E1" w:themeColor="accent5"/>
                              </w:pBdr>
                              <w:rPr>
                                <w:i/>
                                <w:iCs/>
                                <w:color w:val="00264D" w:themeColor="background2"/>
                                <w:sz w:val="18"/>
                                <w:szCs w:val="18"/>
                                <w:lang w:eastAsia="en-AU"/>
                              </w:rPr>
                            </w:pPr>
                            <w:r w:rsidRPr="004517CB">
                              <w:rPr>
                                <w:i/>
                                <w:color w:val="F25E21" w:themeColor="accent2"/>
                                <w:lang w:val="en-US" w:eastAsia="en-AU"/>
                              </w:rPr>
                              <w:t>“</w:t>
                            </w:r>
                            <w:r w:rsidRPr="004517CB">
                              <w:rPr>
                                <w:i/>
                                <w:iCs/>
                                <w:color w:val="F25E21" w:themeColor="accent2"/>
                                <w:lang w:val="en-US" w:eastAsia="en-AU"/>
                              </w:rPr>
                              <w:t>Part of the transition is actually negotiating what the money is that’s going to actually transition over – but that should all be sorted before</w:t>
                            </w:r>
                            <w:r w:rsidRPr="004517CB">
                              <w:rPr>
                                <w:i/>
                                <w:color w:val="F25E21" w:themeColor="accent2"/>
                                <w:lang w:val="en-US" w:eastAsia="en-AU"/>
                              </w:rPr>
                              <w:t>.”</w:t>
                            </w:r>
                            <w:r w:rsidRPr="004517CB">
                              <w:rPr>
                                <w:i/>
                                <w:iCs/>
                                <w:color w:val="00264D" w:themeColor="background2"/>
                                <w:sz w:val="18"/>
                                <w:szCs w:val="18"/>
                                <w:lang w:eastAsia="en-AU"/>
                              </w:rPr>
                              <w:t xml:space="preserve"> ACCHO stakeholder </w:t>
                            </w:r>
                          </w:p>
                          <w:p w14:paraId="0F60BEFA" w14:textId="77777777" w:rsidR="002E3023" w:rsidRDefault="002E3023" w:rsidP="002E3023">
                            <w:pPr>
                              <w:pStyle w:val="Callout"/>
                              <w:pBdr>
                                <w:top w:val="single" w:sz="18" w:space="0" w:color="E6E6E1" w:themeColor="accent5"/>
                              </w:pBdr>
                              <w:rPr>
                                <w:i/>
                                <w:iCs/>
                                <w:color w:val="00264D" w:themeColor="background2"/>
                                <w:sz w:val="18"/>
                                <w:szCs w:val="18"/>
                                <w:lang w:eastAsia="en-AU"/>
                              </w:rPr>
                            </w:pPr>
                            <w:r w:rsidRPr="00534F55">
                              <w:rPr>
                                <w:i/>
                                <w:iCs/>
                                <w:color w:val="F25E21" w:themeColor="accent2"/>
                                <w:lang w:val="en-US" w:eastAsia="en-AU"/>
                              </w:rPr>
                              <w:t>“The cost for Red Lily providing the same services as NT Health, it’s significantly more because of the economies of scale</w:t>
                            </w:r>
                            <w:r>
                              <w:rPr>
                                <w:i/>
                                <w:iCs/>
                                <w:color w:val="F25E21" w:themeColor="accent2"/>
                                <w:lang w:val="en-US" w:eastAsia="en-AU"/>
                              </w:rPr>
                              <w:t xml:space="preserve"> [NT Health has].” - </w:t>
                            </w:r>
                            <w:r w:rsidRPr="004517CB">
                              <w:rPr>
                                <w:i/>
                                <w:iCs/>
                                <w:color w:val="00264D" w:themeColor="background2"/>
                                <w:sz w:val="18"/>
                                <w:szCs w:val="18"/>
                                <w:lang w:eastAsia="en-AU"/>
                              </w:rPr>
                              <w:t xml:space="preserve">ACCHO stakeholder </w:t>
                            </w:r>
                          </w:p>
                          <w:p w14:paraId="0D8B2882" w14:textId="77777777" w:rsidR="002E3023" w:rsidRPr="004517CB" w:rsidRDefault="002E3023" w:rsidP="002E3023">
                            <w:pPr>
                              <w:pStyle w:val="Callout"/>
                              <w:pBdr>
                                <w:top w:val="single" w:sz="18" w:space="0" w:color="E6E6E1" w:themeColor="accent5"/>
                              </w:pBdr>
                              <w:rPr>
                                <w:i/>
                                <w:iCs/>
                                <w:color w:val="F25E21" w:themeColor="accent2"/>
                                <w:lang w:val="en-US" w:eastAsia="en-AU"/>
                              </w:rPr>
                            </w:pPr>
                          </w:p>
                          <w:p w14:paraId="2E9DB2BC" w14:textId="77777777" w:rsidR="002E3023" w:rsidRPr="003A5CE9" w:rsidRDefault="002E3023" w:rsidP="002E3023">
                            <w:pPr>
                              <w:pStyle w:val="Callout"/>
                              <w:pBdr>
                                <w:top w:val="single" w:sz="18" w:space="0" w:color="E6E6E1" w:themeColor="accent5"/>
                              </w:pBdr>
                              <w:rPr>
                                <w:i/>
                                <w:iCs/>
                                <w:color w:val="00264D" w:themeColor="background2"/>
                                <w:sz w:val="18"/>
                                <w:szCs w:val="18"/>
                                <w:lang w:eastAsia="en-AU"/>
                              </w:rPr>
                            </w:pPr>
                          </w:p>
                          <w:p w14:paraId="72DE8FEA" w14:textId="77777777" w:rsidR="002E3023" w:rsidRPr="003F680B" w:rsidRDefault="002E3023" w:rsidP="002E3023">
                            <w:pPr>
                              <w:pStyle w:val="Callout"/>
                              <w:pBdr>
                                <w:top w:val="single" w:sz="18" w:space="0" w:color="E6E6E1" w:themeColor="accent5"/>
                              </w:pBdr>
                              <w:rPr>
                                <w:i/>
                                <w:iCs/>
                                <w:color w:val="00264D" w:themeColor="background2"/>
                                <w:sz w:val="18"/>
                                <w:szCs w:val="18"/>
                                <w:lang w:val="en-US" w:eastAsia="en-AU"/>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inline>
            </w:drawing>
          </mc:Choice>
          <mc:Fallback>
            <w:pict>
              <v:shape w14:anchorId="4D8DD25E" id="Text Box 21" o:spid="_x0000_s1035" type="#_x0000_t202" alt="“They [NTG] really don't understand what it costs to run a health service.“ ACCHO stakeholder &#10;“Part of the transition is actually negotiating what the money is that’s going to actually transition over – but that should all be sorted before.” ACCHO stakeholder &#10;“The cost for Red Lily providing the same services as NT Health, it’s significantly more because of the economies of scale [NT Health has].” - ACCHO stakeholder " style="width:445.1pt;height:13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" fillcolor="white [3201]" stroked="f" strokeweight=".5pt">
                <v:textbox inset="0,,1mm">
                  <w:txbxContent>
                    <w:p w14:paraId="52D1E85F" w14:textId="77777777" w:rsidR="002E3023" w:rsidRDefault="002E3023" w:rsidP="002E3023">
                      <w:pPr>
                        <w:pStyle w:val="Callout"/>
                        <w:pBdr>
                          <w:top w:val="single" w:sz="18" w:space="0" w:color="E6E6E1" w:themeColor="accent5"/>
                        </w:pBdr>
                        <w:rPr>
                          <w:i/>
                          <w:iCs/>
                          <w:color w:val="00264D" w:themeColor="background2"/>
                          <w:sz w:val="18"/>
                          <w:szCs w:val="18"/>
                          <w:lang w:eastAsia="en-AU"/>
                        </w:rPr>
                      </w:pPr>
                      <w:r w:rsidRPr="003A5CE9">
                        <w:rPr>
                          <w:i/>
                          <w:iCs/>
                          <w:color w:val="F25E21" w:themeColor="accent2"/>
                          <w:lang w:val="en-US" w:eastAsia="en-AU"/>
                        </w:rPr>
                        <w:t>“</w:t>
                      </w:r>
                      <w:r w:rsidRPr="00841539">
                        <w:rPr>
                          <w:i/>
                          <w:iCs/>
                          <w:color w:val="F25E21" w:themeColor="accent2"/>
                          <w:lang w:val="en-US" w:eastAsia="en-AU"/>
                        </w:rPr>
                        <w:t>They [</w:t>
                      </w:r>
                      <w:r>
                        <w:rPr>
                          <w:i/>
                          <w:iCs/>
                          <w:color w:val="F25E21" w:themeColor="accent2"/>
                          <w:lang w:val="en-US" w:eastAsia="en-AU"/>
                        </w:rPr>
                        <w:t>NTG</w:t>
                      </w:r>
                      <w:r w:rsidRPr="00841539">
                        <w:rPr>
                          <w:i/>
                          <w:iCs/>
                          <w:color w:val="F25E21" w:themeColor="accent2"/>
                          <w:lang w:val="en-US" w:eastAsia="en-AU"/>
                        </w:rPr>
                        <w:t xml:space="preserve">] really don't understand what it costs to run a health </w:t>
                      </w:r>
                      <w:proofErr w:type="gramStart"/>
                      <w:r w:rsidRPr="00841539">
                        <w:rPr>
                          <w:i/>
                          <w:iCs/>
                          <w:color w:val="F25E21" w:themeColor="accent2"/>
                          <w:lang w:val="en-US" w:eastAsia="en-AU"/>
                        </w:rPr>
                        <w:t>service</w:t>
                      </w:r>
                      <w:r w:rsidRPr="003A5CE9">
                        <w:rPr>
                          <w:i/>
                          <w:iCs/>
                          <w:color w:val="F25E21" w:themeColor="accent2"/>
                          <w:lang w:val="en-US" w:eastAsia="en-AU"/>
                        </w:rPr>
                        <w:t>.“</w:t>
                      </w:r>
                      <w:proofErr w:type="gramEnd"/>
                      <w:r w:rsidRPr="003A5CE9">
                        <w:rPr>
                          <w:i/>
                          <w:iCs/>
                          <w:color w:val="00264D" w:themeColor="background2"/>
                          <w:sz w:val="18"/>
                          <w:szCs w:val="18"/>
                          <w:lang w:eastAsia="en-AU"/>
                        </w:rPr>
                        <w:t xml:space="preserve"> </w:t>
                      </w:r>
                      <w:r>
                        <w:rPr>
                          <w:i/>
                          <w:iCs/>
                          <w:color w:val="00264D" w:themeColor="background2"/>
                          <w:sz w:val="18"/>
                          <w:szCs w:val="18"/>
                          <w:lang w:eastAsia="en-AU"/>
                        </w:rPr>
                        <w:t>ACCHO</w:t>
                      </w:r>
                      <w:r w:rsidRPr="003A5CE9">
                        <w:rPr>
                          <w:i/>
                          <w:iCs/>
                          <w:color w:val="00264D" w:themeColor="background2"/>
                          <w:sz w:val="18"/>
                          <w:szCs w:val="18"/>
                          <w:lang w:eastAsia="en-AU"/>
                        </w:rPr>
                        <w:t xml:space="preserve"> stakeholder </w:t>
                      </w:r>
                    </w:p>
                    <w:p w14:paraId="59CC5835" w14:textId="77777777" w:rsidR="002E3023" w:rsidRDefault="002E3023" w:rsidP="002E3023">
                      <w:pPr>
                        <w:pStyle w:val="Callout"/>
                        <w:pBdr>
                          <w:top w:val="single" w:sz="18" w:space="0" w:color="E6E6E1" w:themeColor="accent5"/>
                        </w:pBdr>
                        <w:rPr>
                          <w:i/>
                          <w:iCs/>
                          <w:color w:val="00264D" w:themeColor="background2"/>
                          <w:sz w:val="18"/>
                          <w:szCs w:val="18"/>
                          <w:lang w:eastAsia="en-AU"/>
                        </w:rPr>
                      </w:pPr>
                      <w:r w:rsidRPr="004517CB">
                        <w:rPr>
                          <w:i/>
                          <w:color w:val="F25E21" w:themeColor="accent2"/>
                          <w:lang w:val="en-US" w:eastAsia="en-AU"/>
                        </w:rPr>
                        <w:t>“</w:t>
                      </w:r>
                      <w:r w:rsidRPr="004517CB">
                        <w:rPr>
                          <w:i/>
                          <w:iCs/>
                          <w:color w:val="F25E21" w:themeColor="accent2"/>
                          <w:lang w:val="en-US" w:eastAsia="en-AU"/>
                        </w:rPr>
                        <w:t>Part of the transition is actually negotiating what the money is that’s going to actually transition over – but that should all be sorted before</w:t>
                      </w:r>
                      <w:r w:rsidRPr="004517CB">
                        <w:rPr>
                          <w:i/>
                          <w:color w:val="F25E21" w:themeColor="accent2"/>
                          <w:lang w:val="en-US" w:eastAsia="en-AU"/>
                        </w:rPr>
                        <w:t>.”</w:t>
                      </w:r>
                      <w:r w:rsidRPr="004517CB">
                        <w:rPr>
                          <w:i/>
                          <w:iCs/>
                          <w:color w:val="00264D" w:themeColor="background2"/>
                          <w:sz w:val="18"/>
                          <w:szCs w:val="18"/>
                          <w:lang w:eastAsia="en-AU"/>
                        </w:rPr>
                        <w:t xml:space="preserve"> ACCHO stakeholder </w:t>
                      </w:r>
                    </w:p>
                    <w:p w14:paraId="0F60BEFA" w14:textId="77777777" w:rsidR="002E3023" w:rsidRDefault="002E3023" w:rsidP="002E3023">
                      <w:pPr>
                        <w:pStyle w:val="Callout"/>
                        <w:pBdr>
                          <w:top w:val="single" w:sz="18" w:space="0" w:color="E6E6E1" w:themeColor="accent5"/>
                        </w:pBdr>
                        <w:rPr>
                          <w:i/>
                          <w:iCs/>
                          <w:color w:val="00264D" w:themeColor="background2"/>
                          <w:sz w:val="18"/>
                          <w:szCs w:val="18"/>
                          <w:lang w:eastAsia="en-AU"/>
                        </w:rPr>
                      </w:pPr>
                      <w:r w:rsidRPr="00534F55">
                        <w:rPr>
                          <w:i/>
                          <w:iCs/>
                          <w:color w:val="F25E21" w:themeColor="accent2"/>
                          <w:lang w:val="en-US" w:eastAsia="en-AU"/>
                        </w:rPr>
                        <w:t>“The cost for Red Lily providing the same services as NT Health, it’s significantly more because of the economies of scale</w:t>
                      </w:r>
                      <w:r>
                        <w:rPr>
                          <w:i/>
                          <w:iCs/>
                          <w:color w:val="F25E21" w:themeColor="accent2"/>
                          <w:lang w:val="en-US" w:eastAsia="en-AU"/>
                        </w:rPr>
                        <w:t xml:space="preserve"> [NT Health has].” - </w:t>
                      </w:r>
                      <w:r w:rsidRPr="004517CB">
                        <w:rPr>
                          <w:i/>
                          <w:iCs/>
                          <w:color w:val="00264D" w:themeColor="background2"/>
                          <w:sz w:val="18"/>
                          <w:szCs w:val="18"/>
                          <w:lang w:eastAsia="en-AU"/>
                        </w:rPr>
                        <w:t xml:space="preserve">ACCHO stakeholder </w:t>
                      </w:r>
                    </w:p>
                    <w:p w14:paraId="0D8B2882" w14:textId="77777777" w:rsidR="002E3023" w:rsidRPr="004517CB" w:rsidRDefault="002E3023" w:rsidP="002E3023">
                      <w:pPr>
                        <w:pStyle w:val="Callout"/>
                        <w:pBdr>
                          <w:top w:val="single" w:sz="18" w:space="0" w:color="E6E6E1" w:themeColor="accent5"/>
                        </w:pBdr>
                        <w:rPr>
                          <w:i/>
                          <w:iCs/>
                          <w:color w:val="F25E21" w:themeColor="accent2"/>
                          <w:lang w:val="en-US" w:eastAsia="en-AU"/>
                        </w:rPr>
                      </w:pPr>
                    </w:p>
                    <w:p w14:paraId="2E9DB2BC" w14:textId="77777777" w:rsidR="002E3023" w:rsidRPr="003A5CE9" w:rsidRDefault="002E3023" w:rsidP="002E3023">
                      <w:pPr>
                        <w:pStyle w:val="Callout"/>
                        <w:pBdr>
                          <w:top w:val="single" w:sz="18" w:space="0" w:color="E6E6E1" w:themeColor="accent5"/>
                        </w:pBdr>
                        <w:rPr>
                          <w:i/>
                          <w:iCs/>
                          <w:color w:val="00264D" w:themeColor="background2"/>
                          <w:sz w:val="18"/>
                          <w:szCs w:val="18"/>
                          <w:lang w:eastAsia="en-AU"/>
                        </w:rPr>
                      </w:pPr>
                    </w:p>
                    <w:p w14:paraId="72DE8FEA" w14:textId="77777777" w:rsidR="002E3023" w:rsidRPr="003F680B" w:rsidRDefault="002E3023" w:rsidP="002E3023">
                      <w:pPr>
                        <w:pStyle w:val="Callout"/>
                        <w:pBdr>
                          <w:top w:val="single" w:sz="18" w:space="0" w:color="E6E6E1" w:themeColor="accent5"/>
                        </w:pBdr>
                        <w:rPr>
                          <w:i/>
                          <w:iCs/>
                          <w:color w:val="00264D" w:themeColor="background2"/>
                          <w:sz w:val="18"/>
                          <w:szCs w:val="18"/>
                          <w:lang w:val="en-US" w:eastAsia="en-AU"/>
                        </w:rPr>
                      </w:pPr>
                    </w:p>
                  </w:txbxContent>
                </v:textbox>
                <w10:anchorlock/>
              </v:shape>
            </w:pict>
          </mc:Fallback>
        </mc:AlternateContent>
      </w:r>
      <w:r w:rsidR="00062339" w:rsidRPr="00223EB9">
        <w:rPr>
          <w:b/>
          <w:bCs/>
          <w:color w:val="00264D" w:themeColor="background2"/>
          <w:sz w:val="20"/>
          <w:szCs w:val="24"/>
        </w:rPr>
        <w:t xml:space="preserve">Some stakeholders felt that the role of </w:t>
      </w:r>
      <w:r w:rsidR="00D323A7" w:rsidRPr="00223EB9">
        <w:rPr>
          <w:b/>
          <w:bCs/>
          <w:color w:val="00264D" w:themeColor="background2"/>
          <w:sz w:val="20"/>
          <w:szCs w:val="24"/>
        </w:rPr>
        <w:t>government</w:t>
      </w:r>
      <w:r w:rsidR="00062339" w:rsidRPr="00223EB9">
        <w:rPr>
          <w:b/>
          <w:bCs/>
          <w:color w:val="00264D" w:themeColor="background2"/>
          <w:sz w:val="20"/>
          <w:szCs w:val="24"/>
        </w:rPr>
        <w:t xml:space="preserve"> in the transition process needs to be better defined</w:t>
      </w:r>
    </w:p>
    <w:p w14:paraId="66A2F37D" w14:textId="745BC1E0" w:rsidR="00DE7E6D" w:rsidRDefault="00062339" w:rsidP="00062339">
      <w:pPr>
        <w:rPr>
          <w:lang w:eastAsia="en-AU"/>
        </w:rPr>
      </w:pPr>
      <w:r w:rsidRPr="00062339">
        <w:rPr>
          <w:lang w:eastAsia="en-AU"/>
        </w:rPr>
        <w:t xml:space="preserve">Some ACCHO and government stakeholders called for greater clarity of </w:t>
      </w:r>
      <w:r w:rsidR="00E52A59">
        <w:rPr>
          <w:lang w:eastAsia="en-AU"/>
        </w:rPr>
        <w:t xml:space="preserve">both the </w:t>
      </w:r>
      <w:r w:rsidR="00F82C19">
        <w:rPr>
          <w:lang w:eastAsia="en-AU"/>
        </w:rPr>
        <w:t>Australian Government</w:t>
      </w:r>
      <w:r w:rsidR="00E52A59">
        <w:rPr>
          <w:lang w:eastAsia="en-AU"/>
        </w:rPr>
        <w:t xml:space="preserve"> and NTG’s</w:t>
      </w:r>
      <w:r w:rsidRPr="00062339">
        <w:rPr>
          <w:lang w:eastAsia="en-AU"/>
        </w:rPr>
        <w:t xml:space="preserve"> role</w:t>
      </w:r>
      <w:r w:rsidR="00E52A59">
        <w:rPr>
          <w:lang w:eastAsia="en-AU"/>
        </w:rPr>
        <w:t>, particularly</w:t>
      </w:r>
      <w:r w:rsidRPr="00062339">
        <w:rPr>
          <w:lang w:eastAsia="en-AU"/>
        </w:rPr>
        <w:t xml:space="preserve"> after transition funding is provided. </w:t>
      </w:r>
      <w:r w:rsidR="005F2E4E">
        <w:rPr>
          <w:lang w:eastAsia="en-AU"/>
        </w:rPr>
        <w:t xml:space="preserve">The </w:t>
      </w:r>
      <w:r w:rsidR="00F82C19">
        <w:rPr>
          <w:lang w:eastAsia="en-AU"/>
        </w:rPr>
        <w:t>Australian Government</w:t>
      </w:r>
      <w:r w:rsidR="005568EF">
        <w:rPr>
          <w:lang w:eastAsia="en-AU"/>
        </w:rPr>
        <w:t xml:space="preserve"> Department of Health</w:t>
      </w:r>
      <w:r w:rsidR="005F2E4E">
        <w:rPr>
          <w:lang w:eastAsia="en-AU"/>
        </w:rPr>
        <w:t xml:space="preserve">’s role in </w:t>
      </w:r>
      <w:r w:rsidR="00F65B65">
        <w:rPr>
          <w:lang w:eastAsia="en-AU"/>
        </w:rPr>
        <w:t>assessing and delivering IAHP grants is generally clear. However, t</w:t>
      </w:r>
      <w:r w:rsidR="00E76967">
        <w:rPr>
          <w:lang w:eastAsia="en-AU"/>
        </w:rPr>
        <w:t xml:space="preserve">he </w:t>
      </w:r>
      <w:r w:rsidR="00BE2D4A">
        <w:rPr>
          <w:lang w:eastAsia="en-AU"/>
        </w:rPr>
        <w:t>roles and responsibilities of</w:t>
      </w:r>
      <w:r w:rsidRPr="00062339">
        <w:rPr>
          <w:lang w:eastAsia="en-AU"/>
        </w:rPr>
        <w:t xml:space="preserve"> the </w:t>
      </w:r>
      <w:r w:rsidR="00F82C19">
        <w:rPr>
          <w:lang w:eastAsia="en-AU"/>
        </w:rPr>
        <w:t>Australian Government</w:t>
      </w:r>
      <w:r w:rsidRPr="00062339">
        <w:rPr>
          <w:lang w:eastAsia="en-AU"/>
        </w:rPr>
        <w:t xml:space="preserve"> </w:t>
      </w:r>
      <w:r w:rsidR="00306492">
        <w:rPr>
          <w:lang w:eastAsia="en-AU"/>
        </w:rPr>
        <w:t>and NTG</w:t>
      </w:r>
      <w:r w:rsidRPr="00062339">
        <w:rPr>
          <w:lang w:eastAsia="en-AU"/>
        </w:rPr>
        <w:t xml:space="preserve"> </w:t>
      </w:r>
      <w:r w:rsidR="00BE2D4A">
        <w:rPr>
          <w:lang w:eastAsia="en-AU"/>
        </w:rPr>
        <w:t>after the transition fundi</w:t>
      </w:r>
      <w:r w:rsidR="00012430">
        <w:rPr>
          <w:lang w:eastAsia="en-AU"/>
        </w:rPr>
        <w:t xml:space="preserve">ng is awarded is </w:t>
      </w:r>
      <w:r w:rsidR="00BE2D4A">
        <w:rPr>
          <w:lang w:eastAsia="en-AU"/>
        </w:rPr>
        <w:t>not articulated in any P2CC</w:t>
      </w:r>
      <w:r w:rsidR="009B68B1">
        <w:rPr>
          <w:lang w:eastAsia="en-AU"/>
        </w:rPr>
        <w:t xml:space="preserve"> program</w:t>
      </w:r>
      <w:r w:rsidR="00BE2D4A">
        <w:rPr>
          <w:lang w:eastAsia="en-AU"/>
        </w:rPr>
        <w:t xml:space="preserve"> documents.</w:t>
      </w:r>
      <w:r w:rsidR="00012430">
        <w:rPr>
          <w:lang w:eastAsia="en-AU"/>
        </w:rPr>
        <w:t xml:space="preserve"> </w:t>
      </w:r>
    </w:p>
    <w:p w14:paraId="7BE859EF" w14:textId="041BC24D" w:rsidR="007E61CE" w:rsidRDefault="00012430" w:rsidP="00062339">
      <w:pPr>
        <w:rPr>
          <w:lang w:eastAsia="en-AU"/>
        </w:rPr>
      </w:pPr>
      <w:r>
        <w:rPr>
          <w:lang w:eastAsia="en-AU"/>
        </w:rPr>
        <w:t xml:space="preserve">The </w:t>
      </w:r>
      <w:r w:rsidR="00F82C19">
        <w:rPr>
          <w:lang w:eastAsia="en-AU"/>
        </w:rPr>
        <w:t>Australian Government</w:t>
      </w:r>
      <w:r w:rsidR="00E76967">
        <w:rPr>
          <w:lang w:eastAsia="en-AU"/>
        </w:rPr>
        <w:t xml:space="preserve"> has been more involved in</w:t>
      </w:r>
      <w:r w:rsidR="007C6365">
        <w:rPr>
          <w:lang w:eastAsia="en-AU"/>
        </w:rPr>
        <w:t xml:space="preserve"> the operational side of</w:t>
      </w:r>
      <w:r w:rsidR="00E76967">
        <w:rPr>
          <w:lang w:eastAsia="en-AU"/>
        </w:rPr>
        <w:t xml:space="preserve"> </w:t>
      </w:r>
      <w:r w:rsidR="00B061E3">
        <w:rPr>
          <w:lang w:eastAsia="en-AU"/>
        </w:rPr>
        <w:t xml:space="preserve">some </w:t>
      </w:r>
      <w:r w:rsidR="00E76967">
        <w:rPr>
          <w:lang w:eastAsia="en-AU"/>
        </w:rPr>
        <w:t>transitions than others.</w:t>
      </w:r>
      <w:r w:rsidR="004D1E99">
        <w:rPr>
          <w:lang w:eastAsia="en-AU"/>
        </w:rPr>
        <w:t xml:space="preserve"> </w:t>
      </w:r>
      <w:r w:rsidR="007063FB">
        <w:rPr>
          <w:lang w:eastAsia="en-AU"/>
        </w:rPr>
        <w:t xml:space="preserve">The Darwin-based </w:t>
      </w:r>
      <w:r w:rsidR="00F82C19">
        <w:rPr>
          <w:lang w:eastAsia="en-AU"/>
        </w:rPr>
        <w:t>Australian Government</w:t>
      </w:r>
      <w:r w:rsidR="007063FB">
        <w:rPr>
          <w:lang w:eastAsia="en-AU"/>
        </w:rPr>
        <w:t xml:space="preserve"> </w:t>
      </w:r>
      <w:r w:rsidR="0094395F">
        <w:rPr>
          <w:lang w:eastAsia="en-AU"/>
        </w:rPr>
        <w:t xml:space="preserve">Department of Health </w:t>
      </w:r>
      <w:r w:rsidR="007063FB">
        <w:rPr>
          <w:lang w:eastAsia="en-AU"/>
        </w:rPr>
        <w:t xml:space="preserve">team </w:t>
      </w:r>
      <w:r w:rsidR="00D82083">
        <w:rPr>
          <w:lang w:eastAsia="en-AU"/>
        </w:rPr>
        <w:t xml:space="preserve">has been an important local resource to </w:t>
      </w:r>
      <w:r w:rsidR="001A59E3">
        <w:rPr>
          <w:lang w:eastAsia="en-AU"/>
        </w:rPr>
        <w:t>support transitions and assist with ongoing negotiations.</w:t>
      </w:r>
      <w:r w:rsidR="00D82BE2">
        <w:rPr>
          <w:lang w:eastAsia="en-AU"/>
        </w:rPr>
        <w:t xml:space="preserve"> </w:t>
      </w:r>
      <w:r w:rsidR="00F82C19">
        <w:rPr>
          <w:lang w:eastAsia="en-AU"/>
        </w:rPr>
        <w:t>Australian Government</w:t>
      </w:r>
      <w:r w:rsidR="00D82BE2">
        <w:rPr>
          <w:lang w:eastAsia="en-AU"/>
        </w:rPr>
        <w:t xml:space="preserve"> </w:t>
      </w:r>
      <w:r w:rsidR="002F5B0A">
        <w:rPr>
          <w:lang w:eastAsia="en-AU"/>
        </w:rPr>
        <w:t xml:space="preserve">Department of Health </w:t>
      </w:r>
      <w:r w:rsidR="00D82BE2">
        <w:rPr>
          <w:lang w:eastAsia="en-AU"/>
        </w:rPr>
        <w:t xml:space="preserve">representatives are </w:t>
      </w:r>
      <w:r w:rsidR="00366321">
        <w:rPr>
          <w:lang w:eastAsia="en-AU"/>
        </w:rPr>
        <w:t xml:space="preserve">often </w:t>
      </w:r>
      <w:r w:rsidR="003328E8">
        <w:rPr>
          <w:lang w:eastAsia="en-AU"/>
        </w:rPr>
        <w:t xml:space="preserve">members </w:t>
      </w:r>
      <w:r w:rsidR="00366321">
        <w:rPr>
          <w:lang w:eastAsia="en-AU"/>
        </w:rPr>
        <w:t>o</w:t>
      </w:r>
      <w:r w:rsidR="003328E8">
        <w:rPr>
          <w:lang w:eastAsia="en-AU"/>
        </w:rPr>
        <w:t>f</w:t>
      </w:r>
      <w:r w:rsidR="00366321">
        <w:rPr>
          <w:lang w:eastAsia="en-AU"/>
        </w:rPr>
        <w:t xml:space="preserve"> transition</w:t>
      </w:r>
      <w:r w:rsidR="00D82BE2">
        <w:rPr>
          <w:lang w:eastAsia="en-AU"/>
        </w:rPr>
        <w:t xml:space="preserve"> Steering Committees</w:t>
      </w:r>
      <w:r w:rsidR="00D12216">
        <w:rPr>
          <w:lang w:eastAsia="en-AU"/>
        </w:rPr>
        <w:t>, a role they consider essential</w:t>
      </w:r>
      <w:r w:rsidR="00001A40">
        <w:rPr>
          <w:lang w:eastAsia="en-AU"/>
        </w:rPr>
        <w:t>.</w:t>
      </w:r>
      <w:r w:rsidR="001A59E3">
        <w:rPr>
          <w:lang w:eastAsia="en-AU"/>
        </w:rPr>
        <w:t xml:space="preserve"> </w:t>
      </w:r>
    </w:p>
    <w:p w14:paraId="7CA5FDA1" w14:textId="0FCC6CC1" w:rsidR="001D1FFB" w:rsidRDefault="00351F7D" w:rsidP="00062339">
      <w:pPr>
        <w:rPr>
          <w:lang w:eastAsia="en-AU"/>
        </w:rPr>
      </w:pPr>
      <w:r>
        <w:rPr>
          <w:lang w:eastAsia="en-AU"/>
        </w:rPr>
        <w:t xml:space="preserve">Some </w:t>
      </w:r>
      <w:r w:rsidR="00345F0E">
        <w:rPr>
          <w:lang w:eastAsia="en-AU"/>
        </w:rPr>
        <w:t>NTG</w:t>
      </w:r>
      <w:r>
        <w:rPr>
          <w:lang w:eastAsia="en-AU"/>
        </w:rPr>
        <w:t xml:space="preserve"> stakeholders </w:t>
      </w:r>
      <w:r w:rsidR="007E61CE">
        <w:rPr>
          <w:lang w:eastAsia="en-AU"/>
        </w:rPr>
        <w:t>suggested</w:t>
      </w:r>
      <w:r>
        <w:rPr>
          <w:lang w:eastAsia="en-AU"/>
        </w:rPr>
        <w:t xml:space="preserve"> the </w:t>
      </w:r>
      <w:r w:rsidR="00F82C19">
        <w:rPr>
          <w:lang w:eastAsia="en-AU"/>
        </w:rPr>
        <w:t>Australian Government</w:t>
      </w:r>
      <w:r>
        <w:rPr>
          <w:lang w:eastAsia="en-AU"/>
        </w:rPr>
        <w:t xml:space="preserve"> </w:t>
      </w:r>
      <w:r w:rsidR="009D4D32">
        <w:rPr>
          <w:lang w:eastAsia="en-AU"/>
        </w:rPr>
        <w:t>c</w:t>
      </w:r>
      <w:r>
        <w:rPr>
          <w:lang w:eastAsia="en-AU"/>
        </w:rPr>
        <w:t xml:space="preserve">ould be more involved </w:t>
      </w:r>
      <w:r w:rsidRPr="00062339">
        <w:rPr>
          <w:lang w:eastAsia="en-AU"/>
        </w:rPr>
        <w:t>in negotiating ongoing funding outcomes</w:t>
      </w:r>
      <w:r>
        <w:rPr>
          <w:lang w:eastAsia="en-AU"/>
        </w:rPr>
        <w:t xml:space="preserve"> beyond the transition stage</w:t>
      </w:r>
      <w:r w:rsidR="00647740">
        <w:rPr>
          <w:lang w:eastAsia="en-AU"/>
        </w:rPr>
        <w:t xml:space="preserve">. </w:t>
      </w:r>
      <w:r w:rsidR="008817EA">
        <w:rPr>
          <w:lang w:eastAsia="en-AU"/>
        </w:rPr>
        <w:t xml:space="preserve">The Australian Government Department of Health has expressed </w:t>
      </w:r>
      <w:r w:rsidR="00D709D9">
        <w:rPr>
          <w:lang w:eastAsia="en-AU"/>
        </w:rPr>
        <w:t xml:space="preserve">that </w:t>
      </w:r>
      <w:r w:rsidR="008817EA">
        <w:rPr>
          <w:lang w:eastAsia="en-AU"/>
        </w:rPr>
        <w:t xml:space="preserve">it </w:t>
      </w:r>
      <w:r w:rsidR="001D1FFB">
        <w:rPr>
          <w:lang w:eastAsia="en-AU"/>
        </w:rPr>
        <w:t>is unable to negotiate on the funding provided through the IAHP for comprehensive primary health care (</w:t>
      </w:r>
      <w:r w:rsidR="0060572E">
        <w:rPr>
          <w:lang w:eastAsia="en-AU"/>
        </w:rPr>
        <w:t xml:space="preserve">as it must be cost-neutral in the first instance and is based on a formula when the ACCHO enters the IAHP funding model, as stated in Section </w:t>
      </w:r>
      <w:r w:rsidR="0060572E">
        <w:rPr>
          <w:lang w:eastAsia="en-AU"/>
        </w:rPr>
        <w:fldChar w:fldCharType="begin"/>
      </w:r>
      <w:r w:rsidR="0060572E">
        <w:rPr>
          <w:lang w:eastAsia="en-AU"/>
        </w:rPr>
        <w:instrText xml:space="preserve"> REF _Ref103676158 \r \h </w:instrText>
      </w:r>
      <w:r w:rsidR="0060572E">
        <w:rPr>
          <w:lang w:eastAsia="en-AU"/>
        </w:rPr>
      </w:r>
      <w:r w:rsidR="0060572E">
        <w:rPr>
          <w:lang w:eastAsia="en-AU"/>
        </w:rPr>
        <w:fldChar w:fldCharType="separate"/>
      </w:r>
      <w:r w:rsidR="00A439E2">
        <w:rPr>
          <w:lang w:eastAsia="en-AU"/>
        </w:rPr>
        <w:t>3.1</w:t>
      </w:r>
      <w:r w:rsidR="0060572E">
        <w:rPr>
          <w:lang w:eastAsia="en-AU"/>
        </w:rPr>
        <w:fldChar w:fldCharType="end"/>
      </w:r>
      <w:r w:rsidR="0060572E">
        <w:rPr>
          <w:lang w:eastAsia="en-AU"/>
        </w:rPr>
        <w:t xml:space="preserve">). </w:t>
      </w:r>
      <w:r w:rsidR="007810B2">
        <w:rPr>
          <w:lang w:eastAsia="en-AU"/>
        </w:rPr>
        <w:t xml:space="preserve">Increased involvement from the Australian Government could nonetheless be valuable, given it is a critical stakeholder for transitions and </w:t>
      </w:r>
      <w:r w:rsidR="008B5668">
        <w:rPr>
          <w:lang w:eastAsia="en-AU"/>
        </w:rPr>
        <w:t xml:space="preserve">that </w:t>
      </w:r>
      <w:r w:rsidR="007810B2">
        <w:rPr>
          <w:lang w:eastAsia="en-AU"/>
        </w:rPr>
        <w:t xml:space="preserve">successful transitions </w:t>
      </w:r>
      <w:r w:rsidR="001C7289">
        <w:rPr>
          <w:lang w:eastAsia="en-AU"/>
        </w:rPr>
        <w:t xml:space="preserve">contribute to </w:t>
      </w:r>
      <w:r w:rsidR="008B5668">
        <w:rPr>
          <w:lang w:eastAsia="en-AU"/>
        </w:rPr>
        <w:t>overall</w:t>
      </w:r>
      <w:r w:rsidR="001C7289">
        <w:rPr>
          <w:lang w:eastAsia="en-AU"/>
        </w:rPr>
        <w:t xml:space="preserve"> IAHP program outcomes.</w:t>
      </w:r>
    </w:p>
    <w:p w14:paraId="65AF504F" w14:textId="44BC424D" w:rsidR="00827ADB" w:rsidRDefault="004E7666" w:rsidP="00062339">
      <w:pPr>
        <w:rPr>
          <w:lang w:eastAsia="en-AU"/>
        </w:rPr>
      </w:pPr>
      <w:r w:rsidRPr="00345E10">
        <w:rPr>
          <w:lang w:eastAsia="en-AU"/>
        </w:rPr>
        <w:t xml:space="preserve">The role of the NTG in providing additional funding, support and resources during the transition is also </w:t>
      </w:r>
      <w:r w:rsidR="00857209" w:rsidRPr="00345E10">
        <w:rPr>
          <w:lang w:eastAsia="en-AU"/>
        </w:rPr>
        <w:t>un</w:t>
      </w:r>
      <w:r w:rsidRPr="00345E10">
        <w:rPr>
          <w:lang w:eastAsia="en-AU"/>
        </w:rPr>
        <w:t xml:space="preserve">clear. </w:t>
      </w:r>
      <w:r w:rsidR="00746F42" w:rsidRPr="00345E10">
        <w:rPr>
          <w:lang w:eastAsia="en-AU"/>
        </w:rPr>
        <w:t xml:space="preserve">Several ACCHOs </w:t>
      </w:r>
      <w:r w:rsidR="00950CF7" w:rsidRPr="00345E10">
        <w:rPr>
          <w:lang w:eastAsia="en-AU"/>
        </w:rPr>
        <w:t xml:space="preserve">reported being confused by which </w:t>
      </w:r>
      <w:r w:rsidR="006C2C87" w:rsidRPr="00345E10">
        <w:rPr>
          <w:lang w:eastAsia="en-AU"/>
        </w:rPr>
        <w:t xml:space="preserve">NTG department is responsible for </w:t>
      </w:r>
      <w:r w:rsidR="00D15B9F" w:rsidRPr="00345E10">
        <w:rPr>
          <w:lang w:eastAsia="en-AU"/>
        </w:rPr>
        <w:t xml:space="preserve">funding </w:t>
      </w:r>
      <w:r w:rsidR="00CC730B" w:rsidRPr="00345E10">
        <w:rPr>
          <w:lang w:eastAsia="en-AU"/>
        </w:rPr>
        <w:t>different parts of the transition</w:t>
      </w:r>
      <w:r w:rsidR="00601EBD">
        <w:rPr>
          <w:lang w:eastAsia="en-AU"/>
        </w:rPr>
        <w:t xml:space="preserve"> – this </w:t>
      </w:r>
      <w:r w:rsidR="0053470B">
        <w:rPr>
          <w:lang w:eastAsia="en-AU"/>
        </w:rPr>
        <w:t xml:space="preserve">was </w:t>
      </w:r>
      <w:r w:rsidR="00CB2BE6">
        <w:rPr>
          <w:lang w:eastAsia="en-AU"/>
        </w:rPr>
        <w:t>specifically in relation</w:t>
      </w:r>
      <w:r w:rsidR="0053470B">
        <w:rPr>
          <w:lang w:eastAsia="en-AU"/>
        </w:rPr>
        <w:t xml:space="preserve"> to funding that, while not technically part of the transition, is an enabler for it (</w:t>
      </w:r>
      <w:r w:rsidR="00CB2BE6">
        <w:rPr>
          <w:lang w:eastAsia="en-AU"/>
        </w:rPr>
        <w:t>such as for</w:t>
      </w:r>
      <w:r w:rsidR="0053470B">
        <w:rPr>
          <w:lang w:eastAsia="en-AU"/>
        </w:rPr>
        <w:t xml:space="preserve"> staff housing). </w:t>
      </w:r>
      <w:r w:rsidR="00CC730B" w:rsidRPr="00345E10">
        <w:rPr>
          <w:lang w:eastAsia="en-AU"/>
        </w:rPr>
        <w:t xml:space="preserve">There was also lack of clarity around </w:t>
      </w:r>
      <w:r w:rsidR="0049093D" w:rsidRPr="00345E10">
        <w:rPr>
          <w:lang w:eastAsia="en-AU"/>
        </w:rPr>
        <w:t xml:space="preserve">the ongoing relationship to oversee </w:t>
      </w:r>
      <w:r w:rsidR="00182B22" w:rsidRPr="00345E10">
        <w:rPr>
          <w:lang w:eastAsia="en-AU"/>
        </w:rPr>
        <w:t>the operations of the transition</w:t>
      </w:r>
      <w:r w:rsidR="0049093D" w:rsidRPr="00345E10">
        <w:rPr>
          <w:lang w:eastAsia="en-AU"/>
        </w:rPr>
        <w:t xml:space="preserve"> and manage </w:t>
      </w:r>
      <w:r w:rsidR="00182B22" w:rsidRPr="00345E10">
        <w:rPr>
          <w:lang w:eastAsia="en-AU"/>
        </w:rPr>
        <w:t>transition timelines.</w:t>
      </w:r>
      <w:r w:rsidR="00182B22">
        <w:rPr>
          <w:lang w:eastAsia="en-AU"/>
        </w:rPr>
        <w:t xml:space="preserve"> </w:t>
      </w:r>
    </w:p>
    <w:p w14:paraId="3DCF7440" w14:textId="6D84B2F2" w:rsidR="00916E0E" w:rsidRDefault="00916E0E" w:rsidP="00756039">
      <w:pPr>
        <w:pStyle w:val="Heading3"/>
      </w:pPr>
      <w:bookmarkStart w:id="29" w:name="_Ref100266077"/>
      <w:r>
        <w:t>Consolidation</w:t>
      </w:r>
      <w:bookmarkEnd w:id="29"/>
    </w:p>
    <w:tbl>
      <w:tblPr>
        <w:tblStyle w:val="NOUS"/>
        <w:tblW w:w="0" w:type="auto"/>
        <w:tblLook w:val="04A0" w:firstRow="1" w:lastRow="0" w:firstColumn="1" w:lastColumn="0" w:noHBand="0" w:noVBand="1"/>
      </w:tblPr>
      <w:tblGrid>
        <w:gridCol w:w="8930"/>
      </w:tblGrid>
      <w:tr w:rsidR="00DE1918" w14:paraId="7A928D68" w14:textId="77777777" w:rsidTr="00DE1918">
        <w:trPr>
          <w:cnfStyle w:val="100000000000" w:firstRow="1" w:lastRow="0" w:firstColumn="0" w:lastColumn="0" w:oddVBand="0" w:evenVBand="0" w:oddHBand="0" w:evenHBand="0" w:firstRowFirstColumn="0" w:firstRowLastColumn="0" w:lastRowFirstColumn="0" w:lastRowLastColumn="0"/>
        </w:trPr>
        <w:tc>
          <w:tcPr>
            <w:tcW w:w="8930" w:type="dxa"/>
            <w:tcBorders>
              <w:top w:val="single" w:sz="24" w:space="0" w:color="00264D" w:themeColor="background2"/>
            </w:tcBorders>
          </w:tcPr>
          <w:p w14:paraId="76EBE60B" w14:textId="77777777" w:rsidR="00DE1918" w:rsidRDefault="00DE1918" w:rsidP="00DE1918">
            <w:pPr>
              <w:rPr>
                <w:rFonts w:eastAsia="Segoe UI" w:cs="Times New Roman"/>
                <w:b w:val="0"/>
                <w:sz w:val="20"/>
                <w:szCs w:val="24"/>
                <w:lang w:eastAsia="en-AU"/>
              </w:rPr>
            </w:pPr>
            <w:r w:rsidRPr="00DE1918">
              <w:rPr>
                <w:rFonts w:eastAsia="Segoe UI" w:cs="Times New Roman"/>
                <w:sz w:val="20"/>
                <w:szCs w:val="24"/>
                <w:lang w:eastAsia="en-AU"/>
              </w:rPr>
              <w:t>Summary of findings</w:t>
            </w:r>
          </w:p>
          <w:p w14:paraId="10430D65" w14:textId="721BC184" w:rsidR="00DE1918" w:rsidRPr="002B5D01" w:rsidRDefault="00DE1918" w:rsidP="002B5D01">
            <w:pPr>
              <w:pStyle w:val="Bullet"/>
              <w:rPr>
                <w:b w:val="0"/>
                <w:bCs/>
              </w:rPr>
            </w:pPr>
            <w:r w:rsidRPr="002B5D01">
              <w:rPr>
                <w:rFonts w:eastAsiaTheme="minorEastAsia"/>
                <w:b w:val="0"/>
                <w:bCs/>
              </w:rPr>
              <w:t>ACCHO Boards benefit from diverse, complementary skillsets</w:t>
            </w:r>
            <w:r w:rsidR="00E3304B">
              <w:rPr>
                <w:rFonts w:eastAsiaTheme="minorEastAsia"/>
                <w:b w:val="0"/>
                <w:bCs/>
              </w:rPr>
              <w:t>.</w:t>
            </w:r>
          </w:p>
          <w:p w14:paraId="29AC20F2" w14:textId="2DDBE0E3" w:rsidR="00DE1918" w:rsidRPr="002B5D01" w:rsidRDefault="00DE1918" w:rsidP="002B5D01">
            <w:pPr>
              <w:pStyle w:val="Bullet"/>
              <w:rPr>
                <w:b w:val="0"/>
                <w:bCs/>
              </w:rPr>
            </w:pPr>
            <w:r w:rsidRPr="002B5D01">
              <w:rPr>
                <w:rFonts w:eastAsiaTheme="minorEastAsia"/>
                <w:b w:val="0"/>
                <w:bCs/>
              </w:rPr>
              <w:t>Transition managers play a key role in progressing transitions</w:t>
            </w:r>
            <w:r w:rsidR="00E3304B">
              <w:rPr>
                <w:rFonts w:eastAsiaTheme="minorEastAsia"/>
                <w:b w:val="0"/>
                <w:bCs/>
              </w:rPr>
              <w:t>.</w:t>
            </w:r>
          </w:p>
          <w:p w14:paraId="1A467E5A" w14:textId="62DA2D40" w:rsidR="00DE1918" w:rsidRPr="002B5D01" w:rsidRDefault="00DE1918" w:rsidP="002B5D01">
            <w:pPr>
              <w:pStyle w:val="Bullet"/>
              <w:rPr>
                <w:b w:val="0"/>
                <w:bCs/>
              </w:rPr>
            </w:pPr>
            <w:r w:rsidRPr="002B5D01">
              <w:rPr>
                <w:rFonts w:eastAsiaTheme="minorEastAsia"/>
                <w:b w:val="0"/>
                <w:bCs/>
              </w:rPr>
              <w:t>Access to Medicare Benefits Schedule (MBS) income is seen as essential to support the transition</w:t>
            </w:r>
            <w:r w:rsidR="00E3304B">
              <w:rPr>
                <w:rFonts w:eastAsiaTheme="minorEastAsia"/>
                <w:b w:val="0"/>
                <w:bCs/>
              </w:rPr>
              <w:t>.</w:t>
            </w:r>
          </w:p>
          <w:p w14:paraId="1B9B7FEE" w14:textId="0FD628BB" w:rsidR="00DE1918" w:rsidRPr="002B5D01" w:rsidRDefault="00DE1918" w:rsidP="002B5D01">
            <w:pPr>
              <w:pStyle w:val="Bullet"/>
              <w:rPr>
                <w:b w:val="0"/>
                <w:bCs/>
              </w:rPr>
            </w:pPr>
            <w:r w:rsidRPr="002B5D01">
              <w:rPr>
                <w:rFonts w:eastAsiaTheme="minorEastAsia"/>
                <w:b w:val="0"/>
                <w:bCs/>
              </w:rPr>
              <w:t>Many stakeholder</w:t>
            </w:r>
            <w:r w:rsidRPr="002B5D01">
              <w:rPr>
                <w:b w:val="0"/>
                <w:bCs/>
              </w:rPr>
              <w:t>s</w:t>
            </w:r>
            <w:r w:rsidRPr="002B5D01">
              <w:rPr>
                <w:rFonts w:eastAsiaTheme="minorEastAsia"/>
                <w:b w:val="0"/>
                <w:bCs/>
              </w:rPr>
              <w:t xml:space="preserve"> feel that there is lack of practical documents and tools to support transitions</w:t>
            </w:r>
            <w:r w:rsidR="00E3304B">
              <w:rPr>
                <w:rFonts w:eastAsiaTheme="minorEastAsia"/>
                <w:b w:val="0"/>
                <w:bCs/>
              </w:rPr>
              <w:t>.</w:t>
            </w:r>
          </w:p>
          <w:p w14:paraId="46CE7CB2" w14:textId="25E5441C" w:rsidR="00DE1918" w:rsidRPr="00DE1918" w:rsidRDefault="00DE1918" w:rsidP="002B5D01">
            <w:pPr>
              <w:pStyle w:val="Bullet"/>
              <w:rPr>
                <w:lang w:val="en-US"/>
              </w:rPr>
            </w:pPr>
            <w:r w:rsidRPr="002B5D01">
              <w:rPr>
                <w:rFonts w:eastAsiaTheme="minorEastAsia"/>
                <w:b w:val="0"/>
                <w:bCs/>
              </w:rPr>
              <w:t>Flexibility to manage the transitions is valued</w:t>
            </w:r>
            <w:r w:rsidR="00E3304B">
              <w:rPr>
                <w:rFonts w:eastAsiaTheme="minorEastAsia"/>
                <w:b w:val="0"/>
                <w:bCs/>
              </w:rPr>
              <w:t>.</w:t>
            </w:r>
          </w:p>
        </w:tc>
      </w:tr>
    </w:tbl>
    <w:p w14:paraId="30B0A86F" w14:textId="77777777" w:rsidR="000655BB" w:rsidRPr="00063132" w:rsidRDefault="000655BB" w:rsidP="00063132">
      <w:pPr>
        <w:rPr>
          <w:b/>
          <w:bCs/>
          <w:color w:val="00264D" w:themeColor="background2"/>
          <w:sz w:val="20"/>
          <w:szCs w:val="24"/>
          <w:lang w:val="en-US"/>
        </w:rPr>
      </w:pPr>
      <w:r w:rsidRPr="00063132">
        <w:rPr>
          <w:b/>
          <w:bCs/>
          <w:color w:val="00264D" w:themeColor="background2"/>
          <w:sz w:val="20"/>
          <w:szCs w:val="24"/>
        </w:rPr>
        <w:t>ACCHO Boards benefit from diverse, complementary skillsets</w:t>
      </w:r>
    </w:p>
    <w:p w14:paraId="16F83A43" w14:textId="7E5B1F26" w:rsidR="003E6BD5" w:rsidRDefault="000655BB" w:rsidP="000655BB">
      <w:pPr>
        <w:rPr>
          <w:lang w:eastAsia="en-AU"/>
        </w:rPr>
      </w:pPr>
      <w:r w:rsidRPr="000655BB">
        <w:rPr>
          <w:lang w:eastAsia="en-AU"/>
        </w:rPr>
        <w:t>Two ACCHOs</w:t>
      </w:r>
      <w:r w:rsidR="00D6788F">
        <w:rPr>
          <w:lang w:eastAsia="en-AU"/>
        </w:rPr>
        <w:t xml:space="preserve"> </w:t>
      </w:r>
      <w:r w:rsidRPr="000655BB">
        <w:rPr>
          <w:lang w:eastAsia="en-AU"/>
        </w:rPr>
        <w:t xml:space="preserve">raised the importance of having </w:t>
      </w:r>
      <w:r w:rsidR="00EB2927">
        <w:rPr>
          <w:lang w:eastAsia="en-AU"/>
        </w:rPr>
        <w:t>B</w:t>
      </w:r>
      <w:r w:rsidRPr="000655BB">
        <w:rPr>
          <w:lang w:eastAsia="en-AU"/>
        </w:rPr>
        <w:t xml:space="preserve">oard members who have the combined skillset to understand the community and also run a business. </w:t>
      </w:r>
      <w:r w:rsidR="00FF49C7">
        <w:rPr>
          <w:lang w:eastAsia="en-AU"/>
        </w:rPr>
        <w:t xml:space="preserve">Several stakeholders </w:t>
      </w:r>
      <w:r w:rsidR="000B3520">
        <w:rPr>
          <w:lang w:eastAsia="en-AU"/>
        </w:rPr>
        <w:t xml:space="preserve">highlighted that </w:t>
      </w:r>
      <w:r w:rsidR="00AC3855">
        <w:rPr>
          <w:lang w:eastAsia="en-AU"/>
        </w:rPr>
        <w:t xml:space="preserve">developing </w:t>
      </w:r>
      <w:r w:rsidR="0018524F">
        <w:rPr>
          <w:lang w:eastAsia="en-AU"/>
        </w:rPr>
        <w:lastRenderedPageBreak/>
        <w:t>governance</w:t>
      </w:r>
      <w:r w:rsidR="00BB46BA">
        <w:rPr>
          <w:lang w:eastAsia="en-AU"/>
        </w:rPr>
        <w:t xml:space="preserve"> capability</w:t>
      </w:r>
      <w:r w:rsidR="0018524F">
        <w:rPr>
          <w:lang w:eastAsia="en-AU"/>
        </w:rPr>
        <w:t xml:space="preserve"> </w:t>
      </w:r>
      <w:r w:rsidR="00BB46BA">
        <w:rPr>
          <w:lang w:eastAsia="en-AU"/>
        </w:rPr>
        <w:t xml:space="preserve">is an essential part of the transition process, </w:t>
      </w:r>
      <w:r w:rsidR="00C41538">
        <w:rPr>
          <w:lang w:eastAsia="en-AU"/>
        </w:rPr>
        <w:t>particularly when</w:t>
      </w:r>
      <w:r w:rsidR="00A51B31">
        <w:rPr>
          <w:lang w:eastAsia="en-AU"/>
        </w:rPr>
        <w:t xml:space="preserve"> </w:t>
      </w:r>
      <w:r w:rsidR="00BB46BA">
        <w:rPr>
          <w:lang w:eastAsia="en-AU"/>
        </w:rPr>
        <w:t>Board members</w:t>
      </w:r>
      <w:r w:rsidR="00C41538">
        <w:rPr>
          <w:lang w:eastAsia="en-AU"/>
        </w:rPr>
        <w:t xml:space="preserve"> for some ACCHOs</w:t>
      </w:r>
      <w:r w:rsidR="00BB46BA">
        <w:rPr>
          <w:lang w:eastAsia="en-AU"/>
        </w:rPr>
        <w:t xml:space="preserve"> </w:t>
      </w:r>
      <w:r w:rsidR="00FE6000">
        <w:rPr>
          <w:lang w:eastAsia="en-AU"/>
        </w:rPr>
        <w:t>are</w:t>
      </w:r>
      <w:r w:rsidR="00BB46BA">
        <w:rPr>
          <w:lang w:eastAsia="en-AU"/>
        </w:rPr>
        <w:t xml:space="preserve"> from a </w:t>
      </w:r>
      <w:r w:rsidR="00C41538">
        <w:rPr>
          <w:lang w:eastAsia="en-AU"/>
        </w:rPr>
        <w:t>variety of different locations</w:t>
      </w:r>
      <w:r w:rsidR="006D5412">
        <w:rPr>
          <w:lang w:eastAsia="en-AU"/>
        </w:rPr>
        <w:t xml:space="preserve"> and backgrounds</w:t>
      </w:r>
      <w:r w:rsidR="00C41538">
        <w:rPr>
          <w:lang w:eastAsia="en-AU"/>
        </w:rPr>
        <w:t xml:space="preserve">, </w:t>
      </w:r>
      <w:r w:rsidR="00FE6000">
        <w:rPr>
          <w:lang w:eastAsia="en-AU"/>
        </w:rPr>
        <w:t xml:space="preserve">speak different languages and </w:t>
      </w:r>
      <w:r w:rsidR="00961E95">
        <w:rPr>
          <w:lang w:eastAsia="en-AU"/>
        </w:rPr>
        <w:t>have</w:t>
      </w:r>
      <w:r w:rsidR="00FE6000">
        <w:rPr>
          <w:lang w:eastAsia="en-AU"/>
        </w:rPr>
        <w:t xml:space="preserve"> different</w:t>
      </w:r>
      <w:r w:rsidR="00712B61">
        <w:rPr>
          <w:lang w:eastAsia="en-AU"/>
        </w:rPr>
        <w:t xml:space="preserve"> </w:t>
      </w:r>
      <w:r w:rsidR="00FE6000">
        <w:rPr>
          <w:lang w:eastAsia="en-AU"/>
        </w:rPr>
        <w:t xml:space="preserve">levels of </w:t>
      </w:r>
      <w:r w:rsidR="00F426CD">
        <w:rPr>
          <w:lang w:eastAsia="en-AU"/>
        </w:rPr>
        <w:t>experience</w:t>
      </w:r>
      <w:r w:rsidR="00FE6000">
        <w:rPr>
          <w:lang w:eastAsia="en-AU"/>
        </w:rPr>
        <w:t xml:space="preserve">. </w:t>
      </w:r>
      <w:r w:rsidRPr="000655BB">
        <w:rPr>
          <w:lang w:eastAsia="en-AU"/>
        </w:rPr>
        <w:t>One ACCHO</w:t>
      </w:r>
      <w:r w:rsidR="00D6788F">
        <w:rPr>
          <w:lang w:eastAsia="en-AU"/>
        </w:rPr>
        <w:t xml:space="preserve"> </w:t>
      </w:r>
      <w:r w:rsidRPr="000655BB">
        <w:rPr>
          <w:lang w:eastAsia="en-AU"/>
        </w:rPr>
        <w:t xml:space="preserve">believed governance training for all directors (particularly financial and risk management training) should be mandatory </w:t>
      </w:r>
      <w:r w:rsidR="00D6788F">
        <w:rPr>
          <w:lang w:eastAsia="en-AU"/>
        </w:rPr>
        <w:t xml:space="preserve">for all transitions </w:t>
      </w:r>
      <w:r w:rsidRPr="000655BB">
        <w:rPr>
          <w:lang w:eastAsia="en-AU"/>
        </w:rPr>
        <w:t>and fully funded.</w:t>
      </w:r>
      <w:r w:rsidR="00D97C9A">
        <w:rPr>
          <w:lang w:eastAsia="en-AU"/>
        </w:rPr>
        <w:t xml:space="preserve"> </w:t>
      </w:r>
      <w:r w:rsidR="003E6BD5" w:rsidRPr="000655BB">
        <w:rPr>
          <w:lang w:eastAsia="en-AU"/>
        </w:rPr>
        <w:t xml:space="preserve">A mix of community directors and independent directors (often from outside the community) was common on ACCHO </w:t>
      </w:r>
      <w:r w:rsidR="00A90865">
        <w:rPr>
          <w:lang w:eastAsia="en-AU"/>
        </w:rPr>
        <w:t>B</w:t>
      </w:r>
      <w:r w:rsidR="003E6BD5" w:rsidRPr="000655BB">
        <w:rPr>
          <w:lang w:eastAsia="en-AU"/>
        </w:rPr>
        <w:t>oards</w:t>
      </w:r>
      <w:r w:rsidR="003E6BD5">
        <w:rPr>
          <w:lang w:eastAsia="en-AU"/>
        </w:rPr>
        <w:t xml:space="preserve"> (e.g. Congress, </w:t>
      </w:r>
      <w:proofErr w:type="spellStart"/>
      <w:r w:rsidR="003E6BD5">
        <w:rPr>
          <w:lang w:eastAsia="en-AU"/>
        </w:rPr>
        <w:t>Miwatj</w:t>
      </w:r>
      <w:proofErr w:type="spellEnd"/>
      <w:r w:rsidR="003E6BD5">
        <w:rPr>
          <w:lang w:eastAsia="en-AU"/>
        </w:rPr>
        <w:t xml:space="preserve">) to ensure that the Board had </w:t>
      </w:r>
      <w:r w:rsidR="003E6BD5" w:rsidRPr="000655BB">
        <w:rPr>
          <w:lang w:eastAsia="en-AU"/>
        </w:rPr>
        <w:t>complementary skillsets</w:t>
      </w:r>
      <w:r w:rsidR="003E6BD5">
        <w:rPr>
          <w:lang w:eastAsia="en-AU"/>
        </w:rPr>
        <w:t>.</w:t>
      </w:r>
    </w:p>
    <w:p w14:paraId="54D8C653" w14:textId="530E46EB" w:rsidR="000655BB" w:rsidRPr="003E6BD5" w:rsidRDefault="006664CA" w:rsidP="000655BB">
      <w:pPr>
        <w:rPr>
          <w:lang w:eastAsia="en-AU"/>
        </w:rPr>
      </w:pPr>
      <w:r w:rsidRPr="00B32C65">
        <w:rPr>
          <w:lang w:eastAsia="en-AU"/>
        </w:rPr>
        <w:t>This is consistent with other literature</w:t>
      </w:r>
      <w:r w:rsidR="002D3774" w:rsidRPr="00B32C65">
        <w:rPr>
          <w:lang w:eastAsia="en-AU"/>
        </w:rPr>
        <w:t xml:space="preserve"> and evaluations</w:t>
      </w:r>
      <w:r w:rsidR="0098017A" w:rsidRPr="00B32C65">
        <w:rPr>
          <w:rStyle w:val="FootnoteReference"/>
          <w:lang w:eastAsia="en-AU"/>
        </w:rPr>
        <w:footnoteReference w:id="19"/>
      </w:r>
      <w:r w:rsidRPr="00B32C65">
        <w:rPr>
          <w:lang w:eastAsia="en-AU"/>
        </w:rPr>
        <w:t xml:space="preserve"> about transitions to community control which reported that u</w:t>
      </w:r>
      <w:r w:rsidR="00D97C9A" w:rsidRPr="00B32C65">
        <w:rPr>
          <w:lang w:eastAsia="en-AU"/>
        </w:rPr>
        <w:t xml:space="preserve">pskilling board directors </w:t>
      </w:r>
      <w:r w:rsidR="009B6D8E" w:rsidRPr="00B32C65">
        <w:rPr>
          <w:lang w:eastAsia="en-AU"/>
        </w:rPr>
        <w:t>in areas such as</w:t>
      </w:r>
      <w:r w:rsidR="002D7DDB" w:rsidRPr="00B32C65">
        <w:rPr>
          <w:lang w:eastAsia="en-AU"/>
        </w:rPr>
        <w:t xml:space="preserve"> risk</w:t>
      </w:r>
      <w:r w:rsidR="00D97C9A" w:rsidRPr="00B32C65">
        <w:rPr>
          <w:lang w:eastAsia="en-AU"/>
        </w:rPr>
        <w:t xml:space="preserve"> </w:t>
      </w:r>
      <w:r w:rsidR="002D7DDB" w:rsidRPr="00B32C65">
        <w:rPr>
          <w:lang w:eastAsia="en-AU"/>
        </w:rPr>
        <w:t>management, business planning, financial expertise</w:t>
      </w:r>
      <w:r w:rsidR="00D97C9A" w:rsidRPr="00B32C65">
        <w:rPr>
          <w:lang w:eastAsia="en-AU"/>
        </w:rPr>
        <w:t xml:space="preserve"> and leadership</w:t>
      </w:r>
      <w:r w:rsidRPr="00B32C65">
        <w:rPr>
          <w:lang w:eastAsia="en-AU"/>
        </w:rPr>
        <w:t xml:space="preserve"> skills</w:t>
      </w:r>
      <w:r w:rsidR="00D97C9A" w:rsidRPr="00B32C65">
        <w:rPr>
          <w:lang w:eastAsia="en-AU"/>
        </w:rPr>
        <w:t xml:space="preserve"> is </w:t>
      </w:r>
      <w:r w:rsidR="0039617E" w:rsidRPr="00B32C65">
        <w:rPr>
          <w:lang w:eastAsia="en-AU"/>
        </w:rPr>
        <w:t>important</w:t>
      </w:r>
      <w:r w:rsidR="00D97C9A" w:rsidRPr="00B32C65">
        <w:rPr>
          <w:lang w:eastAsia="en-AU"/>
        </w:rPr>
        <w:t xml:space="preserve"> to ensure that the Board has the right skills to drive the performance of </w:t>
      </w:r>
      <w:r w:rsidR="0039617E" w:rsidRPr="00B32C65">
        <w:rPr>
          <w:lang w:eastAsia="en-AU"/>
        </w:rPr>
        <w:t>a</w:t>
      </w:r>
      <w:r w:rsidR="00D97C9A" w:rsidRPr="00B32C65">
        <w:rPr>
          <w:lang w:eastAsia="en-AU"/>
        </w:rPr>
        <w:t xml:space="preserve"> health service. This was also a key finding of the National Evaluation of the Second Round of Coordinated Care Trials which stressed that education on governance and management approaches was a key enabler for the trials</w:t>
      </w:r>
      <w:r w:rsidR="00721AAA">
        <w:rPr>
          <w:lang w:eastAsia="en-AU"/>
        </w:rPr>
        <w:t>.</w:t>
      </w:r>
      <w:r w:rsidR="00B066DF" w:rsidRPr="00B32C65">
        <w:rPr>
          <w:rStyle w:val="FootnoteReference"/>
          <w:lang w:eastAsia="en-AU"/>
        </w:rPr>
        <w:footnoteReference w:id="20"/>
      </w:r>
    </w:p>
    <w:p w14:paraId="1B3D3EE3" w14:textId="77777777" w:rsidR="000655BB" w:rsidRPr="00063132" w:rsidRDefault="000655BB" w:rsidP="00063132">
      <w:pPr>
        <w:rPr>
          <w:b/>
          <w:bCs/>
          <w:color w:val="00264D" w:themeColor="background2"/>
          <w:sz w:val="20"/>
          <w:szCs w:val="24"/>
          <w:lang w:val="en-US"/>
        </w:rPr>
      </w:pPr>
      <w:r w:rsidRPr="00063132">
        <w:rPr>
          <w:b/>
          <w:bCs/>
          <w:color w:val="00264D" w:themeColor="background2"/>
          <w:sz w:val="20"/>
          <w:szCs w:val="24"/>
        </w:rPr>
        <w:t>Transition managers play a key role in progressing transitions </w:t>
      </w:r>
    </w:p>
    <w:p w14:paraId="2799DB29" w14:textId="74C5C78E" w:rsidR="00AB3A82" w:rsidRPr="0042109A" w:rsidRDefault="00D20108" w:rsidP="000655BB">
      <w:pPr>
        <w:rPr>
          <w:lang w:eastAsia="en-AU"/>
        </w:rPr>
      </w:pPr>
      <w:r>
        <w:rPr>
          <w:lang w:eastAsia="en-AU"/>
        </w:rPr>
        <w:t xml:space="preserve">Most </w:t>
      </w:r>
      <w:r w:rsidR="000655BB" w:rsidRPr="000655BB">
        <w:rPr>
          <w:lang w:eastAsia="en-AU"/>
        </w:rPr>
        <w:t xml:space="preserve">ACCHOs commented on the importance of transition managers in both driving transitions and reporting on transition outcomes to </w:t>
      </w:r>
      <w:r w:rsidR="00DB6F14">
        <w:rPr>
          <w:lang w:eastAsia="en-AU"/>
        </w:rPr>
        <w:t xml:space="preserve">and seeking decisions from </w:t>
      </w:r>
      <w:r w:rsidR="000655BB" w:rsidRPr="000655BB">
        <w:rPr>
          <w:lang w:eastAsia="en-AU"/>
        </w:rPr>
        <w:t>steering committees</w:t>
      </w:r>
      <w:r w:rsidR="005271F8">
        <w:rPr>
          <w:lang w:eastAsia="en-AU"/>
        </w:rPr>
        <w:t xml:space="preserve"> and working groups</w:t>
      </w:r>
      <w:r w:rsidR="000655BB" w:rsidRPr="000655BB">
        <w:rPr>
          <w:lang w:eastAsia="en-AU"/>
        </w:rPr>
        <w:t xml:space="preserve">. Having transition managers both within the ACCHO and the NTG </w:t>
      </w:r>
      <w:r w:rsidR="0042109A">
        <w:rPr>
          <w:lang w:eastAsia="en-AU"/>
        </w:rPr>
        <w:t>was important.</w:t>
      </w:r>
      <w:r w:rsidR="000D746B">
        <w:rPr>
          <w:lang w:eastAsia="en-AU"/>
        </w:rPr>
        <w:t xml:space="preserve"> So</w:t>
      </w:r>
      <w:r w:rsidR="00AB3A82">
        <w:rPr>
          <w:lang w:eastAsia="en-AU"/>
        </w:rPr>
        <w:t xml:space="preserve">me </w:t>
      </w:r>
      <w:r w:rsidR="006B05D1">
        <w:rPr>
          <w:lang w:eastAsia="en-AU"/>
        </w:rPr>
        <w:t>ACCHOs emphasised</w:t>
      </w:r>
      <w:r w:rsidR="00FF24D8">
        <w:rPr>
          <w:lang w:eastAsia="en-AU"/>
        </w:rPr>
        <w:t xml:space="preserve"> </w:t>
      </w:r>
      <w:r w:rsidR="006B05D1">
        <w:rPr>
          <w:lang w:eastAsia="en-AU"/>
        </w:rPr>
        <w:t>how essential it was to have a transition manager within the NTG to help progress transitions</w:t>
      </w:r>
      <w:r w:rsidR="00FA17CC">
        <w:rPr>
          <w:lang w:eastAsia="en-AU"/>
        </w:rPr>
        <w:t xml:space="preserve"> and relay with the transition manager within the ACCHO</w:t>
      </w:r>
      <w:r w:rsidR="006B05D1">
        <w:rPr>
          <w:lang w:eastAsia="en-AU"/>
        </w:rPr>
        <w:t xml:space="preserve">. Stakeholders highlighted that these NTG transition managers played a critical role in helping to </w:t>
      </w:r>
      <w:r w:rsidR="009B7821">
        <w:rPr>
          <w:lang w:eastAsia="en-AU"/>
        </w:rPr>
        <w:t xml:space="preserve">communicate and negotiate with different NTG departments, identifying </w:t>
      </w:r>
      <w:r w:rsidR="008F67A9">
        <w:rPr>
          <w:lang w:eastAsia="en-AU"/>
        </w:rPr>
        <w:t xml:space="preserve">key </w:t>
      </w:r>
      <w:r w:rsidR="00F10A20">
        <w:rPr>
          <w:lang w:eastAsia="en-AU"/>
        </w:rPr>
        <w:t>stakeholders</w:t>
      </w:r>
      <w:r w:rsidR="008F67A9">
        <w:rPr>
          <w:lang w:eastAsia="en-AU"/>
        </w:rPr>
        <w:t xml:space="preserve"> within government and</w:t>
      </w:r>
      <w:r w:rsidR="00286F04">
        <w:rPr>
          <w:lang w:eastAsia="en-AU"/>
        </w:rPr>
        <w:t xml:space="preserve"> </w:t>
      </w:r>
      <w:r w:rsidR="009B7821">
        <w:rPr>
          <w:lang w:eastAsia="en-AU"/>
        </w:rPr>
        <w:t>troubleshoot</w:t>
      </w:r>
      <w:r w:rsidR="00286F04">
        <w:rPr>
          <w:lang w:eastAsia="en-AU"/>
        </w:rPr>
        <w:t xml:space="preserve">ing </w:t>
      </w:r>
      <w:r w:rsidR="009B7821">
        <w:rPr>
          <w:lang w:eastAsia="en-AU"/>
        </w:rPr>
        <w:t xml:space="preserve">problems. </w:t>
      </w:r>
      <w:r w:rsidR="007545BC">
        <w:rPr>
          <w:lang w:eastAsia="en-AU"/>
        </w:rPr>
        <w:t>However,</w:t>
      </w:r>
      <w:r w:rsidR="009B7821">
        <w:rPr>
          <w:lang w:eastAsia="en-AU"/>
        </w:rPr>
        <w:t xml:space="preserve"> stakeholders</w:t>
      </w:r>
      <w:r w:rsidR="0057504E">
        <w:rPr>
          <w:lang w:eastAsia="en-AU"/>
        </w:rPr>
        <w:t xml:space="preserve"> </w:t>
      </w:r>
      <w:r w:rsidR="00163925">
        <w:rPr>
          <w:lang w:eastAsia="en-AU"/>
        </w:rPr>
        <w:t xml:space="preserve">raise the challenge of </w:t>
      </w:r>
      <w:r w:rsidR="00AB3A82">
        <w:rPr>
          <w:lang w:eastAsia="en-AU"/>
        </w:rPr>
        <w:t>transition managers</w:t>
      </w:r>
      <w:r w:rsidR="00BC609F">
        <w:rPr>
          <w:lang w:eastAsia="en-AU"/>
        </w:rPr>
        <w:t xml:space="preserve"> not consistently being resourced by the NTG </w:t>
      </w:r>
      <w:r w:rsidR="00BE547D">
        <w:rPr>
          <w:lang w:eastAsia="en-AU"/>
        </w:rPr>
        <w:t xml:space="preserve">and </w:t>
      </w:r>
      <w:r w:rsidR="00AB3A82">
        <w:rPr>
          <w:lang w:eastAsia="en-AU"/>
        </w:rPr>
        <w:t>vacancies not being filled</w:t>
      </w:r>
      <w:r w:rsidR="00BC609F">
        <w:rPr>
          <w:lang w:eastAsia="en-AU"/>
        </w:rPr>
        <w:t xml:space="preserve"> quickly</w:t>
      </w:r>
      <w:r w:rsidR="00AB3A82">
        <w:rPr>
          <w:lang w:eastAsia="en-AU"/>
        </w:rPr>
        <w:t xml:space="preserve"> </w:t>
      </w:r>
      <w:r w:rsidR="00BC609F">
        <w:rPr>
          <w:lang w:eastAsia="en-AU"/>
        </w:rPr>
        <w:t>which placed</w:t>
      </w:r>
      <w:r w:rsidR="00AB3A82">
        <w:rPr>
          <w:lang w:eastAsia="en-AU"/>
        </w:rPr>
        <w:t xml:space="preserve"> significant pressure</w:t>
      </w:r>
      <w:r w:rsidR="00BC609F">
        <w:rPr>
          <w:lang w:eastAsia="en-AU"/>
        </w:rPr>
        <w:t>s</w:t>
      </w:r>
      <w:r w:rsidR="00AB3A82">
        <w:rPr>
          <w:lang w:eastAsia="en-AU"/>
        </w:rPr>
        <w:t xml:space="preserve"> on transitions. </w:t>
      </w:r>
    </w:p>
    <w:p w14:paraId="490C173F" w14:textId="0A89E444" w:rsidR="000655BB" w:rsidRPr="00063132" w:rsidRDefault="000655BB" w:rsidP="00063132">
      <w:pPr>
        <w:rPr>
          <w:b/>
          <w:bCs/>
          <w:lang w:val="en-US"/>
        </w:rPr>
      </w:pPr>
      <w:r w:rsidRPr="00063132">
        <w:rPr>
          <w:b/>
          <w:bCs/>
          <w:color w:val="00264D" w:themeColor="background2"/>
          <w:sz w:val="20"/>
          <w:szCs w:val="24"/>
        </w:rPr>
        <w:t>Access to MBS income is seen as essential to support the transition </w:t>
      </w:r>
    </w:p>
    <w:p w14:paraId="6FE49637" w14:textId="608F7215" w:rsidR="000655BB" w:rsidRPr="00436FE7" w:rsidRDefault="000655BB" w:rsidP="000655BB">
      <w:pPr>
        <w:rPr>
          <w:lang w:eastAsia="en-AU"/>
        </w:rPr>
      </w:pPr>
      <w:r w:rsidRPr="000655BB">
        <w:rPr>
          <w:lang w:eastAsia="en-AU"/>
        </w:rPr>
        <w:t>AC</w:t>
      </w:r>
      <w:r w:rsidR="002D5C1F">
        <w:rPr>
          <w:lang w:eastAsia="en-AU"/>
        </w:rPr>
        <w:t>C</w:t>
      </w:r>
      <w:r w:rsidRPr="000655BB">
        <w:rPr>
          <w:lang w:eastAsia="en-AU"/>
        </w:rPr>
        <w:t>HO</w:t>
      </w:r>
      <w:r w:rsidR="0053639E">
        <w:rPr>
          <w:lang w:eastAsia="en-AU"/>
        </w:rPr>
        <w:t xml:space="preserve"> </w:t>
      </w:r>
      <w:r w:rsidRPr="000655BB">
        <w:rPr>
          <w:lang w:eastAsia="en-AU"/>
        </w:rPr>
        <w:t xml:space="preserve">stakeholders raised the importance of having doctors employed at the clinics as early as possible. This ensures MBS income from seeing patients is available to the clinic </w:t>
      </w:r>
      <w:r w:rsidR="007923C8">
        <w:rPr>
          <w:lang w:eastAsia="en-AU"/>
        </w:rPr>
        <w:t xml:space="preserve">(in addition to grant income) </w:t>
      </w:r>
      <w:r w:rsidRPr="000655BB">
        <w:rPr>
          <w:lang w:eastAsia="en-AU"/>
        </w:rPr>
        <w:t>and smooths the transition process</w:t>
      </w:r>
      <w:r w:rsidR="00A276DA">
        <w:rPr>
          <w:lang w:eastAsia="en-AU"/>
        </w:rPr>
        <w:t xml:space="preserve">. </w:t>
      </w:r>
      <w:r w:rsidR="00116907">
        <w:rPr>
          <w:lang w:eastAsia="en-AU"/>
        </w:rPr>
        <w:t>Some</w:t>
      </w:r>
      <w:r w:rsidR="00A276DA">
        <w:rPr>
          <w:lang w:eastAsia="en-AU"/>
        </w:rPr>
        <w:t xml:space="preserve"> ACCHO</w:t>
      </w:r>
      <w:r w:rsidR="00116907">
        <w:rPr>
          <w:lang w:eastAsia="en-AU"/>
        </w:rPr>
        <w:t>s</w:t>
      </w:r>
      <w:r w:rsidR="00A276DA">
        <w:rPr>
          <w:lang w:eastAsia="en-AU"/>
        </w:rPr>
        <w:t xml:space="preserve"> highlighted the challenge of the MBS funding</w:t>
      </w:r>
      <w:r w:rsidR="00A55D85">
        <w:rPr>
          <w:lang w:eastAsia="en-AU"/>
        </w:rPr>
        <w:t xml:space="preserve"> not initially transferring over to the new ACCHO as a key barrier to </w:t>
      </w:r>
      <w:r w:rsidR="00422D71">
        <w:rPr>
          <w:lang w:eastAsia="en-AU"/>
        </w:rPr>
        <w:t>transition progress</w:t>
      </w:r>
      <w:r w:rsidR="00CB2727">
        <w:rPr>
          <w:lang w:eastAsia="en-AU"/>
        </w:rPr>
        <w:t xml:space="preserve">. </w:t>
      </w:r>
      <w:r w:rsidR="002A35C9">
        <w:rPr>
          <w:lang w:eastAsia="en-AU"/>
        </w:rPr>
        <w:t xml:space="preserve">Some </w:t>
      </w:r>
      <w:r w:rsidR="00363126">
        <w:rPr>
          <w:lang w:eastAsia="en-AU"/>
        </w:rPr>
        <w:t xml:space="preserve">ACCHOs </w:t>
      </w:r>
      <w:r w:rsidR="005A1C88">
        <w:rPr>
          <w:lang w:eastAsia="en-AU"/>
        </w:rPr>
        <w:t xml:space="preserve">also </w:t>
      </w:r>
      <w:r w:rsidR="00002740">
        <w:rPr>
          <w:lang w:eastAsia="en-AU"/>
        </w:rPr>
        <w:t>highlighted the</w:t>
      </w:r>
      <w:r w:rsidR="005A1C88">
        <w:rPr>
          <w:lang w:eastAsia="en-AU"/>
        </w:rPr>
        <w:t xml:space="preserve"> </w:t>
      </w:r>
      <w:r w:rsidR="00512D0E">
        <w:rPr>
          <w:lang w:eastAsia="en-AU"/>
        </w:rPr>
        <w:t>challenge of</w:t>
      </w:r>
      <w:r w:rsidR="006C5377">
        <w:rPr>
          <w:lang w:eastAsia="en-AU"/>
        </w:rPr>
        <w:t xml:space="preserve"> employing doctors </w:t>
      </w:r>
      <w:r w:rsidR="007923C8">
        <w:rPr>
          <w:lang w:eastAsia="en-AU"/>
        </w:rPr>
        <w:t xml:space="preserve">in new </w:t>
      </w:r>
      <w:r w:rsidR="00422D71">
        <w:rPr>
          <w:lang w:eastAsia="en-AU"/>
        </w:rPr>
        <w:t>ACCHOs, as</w:t>
      </w:r>
      <w:r w:rsidR="00154334">
        <w:rPr>
          <w:lang w:eastAsia="en-AU"/>
        </w:rPr>
        <w:t xml:space="preserve"> employing</w:t>
      </w:r>
      <w:r w:rsidR="00422D71">
        <w:rPr>
          <w:lang w:eastAsia="en-AU"/>
        </w:rPr>
        <w:t xml:space="preserve"> doctors</w:t>
      </w:r>
      <w:r w:rsidR="00154334">
        <w:rPr>
          <w:lang w:eastAsia="en-AU"/>
        </w:rPr>
        <w:t xml:space="preserve"> requires</w:t>
      </w:r>
      <w:r w:rsidR="00422D71">
        <w:rPr>
          <w:lang w:eastAsia="en-AU"/>
        </w:rPr>
        <w:t xml:space="preserve"> adequate </w:t>
      </w:r>
      <w:r w:rsidR="0059514B">
        <w:rPr>
          <w:lang w:eastAsia="en-AU"/>
        </w:rPr>
        <w:t xml:space="preserve">staff </w:t>
      </w:r>
      <w:r w:rsidR="00422D71">
        <w:rPr>
          <w:lang w:eastAsia="en-AU"/>
        </w:rPr>
        <w:t>accommodation</w:t>
      </w:r>
      <w:r w:rsidR="00154334">
        <w:rPr>
          <w:lang w:eastAsia="en-AU"/>
        </w:rPr>
        <w:t xml:space="preserve">, HR </w:t>
      </w:r>
      <w:r w:rsidR="006C5377">
        <w:rPr>
          <w:lang w:eastAsia="en-AU"/>
        </w:rPr>
        <w:t>support</w:t>
      </w:r>
      <w:r w:rsidRPr="000655BB">
        <w:rPr>
          <w:lang w:eastAsia="en-AU"/>
        </w:rPr>
        <w:t xml:space="preserve">, and </w:t>
      </w:r>
      <w:r w:rsidR="00422D71">
        <w:rPr>
          <w:lang w:eastAsia="en-AU"/>
        </w:rPr>
        <w:t>sound corporate and clinical governance</w:t>
      </w:r>
      <w:r w:rsidR="00833013">
        <w:rPr>
          <w:lang w:eastAsia="en-AU"/>
        </w:rPr>
        <w:t xml:space="preserve"> which takes </w:t>
      </w:r>
      <w:r w:rsidR="00877564">
        <w:rPr>
          <w:lang w:eastAsia="en-AU"/>
        </w:rPr>
        <w:t xml:space="preserve">time and </w:t>
      </w:r>
      <w:r w:rsidR="00833013">
        <w:rPr>
          <w:lang w:eastAsia="en-AU"/>
        </w:rPr>
        <w:t>funding to establish</w:t>
      </w:r>
      <w:r w:rsidR="00422D71">
        <w:rPr>
          <w:lang w:eastAsia="en-AU"/>
        </w:rPr>
        <w:t xml:space="preserve">. </w:t>
      </w:r>
      <w:r w:rsidRPr="000655BB">
        <w:rPr>
          <w:lang w:eastAsia="en-AU"/>
        </w:rPr>
        <w:t xml:space="preserve"> </w:t>
      </w:r>
    </w:p>
    <w:p w14:paraId="2F639D04" w14:textId="52975857" w:rsidR="000655BB" w:rsidRPr="00063132" w:rsidRDefault="000655BB" w:rsidP="00063132">
      <w:pPr>
        <w:rPr>
          <w:b/>
          <w:bCs/>
          <w:color w:val="00264D" w:themeColor="background2"/>
          <w:sz w:val="20"/>
          <w:szCs w:val="24"/>
          <w:lang w:val="en-US"/>
        </w:rPr>
      </w:pPr>
      <w:r w:rsidRPr="00063132">
        <w:rPr>
          <w:b/>
          <w:bCs/>
          <w:color w:val="00264D" w:themeColor="background2"/>
          <w:sz w:val="20"/>
          <w:szCs w:val="24"/>
        </w:rPr>
        <w:t>Many stakeholders feel that there is lack of practical documents and tools to support transitions </w:t>
      </w:r>
    </w:p>
    <w:p w14:paraId="0BEA0584" w14:textId="3A7CC90D" w:rsidR="00754244" w:rsidRDefault="000655BB" w:rsidP="00754244">
      <w:pPr>
        <w:rPr>
          <w:rFonts w:ascii="Segoe UI Semilight" w:hAnsi="Segoe UI Semilight"/>
          <w:i/>
          <w:iCs/>
          <w:color w:val="F25E21" w:themeColor="accent2"/>
          <w:kern w:val="24"/>
          <w:sz w:val="22"/>
          <w:lang w:val="en-US" w:eastAsia="en-AU"/>
        </w:rPr>
      </w:pPr>
      <w:r w:rsidRPr="000655BB">
        <w:rPr>
          <w:lang w:eastAsia="en-AU"/>
        </w:rPr>
        <w:t>AC</w:t>
      </w:r>
      <w:r w:rsidR="002D5C1F">
        <w:rPr>
          <w:lang w:eastAsia="en-AU"/>
        </w:rPr>
        <w:t>C</w:t>
      </w:r>
      <w:r w:rsidRPr="000655BB">
        <w:rPr>
          <w:lang w:eastAsia="en-AU"/>
        </w:rPr>
        <w:t xml:space="preserve">HOs (both new and existing) consistently reported a feeling of starting from scratch and needing more guidance when transitioning. </w:t>
      </w:r>
      <w:r w:rsidR="001B3AED">
        <w:rPr>
          <w:lang w:eastAsia="en-AU"/>
        </w:rPr>
        <w:t>While some learnings from previous transitions were documented, these learnings</w:t>
      </w:r>
      <w:r w:rsidRPr="000655BB">
        <w:rPr>
          <w:lang w:eastAsia="en-AU"/>
        </w:rPr>
        <w:t xml:space="preserve"> were not always shared proactively with ACCHOs. ACCHO stakeholders were surprised there were not more planning documents (e.g. policy templates, clinical governance templates, </w:t>
      </w:r>
      <w:r w:rsidR="00A421F8">
        <w:rPr>
          <w:lang w:eastAsia="en-AU"/>
        </w:rPr>
        <w:t xml:space="preserve">timelines, </w:t>
      </w:r>
      <w:r w:rsidRPr="000655BB">
        <w:rPr>
          <w:lang w:eastAsia="en-AU"/>
        </w:rPr>
        <w:t xml:space="preserve">workplans) provided at the outset to help with the transition. Creating these documents </w:t>
      </w:r>
      <w:r w:rsidR="00C01B05">
        <w:rPr>
          <w:lang w:eastAsia="en-AU"/>
        </w:rPr>
        <w:t xml:space="preserve">without many reference materials </w:t>
      </w:r>
      <w:r w:rsidRPr="000655BB">
        <w:rPr>
          <w:lang w:eastAsia="en-AU"/>
        </w:rPr>
        <w:t xml:space="preserve">was particularly challenging for new </w:t>
      </w:r>
      <w:r w:rsidR="008A754C">
        <w:rPr>
          <w:lang w:eastAsia="en-AU"/>
        </w:rPr>
        <w:t xml:space="preserve">health </w:t>
      </w:r>
      <w:r w:rsidRPr="000655BB">
        <w:rPr>
          <w:lang w:eastAsia="en-AU"/>
        </w:rPr>
        <w:t xml:space="preserve">services </w:t>
      </w:r>
      <w:r w:rsidR="00C01B05">
        <w:rPr>
          <w:lang w:eastAsia="en-AU"/>
        </w:rPr>
        <w:t xml:space="preserve">and </w:t>
      </w:r>
      <w:r w:rsidR="00A50C28">
        <w:rPr>
          <w:lang w:eastAsia="en-AU"/>
        </w:rPr>
        <w:t>used already stretched resources</w:t>
      </w:r>
      <w:r w:rsidR="00C01B05">
        <w:rPr>
          <w:lang w:eastAsia="en-AU"/>
        </w:rPr>
        <w:t xml:space="preserve"> </w:t>
      </w:r>
      <w:r w:rsidRPr="000655BB">
        <w:rPr>
          <w:lang w:eastAsia="en-AU"/>
        </w:rPr>
        <w:t>(i.e. Red Lily). </w:t>
      </w:r>
      <w:r w:rsidR="00754244" w:rsidRPr="000655BB">
        <w:rPr>
          <w:lang w:eastAsia="en-AU"/>
        </w:rPr>
        <w:t xml:space="preserve">One ACCHO mentioned that they were eventually provided with a more comprehensive transition plan template by the NTG, which was very useful in tracking milestones. </w:t>
      </w:r>
      <w:r w:rsidR="00E200FB">
        <w:rPr>
          <w:lang w:eastAsia="en-AU"/>
        </w:rPr>
        <w:t xml:space="preserve">ACCHOs who transitioned more recently were </w:t>
      </w:r>
      <w:r w:rsidR="00BD2E9E">
        <w:rPr>
          <w:lang w:eastAsia="en-AU"/>
        </w:rPr>
        <w:t xml:space="preserve">provided with more helpful documents than those earlier in the process. </w:t>
      </w:r>
      <w:r w:rsidR="00E200FB">
        <w:rPr>
          <w:lang w:eastAsia="en-AU"/>
        </w:rPr>
        <w:t xml:space="preserve"> </w:t>
      </w:r>
    </w:p>
    <w:p w14:paraId="6039BFA7" w14:textId="513040AD" w:rsidR="002E3023" w:rsidRPr="00754244" w:rsidRDefault="002E3023" w:rsidP="00754244">
      <w:pPr>
        <w:rPr>
          <w:lang w:eastAsia="en-AU"/>
        </w:rPr>
      </w:pPr>
      <w:r>
        <w:rPr>
          <w:noProof/>
        </w:rPr>
        <w:lastRenderedPageBreak/>
        <mc:AlternateContent>
          <mc:Choice Requires="wps">
            <w:drawing>
              <wp:inline distT="0" distB="0" distL="0" distR="0" wp14:anchorId="432E1A65" wp14:editId="2412F045">
                <wp:extent cx="5165766" cy="878774"/>
                <wp:effectExtent l="0" t="0" r="0" b="0"/>
                <wp:docPr id="23" name="Text Box 23" descr="““No one could really tell me what the process was.” ACCHO stakeholder &#10;“We were scrambling around making copies of policies and governance frameworks…All of those things could have been ready.” ACCHO stakeholder">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5165766" cy="8787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77F2F4" w14:textId="77777777" w:rsidR="002E3023" w:rsidRDefault="002E3023" w:rsidP="002E3023">
                            <w:pPr>
                              <w:pStyle w:val="Callout"/>
                              <w:pBdr>
                                <w:top w:val="single" w:sz="18" w:space="0" w:color="E6E6E1" w:themeColor="accent5"/>
                              </w:pBdr>
                              <w:rPr>
                                <w:i/>
                                <w:iCs/>
                                <w:color w:val="F25E21" w:themeColor="accent2"/>
                                <w:lang w:val="en-US" w:eastAsia="en-AU"/>
                              </w:rPr>
                            </w:pPr>
                            <w:r w:rsidRPr="003A5CE9">
                              <w:rPr>
                                <w:i/>
                                <w:iCs/>
                                <w:color w:val="F25E21" w:themeColor="accent2"/>
                                <w:lang w:val="en-US" w:eastAsia="en-AU"/>
                              </w:rPr>
                              <w:t>“</w:t>
                            </w:r>
                            <w:r w:rsidRPr="007617F6">
                              <w:rPr>
                                <w:i/>
                                <w:iCs/>
                                <w:color w:val="F25E21" w:themeColor="accent2"/>
                                <w:lang w:val="en-US" w:eastAsia="en-AU"/>
                              </w:rPr>
                              <w:t>“No one could really tell me what the process was.”</w:t>
                            </w:r>
                            <w:r w:rsidRPr="003A5CE9">
                              <w:rPr>
                                <w:i/>
                                <w:iCs/>
                                <w:color w:val="00264D" w:themeColor="background2"/>
                                <w:sz w:val="18"/>
                                <w:szCs w:val="18"/>
                                <w:lang w:eastAsia="en-AU"/>
                              </w:rPr>
                              <w:t xml:space="preserve"> </w:t>
                            </w:r>
                            <w:r>
                              <w:rPr>
                                <w:i/>
                                <w:iCs/>
                                <w:color w:val="00264D" w:themeColor="background2"/>
                                <w:sz w:val="18"/>
                                <w:szCs w:val="18"/>
                                <w:lang w:eastAsia="en-AU"/>
                              </w:rPr>
                              <w:t>ACCHO</w:t>
                            </w:r>
                            <w:r w:rsidRPr="003A5CE9">
                              <w:rPr>
                                <w:i/>
                                <w:iCs/>
                                <w:color w:val="00264D" w:themeColor="background2"/>
                                <w:sz w:val="18"/>
                                <w:szCs w:val="18"/>
                                <w:lang w:eastAsia="en-AU"/>
                              </w:rPr>
                              <w:t xml:space="preserve"> stakeholder </w:t>
                            </w:r>
                          </w:p>
                          <w:p w14:paraId="3CB04412" w14:textId="77777777" w:rsidR="002E3023" w:rsidRPr="00557352" w:rsidRDefault="002E3023" w:rsidP="002E3023">
                            <w:pPr>
                              <w:pStyle w:val="Callout"/>
                              <w:pBdr>
                                <w:top w:val="single" w:sz="18" w:space="0" w:color="E6E6E1" w:themeColor="accent5"/>
                              </w:pBdr>
                              <w:rPr>
                                <w:i/>
                                <w:iCs/>
                                <w:color w:val="00264D" w:themeColor="background2"/>
                                <w:sz w:val="18"/>
                                <w:szCs w:val="18"/>
                                <w:lang w:eastAsia="en-AU"/>
                              </w:rPr>
                            </w:pPr>
                            <w:r w:rsidRPr="00766157">
                              <w:rPr>
                                <w:i/>
                                <w:iCs/>
                                <w:color w:val="F25E21" w:themeColor="accent2"/>
                                <w:lang w:val="en-US" w:eastAsia="en-AU"/>
                              </w:rPr>
                              <w:t>“We were scrambling around making copies of policies and governance frameworks…All of those things could have been ready.”</w:t>
                            </w:r>
                            <w:r w:rsidRPr="00766157">
                              <w:rPr>
                                <w:i/>
                                <w:iCs/>
                                <w:color w:val="00264D" w:themeColor="background2"/>
                                <w:sz w:val="18"/>
                                <w:szCs w:val="18"/>
                                <w:lang w:eastAsia="en-AU"/>
                              </w:rPr>
                              <w:t xml:space="preserve"> ACCHO stakeholder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inline>
            </w:drawing>
          </mc:Choice>
          <mc:Fallback>
            <w:pict>
              <v:shape w14:anchorId="432E1A65" id="Text Box 23" o:spid="_x0000_s1036" type="#_x0000_t202" alt="““No one could really tell me what the process was.” ACCHO stakeholder &#10;“We were scrambling around making copies of policies and governance frameworks…All of those things could have been ready.” ACCHO stakeholder" style="width:406.75pt;height:6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" fillcolor="white [3201]" stroked="f" strokeweight=".5pt">
                <v:textbox inset="0,,1mm">
                  <w:txbxContent>
                    <w:p w14:paraId="4877F2F4" w14:textId="77777777" w:rsidR="002E3023" w:rsidRDefault="002E3023" w:rsidP="002E3023">
                      <w:pPr>
                        <w:pStyle w:val="Callout"/>
                        <w:pBdr>
                          <w:top w:val="single" w:sz="18" w:space="0" w:color="E6E6E1" w:themeColor="accent5"/>
                        </w:pBdr>
                        <w:rPr>
                          <w:i/>
                          <w:iCs/>
                          <w:color w:val="F25E21" w:themeColor="accent2"/>
                          <w:lang w:val="en-US" w:eastAsia="en-AU"/>
                        </w:rPr>
                      </w:pPr>
                      <w:r w:rsidRPr="003A5CE9">
                        <w:rPr>
                          <w:i/>
                          <w:iCs/>
                          <w:color w:val="F25E21" w:themeColor="accent2"/>
                          <w:lang w:val="en-US" w:eastAsia="en-AU"/>
                        </w:rPr>
                        <w:t>“</w:t>
                      </w:r>
                      <w:r w:rsidRPr="007617F6">
                        <w:rPr>
                          <w:i/>
                          <w:iCs/>
                          <w:color w:val="F25E21" w:themeColor="accent2"/>
                          <w:lang w:val="en-US" w:eastAsia="en-AU"/>
                        </w:rPr>
                        <w:t>“No one could really tell me what the process was.”</w:t>
                      </w:r>
                      <w:r w:rsidRPr="003A5CE9">
                        <w:rPr>
                          <w:i/>
                          <w:iCs/>
                          <w:color w:val="00264D" w:themeColor="background2"/>
                          <w:sz w:val="18"/>
                          <w:szCs w:val="18"/>
                          <w:lang w:eastAsia="en-AU"/>
                        </w:rPr>
                        <w:t xml:space="preserve"> </w:t>
                      </w:r>
                      <w:r>
                        <w:rPr>
                          <w:i/>
                          <w:iCs/>
                          <w:color w:val="00264D" w:themeColor="background2"/>
                          <w:sz w:val="18"/>
                          <w:szCs w:val="18"/>
                          <w:lang w:eastAsia="en-AU"/>
                        </w:rPr>
                        <w:t>ACCHO</w:t>
                      </w:r>
                      <w:r w:rsidRPr="003A5CE9">
                        <w:rPr>
                          <w:i/>
                          <w:iCs/>
                          <w:color w:val="00264D" w:themeColor="background2"/>
                          <w:sz w:val="18"/>
                          <w:szCs w:val="18"/>
                          <w:lang w:eastAsia="en-AU"/>
                        </w:rPr>
                        <w:t xml:space="preserve"> stakeholder </w:t>
                      </w:r>
                    </w:p>
                    <w:p w14:paraId="3CB04412" w14:textId="77777777" w:rsidR="002E3023" w:rsidRPr="00557352" w:rsidRDefault="002E3023" w:rsidP="002E3023">
                      <w:pPr>
                        <w:pStyle w:val="Callout"/>
                        <w:pBdr>
                          <w:top w:val="single" w:sz="18" w:space="0" w:color="E6E6E1" w:themeColor="accent5"/>
                        </w:pBdr>
                        <w:rPr>
                          <w:i/>
                          <w:iCs/>
                          <w:color w:val="00264D" w:themeColor="background2"/>
                          <w:sz w:val="18"/>
                          <w:szCs w:val="18"/>
                          <w:lang w:eastAsia="en-AU"/>
                        </w:rPr>
                      </w:pPr>
                      <w:r w:rsidRPr="00766157">
                        <w:rPr>
                          <w:i/>
                          <w:iCs/>
                          <w:color w:val="F25E21" w:themeColor="accent2"/>
                          <w:lang w:val="en-US" w:eastAsia="en-AU"/>
                        </w:rPr>
                        <w:t>“We were scrambling around making copies of policies and governance frameworks…All of those things could have been ready.”</w:t>
                      </w:r>
                      <w:r w:rsidRPr="00766157">
                        <w:rPr>
                          <w:i/>
                          <w:iCs/>
                          <w:color w:val="00264D" w:themeColor="background2"/>
                          <w:sz w:val="18"/>
                          <w:szCs w:val="18"/>
                          <w:lang w:eastAsia="en-AU"/>
                        </w:rPr>
                        <w:t xml:space="preserve"> ACCHO stakeholder</w:t>
                      </w:r>
                    </w:p>
                  </w:txbxContent>
                </v:textbox>
                <w10:anchorlock/>
              </v:shape>
            </w:pict>
          </mc:Fallback>
        </mc:AlternateContent>
      </w:r>
    </w:p>
    <w:p w14:paraId="728B05B2" w14:textId="62858C58" w:rsidR="00864E77" w:rsidRDefault="008A005F" w:rsidP="000655BB">
      <w:pPr>
        <w:rPr>
          <w:lang w:eastAsia="en-AU"/>
        </w:rPr>
      </w:pPr>
      <w:r>
        <w:rPr>
          <w:lang w:eastAsia="en-AU"/>
        </w:rPr>
        <w:t>The</w:t>
      </w:r>
      <w:r w:rsidR="000655BB" w:rsidRPr="000655BB">
        <w:rPr>
          <w:lang w:eastAsia="en-AU"/>
        </w:rPr>
        <w:t xml:space="preserve"> P2CC </w:t>
      </w:r>
      <w:r w:rsidR="009B68B1">
        <w:rPr>
          <w:lang w:eastAsia="en-AU"/>
        </w:rPr>
        <w:t xml:space="preserve">program </w:t>
      </w:r>
      <w:r w:rsidR="000655BB" w:rsidRPr="000655BB">
        <w:rPr>
          <w:lang w:eastAsia="en-AU"/>
        </w:rPr>
        <w:t>framework document</w:t>
      </w:r>
      <w:r w:rsidR="001A48DA">
        <w:rPr>
          <w:lang w:eastAsia="en-AU"/>
        </w:rPr>
        <w:t xml:space="preserve">, despite being the </w:t>
      </w:r>
      <w:r w:rsidR="008F2D1A">
        <w:rPr>
          <w:lang w:eastAsia="en-AU"/>
        </w:rPr>
        <w:t>primary</w:t>
      </w:r>
      <w:r w:rsidR="009C6467">
        <w:rPr>
          <w:lang w:eastAsia="en-AU"/>
        </w:rPr>
        <w:t xml:space="preserve"> document that defines community control and outlin</w:t>
      </w:r>
      <w:r w:rsidR="00DF7051">
        <w:rPr>
          <w:lang w:eastAsia="en-AU"/>
        </w:rPr>
        <w:t>ing</w:t>
      </w:r>
      <w:r w:rsidR="009C6467">
        <w:rPr>
          <w:lang w:eastAsia="en-AU"/>
        </w:rPr>
        <w:t xml:space="preserve"> the potential ways to transition to community control,</w:t>
      </w:r>
      <w:r w:rsidR="000655BB" w:rsidRPr="000655BB">
        <w:rPr>
          <w:lang w:eastAsia="en-AU"/>
        </w:rPr>
        <w:t xml:space="preserve"> was not referenced widely throughout the </w:t>
      </w:r>
      <w:r w:rsidR="0005782C">
        <w:rPr>
          <w:lang w:eastAsia="en-AU"/>
        </w:rPr>
        <w:t>ACCHO’s transition processes</w:t>
      </w:r>
      <w:r w:rsidR="008A754C">
        <w:rPr>
          <w:lang w:eastAsia="en-AU"/>
        </w:rPr>
        <w:t>.</w:t>
      </w:r>
      <w:r w:rsidR="00A676F3">
        <w:rPr>
          <w:lang w:eastAsia="en-AU"/>
        </w:rPr>
        <w:t xml:space="preserve"> Many </w:t>
      </w:r>
      <w:r w:rsidR="008A754C">
        <w:rPr>
          <w:lang w:eastAsia="en-AU"/>
        </w:rPr>
        <w:t xml:space="preserve">ACCHOs and government stakeholders believed that the P2CC </w:t>
      </w:r>
      <w:r w:rsidR="009B68B1">
        <w:rPr>
          <w:lang w:eastAsia="en-AU"/>
        </w:rPr>
        <w:t xml:space="preserve">program </w:t>
      </w:r>
      <w:r w:rsidR="008A754C">
        <w:rPr>
          <w:lang w:eastAsia="en-AU"/>
        </w:rPr>
        <w:t xml:space="preserve">framework </w:t>
      </w:r>
      <w:r w:rsidR="00D71FF9">
        <w:rPr>
          <w:lang w:eastAsia="en-AU"/>
        </w:rPr>
        <w:t>was</w:t>
      </w:r>
      <w:r w:rsidR="008A754C">
        <w:rPr>
          <w:lang w:eastAsia="en-AU"/>
        </w:rPr>
        <w:t xml:space="preserve"> outdated and </w:t>
      </w:r>
      <w:r w:rsidR="00D71FF9">
        <w:rPr>
          <w:lang w:eastAsia="en-AU"/>
        </w:rPr>
        <w:t xml:space="preserve">needed </w:t>
      </w:r>
      <w:r w:rsidR="00F90F19">
        <w:rPr>
          <w:lang w:eastAsia="en-AU"/>
        </w:rPr>
        <w:t>refreshing</w:t>
      </w:r>
      <w:r w:rsidR="008A754C">
        <w:rPr>
          <w:lang w:eastAsia="en-AU"/>
        </w:rPr>
        <w:t>. The</w:t>
      </w:r>
      <w:r w:rsidR="000655BB" w:rsidRPr="000655BB">
        <w:rPr>
          <w:lang w:eastAsia="en-AU"/>
        </w:rPr>
        <w:t xml:space="preserve"> other documents </w:t>
      </w:r>
      <w:r w:rsidR="008A754C">
        <w:rPr>
          <w:lang w:eastAsia="en-AU"/>
        </w:rPr>
        <w:t xml:space="preserve">that </w:t>
      </w:r>
      <w:r w:rsidR="000655BB" w:rsidRPr="000655BB">
        <w:rPr>
          <w:lang w:eastAsia="en-AU"/>
        </w:rPr>
        <w:t xml:space="preserve">were provided </w:t>
      </w:r>
      <w:r w:rsidR="004950A1">
        <w:rPr>
          <w:lang w:eastAsia="en-AU"/>
        </w:rPr>
        <w:t>(</w:t>
      </w:r>
      <w:r w:rsidR="000655BB" w:rsidRPr="000655BB">
        <w:rPr>
          <w:lang w:eastAsia="en-AU"/>
        </w:rPr>
        <w:t xml:space="preserve">e.g. </w:t>
      </w:r>
      <w:r w:rsidR="000C1897">
        <w:rPr>
          <w:lang w:eastAsia="en-AU"/>
        </w:rPr>
        <w:t>the competence and capability</w:t>
      </w:r>
      <w:r w:rsidR="000655BB" w:rsidRPr="000655BB">
        <w:rPr>
          <w:lang w:eastAsia="en-AU"/>
        </w:rPr>
        <w:t xml:space="preserve"> framework</w:t>
      </w:r>
      <w:r w:rsidR="00973973">
        <w:rPr>
          <w:lang w:eastAsia="en-AU"/>
        </w:rPr>
        <w:t xml:space="preserve"> and supporting assessment tool</w:t>
      </w:r>
      <w:r w:rsidR="004950A1">
        <w:rPr>
          <w:lang w:eastAsia="en-AU"/>
        </w:rPr>
        <w:t>)</w:t>
      </w:r>
      <w:r w:rsidR="000C1897">
        <w:rPr>
          <w:lang w:eastAsia="en-AU"/>
        </w:rPr>
        <w:t xml:space="preserve"> were </w:t>
      </w:r>
      <w:r w:rsidR="00532397">
        <w:rPr>
          <w:lang w:eastAsia="en-AU"/>
        </w:rPr>
        <w:t xml:space="preserve">not </w:t>
      </w:r>
      <w:r w:rsidR="00E8594D">
        <w:rPr>
          <w:lang w:eastAsia="en-AU"/>
        </w:rPr>
        <w:t xml:space="preserve">widely </w:t>
      </w:r>
      <w:r w:rsidR="00532397">
        <w:rPr>
          <w:lang w:eastAsia="en-AU"/>
        </w:rPr>
        <w:t>used by ACCHOs</w:t>
      </w:r>
      <w:r w:rsidR="000C1897">
        <w:rPr>
          <w:lang w:eastAsia="en-AU"/>
        </w:rPr>
        <w:t>. Some</w:t>
      </w:r>
      <w:r w:rsidR="003658E7">
        <w:rPr>
          <w:lang w:eastAsia="en-AU"/>
        </w:rPr>
        <w:t xml:space="preserve"> stakeholders</w:t>
      </w:r>
      <w:r w:rsidR="00B24AF8">
        <w:rPr>
          <w:lang w:eastAsia="en-AU"/>
        </w:rPr>
        <w:t xml:space="preserve"> </w:t>
      </w:r>
      <w:r w:rsidR="003658E7">
        <w:rPr>
          <w:lang w:eastAsia="en-AU"/>
        </w:rPr>
        <w:t>reported</w:t>
      </w:r>
      <w:r w:rsidR="00E8594D">
        <w:rPr>
          <w:lang w:eastAsia="en-AU"/>
        </w:rPr>
        <w:t xml:space="preserve"> that the competence and capability framework was </w:t>
      </w:r>
      <w:r w:rsidR="00437D82">
        <w:rPr>
          <w:lang w:eastAsia="en-AU"/>
        </w:rPr>
        <w:t>too</w:t>
      </w:r>
      <w:r w:rsidR="00D00A65">
        <w:rPr>
          <w:lang w:eastAsia="en-AU"/>
        </w:rPr>
        <w:t xml:space="preserve"> detailed and </w:t>
      </w:r>
      <w:r w:rsidR="00E8594D">
        <w:rPr>
          <w:lang w:eastAsia="en-AU"/>
        </w:rPr>
        <w:t xml:space="preserve">more useful for </w:t>
      </w:r>
      <w:r w:rsidR="004842AA">
        <w:rPr>
          <w:lang w:eastAsia="en-AU"/>
        </w:rPr>
        <w:t xml:space="preserve">establishing </w:t>
      </w:r>
      <w:r w:rsidR="00E8594D">
        <w:rPr>
          <w:lang w:eastAsia="en-AU"/>
        </w:rPr>
        <w:t xml:space="preserve">a new ACCHO but not as helpful for an existing ACCHO transitioning services or programs. </w:t>
      </w:r>
      <w:r w:rsidR="001B0815">
        <w:rPr>
          <w:lang w:eastAsia="en-AU"/>
        </w:rPr>
        <w:t>Dwyer et al.,</w:t>
      </w:r>
      <w:r w:rsidR="000D5872">
        <w:rPr>
          <w:lang w:eastAsia="en-AU"/>
        </w:rPr>
        <w:t xml:space="preserve"> (2015)</w:t>
      </w:r>
      <w:r w:rsidR="001B0815">
        <w:rPr>
          <w:lang w:eastAsia="en-AU"/>
        </w:rPr>
        <w:t xml:space="preserve"> also </w:t>
      </w:r>
      <w:r w:rsidR="007E7995">
        <w:rPr>
          <w:lang w:eastAsia="en-AU"/>
        </w:rPr>
        <w:t xml:space="preserve">reported that the </w:t>
      </w:r>
      <w:r w:rsidR="00BE6482">
        <w:rPr>
          <w:lang w:eastAsia="en-AU"/>
        </w:rPr>
        <w:t>competence and capability framework was not helpful</w:t>
      </w:r>
      <w:r w:rsidR="00763685">
        <w:rPr>
          <w:lang w:eastAsia="en-AU"/>
        </w:rPr>
        <w:t xml:space="preserve"> </w:t>
      </w:r>
      <w:r w:rsidR="00B63B21">
        <w:rPr>
          <w:lang w:eastAsia="en-AU"/>
        </w:rPr>
        <w:t xml:space="preserve">for existing ACCHOs </w:t>
      </w:r>
      <w:r w:rsidR="00763685">
        <w:rPr>
          <w:lang w:eastAsia="en-AU"/>
        </w:rPr>
        <w:t xml:space="preserve">and </w:t>
      </w:r>
      <w:r w:rsidR="00C3788C">
        <w:rPr>
          <w:lang w:eastAsia="en-AU"/>
        </w:rPr>
        <w:t>was perceived by some as a</w:t>
      </w:r>
      <w:r w:rsidR="00AE023B">
        <w:rPr>
          <w:lang w:eastAsia="en-AU"/>
        </w:rPr>
        <w:t xml:space="preserve">n “extension of a generally excessive risk intolerance </w:t>
      </w:r>
      <w:r w:rsidR="00741CFC">
        <w:rPr>
          <w:lang w:eastAsia="en-AU"/>
        </w:rPr>
        <w:t xml:space="preserve">displayed </w:t>
      </w:r>
      <w:r w:rsidR="00523C79">
        <w:rPr>
          <w:lang w:eastAsia="en-AU"/>
        </w:rPr>
        <w:t>by</w:t>
      </w:r>
      <w:r w:rsidR="00741CFC">
        <w:rPr>
          <w:lang w:eastAsia="en-AU"/>
        </w:rPr>
        <w:t xml:space="preserve"> both levels of government”.</w:t>
      </w:r>
      <w:r w:rsidR="00721AAA">
        <w:rPr>
          <w:rStyle w:val="FootnoteReference"/>
          <w:lang w:eastAsia="en-AU"/>
        </w:rPr>
        <w:footnoteReference w:id="21"/>
      </w:r>
    </w:p>
    <w:p w14:paraId="0F25B610" w14:textId="718D7158" w:rsidR="000655BB" w:rsidRPr="000655BB" w:rsidRDefault="00744755" w:rsidP="000655BB">
      <w:pPr>
        <w:rPr>
          <w:lang w:eastAsia="en-AU"/>
        </w:rPr>
      </w:pPr>
      <w:r>
        <w:rPr>
          <w:lang w:eastAsia="en-AU"/>
        </w:rPr>
        <w:t xml:space="preserve">Government </w:t>
      </w:r>
      <w:r w:rsidR="00B15D70">
        <w:rPr>
          <w:lang w:eastAsia="en-AU"/>
        </w:rPr>
        <w:t>stakeholders</w:t>
      </w:r>
      <w:r>
        <w:rPr>
          <w:lang w:eastAsia="en-AU"/>
        </w:rPr>
        <w:t xml:space="preserve"> </w:t>
      </w:r>
      <w:r w:rsidR="00B15D70">
        <w:rPr>
          <w:lang w:eastAsia="en-AU"/>
        </w:rPr>
        <w:t xml:space="preserve">commented on the fact that while there are </w:t>
      </w:r>
      <w:r w:rsidR="004C3AFF">
        <w:rPr>
          <w:lang w:eastAsia="en-AU"/>
        </w:rPr>
        <w:t xml:space="preserve">common transition considerations for both new and existing ACCHOs, that </w:t>
      </w:r>
      <w:r w:rsidR="00122C40">
        <w:rPr>
          <w:lang w:eastAsia="en-AU"/>
        </w:rPr>
        <w:t xml:space="preserve">there is a lot more involved in establishing a new service. They suggested that </w:t>
      </w:r>
      <w:r w:rsidR="004C3AFF">
        <w:rPr>
          <w:lang w:eastAsia="en-AU"/>
        </w:rPr>
        <w:t>tailored supporting documents</w:t>
      </w:r>
      <w:r w:rsidR="00BF788E">
        <w:rPr>
          <w:lang w:eastAsia="en-AU"/>
        </w:rPr>
        <w:t xml:space="preserve"> might be needed </w:t>
      </w:r>
      <w:r w:rsidR="004C3AFF">
        <w:rPr>
          <w:lang w:eastAsia="en-AU"/>
        </w:rPr>
        <w:t xml:space="preserve">depending on the maturity </w:t>
      </w:r>
      <w:r w:rsidR="004F6362">
        <w:rPr>
          <w:lang w:eastAsia="en-AU"/>
        </w:rPr>
        <w:t xml:space="preserve">of organisations </w:t>
      </w:r>
      <w:r w:rsidR="00BF788E">
        <w:rPr>
          <w:lang w:eastAsia="en-AU"/>
        </w:rPr>
        <w:t>and their transition aspirations</w:t>
      </w:r>
      <w:r w:rsidR="004F6362">
        <w:rPr>
          <w:lang w:eastAsia="en-AU"/>
        </w:rPr>
        <w:t xml:space="preserve">. </w:t>
      </w:r>
    </w:p>
    <w:p w14:paraId="3249CECF" w14:textId="58E02487" w:rsidR="000655BB" w:rsidRPr="00063132" w:rsidRDefault="000655BB" w:rsidP="00063132">
      <w:pPr>
        <w:rPr>
          <w:b/>
          <w:bCs/>
          <w:color w:val="00264D" w:themeColor="background2"/>
          <w:sz w:val="20"/>
          <w:szCs w:val="24"/>
          <w:lang w:val="en-US"/>
        </w:rPr>
      </w:pPr>
      <w:r w:rsidRPr="00063132">
        <w:rPr>
          <w:b/>
          <w:bCs/>
          <w:color w:val="00264D" w:themeColor="background2"/>
          <w:sz w:val="20"/>
          <w:szCs w:val="24"/>
        </w:rPr>
        <w:t>Flexibility to manage the transitions is valued</w:t>
      </w:r>
    </w:p>
    <w:p w14:paraId="588F86C3" w14:textId="3865EC41" w:rsidR="000655BB" w:rsidRPr="000655BB" w:rsidRDefault="00A268B2" w:rsidP="000655BB">
      <w:pPr>
        <w:rPr>
          <w:lang w:eastAsia="en-AU"/>
        </w:rPr>
      </w:pPr>
      <w:r>
        <w:rPr>
          <w:lang w:eastAsia="en-AU"/>
        </w:rPr>
        <w:t>A common theme amongst stakeholder consultations was the desire for ACCHOs to be in control of the transition process</w:t>
      </w:r>
      <w:r w:rsidR="00275D0B">
        <w:rPr>
          <w:lang w:eastAsia="en-AU"/>
        </w:rPr>
        <w:t xml:space="preserve"> whilst</w:t>
      </w:r>
      <w:r w:rsidR="0022551D">
        <w:rPr>
          <w:lang w:eastAsia="en-AU"/>
        </w:rPr>
        <w:t>, at the same time,</w:t>
      </w:r>
      <w:r w:rsidR="00275D0B">
        <w:rPr>
          <w:lang w:eastAsia="en-AU"/>
        </w:rPr>
        <w:t xml:space="preserve"> being adequately supported to transition</w:t>
      </w:r>
      <w:r>
        <w:rPr>
          <w:lang w:eastAsia="en-AU"/>
        </w:rPr>
        <w:t xml:space="preserve">. </w:t>
      </w:r>
      <w:r w:rsidR="000655BB" w:rsidRPr="000655BB">
        <w:rPr>
          <w:lang w:eastAsia="en-AU"/>
        </w:rPr>
        <w:t>One ACCHO</w:t>
      </w:r>
      <w:r w:rsidR="00067445">
        <w:rPr>
          <w:lang w:eastAsia="en-AU"/>
        </w:rPr>
        <w:t xml:space="preserve"> </w:t>
      </w:r>
      <w:r w:rsidR="000655BB" w:rsidRPr="000655BB">
        <w:rPr>
          <w:lang w:eastAsia="en-AU"/>
        </w:rPr>
        <w:t xml:space="preserve">raised the challenging balance of </w:t>
      </w:r>
      <w:r w:rsidR="007854E3">
        <w:rPr>
          <w:lang w:eastAsia="en-AU"/>
        </w:rPr>
        <w:t xml:space="preserve">the government </w:t>
      </w:r>
      <w:r w:rsidR="00695094">
        <w:rPr>
          <w:lang w:eastAsia="en-AU"/>
        </w:rPr>
        <w:t>providing</w:t>
      </w:r>
      <w:r w:rsidR="000655BB" w:rsidRPr="000655BB">
        <w:rPr>
          <w:lang w:eastAsia="en-AU"/>
        </w:rPr>
        <w:t xml:space="preserve"> enough guidance and support (e.g. frameworks, tools) while not </w:t>
      </w:r>
      <w:r w:rsidR="00695094">
        <w:rPr>
          <w:lang w:eastAsia="en-AU"/>
        </w:rPr>
        <w:t>having t</w:t>
      </w:r>
      <w:r w:rsidR="0073134E">
        <w:rPr>
          <w:lang w:eastAsia="en-AU"/>
        </w:rPr>
        <w:t xml:space="preserve">o comply with too </w:t>
      </w:r>
      <w:r w:rsidR="00695094">
        <w:rPr>
          <w:lang w:eastAsia="en-AU"/>
        </w:rPr>
        <w:t xml:space="preserve">onerous reporting requirements or </w:t>
      </w:r>
      <w:r w:rsidR="0058085E" w:rsidRPr="0058085E">
        <w:rPr>
          <w:lang w:eastAsia="en-AU"/>
        </w:rPr>
        <w:t>bureaucratic</w:t>
      </w:r>
      <w:r w:rsidR="0058085E">
        <w:rPr>
          <w:lang w:eastAsia="en-AU"/>
        </w:rPr>
        <w:t xml:space="preserve"> </w:t>
      </w:r>
      <w:r w:rsidR="0006668E">
        <w:rPr>
          <w:lang w:eastAsia="en-AU"/>
        </w:rPr>
        <w:t>processes</w:t>
      </w:r>
      <w:r w:rsidR="000655BB" w:rsidRPr="000655BB">
        <w:rPr>
          <w:lang w:eastAsia="en-AU"/>
        </w:rPr>
        <w:t>. </w:t>
      </w:r>
      <w:r w:rsidR="00315A19">
        <w:rPr>
          <w:lang w:eastAsia="en-AU"/>
        </w:rPr>
        <w:t xml:space="preserve">It was widely recognised that more </w:t>
      </w:r>
      <w:r w:rsidR="00075BA6">
        <w:rPr>
          <w:lang w:eastAsia="en-AU"/>
        </w:rPr>
        <w:t>support was needed for the establishment of new ACCHOs compared to existing ACCHOs</w:t>
      </w:r>
      <w:r w:rsidR="00315A19">
        <w:rPr>
          <w:lang w:eastAsia="en-AU"/>
        </w:rPr>
        <w:t xml:space="preserve">. However, </w:t>
      </w:r>
      <w:r w:rsidR="00075BA6">
        <w:rPr>
          <w:lang w:eastAsia="en-AU"/>
        </w:rPr>
        <w:t xml:space="preserve">existing ACCHOs </w:t>
      </w:r>
      <w:r w:rsidR="007270D4">
        <w:rPr>
          <w:lang w:eastAsia="en-AU"/>
        </w:rPr>
        <w:t>nevertheless reported that</w:t>
      </w:r>
      <w:r w:rsidR="00075BA6">
        <w:rPr>
          <w:lang w:eastAsia="en-AU"/>
        </w:rPr>
        <w:t xml:space="preserve"> </w:t>
      </w:r>
      <w:r w:rsidR="0064219C">
        <w:rPr>
          <w:lang w:eastAsia="en-AU"/>
        </w:rPr>
        <w:t>having</w:t>
      </w:r>
      <w:r w:rsidR="00457B7D">
        <w:rPr>
          <w:lang w:eastAsia="en-AU"/>
        </w:rPr>
        <w:t xml:space="preserve"> basic </w:t>
      </w:r>
      <w:r w:rsidR="0064219C">
        <w:rPr>
          <w:lang w:eastAsia="en-AU"/>
        </w:rPr>
        <w:t>transition documents provided is helpful</w:t>
      </w:r>
      <w:r w:rsidR="00457B7D">
        <w:rPr>
          <w:lang w:eastAsia="en-AU"/>
        </w:rPr>
        <w:t xml:space="preserve"> </w:t>
      </w:r>
      <w:r w:rsidR="007C11F4">
        <w:rPr>
          <w:lang w:eastAsia="en-AU"/>
        </w:rPr>
        <w:t>to free</w:t>
      </w:r>
      <w:r w:rsidR="009777F8">
        <w:rPr>
          <w:lang w:eastAsia="en-AU"/>
        </w:rPr>
        <w:t xml:space="preserve"> up</w:t>
      </w:r>
      <w:r w:rsidR="007C11F4">
        <w:rPr>
          <w:lang w:eastAsia="en-AU"/>
        </w:rPr>
        <w:t xml:space="preserve"> precious resources to manage the broader transition process. </w:t>
      </w:r>
    </w:p>
    <w:p w14:paraId="32A53F1C" w14:textId="11158B2C" w:rsidR="00916E0E" w:rsidRDefault="00916E0E" w:rsidP="00756039">
      <w:pPr>
        <w:pStyle w:val="Heading3"/>
      </w:pPr>
      <w:bookmarkStart w:id="30" w:name="_Ref100299114"/>
      <w:r>
        <w:t>Implementation</w:t>
      </w:r>
      <w:bookmarkEnd w:id="30"/>
      <w:r>
        <w:t xml:space="preserve"> </w:t>
      </w:r>
    </w:p>
    <w:tbl>
      <w:tblPr>
        <w:tblStyle w:val="NOUS"/>
        <w:tblW w:w="0" w:type="auto"/>
        <w:tblLook w:val="04A0" w:firstRow="1" w:lastRow="0" w:firstColumn="1" w:lastColumn="0" w:noHBand="0" w:noVBand="1"/>
      </w:tblPr>
      <w:tblGrid>
        <w:gridCol w:w="8930"/>
      </w:tblGrid>
      <w:tr w:rsidR="000307EA" w14:paraId="11BBACB0" w14:textId="77777777" w:rsidTr="000307EA">
        <w:trPr>
          <w:cnfStyle w:val="100000000000" w:firstRow="1" w:lastRow="0" w:firstColumn="0" w:lastColumn="0" w:oddVBand="0" w:evenVBand="0" w:oddHBand="0" w:evenHBand="0" w:firstRowFirstColumn="0" w:firstRowLastColumn="0" w:lastRowFirstColumn="0" w:lastRowLastColumn="0"/>
        </w:trPr>
        <w:tc>
          <w:tcPr>
            <w:tcW w:w="8930" w:type="dxa"/>
            <w:tcBorders>
              <w:top w:val="single" w:sz="24" w:space="0" w:color="00264D" w:themeColor="background2"/>
            </w:tcBorders>
          </w:tcPr>
          <w:p w14:paraId="0617EAFD" w14:textId="77777777" w:rsidR="000307EA" w:rsidRPr="00A52D78" w:rsidRDefault="000307EA" w:rsidP="000307EA">
            <w:pPr>
              <w:rPr>
                <w:rFonts w:eastAsia="Segoe UI" w:cs="Times New Roman"/>
                <w:sz w:val="20"/>
                <w:szCs w:val="24"/>
                <w:lang w:eastAsia="en-AU"/>
              </w:rPr>
            </w:pPr>
            <w:r w:rsidRPr="00A52D78">
              <w:rPr>
                <w:rFonts w:eastAsia="Segoe UI" w:cs="Times New Roman"/>
                <w:sz w:val="20"/>
                <w:szCs w:val="24"/>
                <w:lang w:eastAsia="en-AU"/>
              </w:rPr>
              <w:t>Summary of findings</w:t>
            </w:r>
          </w:p>
          <w:p w14:paraId="03625158" w14:textId="39253CC0" w:rsidR="000307EA" w:rsidRPr="000307EA" w:rsidRDefault="000307EA" w:rsidP="000307EA">
            <w:pPr>
              <w:pStyle w:val="Bullet"/>
              <w:rPr>
                <w:rFonts w:eastAsiaTheme="minorEastAsia"/>
                <w:b w:val="0"/>
                <w:bCs/>
              </w:rPr>
            </w:pPr>
            <w:r w:rsidRPr="000307EA">
              <w:rPr>
                <w:rFonts w:eastAsiaTheme="minorEastAsia"/>
                <w:b w:val="0"/>
                <w:bCs/>
              </w:rPr>
              <w:t>Strong leadership and governance were consistently raised as key enablers of transition implementation</w:t>
            </w:r>
            <w:r w:rsidR="00E3304B">
              <w:rPr>
                <w:rFonts w:eastAsiaTheme="minorEastAsia"/>
                <w:b w:val="0"/>
                <w:bCs/>
              </w:rPr>
              <w:t>.</w:t>
            </w:r>
          </w:p>
          <w:p w14:paraId="672F0675" w14:textId="1AD6A102" w:rsidR="000307EA" w:rsidRPr="000307EA" w:rsidRDefault="000307EA" w:rsidP="000307EA">
            <w:pPr>
              <w:pStyle w:val="Bullet"/>
              <w:rPr>
                <w:rFonts w:eastAsiaTheme="minorEastAsia"/>
                <w:b w:val="0"/>
                <w:bCs/>
              </w:rPr>
            </w:pPr>
            <w:r w:rsidRPr="000307EA">
              <w:rPr>
                <w:rFonts w:eastAsiaTheme="minorEastAsia"/>
                <w:b w:val="0"/>
                <w:bCs/>
              </w:rPr>
              <w:t>Transitioning, attracting and retaining staff requires careful planning</w:t>
            </w:r>
            <w:r w:rsidR="00E3304B">
              <w:rPr>
                <w:rFonts w:eastAsiaTheme="minorEastAsia"/>
                <w:b w:val="0"/>
                <w:bCs/>
              </w:rPr>
              <w:t>.</w:t>
            </w:r>
          </w:p>
          <w:p w14:paraId="7564778B" w14:textId="36EB8D03" w:rsidR="000307EA" w:rsidRPr="000307EA" w:rsidRDefault="000307EA" w:rsidP="000307EA">
            <w:pPr>
              <w:pStyle w:val="Bullet"/>
              <w:rPr>
                <w:b w:val="0"/>
                <w:bCs/>
                <w:lang w:val="en-US"/>
              </w:rPr>
            </w:pPr>
            <w:r w:rsidRPr="000307EA">
              <w:rPr>
                <w:rFonts w:eastAsiaTheme="minorEastAsia"/>
                <w:b w:val="0"/>
                <w:bCs/>
              </w:rPr>
              <w:t>Establishing service relationships with ACCHOs and remaining NTG services is essential</w:t>
            </w:r>
            <w:r w:rsidR="00E3304B">
              <w:rPr>
                <w:rFonts w:eastAsiaTheme="minorEastAsia"/>
                <w:b w:val="0"/>
                <w:bCs/>
              </w:rPr>
              <w:t>.</w:t>
            </w:r>
          </w:p>
          <w:p w14:paraId="69E50347" w14:textId="058D8A47" w:rsidR="000307EA" w:rsidRPr="004328C5" w:rsidRDefault="000307EA" w:rsidP="000307EA">
            <w:pPr>
              <w:pStyle w:val="Bullet"/>
              <w:rPr>
                <w:b w:val="0"/>
                <w:lang w:val="en-US"/>
              </w:rPr>
            </w:pPr>
            <w:r w:rsidRPr="00BB6134">
              <w:rPr>
                <w:rFonts w:eastAsiaTheme="minorEastAsia"/>
                <w:b w:val="0"/>
                <w:bCs/>
              </w:rPr>
              <w:t>Implementing corporate services including IT systems is a common challenge across ACCHOs</w:t>
            </w:r>
            <w:r w:rsidR="00E3304B">
              <w:rPr>
                <w:rFonts w:eastAsiaTheme="minorEastAsia"/>
                <w:b w:val="0"/>
                <w:bCs/>
              </w:rPr>
              <w:t>.</w:t>
            </w:r>
          </w:p>
        </w:tc>
      </w:tr>
    </w:tbl>
    <w:p w14:paraId="0A495AFD" w14:textId="77777777" w:rsidR="00063132" w:rsidRDefault="00063132" w:rsidP="00063132">
      <w:pPr>
        <w:rPr>
          <w:b/>
          <w:bCs/>
          <w:color w:val="00264D" w:themeColor="background2"/>
          <w:sz w:val="20"/>
          <w:szCs w:val="24"/>
        </w:rPr>
      </w:pPr>
    </w:p>
    <w:p w14:paraId="261D459E" w14:textId="454FA924" w:rsidR="00DC368F" w:rsidRPr="00063132" w:rsidRDefault="00DC368F" w:rsidP="00063132">
      <w:pPr>
        <w:rPr>
          <w:b/>
          <w:bCs/>
          <w:lang w:val="en-US"/>
        </w:rPr>
      </w:pPr>
      <w:r w:rsidRPr="00063132">
        <w:rPr>
          <w:b/>
          <w:bCs/>
          <w:color w:val="00264D" w:themeColor="background2"/>
          <w:sz w:val="20"/>
          <w:szCs w:val="24"/>
        </w:rPr>
        <w:t xml:space="preserve">Strong leadership and governance </w:t>
      </w:r>
      <w:r w:rsidR="004F6750" w:rsidRPr="00063132">
        <w:rPr>
          <w:b/>
          <w:bCs/>
          <w:color w:val="00264D" w:themeColor="background2"/>
          <w:sz w:val="20"/>
          <w:szCs w:val="24"/>
        </w:rPr>
        <w:t>were</w:t>
      </w:r>
      <w:r w:rsidRPr="00063132">
        <w:rPr>
          <w:b/>
          <w:bCs/>
          <w:color w:val="00264D" w:themeColor="background2"/>
          <w:sz w:val="20"/>
          <w:szCs w:val="24"/>
        </w:rPr>
        <w:t xml:space="preserve"> consistently raised as key </w:t>
      </w:r>
      <w:r w:rsidR="00900777" w:rsidRPr="00063132">
        <w:rPr>
          <w:b/>
          <w:bCs/>
          <w:color w:val="00264D" w:themeColor="background2"/>
          <w:sz w:val="20"/>
          <w:szCs w:val="24"/>
        </w:rPr>
        <w:t>enablers</w:t>
      </w:r>
      <w:r w:rsidRPr="00063132">
        <w:rPr>
          <w:b/>
          <w:bCs/>
          <w:color w:val="00264D" w:themeColor="background2"/>
          <w:sz w:val="20"/>
          <w:szCs w:val="24"/>
        </w:rPr>
        <w:t xml:space="preserve"> of transition implementation </w:t>
      </w:r>
    </w:p>
    <w:p w14:paraId="63631B18" w14:textId="1C189E73" w:rsidR="00DC368F" w:rsidRDefault="00DC368F" w:rsidP="00DC368F">
      <w:pPr>
        <w:rPr>
          <w:lang w:eastAsia="en-AU"/>
        </w:rPr>
      </w:pPr>
      <w:r w:rsidRPr="00DC368F">
        <w:rPr>
          <w:lang w:eastAsia="en-AU"/>
        </w:rPr>
        <w:t xml:space="preserve">Several ACCHOs highlighted the importance of a well-connected and capable CEO in both guiding the transition of services and managing the ongoing service delivery of ACCHOs. Government stakeholders raised the importance of having both strong corporate and clinical governance. Several stakeholders referenced the </w:t>
      </w:r>
      <w:proofErr w:type="spellStart"/>
      <w:r w:rsidRPr="00DC368F">
        <w:rPr>
          <w:lang w:eastAsia="en-AU"/>
        </w:rPr>
        <w:t>Gapuwiyak</w:t>
      </w:r>
      <w:proofErr w:type="spellEnd"/>
      <w:r w:rsidRPr="00DC368F">
        <w:rPr>
          <w:lang w:eastAsia="en-AU"/>
        </w:rPr>
        <w:t xml:space="preserve"> and Ramingining transitions as relatively smooth and timely transitions. They </w:t>
      </w:r>
      <w:r w:rsidRPr="00DC368F">
        <w:rPr>
          <w:lang w:eastAsia="en-AU"/>
        </w:rPr>
        <w:lastRenderedPageBreak/>
        <w:t>cited strong leadership of the regional director, sound governance structures and the effort to build constructive relationships with ACCHO leadership and the community as key enablers.</w:t>
      </w:r>
    </w:p>
    <w:p w14:paraId="7783697B" w14:textId="630D9BF9" w:rsidR="002E3023" w:rsidRPr="00DC368F" w:rsidRDefault="002E3023" w:rsidP="00DC368F">
      <w:pPr>
        <w:rPr>
          <w:lang w:eastAsia="en-AU"/>
        </w:rPr>
      </w:pPr>
      <w:r w:rsidRPr="00063132">
        <w:rPr>
          <w:b/>
          <w:bCs/>
          <w:noProof/>
          <w:color w:val="00264D" w:themeColor="background2"/>
          <w:sz w:val="20"/>
          <w:szCs w:val="24"/>
        </w:rPr>
        <mc:AlternateContent>
          <mc:Choice Requires="wps">
            <w:drawing>
              <wp:inline distT="0" distB="0" distL="0" distR="0" wp14:anchorId="1C2597DF" wp14:editId="13DFE688">
                <wp:extent cx="3776353" cy="451262"/>
                <wp:effectExtent l="0" t="0" r="0" b="6350"/>
                <wp:docPr id="27" name="Text Box 27" descr="“Success comes from strong leadership.” - ACCHO stakeholder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3776353"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68449F" w14:textId="77777777" w:rsidR="002E3023" w:rsidRDefault="002E3023" w:rsidP="002E3023">
                            <w:pPr>
                              <w:pStyle w:val="Callout"/>
                              <w:pBdr>
                                <w:top w:val="single" w:sz="18" w:space="0" w:color="E6E6E1" w:themeColor="accent5"/>
                              </w:pBdr>
                              <w:rPr>
                                <w:i/>
                                <w:iCs/>
                                <w:color w:val="00264D" w:themeColor="background2"/>
                                <w:sz w:val="18"/>
                                <w:szCs w:val="18"/>
                                <w:lang w:eastAsia="en-AU"/>
                              </w:rPr>
                            </w:pPr>
                            <w:r w:rsidRPr="00EB64A0">
                              <w:rPr>
                                <w:i/>
                                <w:iCs/>
                                <w:color w:val="F25E21" w:themeColor="accent2"/>
                                <w:lang w:val="en-US" w:eastAsia="en-AU"/>
                              </w:rPr>
                              <w:t xml:space="preserve">“Success comes from strong leadership.” </w:t>
                            </w:r>
                            <w:r>
                              <w:rPr>
                                <w:i/>
                                <w:iCs/>
                                <w:color w:val="F25E21" w:themeColor="accent2"/>
                                <w:lang w:val="en-US" w:eastAsia="en-AU"/>
                              </w:rPr>
                              <w:t xml:space="preserve">- </w:t>
                            </w:r>
                            <w:r>
                              <w:rPr>
                                <w:i/>
                                <w:iCs/>
                                <w:color w:val="00264D" w:themeColor="background2"/>
                                <w:sz w:val="18"/>
                                <w:szCs w:val="18"/>
                                <w:lang w:eastAsia="en-AU"/>
                              </w:rPr>
                              <w:t>ACCHO</w:t>
                            </w:r>
                            <w:r w:rsidRPr="003A5CE9">
                              <w:rPr>
                                <w:i/>
                                <w:iCs/>
                                <w:color w:val="00264D" w:themeColor="background2"/>
                                <w:sz w:val="18"/>
                                <w:szCs w:val="18"/>
                                <w:lang w:eastAsia="en-AU"/>
                              </w:rPr>
                              <w:t xml:space="preserve"> stakeholder </w:t>
                            </w:r>
                          </w:p>
                          <w:p w14:paraId="681D3564" w14:textId="77777777" w:rsidR="002E3023" w:rsidRDefault="002E3023" w:rsidP="002E3023">
                            <w:pPr>
                              <w:pStyle w:val="Callout"/>
                              <w:pBdr>
                                <w:top w:val="single" w:sz="18" w:space="0" w:color="E6E6E1" w:themeColor="accent5"/>
                              </w:pBdr>
                              <w:rPr>
                                <w:i/>
                                <w:iCs/>
                                <w:color w:val="F25E21" w:themeColor="accent2"/>
                                <w:lang w:val="en-US" w:eastAsia="en-AU"/>
                              </w:rPr>
                            </w:pPr>
                          </w:p>
                          <w:p w14:paraId="43962EEB" w14:textId="77777777" w:rsidR="002E3023" w:rsidRPr="00766157" w:rsidRDefault="002E3023" w:rsidP="002E3023">
                            <w:pPr>
                              <w:pStyle w:val="Callout"/>
                              <w:pBdr>
                                <w:top w:val="single" w:sz="18" w:space="0" w:color="E6E6E1" w:themeColor="accent5"/>
                              </w:pBdr>
                              <w:rPr>
                                <w:i/>
                                <w:iCs/>
                                <w:color w:val="00264D" w:themeColor="background2"/>
                                <w:sz w:val="18"/>
                                <w:szCs w:val="18"/>
                                <w:lang w:eastAsia="en-AU"/>
                              </w:rPr>
                            </w:pPr>
                          </w:p>
                          <w:p w14:paraId="7392D54B" w14:textId="77777777" w:rsidR="002E3023" w:rsidRPr="003F680B" w:rsidRDefault="002E3023" w:rsidP="002E3023">
                            <w:pPr>
                              <w:pStyle w:val="Callout"/>
                              <w:pBdr>
                                <w:top w:val="single" w:sz="18" w:space="0" w:color="E6E6E1" w:themeColor="accent5"/>
                              </w:pBdr>
                              <w:rPr>
                                <w:i/>
                                <w:iCs/>
                                <w:color w:val="00264D" w:themeColor="background2"/>
                                <w:sz w:val="18"/>
                                <w:szCs w:val="18"/>
                                <w:lang w:val="en-US" w:eastAsia="en-AU"/>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inline>
            </w:drawing>
          </mc:Choice>
          <mc:Fallback>
            <w:pict>
              <v:shape w14:anchorId="1C2597DF" id="Text Box 27" o:spid="_x0000_s1037" type="#_x0000_t202" alt="“Success comes from strong leadership.” - ACCHO stakeholder " style="width:297.35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" fillcolor="white [3201]" stroked="f" strokeweight=".5pt">
                <v:textbox inset="0,,1mm">
                  <w:txbxContent>
                    <w:p w14:paraId="1168449F" w14:textId="77777777" w:rsidR="002E3023" w:rsidRDefault="002E3023" w:rsidP="002E3023">
                      <w:pPr>
                        <w:pStyle w:val="Callout"/>
                        <w:pBdr>
                          <w:top w:val="single" w:sz="18" w:space="0" w:color="E6E6E1" w:themeColor="accent5"/>
                        </w:pBdr>
                        <w:rPr>
                          <w:i/>
                          <w:iCs/>
                          <w:color w:val="00264D" w:themeColor="background2"/>
                          <w:sz w:val="18"/>
                          <w:szCs w:val="18"/>
                          <w:lang w:eastAsia="en-AU"/>
                        </w:rPr>
                      </w:pPr>
                      <w:r w:rsidRPr="00EB64A0">
                        <w:rPr>
                          <w:i/>
                          <w:iCs/>
                          <w:color w:val="F25E21" w:themeColor="accent2"/>
                          <w:lang w:val="en-US" w:eastAsia="en-AU"/>
                        </w:rPr>
                        <w:t xml:space="preserve">“Success comes from strong leadership.” </w:t>
                      </w:r>
                      <w:r>
                        <w:rPr>
                          <w:i/>
                          <w:iCs/>
                          <w:color w:val="F25E21" w:themeColor="accent2"/>
                          <w:lang w:val="en-US" w:eastAsia="en-AU"/>
                        </w:rPr>
                        <w:t xml:space="preserve">- </w:t>
                      </w:r>
                      <w:r>
                        <w:rPr>
                          <w:i/>
                          <w:iCs/>
                          <w:color w:val="00264D" w:themeColor="background2"/>
                          <w:sz w:val="18"/>
                          <w:szCs w:val="18"/>
                          <w:lang w:eastAsia="en-AU"/>
                        </w:rPr>
                        <w:t>ACCHO</w:t>
                      </w:r>
                      <w:r w:rsidRPr="003A5CE9">
                        <w:rPr>
                          <w:i/>
                          <w:iCs/>
                          <w:color w:val="00264D" w:themeColor="background2"/>
                          <w:sz w:val="18"/>
                          <w:szCs w:val="18"/>
                          <w:lang w:eastAsia="en-AU"/>
                        </w:rPr>
                        <w:t xml:space="preserve"> stakeholder </w:t>
                      </w:r>
                    </w:p>
                    <w:p w14:paraId="681D3564" w14:textId="77777777" w:rsidR="002E3023" w:rsidRDefault="002E3023" w:rsidP="002E3023">
                      <w:pPr>
                        <w:pStyle w:val="Callout"/>
                        <w:pBdr>
                          <w:top w:val="single" w:sz="18" w:space="0" w:color="E6E6E1" w:themeColor="accent5"/>
                        </w:pBdr>
                        <w:rPr>
                          <w:i/>
                          <w:iCs/>
                          <w:color w:val="F25E21" w:themeColor="accent2"/>
                          <w:lang w:val="en-US" w:eastAsia="en-AU"/>
                        </w:rPr>
                      </w:pPr>
                    </w:p>
                    <w:p w14:paraId="43962EEB" w14:textId="77777777" w:rsidR="002E3023" w:rsidRPr="00766157" w:rsidRDefault="002E3023" w:rsidP="002E3023">
                      <w:pPr>
                        <w:pStyle w:val="Callout"/>
                        <w:pBdr>
                          <w:top w:val="single" w:sz="18" w:space="0" w:color="E6E6E1" w:themeColor="accent5"/>
                        </w:pBdr>
                        <w:rPr>
                          <w:i/>
                          <w:iCs/>
                          <w:color w:val="00264D" w:themeColor="background2"/>
                          <w:sz w:val="18"/>
                          <w:szCs w:val="18"/>
                          <w:lang w:eastAsia="en-AU"/>
                        </w:rPr>
                      </w:pPr>
                    </w:p>
                    <w:p w14:paraId="7392D54B" w14:textId="77777777" w:rsidR="002E3023" w:rsidRPr="003F680B" w:rsidRDefault="002E3023" w:rsidP="002E3023">
                      <w:pPr>
                        <w:pStyle w:val="Callout"/>
                        <w:pBdr>
                          <w:top w:val="single" w:sz="18" w:space="0" w:color="E6E6E1" w:themeColor="accent5"/>
                        </w:pBdr>
                        <w:rPr>
                          <w:i/>
                          <w:iCs/>
                          <w:color w:val="00264D" w:themeColor="background2"/>
                          <w:sz w:val="18"/>
                          <w:szCs w:val="18"/>
                          <w:lang w:val="en-US" w:eastAsia="en-AU"/>
                        </w:rPr>
                      </w:pPr>
                    </w:p>
                  </w:txbxContent>
                </v:textbox>
                <w10:anchorlock/>
              </v:shape>
            </w:pict>
          </mc:Fallback>
        </mc:AlternateContent>
      </w:r>
    </w:p>
    <w:p w14:paraId="40BB206E" w14:textId="3DB5D1D8" w:rsidR="00CE0E72" w:rsidRDefault="00DC368F" w:rsidP="00CE0E72">
      <w:pPr>
        <w:rPr>
          <w:b/>
          <w:bCs/>
          <w:color w:val="00264D" w:themeColor="background2"/>
          <w:sz w:val="20"/>
          <w:szCs w:val="24"/>
        </w:rPr>
      </w:pPr>
      <w:r w:rsidRPr="00063132">
        <w:rPr>
          <w:b/>
          <w:bCs/>
          <w:color w:val="00264D" w:themeColor="background2"/>
          <w:sz w:val="20"/>
          <w:szCs w:val="24"/>
        </w:rPr>
        <w:t>Transitioning, attracting and retaining staff requires careful planning </w:t>
      </w:r>
    </w:p>
    <w:p w14:paraId="4EA98853" w14:textId="3B624243" w:rsidR="008B418E" w:rsidRPr="00CE0E72" w:rsidRDefault="00CE0E72" w:rsidP="00DC368F">
      <w:pPr>
        <w:rPr>
          <w:b/>
          <w:bCs/>
          <w:color w:val="00264D" w:themeColor="background2"/>
          <w:sz w:val="20"/>
          <w:szCs w:val="24"/>
        </w:rPr>
      </w:pPr>
      <w:r>
        <w:rPr>
          <w:lang w:eastAsia="en-AU"/>
        </w:rPr>
        <w:t>A</w:t>
      </w:r>
      <w:r w:rsidR="00CE7730">
        <w:rPr>
          <w:lang w:eastAsia="en-AU"/>
        </w:rPr>
        <w:t xml:space="preserve"> critical part of transitioning an existing government run clinic to Aboriginal community control is the transition</w:t>
      </w:r>
      <w:r w:rsidR="00EA6EFA">
        <w:rPr>
          <w:lang w:eastAsia="en-AU"/>
        </w:rPr>
        <w:t xml:space="preserve">, attraction and retention of staff </w:t>
      </w:r>
      <w:r w:rsidR="00AB1989">
        <w:rPr>
          <w:lang w:eastAsia="en-AU"/>
        </w:rPr>
        <w:t xml:space="preserve">(including transitioning over to a </w:t>
      </w:r>
      <w:r w:rsidR="00CE7730">
        <w:rPr>
          <w:lang w:eastAsia="en-AU"/>
        </w:rPr>
        <w:t xml:space="preserve">private </w:t>
      </w:r>
      <w:r w:rsidR="00575C58">
        <w:rPr>
          <w:lang w:eastAsia="en-AU"/>
        </w:rPr>
        <w:t>enterprise bargaining agreement</w:t>
      </w:r>
      <w:r w:rsidR="00AB1989">
        <w:rPr>
          <w:lang w:eastAsia="en-AU"/>
        </w:rPr>
        <w:t>)</w:t>
      </w:r>
      <w:r w:rsidR="00CE7730">
        <w:rPr>
          <w:lang w:eastAsia="en-AU"/>
        </w:rPr>
        <w:t>.</w:t>
      </w:r>
      <w:r w:rsidR="00F139EF">
        <w:rPr>
          <w:lang w:eastAsia="en-AU"/>
        </w:rPr>
        <w:t xml:space="preserve"> While the P2CC </w:t>
      </w:r>
      <w:r w:rsidR="009B68B1">
        <w:rPr>
          <w:lang w:eastAsia="en-AU"/>
        </w:rPr>
        <w:t xml:space="preserve">program </w:t>
      </w:r>
      <w:r w:rsidR="00F139EF">
        <w:rPr>
          <w:lang w:eastAsia="en-AU"/>
        </w:rPr>
        <w:t xml:space="preserve">framework identifies that employing capable staff </w:t>
      </w:r>
      <w:r w:rsidR="00601AE4">
        <w:rPr>
          <w:lang w:eastAsia="en-AU"/>
        </w:rPr>
        <w:t>is</w:t>
      </w:r>
      <w:r w:rsidR="00F139EF">
        <w:rPr>
          <w:lang w:eastAsia="en-AU"/>
        </w:rPr>
        <w:t xml:space="preserve"> an important part of the transition workforce, there is no guidance around transitioning, attracting and retaining staff. </w:t>
      </w:r>
      <w:r w:rsidR="00547B23">
        <w:rPr>
          <w:lang w:eastAsia="en-AU"/>
        </w:rPr>
        <w:t xml:space="preserve">This </w:t>
      </w:r>
      <w:r w:rsidR="00A02AAC">
        <w:rPr>
          <w:lang w:eastAsia="en-AU"/>
        </w:rPr>
        <w:t>was seen as a</w:t>
      </w:r>
      <w:r w:rsidR="00781902">
        <w:rPr>
          <w:lang w:eastAsia="en-AU"/>
        </w:rPr>
        <w:t xml:space="preserve"> critical </w:t>
      </w:r>
      <w:r w:rsidR="00547B23">
        <w:rPr>
          <w:lang w:eastAsia="en-AU"/>
        </w:rPr>
        <w:t>process which</w:t>
      </w:r>
      <w:r w:rsidR="00A02AAC">
        <w:rPr>
          <w:lang w:eastAsia="en-AU"/>
        </w:rPr>
        <w:t xml:space="preserve"> several ACCHOs </w:t>
      </w:r>
      <w:r w:rsidR="00DE5DCE">
        <w:rPr>
          <w:lang w:eastAsia="en-AU"/>
        </w:rPr>
        <w:t xml:space="preserve">reported could have been better </w:t>
      </w:r>
      <w:r w:rsidR="0075066F">
        <w:rPr>
          <w:lang w:eastAsia="en-AU"/>
        </w:rPr>
        <w:t>handled</w:t>
      </w:r>
      <w:r w:rsidR="00104F35">
        <w:rPr>
          <w:lang w:eastAsia="en-AU"/>
        </w:rPr>
        <w:t xml:space="preserve">. </w:t>
      </w:r>
      <w:r w:rsidR="009D5E14">
        <w:rPr>
          <w:lang w:eastAsia="en-AU"/>
        </w:rPr>
        <w:t xml:space="preserve">Common issues raised included the </w:t>
      </w:r>
      <w:r w:rsidR="00104F35">
        <w:rPr>
          <w:lang w:eastAsia="en-AU"/>
        </w:rPr>
        <w:t>lack of</w:t>
      </w:r>
      <w:r w:rsidR="008B418E">
        <w:rPr>
          <w:lang w:eastAsia="en-AU"/>
        </w:rPr>
        <w:t xml:space="preserve"> communication</w:t>
      </w:r>
      <w:r w:rsidR="00104F35">
        <w:rPr>
          <w:lang w:eastAsia="en-AU"/>
        </w:rPr>
        <w:t xml:space="preserve"> </w:t>
      </w:r>
      <w:r w:rsidR="00DE5DCE">
        <w:rPr>
          <w:lang w:eastAsia="en-AU"/>
        </w:rPr>
        <w:t xml:space="preserve">to staff </w:t>
      </w:r>
      <w:r w:rsidR="008B418E">
        <w:rPr>
          <w:lang w:eastAsia="en-AU"/>
        </w:rPr>
        <w:t>and change management</w:t>
      </w:r>
      <w:r w:rsidR="00DE5DCE">
        <w:rPr>
          <w:lang w:eastAsia="en-AU"/>
        </w:rPr>
        <w:t xml:space="preserve"> </w:t>
      </w:r>
      <w:r w:rsidR="009D5E14">
        <w:rPr>
          <w:lang w:eastAsia="en-AU"/>
        </w:rPr>
        <w:t>processes</w:t>
      </w:r>
      <w:r w:rsidR="0035727F">
        <w:rPr>
          <w:lang w:eastAsia="en-AU"/>
        </w:rPr>
        <w:t xml:space="preserve"> around transition</w:t>
      </w:r>
      <w:r w:rsidR="008B418E">
        <w:rPr>
          <w:lang w:eastAsia="en-AU"/>
        </w:rPr>
        <w:t xml:space="preserve">, </w:t>
      </w:r>
      <w:r w:rsidR="00104F35">
        <w:rPr>
          <w:lang w:eastAsia="en-AU"/>
        </w:rPr>
        <w:t xml:space="preserve">limited </w:t>
      </w:r>
      <w:r w:rsidR="008B418E">
        <w:rPr>
          <w:lang w:eastAsia="en-AU"/>
        </w:rPr>
        <w:t>workforce planning and skills mapping prior to transition and</w:t>
      </w:r>
      <w:r w:rsidR="00BF1852">
        <w:rPr>
          <w:lang w:eastAsia="en-AU"/>
        </w:rPr>
        <w:t xml:space="preserve"> insufficient planning around</w:t>
      </w:r>
      <w:r w:rsidR="008B418E">
        <w:rPr>
          <w:lang w:eastAsia="en-AU"/>
        </w:rPr>
        <w:t xml:space="preserve"> </w:t>
      </w:r>
      <w:r w:rsidR="004C4724">
        <w:rPr>
          <w:lang w:eastAsia="en-AU"/>
        </w:rPr>
        <w:t xml:space="preserve">staff entitlements </w:t>
      </w:r>
      <w:r w:rsidR="0035727F">
        <w:rPr>
          <w:lang w:eastAsia="en-AU"/>
        </w:rPr>
        <w:t xml:space="preserve">during transition </w:t>
      </w:r>
      <w:r w:rsidR="00BF1852">
        <w:rPr>
          <w:lang w:eastAsia="en-AU"/>
        </w:rPr>
        <w:t xml:space="preserve">resulting in </w:t>
      </w:r>
      <w:r w:rsidR="004C4724">
        <w:rPr>
          <w:lang w:eastAsia="en-AU"/>
        </w:rPr>
        <w:t xml:space="preserve">legal </w:t>
      </w:r>
      <w:r w:rsidR="00104F35">
        <w:rPr>
          <w:lang w:eastAsia="en-AU"/>
        </w:rPr>
        <w:t>advice</w:t>
      </w:r>
      <w:r w:rsidR="00BF1852">
        <w:rPr>
          <w:lang w:eastAsia="en-AU"/>
        </w:rPr>
        <w:t xml:space="preserve"> being sought</w:t>
      </w:r>
      <w:r w:rsidR="00104F35">
        <w:rPr>
          <w:lang w:eastAsia="en-AU"/>
        </w:rPr>
        <w:t xml:space="preserve">. </w:t>
      </w:r>
    </w:p>
    <w:p w14:paraId="52AEDAA9" w14:textId="75E12EF7" w:rsidR="00CE7730" w:rsidRPr="00CE7730" w:rsidRDefault="00CE7730" w:rsidP="00DC368F">
      <w:pPr>
        <w:rPr>
          <w:lang w:eastAsia="en-AU"/>
        </w:rPr>
      </w:pPr>
      <w:r w:rsidRPr="00DC368F">
        <w:rPr>
          <w:lang w:eastAsia="en-AU"/>
        </w:rPr>
        <w:t>ACCHO</w:t>
      </w:r>
      <w:r w:rsidR="0086559D">
        <w:rPr>
          <w:lang w:eastAsia="en-AU"/>
        </w:rPr>
        <w:t>s</w:t>
      </w:r>
      <w:r w:rsidRPr="00DC368F">
        <w:rPr>
          <w:lang w:eastAsia="en-AU"/>
        </w:rPr>
        <w:t xml:space="preserve"> raised the importance of supporting </w:t>
      </w:r>
      <w:r>
        <w:rPr>
          <w:lang w:eastAsia="en-AU"/>
        </w:rPr>
        <w:t xml:space="preserve">government </w:t>
      </w:r>
      <w:r w:rsidRPr="00DC368F">
        <w:rPr>
          <w:lang w:eastAsia="en-AU"/>
        </w:rPr>
        <w:t>staff to transition over to new clinics</w:t>
      </w:r>
      <w:r>
        <w:rPr>
          <w:lang w:eastAsia="en-AU"/>
        </w:rPr>
        <w:t xml:space="preserve"> to ease the transition process</w:t>
      </w:r>
      <w:r w:rsidRPr="00DC368F">
        <w:rPr>
          <w:lang w:eastAsia="en-AU"/>
        </w:rPr>
        <w:t>. Sometimes it was difficult to persuade government staff to transition to the new</w:t>
      </w:r>
      <w:r w:rsidR="00915975">
        <w:rPr>
          <w:lang w:eastAsia="en-AU"/>
        </w:rPr>
        <w:t xml:space="preserve"> </w:t>
      </w:r>
      <w:r w:rsidR="005A759C">
        <w:rPr>
          <w:lang w:eastAsia="en-AU"/>
        </w:rPr>
        <w:t>AC</w:t>
      </w:r>
      <w:r w:rsidR="000C6018">
        <w:rPr>
          <w:lang w:eastAsia="en-AU"/>
        </w:rPr>
        <w:t>C</w:t>
      </w:r>
      <w:r w:rsidR="005A759C">
        <w:rPr>
          <w:lang w:eastAsia="en-AU"/>
        </w:rPr>
        <w:t>HO</w:t>
      </w:r>
      <w:r w:rsidRPr="00DC368F">
        <w:rPr>
          <w:lang w:eastAsia="en-AU"/>
        </w:rPr>
        <w:t>, causing gaps in staffing through transitions</w:t>
      </w:r>
      <w:r>
        <w:rPr>
          <w:lang w:eastAsia="en-AU"/>
        </w:rPr>
        <w:t xml:space="preserve">. For example, on the day of one clinic’s transition there was a critical shortage of nurses when the government nurses left the clinic. However, this shortage was able to be overcome by drawing on the existing pool of resources that the established ACCHO had in nearby communities. </w:t>
      </w:r>
      <w:r w:rsidRPr="00DC368F">
        <w:rPr>
          <w:lang w:eastAsia="en-AU"/>
        </w:rPr>
        <w:t>One ACCHO</w:t>
      </w:r>
      <w:r>
        <w:rPr>
          <w:lang w:eastAsia="en-AU"/>
        </w:rPr>
        <w:t xml:space="preserve"> offered</w:t>
      </w:r>
      <w:r w:rsidRPr="00DC368F">
        <w:rPr>
          <w:lang w:eastAsia="en-AU"/>
        </w:rPr>
        <w:t xml:space="preserve"> secondments to government staff to continue to work at the ACCHO for 12 months </w:t>
      </w:r>
      <w:r>
        <w:rPr>
          <w:lang w:eastAsia="en-AU"/>
        </w:rPr>
        <w:t xml:space="preserve">after the transition </w:t>
      </w:r>
      <w:r w:rsidRPr="00DC368F">
        <w:rPr>
          <w:lang w:eastAsia="en-AU"/>
        </w:rPr>
        <w:t>while retaining government employment and benefits</w:t>
      </w:r>
      <w:r>
        <w:rPr>
          <w:lang w:eastAsia="en-AU"/>
        </w:rPr>
        <w:t xml:space="preserve">. This was a successful strategy to take pressure off workforce issues. </w:t>
      </w:r>
      <w:r w:rsidR="00720B9B">
        <w:rPr>
          <w:noProof/>
        </w:rPr>
        <mc:AlternateContent>
          <mc:Choice Requires="wps">
            <w:drawing>
              <wp:inline distT="0" distB="0" distL="0" distR="0" wp14:anchorId="5AD3C206" wp14:editId="1121AC89">
                <wp:extent cx="5670550" cy="569022"/>
                <wp:effectExtent l="0" t="0" r="6350" b="2540"/>
                <wp:docPr id="29" name="Text Box 29" descr="“Why are local staff mostly casual? We put local Aboriginal people on permanent contracts so they get access to carers leave, family leave, travel and so on”.- ACCHO stakeholder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5670550" cy="5690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B3BF2A" w14:textId="77777777" w:rsidR="00720B9B" w:rsidRDefault="00720B9B" w:rsidP="00720B9B">
                            <w:pPr>
                              <w:pStyle w:val="Callout"/>
                              <w:pBdr>
                                <w:top w:val="single" w:sz="18" w:space="0" w:color="E6E6E1" w:themeColor="accent5"/>
                              </w:pBdr>
                              <w:rPr>
                                <w:i/>
                                <w:iCs/>
                                <w:color w:val="F25E21" w:themeColor="accent2"/>
                                <w:lang w:val="en-US" w:eastAsia="en-AU"/>
                              </w:rPr>
                            </w:pPr>
                            <w:r w:rsidRPr="002B4CEA">
                              <w:rPr>
                                <w:i/>
                                <w:iCs/>
                                <w:color w:val="F25E21" w:themeColor="accent2"/>
                                <w:lang w:eastAsia="en-AU"/>
                              </w:rPr>
                              <w:t>“Why are local staff mostly casual? We put local Aboriginal people on permanent contracts so they get access to carers leave, family leave, travel and so on”.</w:t>
                            </w:r>
                            <w:r>
                              <w:rPr>
                                <w:i/>
                                <w:iCs/>
                                <w:color w:val="F25E21" w:themeColor="accent2"/>
                                <w:lang w:val="en-US" w:eastAsia="en-AU"/>
                              </w:rPr>
                              <w:t xml:space="preserve">- </w:t>
                            </w:r>
                            <w:r>
                              <w:rPr>
                                <w:i/>
                                <w:iCs/>
                                <w:color w:val="00264D" w:themeColor="background2"/>
                                <w:sz w:val="18"/>
                                <w:szCs w:val="18"/>
                                <w:lang w:eastAsia="en-AU"/>
                              </w:rPr>
                              <w:t>ACCHO</w:t>
                            </w:r>
                            <w:r w:rsidRPr="003A5CE9">
                              <w:rPr>
                                <w:i/>
                                <w:iCs/>
                                <w:color w:val="00264D" w:themeColor="background2"/>
                                <w:sz w:val="18"/>
                                <w:szCs w:val="18"/>
                                <w:lang w:eastAsia="en-AU"/>
                              </w:rPr>
                              <w:t xml:space="preserve"> stakeholder </w:t>
                            </w:r>
                          </w:p>
                          <w:p w14:paraId="5FB98459" w14:textId="77777777" w:rsidR="00720B9B" w:rsidRPr="00766157" w:rsidRDefault="00720B9B" w:rsidP="00720B9B">
                            <w:pPr>
                              <w:pStyle w:val="Callout"/>
                              <w:pBdr>
                                <w:top w:val="single" w:sz="18" w:space="0" w:color="E6E6E1" w:themeColor="accent5"/>
                              </w:pBdr>
                              <w:rPr>
                                <w:i/>
                                <w:iCs/>
                                <w:color w:val="00264D" w:themeColor="background2"/>
                                <w:sz w:val="18"/>
                                <w:szCs w:val="18"/>
                                <w:lang w:eastAsia="en-AU"/>
                              </w:rPr>
                            </w:pPr>
                          </w:p>
                          <w:p w14:paraId="6B173F38" w14:textId="77777777" w:rsidR="00720B9B" w:rsidRPr="003F680B" w:rsidRDefault="00720B9B" w:rsidP="00720B9B">
                            <w:pPr>
                              <w:pStyle w:val="Callout"/>
                              <w:pBdr>
                                <w:top w:val="single" w:sz="18" w:space="0" w:color="E6E6E1" w:themeColor="accent5"/>
                              </w:pBdr>
                              <w:rPr>
                                <w:i/>
                                <w:iCs/>
                                <w:color w:val="00264D" w:themeColor="background2"/>
                                <w:sz w:val="18"/>
                                <w:szCs w:val="18"/>
                                <w:lang w:val="en-US" w:eastAsia="en-AU"/>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inline>
            </w:drawing>
          </mc:Choice>
          <mc:Fallback>
            <w:pict>
              <v:shape w14:anchorId="5AD3C206" id="Text Box 29" o:spid="_x0000_s1038" type="#_x0000_t202" alt="“Why are local staff mostly casual? We put local Aboriginal people on permanent contracts so they get access to carers leave, family leave, travel and so on”.- ACCHO stakeholder " style="width:446.5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" fillcolor="white [3201]" stroked="f" strokeweight=".5pt">
                <v:textbox inset="0,,1mm">
                  <w:txbxContent>
                    <w:p w14:paraId="59B3BF2A" w14:textId="77777777" w:rsidR="00720B9B" w:rsidRDefault="00720B9B" w:rsidP="00720B9B">
                      <w:pPr>
                        <w:pStyle w:val="Callout"/>
                        <w:pBdr>
                          <w:top w:val="single" w:sz="18" w:space="0" w:color="E6E6E1" w:themeColor="accent5"/>
                        </w:pBdr>
                        <w:rPr>
                          <w:i/>
                          <w:iCs/>
                          <w:color w:val="F25E21" w:themeColor="accent2"/>
                          <w:lang w:val="en-US" w:eastAsia="en-AU"/>
                        </w:rPr>
                      </w:pPr>
                      <w:r w:rsidRPr="002B4CEA">
                        <w:rPr>
                          <w:i/>
                          <w:iCs/>
                          <w:color w:val="F25E21" w:themeColor="accent2"/>
                          <w:lang w:eastAsia="en-AU"/>
                        </w:rPr>
                        <w:t>“Why are local staff mostly casual? We put local Aboriginal people on permanent contracts so they get access to carers leave, family leave, travel and so on</w:t>
                      </w:r>
                      <w:proofErr w:type="gramStart"/>
                      <w:r w:rsidRPr="002B4CEA">
                        <w:rPr>
                          <w:i/>
                          <w:iCs/>
                          <w:color w:val="F25E21" w:themeColor="accent2"/>
                          <w:lang w:eastAsia="en-AU"/>
                        </w:rPr>
                        <w:t>”.</w:t>
                      </w:r>
                      <w:r>
                        <w:rPr>
                          <w:i/>
                          <w:iCs/>
                          <w:color w:val="F25E21" w:themeColor="accent2"/>
                          <w:lang w:val="en-US" w:eastAsia="en-AU"/>
                        </w:rPr>
                        <w:t>-</w:t>
                      </w:r>
                      <w:proofErr w:type="gramEnd"/>
                      <w:r>
                        <w:rPr>
                          <w:i/>
                          <w:iCs/>
                          <w:color w:val="F25E21" w:themeColor="accent2"/>
                          <w:lang w:val="en-US" w:eastAsia="en-AU"/>
                        </w:rPr>
                        <w:t xml:space="preserve"> </w:t>
                      </w:r>
                      <w:r>
                        <w:rPr>
                          <w:i/>
                          <w:iCs/>
                          <w:color w:val="00264D" w:themeColor="background2"/>
                          <w:sz w:val="18"/>
                          <w:szCs w:val="18"/>
                          <w:lang w:eastAsia="en-AU"/>
                        </w:rPr>
                        <w:t>ACCHO</w:t>
                      </w:r>
                      <w:r w:rsidRPr="003A5CE9">
                        <w:rPr>
                          <w:i/>
                          <w:iCs/>
                          <w:color w:val="00264D" w:themeColor="background2"/>
                          <w:sz w:val="18"/>
                          <w:szCs w:val="18"/>
                          <w:lang w:eastAsia="en-AU"/>
                        </w:rPr>
                        <w:t xml:space="preserve"> stakeholder </w:t>
                      </w:r>
                    </w:p>
                    <w:p w14:paraId="5FB98459" w14:textId="77777777" w:rsidR="00720B9B" w:rsidRPr="00766157" w:rsidRDefault="00720B9B" w:rsidP="00720B9B">
                      <w:pPr>
                        <w:pStyle w:val="Callout"/>
                        <w:pBdr>
                          <w:top w:val="single" w:sz="18" w:space="0" w:color="E6E6E1" w:themeColor="accent5"/>
                        </w:pBdr>
                        <w:rPr>
                          <w:i/>
                          <w:iCs/>
                          <w:color w:val="00264D" w:themeColor="background2"/>
                          <w:sz w:val="18"/>
                          <w:szCs w:val="18"/>
                          <w:lang w:eastAsia="en-AU"/>
                        </w:rPr>
                      </w:pPr>
                    </w:p>
                    <w:p w14:paraId="6B173F38" w14:textId="77777777" w:rsidR="00720B9B" w:rsidRPr="003F680B" w:rsidRDefault="00720B9B" w:rsidP="00720B9B">
                      <w:pPr>
                        <w:pStyle w:val="Callout"/>
                        <w:pBdr>
                          <w:top w:val="single" w:sz="18" w:space="0" w:color="E6E6E1" w:themeColor="accent5"/>
                        </w:pBdr>
                        <w:rPr>
                          <w:i/>
                          <w:iCs/>
                          <w:color w:val="00264D" w:themeColor="background2"/>
                          <w:sz w:val="18"/>
                          <w:szCs w:val="18"/>
                          <w:lang w:val="en-US" w:eastAsia="en-AU"/>
                        </w:rPr>
                      </w:pPr>
                    </w:p>
                  </w:txbxContent>
                </v:textbox>
                <w10:anchorlock/>
              </v:shape>
            </w:pict>
          </mc:Fallback>
        </mc:AlternateContent>
      </w:r>
    </w:p>
    <w:p w14:paraId="3D2535D3" w14:textId="2A0236BF" w:rsidR="00DC368F" w:rsidRPr="00DC368F" w:rsidRDefault="00DC368F" w:rsidP="00DC368F">
      <w:pPr>
        <w:rPr>
          <w:lang w:eastAsia="en-AU"/>
        </w:rPr>
      </w:pPr>
      <w:r w:rsidRPr="00DC368F">
        <w:rPr>
          <w:lang w:eastAsia="en-AU"/>
        </w:rPr>
        <w:t xml:space="preserve">Several ACCHOs </w:t>
      </w:r>
      <w:r w:rsidR="00E749BF">
        <w:rPr>
          <w:lang w:eastAsia="en-AU"/>
        </w:rPr>
        <w:t xml:space="preserve">reported that staff attraction and </w:t>
      </w:r>
      <w:r w:rsidRPr="00DC368F">
        <w:rPr>
          <w:lang w:eastAsia="en-AU"/>
        </w:rPr>
        <w:t xml:space="preserve">retention </w:t>
      </w:r>
      <w:r w:rsidR="00AF69A9">
        <w:rPr>
          <w:lang w:eastAsia="en-AU"/>
        </w:rPr>
        <w:t>was</w:t>
      </w:r>
      <w:r w:rsidRPr="00DC368F">
        <w:rPr>
          <w:lang w:eastAsia="en-AU"/>
        </w:rPr>
        <w:t xml:space="preserve"> a key issue</w:t>
      </w:r>
      <w:r w:rsidR="00184B6A">
        <w:rPr>
          <w:lang w:eastAsia="en-AU"/>
        </w:rPr>
        <w:t xml:space="preserve"> </w:t>
      </w:r>
      <w:r w:rsidR="00D24B40">
        <w:rPr>
          <w:lang w:eastAsia="en-AU"/>
        </w:rPr>
        <w:t xml:space="preserve">throughout </w:t>
      </w:r>
      <w:r w:rsidR="00184B6A">
        <w:rPr>
          <w:lang w:eastAsia="en-AU"/>
        </w:rPr>
        <w:t>transitions</w:t>
      </w:r>
      <w:r w:rsidRPr="00DC368F">
        <w:rPr>
          <w:lang w:eastAsia="en-AU"/>
        </w:rPr>
        <w:t xml:space="preserve">. </w:t>
      </w:r>
      <w:r w:rsidR="000F1BBE">
        <w:rPr>
          <w:lang w:eastAsia="en-AU"/>
        </w:rPr>
        <w:t xml:space="preserve">This was particularly important for new ACCHOs hiring staff for the first time. </w:t>
      </w:r>
      <w:r w:rsidRPr="00DC368F">
        <w:rPr>
          <w:lang w:eastAsia="en-AU"/>
        </w:rPr>
        <w:t>Having adequate staff housing, permanent contracts, competitive salaries</w:t>
      </w:r>
      <w:r w:rsidR="0064037D">
        <w:rPr>
          <w:lang w:eastAsia="en-AU"/>
        </w:rPr>
        <w:t xml:space="preserve"> to government salaries</w:t>
      </w:r>
      <w:r w:rsidRPr="00DC368F">
        <w:rPr>
          <w:lang w:eastAsia="en-AU"/>
        </w:rPr>
        <w:t xml:space="preserve">, personal leave and travel compensation were noted as essential to attract and retain </w:t>
      </w:r>
      <w:r w:rsidR="006D0BDD">
        <w:rPr>
          <w:lang w:eastAsia="en-AU"/>
        </w:rPr>
        <w:t xml:space="preserve">both corporate and clinical </w:t>
      </w:r>
      <w:r w:rsidRPr="00DC368F">
        <w:rPr>
          <w:lang w:eastAsia="en-AU"/>
        </w:rPr>
        <w:t>staff, particularly in very remote areas. </w:t>
      </w:r>
      <w:r w:rsidR="005D56C6">
        <w:rPr>
          <w:lang w:eastAsia="en-AU"/>
        </w:rPr>
        <w:t>Government stakeholders note that this challenge was not unique for ACCHOs, with many government</w:t>
      </w:r>
      <w:r w:rsidR="00C41EDA">
        <w:rPr>
          <w:lang w:eastAsia="en-AU"/>
        </w:rPr>
        <w:t>-</w:t>
      </w:r>
      <w:r w:rsidR="005D56C6">
        <w:rPr>
          <w:lang w:eastAsia="en-AU"/>
        </w:rPr>
        <w:t xml:space="preserve">run health services </w:t>
      </w:r>
      <w:r w:rsidR="00C41EDA">
        <w:rPr>
          <w:lang w:eastAsia="en-AU"/>
        </w:rPr>
        <w:t xml:space="preserve">across the </w:t>
      </w:r>
      <w:r w:rsidR="00CA52D1">
        <w:rPr>
          <w:lang w:eastAsia="en-AU"/>
        </w:rPr>
        <w:t xml:space="preserve">NT </w:t>
      </w:r>
      <w:r w:rsidR="005D56C6">
        <w:rPr>
          <w:lang w:eastAsia="en-AU"/>
        </w:rPr>
        <w:t xml:space="preserve">experiencing workforce issues, particularly in remote </w:t>
      </w:r>
      <w:r w:rsidR="00C41EDA">
        <w:rPr>
          <w:lang w:eastAsia="en-AU"/>
        </w:rPr>
        <w:t>areas</w:t>
      </w:r>
      <w:r w:rsidR="004453B1">
        <w:rPr>
          <w:lang w:eastAsia="en-AU"/>
        </w:rPr>
        <w:t xml:space="preserve"> </w:t>
      </w:r>
      <w:r w:rsidR="003621B8">
        <w:rPr>
          <w:lang w:eastAsia="en-AU"/>
        </w:rPr>
        <w:t>which has been</w:t>
      </w:r>
      <w:r w:rsidR="004453B1">
        <w:rPr>
          <w:lang w:eastAsia="en-AU"/>
        </w:rPr>
        <w:t xml:space="preserve"> exasperated by COVID-19.</w:t>
      </w:r>
      <w:r w:rsidR="007D5064">
        <w:rPr>
          <w:lang w:eastAsia="en-AU"/>
        </w:rPr>
        <w:t xml:space="preserve"> </w:t>
      </w:r>
      <w:r w:rsidR="00B362D4">
        <w:rPr>
          <w:lang w:eastAsia="en-AU"/>
        </w:rPr>
        <w:t>However,</w:t>
      </w:r>
      <w:r w:rsidR="007D5064">
        <w:rPr>
          <w:lang w:eastAsia="en-AU"/>
        </w:rPr>
        <w:t xml:space="preserve"> it was noted that government-run health services have a much larger pool of resources to draw from to address shortages. </w:t>
      </w:r>
    </w:p>
    <w:p w14:paraId="1815F7F8" w14:textId="6A5F2704" w:rsidR="00DC368F" w:rsidRPr="00DC368F" w:rsidRDefault="00DC368F" w:rsidP="00DC368F">
      <w:pPr>
        <w:rPr>
          <w:lang w:eastAsia="en-AU"/>
        </w:rPr>
      </w:pPr>
      <w:r w:rsidRPr="00DC368F">
        <w:rPr>
          <w:lang w:eastAsia="en-AU"/>
        </w:rPr>
        <w:t>Some ACCHO</w:t>
      </w:r>
      <w:r w:rsidR="00E87F70">
        <w:rPr>
          <w:lang w:eastAsia="en-AU"/>
        </w:rPr>
        <w:t xml:space="preserve"> stakeholder</w:t>
      </w:r>
      <w:r w:rsidRPr="00DC368F">
        <w:rPr>
          <w:lang w:eastAsia="en-AU"/>
        </w:rPr>
        <w:t>s commented on the benefit of employing local staff as soon as possible which encourages other local</w:t>
      </w:r>
      <w:r w:rsidR="005C0B24">
        <w:rPr>
          <w:lang w:eastAsia="en-AU"/>
        </w:rPr>
        <w:t xml:space="preserve"> staff </w:t>
      </w:r>
      <w:r w:rsidRPr="00DC368F">
        <w:rPr>
          <w:lang w:eastAsia="en-AU"/>
        </w:rPr>
        <w:t xml:space="preserve">to join. </w:t>
      </w:r>
      <w:r w:rsidR="00706CD3">
        <w:rPr>
          <w:lang w:eastAsia="en-AU"/>
        </w:rPr>
        <w:t xml:space="preserve">Stakeholders commented on the shortages of nurses and Aboriginal Health Practitioners in many remote areas, however having </w:t>
      </w:r>
      <w:r w:rsidR="000C7AF5">
        <w:rPr>
          <w:lang w:eastAsia="en-AU"/>
        </w:rPr>
        <w:t xml:space="preserve">existing </w:t>
      </w:r>
      <w:r w:rsidRPr="00DC368F">
        <w:rPr>
          <w:lang w:eastAsia="en-AU"/>
        </w:rPr>
        <w:t xml:space="preserve">community contacts </w:t>
      </w:r>
      <w:r w:rsidR="00F91288">
        <w:rPr>
          <w:lang w:eastAsia="en-AU"/>
        </w:rPr>
        <w:t xml:space="preserve">and relationships </w:t>
      </w:r>
      <w:r w:rsidRPr="00DC368F">
        <w:rPr>
          <w:lang w:eastAsia="en-AU"/>
        </w:rPr>
        <w:t>was helpful</w:t>
      </w:r>
      <w:r w:rsidR="0004438B">
        <w:rPr>
          <w:lang w:eastAsia="en-AU"/>
        </w:rPr>
        <w:t xml:space="preserve"> to employing local staff</w:t>
      </w:r>
      <w:r w:rsidR="00706CD3">
        <w:rPr>
          <w:lang w:eastAsia="en-AU"/>
        </w:rPr>
        <w:t xml:space="preserve"> and building the clinic’s workforce.</w:t>
      </w:r>
      <w:r w:rsidRPr="00DC368F">
        <w:rPr>
          <w:lang w:eastAsia="en-AU"/>
        </w:rPr>
        <w:t xml:space="preserve"> Tailoring employment to support local </w:t>
      </w:r>
      <w:r w:rsidR="0004438B">
        <w:rPr>
          <w:lang w:eastAsia="en-AU"/>
        </w:rPr>
        <w:t xml:space="preserve">Aboriginal </w:t>
      </w:r>
      <w:r w:rsidRPr="00DC368F">
        <w:rPr>
          <w:lang w:eastAsia="en-AU"/>
        </w:rPr>
        <w:t xml:space="preserve">employees, including </w:t>
      </w:r>
      <w:r w:rsidR="00BF4BC7">
        <w:rPr>
          <w:lang w:eastAsia="en-AU"/>
        </w:rPr>
        <w:t xml:space="preserve">desirable working hours and </w:t>
      </w:r>
      <w:r w:rsidRPr="00DC368F">
        <w:rPr>
          <w:lang w:eastAsia="en-AU"/>
        </w:rPr>
        <w:t>leave for cultural events was also important. </w:t>
      </w:r>
    </w:p>
    <w:p w14:paraId="1DD693ED" w14:textId="77777777" w:rsidR="00DC368F" w:rsidRPr="00063132" w:rsidRDefault="00DC368F" w:rsidP="00063132">
      <w:pPr>
        <w:rPr>
          <w:b/>
          <w:bCs/>
          <w:color w:val="00264D" w:themeColor="background2"/>
          <w:sz w:val="20"/>
          <w:szCs w:val="24"/>
          <w:lang w:val="en-US"/>
        </w:rPr>
      </w:pPr>
      <w:r w:rsidRPr="00063132">
        <w:rPr>
          <w:b/>
          <w:bCs/>
          <w:color w:val="00264D" w:themeColor="background2"/>
          <w:sz w:val="20"/>
          <w:szCs w:val="24"/>
        </w:rPr>
        <w:t>Establishing service relationships with ACCHOs and remaining NTG services is essential</w:t>
      </w:r>
    </w:p>
    <w:p w14:paraId="4BF5B2BB" w14:textId="31FAFFD9" w:rsidR="00DC368F" w:rsidRDefault="00285594" w:rsidP="00DC368F">
      <w:pPr>
        <w:rPr>
          <w:lang w:eastAsia="en-AU"/>
        </w:rPr>
      </w:pPr>
      <w:r>
        <w:rPr>
          <w:lang w:eastAsia="en-AU"/>
        </w:rPr>
        <w:t>Several</w:t>
      </w:r>
      <w:r w:rsidR="00DC368F" w:rsidRPr="00DC368F">
        <w:rPr>
          <w:lang w:eastAsia="en-AU"/>
        </w:rPr>
        <w:t xml:space="preserve"> stakeholders noted the importance of establishing strong relationships between the ACCHO and </w:t>
      </w:r>
      <w:r w:rsidR="00DC368F" w:rsidRPr="00683FFE">
        <w:rPr>
          <w:lang w:eastAsia="en-AU"/>
        </w:rPr>
        <w:t>remaining (non-primary health care) NTG services that support the communities, and ensuring services are maintained at the level needed</w:t>
      </w:r>
      <w:r w:rsidR="00BC37EE" w:rsidRPr="00683FFE">
        <w:rPr>
          <w:lang w:eastAsia="en-AU"/>
        </w:rPr>
        <w:t xml:space="preserve"> by the community</w:t>
      </w:r>
      <w:r w:rsidR="00DC368F" w:rsidRPr="00683FFE">
        <w:rPr>
          <w:lang w:eastAsia="en-AU"/>
        </w:rPr>
        <w:t xml:space="preserve">. The transition is high-risk </w:t>
      </w:r>
      <w:r w:rsidR="00AB6004" w:rsidRPr="00683FFE">
        <w:rPr>
          <w:lang w:eastAsia="en-AU"/>
        </w:rPr>
        <w:t>in terms of the</w:t>
      </w:r>
      <w:r w:rsidR="00DC368F" w:rsidRPr="00683FFE">
        <w:rPr>
          <w:lang w:eastAsia="en-AU"/>
        </w:rPr>
        <w:t xml:space="preserve"> continuity of services to the community</w:t>
      </w:r>
      <w:r w:rsidR="00B62FA3" w:rsidRPr="00683FFE">
        <w:rPr>
          <w:lang w:eastAsia="en-AU"/>
        </w:rPr>
        <w:t xml:space="preserve"> and </w:t>
      </w:r>
      <w:r w:rsidR="001A3999" w:rsidRPr="00683FFE">
        <w:rPr>
          <w:lang w:eastAsia="en-AU"/>
        </w:rPr>
        <w:t>so a</w:t>
      </w:r>
      <w:r w:rsidR="00C93533" w:rsidRPr="00683FFE">
        <w:rPr>
          <w:lang w:eastAsia="en-AU"/>
        </w:rPr>
        <w:t xml:space="preserve"> smooth handover to the ACCHO is important. </w:t>
      </w:r>
      <w:r w:rsidR="005D6803" w:rsidRPr="00683FFE">
        <w:rPr>
          <w:lang w:eastAsia="en-AU"/>
        </w:rPr>
        <w:t xml:space="preserve">The transition is </w:t>
      </w:r>
      <w:r w:rsidR="00B62FA3" w:rsidRPr="00683FFE">
        <w:rPr>
          <w:lang w:eastAsia="en-AU"/>
        </w:rPr>
        <w:t xml:space="preserve">also </w:t>
      </w:r>
      <w:r w:rsidR="005D6803" w:rsidRPr="00683FFE">
        <w:rPr>
          <w:lang w:eastAsia="en-AU"/>
        </w:rPr>
        <w:t>high-risk in terms of</w:t>
      </w:r>
      <w:r w:rsidR="007463EB" w:rsidRPr="00683FFE">
        <w:rPr>
          <w:lang w:eastAsia="en-AU"/>
        </w:rPr>
        <w:t xml:space="preserve"> the maintenance of engagement with secondary and tertiary </w:t>
      </w:r>
      <w:r w:rsidR="00AB6004" w:rsidRPr="00683FFE">
        <w:rPr>
          <w:lang w:eastAsia="en-AU"/>
        </w:rPr>
        <w:t>providers</w:t>
      </w:r>
      <w:r w:rsidR="00DC368F" w:rsidRPr="00683FFE">
        <w:rPr>
          <w:lang w:eastAsia="en-AU"/>
        </w:rPr>
        <w:t xml:space="preserve">. </w:t>
      </w:r>
      <w:r w:rsidR="00D45DF0" w:rsidRPr="00683FFE">
        <w:rPr>
          <w:lang w:eastAsia="en-AU"/>
        </w:rPr>
        <w:t xml:space="preserve">Having strong and enduring relationships with NTG services is </w:t>
      </w:r>
      <w:r w:rsidR="00EF173B" w:rsidRPr="00683FFE">
        <w:rPr>
          <w:lang w:eastAsia="en-AU"/>
        </w:rPr>
        <w:t>not only desired but is critical</w:t>
      </w:r>
      <w:r w:rsidR="00E87B05" w:rsidRPr="00683FFE">
        <w:rPr>
          <w:lang w:eastAsia="en-AU"/>
        </w:rPr>
        <w:t>.</w:t>
      </w:r>
      <w:r w:rsidR="00796849" w:rsidRPr="00683FFE">
        <w:rPr>
          <w:lang w:eastAsia="en-AU"/>
        </w:rPr>
        <w:t xml:space="preserve"> </w:t>
      </w:r>
      <w:r w:rsidR="005E1EC1" w:rsidRPr="00683FFE">
        <w:rPr>
          <w:lang w:eastAsia="en-AU"/>
        </w:rPr>
        <w:t xml:space="preserve">The </w:t>
      </w:r>
      <w:r w:rsidR="00A55AAE" w:rsidRPr="00683FFE">
        <w:rPr>
          <w:lang w:eastAsia="en-AU"/>
        </w:rPr>
        <w:t>NTG</w:t>
      </w:r>
      <w:r w:rsidR="00796849" w:rsidRPr="00683FFE">
        <w:rPr>
          <w:lang w:eastAsia="en-AU"/>
        </w:rPr>
        <w:t xml:space="preserve"> can draw on a </w:t>
      </w:r>
      <w:r w:rsidR="00CA52D1">
        <w:rPr>
          <w:lang w:eastAsia="en-AU"/>
        </w:rPr>
        <w:t>NT</w:t>
      </w:r>
      <w:r w:rsidR="00796849" w:rsidRPr="00683FFE">
        <w:rPr>
          <w:lang w:eastAsia="en-AU"/>
        </w:rPr>
        <w:t>-wide workforce and capability</w:t>
      </w:r>
      <w:r w:rsidR="00F9685B" w:rsidRPr="00683FFE">
        <w:rPr>
          <w:lang w:eastAsia="en-AU"/>
        </w:rPr>
        <w:t xml:space="preserve"> to fill workforce gaps which is not available in the same way for ACCHOs without the relationships with NTG services.</w:t>
      </w:r>
      <w:r w:rsidR="00DC368F" w:rsidRPr="00683FFE">
        <w:rPr>
          <w:lang w:eastAsia="en-AU"/>
        </w:rPr>
        <w:t xml:space="preserve"> Being clear about what is needed and what issues or concerns will be responded to </w:t>
      </w:r>
      <w:r w:rsidR="00DF36E5" w:rsidRPr="00683FFE">
        <w:rPr>
          <w:lang w:eastAsia="en-AU"/>
        </w:rPr>
        <w:t>was seen as</w:t>
      </w:r>
      <w:r w:rsidR="00DC368F" w:rsidRPr="00683FFE">
        <w:rPr>
          <w:lang w:eastAsia="en-AU"/>
        </w:rPr>
        <w:t xml:space="preserve"> </w:t>
      </w:r>
      <w:r w:rsidR="00804F2E" w:rsidRPr="00683FFE">
        <w:rPr>
          <w:lang w:eastAsia="en-AU"/>
        </w:rPr>
        <w:t>critical</w:t>
      </w:r>
      <w:r w:rsidR="00DC368F" w:rsidRPr="00683FFE">
        <w:rPr>
          <w:lang w:eastAsia="en-AU"/>
        </w:rPr>
        <w:t>.</w:t>
      </w:r>
      <w:r w:rsidR="00DC368F" w:rsidRPr="00DC368F">
        <w:rPr>
          <w:lang w:eastAsia="en-AU"/>
        </w:rPr>
        <w:t> </w:t>
      </w:r>
    </w:p>
    <w:p w14:paraId="6062998C" w14:textId="77777777" w:rsidR="002E3023" w:rsidRDefault="008A6DCD" w:rsidP="0040125E">
      <w:pPr>
        <w:rPr>
          <w:lang w:eastAsia="en-AU"/>
        </w:rPr>
      </w:pPr>
      <w:r>
        <w:rPr>
          <w:noProof/>
        </w:rPr>
        <w:lastRenderedPageBreak/>
        <mc:AlternateContent>
          <mc:Choice Requires="wps">
            <w:drawing>
              <wp:inline distT="0" distB="0" distL="0" distR="0" wp14:anchorId="2D23F1A9" wp14:editId="513892AF">
                <wp:extent cx="5474525" cy="819397"/>
                <wp:effectExtent l="0" t="0" r="0" b="3175"/>
                <wp:docPr id="30" name="Text Box 30" descr="“Aboriginal Health Services (AHS) in general in the Territory sometimes have a bad name, but now I have gone through a transition, it explains it. It’s like NTG is in competition with AHSs” – ACCHO stakeholder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5474525"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4D8769" w14:textId="3F8525F0" w:rsidR="000C6018" w:rsidRPr="00E62AD2" w:rsidRDefault="000C6018" w:rsidP="008A6DCD">
                            <w:pPr>
                              <w:pStyle w:val="Callout"/>
                              <w:pBdr>
                                <w:top w:val="single" w:sz="18" w:space="0" w:color="E6E6E1" w:themeColor="accent5"/>
                              </w:pBdr>
                              <w:rPr>
                                <w:color w:val="00264D" w:themeColor="background2"/>
                                <w:sz w:val="18"/>
                                <w:szCs w:val="18"/>
                              </w:rPr>
                            </w:pPr>
                            <w:r w:rsidRPr="00E03CC3">
                              <w:rPr>
                                <w:i/>
                                <w:color w:val="F25E21" w:themeColor="accent2"/>
                                <w:lang w:val="en-US" w:eastAsia="en-AU"/>
                              </w:rPr>
                              <w:t>“Aboriginal Health Services</w:t>
                            </w:r>
                            <w:r>
                              <w:rPr>
                                <w:i/>
                                <w:color w:val="F25E21" w:themeColor="accent2"/>
                                <w:lang w:val="en-US" w:eastAsia="en-AU"/>
                              </w:rPr>
                              <w:t xml:space="preserve"> (AHS)</w:t>
                            </w:r>
                            <w:r w:rsidRPr="00E03CC3">
                              <w:rPr>
                                <w:i/>
                                <w:color w:val="F25E21" w:themeColor="accent2"/>
                                <w:lang w:val="en-US" w:eastAsia="en-AU"/>
                              </w:rPr>
                              <w:t xml:space="preserve"> in general in the Territory sometimes have a bad name, but now I have gone through a transition, it explains it. It</w:t>
                            </w:r>
                            <w:r>
                              <w:rPr>
                                <w:i/>
                                <w:color w:val="F25E21" w:themeColor="accent2"/>
                                <w:lang w:val="en-US" w:eastAsia="en-AU"/>
                              </w:rPr>
                              <w:t>’</w:t>
                            </w:r>
                            <w:r w:rsidRPr="00E03CC3">
                              <w:rPr>
                                <w:i/>
                                <w:color w:val="F25E21" w:themeColor="accent2"/>
                                <w:lang w:val="en-US" w:eastAsia="en-AU"/>
                              </w:rPr>
                              <w:t>s like NTG is in competition with AHSs”</w:t>
                            </w:r>
                            <w:r>
                              <w:rPr>
                                <w:i/>
                                <w:iCs/>
                                <w:color w:val="00264D" w:themeColor="background2"/>
                                <w:sz w:val="18"/>
                                <w:szCs w:val="18"/>
                                <w:lang w:val="en-US" w:eastAsia="en-AU"/>
                              </w:rPr>
                              <w:t xml:space="preserve"> – ACCHO stakeholder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inline>
            </w:drawing>
          </mc:Choice>
          <mc:Fallback>
            <w:pict>
              <v:shape w14:anchorId="2D23F1A9" id="Text Box 30" o:spid="_x0000_s1039" type="#_x0000_t202" alt="“Aboriginal Health Services (AHS) in general in the Territory sometimes have a bad name, but now I have gone through a transition, it explains it. It’s like NTG is in competition with AHSs” – ACCHO stakeholder " style="width:431.05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" fillcolor="white [3201]" stroked="f" strokeweight=".5pt">
                <v:textbox style="mso-fit-shape-to-text:t" inset="0,,1mm">
                  <w:txbxContent>
                    <w:p w14:paraId="094D8769" w14:textId="3F8525F0" w:rsidR="000C6018" w:rsidRPr="00E62AD2" w:rsidRDefault="000C6018" w:rsidP="008A6DCD">
                      <w:pPr>
                        <w:pStyle w:val="Callout"/>
                        <w:pBdr>
                          <w:top w:val="single" w:sz="18" w:space="0" w:color="E6E6E1" w:themeColor="accent5"/>
                        </w:pBdr>
                        <w:rPr>
                          <w:color w:val="00264D" w:themeColor="background2"/>
                          <w:sz w:val="18"/>
                          <w:szCs w:val="18"/>
                        </w:rPr>
                      </w:pPr>
                      <w:r w:rsidRPr="00E03CC3">
                        <w:rPr>
                          <w:i/>
                          <w:color w:val="F25E21" w:themeColor="accent2"/>
                          <w:lang w:val="en-US" w:eastAsia="en-AU"/>
                        </w:rPr>
                        <w:t>“Aboriginal Health Services</w:t>
                      </w:r>
                      <w:r>
                        <w:rPr>
                          <w:i/>
                          <w:color w:val="F25E21" w:themeColor="accent2"/>
                          <w:lang w:val="en-US" w:eastAsia="en-AU"/>
                        </w:rPr>
                        <w:t xml:space="preserve"> (AHS)</w:t>
                      </w:r>
                      <w:r w:rsidRPr="00E03CC3">
                        <w:rPr>
                          <w:i/>
                          <w:color w:val="F25E21" w:themeColor="accent2"/>
                          <w:lang w:val="en-US" w:eastAsia="en-AU"/>
                        </w:rPr>
                        <w:t xml:space="preserve"> in general in the Territory sometimes have a bad name, but now I have gone through a transition, it explains it. It</w:t>
                      </w:r>
                      <w:r>
                        <w:rPr>
                          <w:i/>
                          <w:color w:val="F25E21" w:themeColor="accent2"/>
                          <w:lang w:val="en-US" w:eastAsia="en-AU"/>
                        </w:rPr>
                        <w:t>’</w:t>
                      </w:r>
                      <w:r w:rsidRPr="00E03CC3">
                        <w:rPr>
                          <w:i/>
                          <w:color w:val="F25E21" w:themeColor="accent2"/>
                          <w:lang w:val="en-US" w:eastAsia="en-AU"/>
                        </w:rPr>
                        <w:t>s like NTG is in competition with AHSs”</w:t>
                      </w:r>
                      <w:r>
                        <w:rPr>
                          <w:i/>
                          <w:iCs/>
                          <w:color w:val="00264D" w:themeColor="background2"/>
                          <w:sz w:val="18"/>
                          <w:szCs w:val="18"/>
                          <w:lang w:val="en-US" w:eastAsia="en-AU"/>
                        </w:rPr>
                        <w:t xml:space="preserve"> – ACCHO stakeholder </w:t>
                      </w:r>
                    </w:p>
                  </w:txbxContent>
                </v:textbox>
                <w10:anchorlock/>
              </v:shape>
            </w:pict>
          </mc:Fallback>
        </mc:AlternateContent>
      </w:r>
    </w:p>
    <w:p w14:paraId="07535FC9" w14:textId="3FBA1273" w:rsidR="0040125E" w:rsidRDefault="00D81229" w:rsidP="0040125E">
      <w:pPr>
        <w:rPr>
          <w:lang w:eastAsia="en-AU"/>
        </w:rPr>
      </w:pPr>
      <w:r>
        <w:rPr>
          <w:lang w:eastAsia="en-AU"/>
        </w:rPr>
        <w:t xml:space="preserve">Several </w:t>
      </w:r>
      <w:r w:rsidR="00A709A4">
        <w:rPr>
          <w:lang w:eastAsia="en-AU"/>
        </w:rPr>
        <w:t>ACCHOs</w:t>
      </w:r>
      <w:r w:rsidR="00557A50">
        <w:rPr>
          <w:lang w:eastAsia="en-AU"/>
        </w:rPr>
        <w:t xml:space="preserve"> </w:t>
      </w:r>
      <w:r w:rsidR="00A709A4">
        <w:rPr>
          <w:lang w:eastAsia="en-AU"/>
        </w:rPr>
        <w:t xml:space="preserve">commented on </w:t>
      </w:r>
      <w:r w:rsidR="00241350">
        <w:rPr>
          <w:lang w:eastAsia="en-AU"/>
        </w:rPr>
        <w:t xml:space="preserve">the fact that transitioning </w:t>
      </w:r>
      <w:r>
        <w:rPr>
          <w:lang w:eastAsia="en-AU"/>
        </w:rPr>
        <w:t xml:space="preserve">health services did not always feel like a </w:t>
      </w:r>
      <w:r w:rsidR="00557A50">
        <w:rPr>
          <w:lang w:eastAsia="en-AU"/>
        </w:rPr>
        <w:t xml:space="preserve">collaborative, </w:t>
      </w:r>
      <w:r>
        <w:rPr>
          <w:lang w:eastAsia="en-AU"/>
        </w:rPr>
        <w:t xml:space="preserve">partnership </w:t>
      </w:r>
      <w:r w:rsidR="00A63305">
        <w:rPr>
          <w:lang w:eastAsia="en-AU"/>
        </w:rPr>
        <w:t>process</w:t>
      </w:r>
      <w:r w:rsidR="00945F90">
        <w:rPr>
          <w:lang w:eastAsia="en-AU"/>
        </w:rPr>
        <w:t xml:space="preserve"> working</w:t>
      </w:r>
      <w:r w:rsidR="00557A50">
        <w:rPr>
          <w:lang w:eastAsia="en-AU"/>
        </w:rPr>
        <w:t xml:space="preserve"> with the government. </w:t>
      </w:r>
      <w:r w:rsidR="00FC080D">
        <w:rPr>
          <w:lang w:eastAsia="en-AU"/>
        </w:rPr>
        <w:t>Several s</w:t>
      </w:r>
      <w:r w:rsidR="0040125E">
        <w:rPr>
          <w:lang w:eastAsia="en-AU"/>
        </w:rPr>
        <w:t xml:space="preserve">takeholders reported that sometimes it felt like </w:t>
      </w:r>
      <w:r w:rsidR="00503A96">
        <w:rPr>
          <w:lang w:eastAsia="en-AU"/>
        </w:rPr>
        <w:t xml:space="preserve">some parts of the NT </w:t>
      </w:r>
      <w:r w:rsidR="0040125E">
        <w:rPr>
          <w:lang w:eastAsia="en-AU"/>
        </w:rPr>
        <w:t>government</w:t>
      </w:r>
      <w:r w:rsidR="00AC6540">
        <w:rPr>
          <w:lang w:eastAsia="en-AU"/>
        </w:rPr>
        <w:t xml:space="preserve"> </w:t>
      </w:r>
      <w:r w:rsidR="00503A96">
        <w:rPr>
          <w:lang w:eastAsia="en-AU"/>
        </w:rPr>
        <w:t xml:space="preserve">were </w:t>
      </w:r>
      <w:r w:rsidR="0040125E">
        <w:rPr>
          <w:lang w:eastAsia="en-AU"/>
        </w:rPr>
        <w:t xml:space="preserve">in competition with the </w:t>
      </w:r>
      <w:r w:rsidR="00AC6540">
        <w:rPr>
          <w:lang w:eastAsia="en-AU"/>
        </w:rPr>
        <w:t>ACCHO</w:t>
      </w:r>
      <w:r w:rsidR="0040125E">
        <w:rPr>
          <w:lang w:eastAsia="en-AU"/>
        </w:rPr>
        <w:t xml:space="preserve"> for the delivery of health services, and that </w:t>
      </w:r>
      <w:r w:rsidR="00FC080D">
        <w:rPr>
          <w:lang w:eastAsia="en-AU"/>
        </w:rPr>
        <w:t xml:space="preserve">transitions sometimes </w:t>
      </w:r>
      <w:r w:rsidR="0040125E">
        <w:rPr>
          <w:lang w:eastAsia="en-AU"/>
        </w:rPr>
        <w:t xml:space="preserve">felt like a </w:t>
      </w:r>
      <w:r w:rsidR="005A6D32">
        <w:rPr>
          <w:lang w:eastAsia="en-AU"/>
        </w:rPr>
        <w:t>“</w:t>
      </w:r>
      <w:r w:rsidR="0040125E">
        <w:rPr>
          <w:lang w:eastAsia="en-AU"/>
        </w:rPr>
        <w:t>hostile takeover</w:t>
      </w:r>
      <w:r w:rsidR="005A6D32">
        <w:rPr>
          <w:lang w:eastAsia="en-AU"/>
        </w:rPr>
        <w:t>”</w:t>
      </w:r>
      <w:r w:rsidR="0040125E">
        <w:rPr>
          <w:lang w:eastAsia="en-AU"/>
        </w:rPr>
        <w:t xml:space="preserve">. </w:t>
      </w:r>
      <w:r w:rsidR="00021D90">
        <w:rPr>
          <w:lang w:eastAsia="en-AU"/>
        </w:rPr>
        <w:t xml:space="preserve">These stakeholders didn’t understand why there was an “us vs them” mentality towards some transitions, particularly when government still </w:t>
      </w:r>
      <w:r w:rsidR="005514D7">
        <w:rPr>
          <w:lang w:eastAsia="en-AU"/>
        </w:rPr>
        <w:t>need</w:t>
      </w:r>
      <w:r w:rsidR="00A90F71">
        <w:rPr>
          <w:lang w:eastAsia="en-AU"/>
        </w:rPr>
        <w:t>ed</w:t>
      </w:r>
      <w:r w:rsidR="005514D7">
        <w:rPr>
          <w:lang w:eastAsia="en-AU"/>
        </w:rPr>
        <w:t xml:space="preserve"> to work closely with ACCHOs</w:t>
      </w:r>
      <w:r w:rsidR="00B22D6A">
        <w:rPr>
          <w:lang w:eastAsia="en-AU"/>
        </w:rPr>
        <w:t>,</w:t>
      </w:r>
      <w:r w:rsidR="005514D7">
        <w:rPr>
          <w:lang w:eastAsia="en-AU"/>
        </w:rPr>
        <w:t xml:space="preserve"> for example</w:t>
      </w:r>
      <w:r w:rsidR="00B22D6A">
        <w:rPr>
          <w:lang w:eastAsia="en-AU"/>
        </w:rPr>
        <w:t>,</w:t>
      </w:r>
      <w:r w:rsidR="005514D7">
        <w:rPr>
          <w:lang w:eastAsia="en-AU"/>
        </w:rPr>
        <w:t xml:space="preserve"> to deliver</w:t>
      </w:r>
      <w:r w:rsidR="00792EBF">
        <w:rPr>
          <w:lang w:eastAsia="en-AU"/>
        </w:rPr>
        <w:t xml:space="preserve"> outreach services from ACCHO clinics and </w:t>
      </w:r>
      <w:r w:rsidR="00A90F71">
        <w:rPr>
          <w:lang w:eastAsia="en-AU"/>
        </w:rPr>
        <w:t>to link</w:t>
      </w:r>
      <w:r w:rsidR="00792EBF">
        <w:rPr>
          <w:lang w:eastAsia="en-AU"/>
        </w:rPr>
        <w:t xml:space="preserve"> ACCHO</w:t>
      </w:r>
      <w:r w:rsidR="00A25BD0">
        <w:rPr>
          <w:lang w:eastAsia="en-AU"/>
        </w:rPr>
        <w:t>s</w:t>
      </w:r>
      <w:r w:rsidR="00792EBF">
        <w:rPr>
          <w:lang w:eastAsia="en-AU"/>
        </w:rPr>
        <w:t xml:space="preserve"> with specialists and acute care. </w:t>
      </w:r>
    </w:p>
    <w:p w14:paraId="2BD67C49" w14:textId="42C4BBEE" w:rsidR="00DC368F" w:rsidRPr="00063132" w:rsidRDefault="00DC368F" w:rsidP="00063132">
      <w:pPr>
        <w:rPr>
          <w:b/>
          <w:bCs/>
          <w:color w:val="00264D" w:themeColor="background2"/>
          <w:sz w:val="20"/>
          <w:szCs w:val="24"/>
          <w:lang w:val="en-US"/>
        </w:rPr>
      </w:pPr>
      <w:r w:rsidRPr="00063132">
        <w:rPr>
          <w:b/>
          <w:bCs/>
          <w:color w:val="00264D" w:themeColor="background2"/>
          <w:sz w:val="20"/>
          <w:szCs w:val="24"/>
        </w:rPr>
        <w:t>Implementing corporate services including IT systems is a common challenge across ACCHOs</w:t>
      </w:r>
    </w:p>
    <w:p w14:paraId="26C1B9F2" w14:textId="52064078" w:rsidR="00D9555F" w:rsidRDefault="005345D5" w:rsidP="00D9555F">
      <w:pPr>
        <w:rPr>
          <w:lang w:eastAsia="en-AU"/>
        </w:rPr>
      </w:pPr>
      <w:r>
        <w:rPr>
          <w:lang w:eastAsia="en-AU"/>
        </w:rPr>
        <w:t xml:space="preserve">Several </w:t>
      </w:r>
      <w:r w:rsidR="00DC368F" w:rsidRPr="00DC368F">
        <w:rPr>
          <w:lang w:eastAsia="en-AU"/>
        </w:rPr>
        <w:t xml:space="preserve">ACCHOs raised the challenge of setting up </w:t>
      </w:r>
      <w:r w:rsidR="003C5935">
        <w:rPr>
          <w:lang w:eastAsia="en-AU"/>
        </w:rPr>
        <w:t xml:space="preserve">their own </w:t>
      </w:r>
      <w:r w:rsidR="00DC368F" w:rsidRPr="00DC368F">
        <w:rPr>
          <w:lang w:eastAsia="en-AU"/>
        </w:rPr>
        <w:t xml:space="preserve">corporate services including transitioning or installing IT and HR systems needed to run a clinic. </w:t>
      </w:r>
      <w:r w:rsidR="00EC2F2A">
        <w:rPr>
          <w:lang w:eastAsia="en-AU"/>
        </w:rPr>
        <w:t>Th</w:t>
      </w:r>
      <w:r w:rsidR="00287BE1">
        <w:rPr>
          <w:lang w:eastAsia="en-AU"/>
        </w:rPr>
        <w:t>ese challenges were</w:t>
      </w:r>
      <w:r w:rsidR="00EC2F2A">
        <w:rPr>
          <w:lang w:eastAsia="en-AU"/>
        </w:rPr>
        <w:t xml:space="preserve"> </w:t>
      </w:r>
      <w:r w:rsidR="00DD6471">
        <w:rPr>
          <w:lang w:eastAsia="en-AU"/>
        </w:rPr>
        <w:t>exacerbated</w:t>
      </w:r>
      <w:r w:rsidR="00EC2F2A">
        <w:rPr>
          <w:lang w:eastAsia="en-AU"/>
        </w:rPr>
        <w:t xml:space="preserve"> </w:t>
      </w:r>
      <w:r w:rsidR="00276A37">
        <w:rPr>
          <w:lang w:eastAsia="en-AU"/>
        </w:rPr>
        <w:t>when establishing a</w:t>
      </w:r>
      <w:r w:rsidR="00EC2F2A">
        <w:rPr>
          <w:lang w:eastAsia="en-AU"/>
        </w:rPr>
        <w:t xml:space="preserve"> new </w:t>
      </w:r>
      <w:r w:rsidR="00276A37">
        <w:rPr>
          <w:lang w:eastAsia="en-AU"/>
        </w:rPr>
        <w:t>ACCHO</w:t>
      </w:r>
      <w:r w:rsidR="0076180E">
        <w:rPr>
          <w:lang w:eastAsia="en-AU"/>
        </w:rPr>
        <w:t xml:space="preserve"> </w:t>
      </w:r>
      <w:r w:rsidR="004B4C9C">
        <w:rPr>
          <w:lang w:eastAsia="en-AU"/>
        </w:rPr>
        <w:t xml:space="preserve">which </w:t>
      </w:r>
      <w:r w:rsidR="0076180E">
        <w:rPr>
          <w:lang w:eastAsia="en-AU"/>
        </w:rPr>
        <w:t>had no previous experience in establishing or running IT systems</w:t>
      </w:r>
      <w:r w:rsidR="00EC2F2A">
        <w:rPr>
          <w:lang w:eastAsia="en-AU"/>
        </w:rPr>
        <w:t xml:space="preserve">. </w:t>
      </w:r>
      <w:r w:rsidR="004D2BDC">
        <w:rPr>
          <w:lang w:eastAsia="en-AU"/>
        </w:rPr>
        <w:t>ACCHOs</w:t>
      </w:r>
      <w:r w:rsidR="00EF0653">
        <w:rPr>
          <w:lang w:eastAsia="en-AU"/>
        </w:rPr>
        <w:t xml:space="preserve"> reported that IT </w:t>
      </w:r>
      <w:r w:rsidR="004D2BDC">
        <w:rPr>
          <w:lang w:eastAsia="en-AU"/>
        </w:rPr>
        <w:t>transitions</w:t>
      </w:r>
      <w:r w:rsidR="00F403C9">
        <w:rPr>
          <w:lang w:eastAsia="en-AU"/>
        </w:rPr>
        <w:t xml:space="preserve"> were not adequately</w:t>
      </w:r>
      <w:r w:rsidR="004D2BDC">
        <w:rPr>
          <w:lang w:eastAsia="en-AU"/>
        </w:rPr>
        <w:t xml:space="preserve"> planned for or budgeted. </w:t>
      </w:r>
      <w:r w:rsidR="004B58EA">
        <w:rPr>
          <w:lang w:eastAsia="en-AU"/>
        </w:rPr>
        <w:t xml:space="preserve">Two </w:t>
      </w:r>
      <w:r w:rsidR="00C45273">
        <w:rPr>
          <w:lang w:eastAsia="en-AU"/>
        </w:rPr>
        <w:t xml:space="preserve">ACCHOs </w:t>
      </w:r>
      <w:r w:rsidR="00976B5C">
        <w:rPr>
          <w:lang w:eastAsia="en-AU"/>
        </w:rPr>
        <w:t>reported delays in receiving funding to transition over to</w:t>
      </w:r>
      <w:r w:rsidR="00DD6471">
        <w:rPr>
          <w:lang w:eastAsia="en-AU"/>
        </w:rPr>
        <w:t xml:space="preserve"> new</w:t>
      </w:r>
      <w:r w:rsidR="00976B5C">
        <w:rPr>
          <w:lang w:eastAsia="en-AU"/>
        </w:rPr>
        <w:t xml:space="preserve"> IT systems </w:t>
      </w:r>
      <w:r w:rsidR="00DD6471">
        <w:rPr>
          <w:lang w:eastAsia="en-AU"/>
        </w:rPr>
        <w:t xml:space="preserve">(e.g. </w:t>
      </w:r>
      <w:proofErr w:type="spellStart"/>
      <w:r w:rsidR="00976B5C">
        <w:rPr>
          <w:lang w:eastAsia="en-AU"/>
        </w:rPr>
        <w:t>Communicare</w:t>
      </w:r>
      <w:proofErr w:type="spellEnd"/>
      <w:r w:rsidR="00DD6471">
        <w:rPr>
          <w:lang w:eastAsia="en-AU"/>
        </w:rPr>
        <w:t>)</w:t>
      </w:r>
      <w:r w:rsidR="00205170">
        <w:rPr>
          <w:lang w:eastAsia="en-AU"/>
        </w:rPr>
        <w:t>. There were also</w:t>
      </w:r>
      <w:r w:rsidR="0007356E">
        <w:rPr>
          <w:lang w:eastAsia="en-AU"/>
        </w:rPr>
        <w:t xml:space="preserve"> lengthy negotiations around which </w:t>
      </w:r>
      <w:r w:rsidR="003C6B34">
        <w:rPr>
          <w:lang w:eastAsia="en-AU"/>
        </w:rPr>
        <w:t xml:space="preserve">IT </w:t>
      </w:r>
      <w:r w:rsidR="0007356E">
        <w:rPr>
          <w:lang w:eastAsia="en-AU"/>
        </w:rPr>
        <w:t xml:space="preserve">system was the best </w:t>
      </w:r>
      <w:r w:rsidR="000D2B52">
        <w:rPr>
          <w:lang w:eastAsia="en-AU"/>
        </w:rPr>
        <w:t>to use</w:t>
      </w:r>
      <w:r w:rsidR="00492ADA">
        <w:rPr>
          <w:lang w:eastAsia="en-AU"/>
        </w:rPr>
        <w:t xml:space="preserve"> which delayed some transitions</w:t>
      </w:r>
      <w:r w:rsidR="000960D6">
        <w:rPr>
          <w:lang w:eastAsia="en-AU"/>
        </w:rPr>
        <w:t xml:space="preserve">. </w:t>
      </w:r>
      <w:r w:rsidR="00DC368F" w:rsidRPr="00DC368F">
        <w:rPr>
          <w:lang w:eastAsia="en-AU"/>
        </w:rPr>
        <w:t xml:space="preserve">Not all costs associated with IT were identified in the transition funding and often had to be addressed in the </w:t>
      </w:r>
      <w:r w:rsidR="00111357">
        <w:rPr>
          <w:lang w:eastAsia="en-AU"/>
        </w:rPr>
        <w:t>transition</w:t>
      </w:r>
      <w:r w:rsidR="00DC368F" w:rsidRPr="00DC368F">
        <w:rPr>
          <w:lang w:eastAsia="en-AU"/>
        </w:rPr>
        <w:t xml:space="preserve"> implementation (funded by NTG)</w:t>
      </w:r>
      <w:r w:rsidR="006F1E1C">
        <w:rPr>
          <w:lang w:eastAsia="en-AU"/>
        </w:rPr>
        <w:t>.</w:t>
      </w:r>
      <w:r w:rsidR="00D9555F" w:rsidRPr="00D9555F">
        <w:rPr>
          <w:lang w:eastAsia="en-AU"/>
        </w:rPr>
        <w:t xml:space="preserve"> </w:t>
      </w:r>
      <w:r w:rsidR="00D9555F">
        <w:rPr>
          <w:lang w:eastAsia="en-AU"/>
        </w:rPr>
        <w:t>One ACCHO reported that the discussion about ongoing IT support was only raised after the tran</w:t>
      </w:r>
      <w:r w:rsidR="001A0F88">
        <w:rPr>
          <w:lang w:eastAsia="en-AU"/>
        </w:rPr>
        <w:t xml:space="preserve">sition funding was approved and </w:t>
      </w:r>
      <w:r w:rsidR="00CC482B">
        <w:rPr>
          <w:lang w:eastAsia="en-AU"/>
        </w:rPr>
        <w:t xml:space="preserve">had to be sourced later. </w:t>
      </w:r>
    </w:p>
    <w:p w14:paraId="3521AF4F" w14:textId="77777777" w:rsidR="002E3023" w:rsidRDefault="00610D87" w:rsidP="00DC368F">
      <w:pPr>
        <w:rPr>
          <w:lang w:eastAsia="en-AU"/>
        </w:rPr>
      </w:pPr>
      <w:r>
        <w:rPr>
          <w:noProof/>
        </w:rPr>
        <mc:AlternateContent>
          <mc:Choice Requires="wps">
            <w:drawing>
              <wp:inline distT="0" distB="0" distL="0" distR="0" wp14:anchorId="6E32A283" wp14:editId="08DCC820">
                <wp:extent cx="5142016" cy="653143"/>
                <wp:effectExtent l="0" t="0" r="1905" b="3175"/>
                <wp:docPr id="33" name="Text Box 33" descr="“It would be really helpful if there was an organisation to provide corporate support for ACCHOs as a generic model where each AACCHO doesn't have to reinvent the wheel every time. – ACCHO stakeholder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5142016"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E83350" w14:textId="171D5568" w:rsidR="000C6018" w:rsidRPr="006B1456" w:rsidRDefault="000C6018" w:rsidP="00610D87">
                            <w:pPr>
                              <w:pStyle w:val="Callout"/>
                              <w:pBdr>
                                <w:top w:val="single" w:sz="18" w:space="0" w:color="E6E6E1" w:themeColor="accent5"/>
                              </w:pBdr>
                              <w:rPr>
                                <w:i/>
                                <w:color w:val="F25E21" w:themeColor="accent2"/>
                                <w:lang w:eastAsia="en-AU"/>
                              </w:rPr>
                            </w:pPr>
                            <w:r w:rsidRPr="005D5574">
                              <w:rPr>
                                <w:i/>
                                <w:color w:val="F25E21" w:themeColor="accent2"/>
                                <w:lang w:val="en-US" w:eastAsia="en-AU"/>
                              </w:rPr>
                              <w:t>“</w:t>
                            </w:r>
                            <w:r w:rsidRPr="006B1456">
                              <w:rPr>
                                <w:i/>
                                <w:iCs/>
                                <w:color w:val="F25E21" w:themeColor="accent2"/>
                                <w:lang w:eastAsia="en-AU"/>
                              </w:rPr>
                              <w:t>It would be really helpful if there was an organisation to provide corporate support for ACCHOs as a generic model where each AACCHO doesn't have to reinvent the wheel every time.</w:t>
                            </w:r>
                            <w:r w:rsidRPr="005D5574">
                              <w:rPr>
                                <w:i/>
                                <w:color w:val="F25E21" w:themeColor="accent2"/>
                                <w:lang w:val="en-US" w:eastAsia="en-AU"/>
                              </w:rPr>
                              <w:t xml:space="preserve"> – </w:t>
                            </w:r>
                            <w:r>
                              <w:rPr>
                                <w:i/>
                                <w:iCs/>
                                <w:color w:val="00264D" w:themeColor="background2"/>
                                <w:sz w:val="18"/>
                                <w:szCs w:val="18"/>
                                <w:lang w:val="en-US" w:eastAsia="en-AU"/>
                              </w:rPr>
                              <w:t xml:space="preserve">ACCHO stakeholder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inline>
            </w:drawing>
          </mc:Choice>
          <mc:Fallback>
            <w:pict>
              <v:shape w14:anchorId="6E32A283" id="Text Box 33" o:spid="_x0000_s1040" type="#_x0000_t202" alt="“It would be really helpful if there was an organisation to provide corporate support for ACCHOs as a generic model where each AACCHO doesn't have to reinvent the wheel every time. – ACCHO stakeholder " style="width:404.9pt;height:5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" fillcolor="white [3201]" stroked="f" strokeweight=".5pt">
                <v:textbox style="mso-fit-shape-to-text:t" inset="0,,1mm">
                  <w:txbxContent>
                    <w:p w14:paraId="5EE83350" w14:textId="171D5568" w:rsidR="000C6018" w:rsidRPr="006B1456" w:rsidRDefault="000C6018" w:rsidP="00610D87">
                      <w:pPr>
                        <w:pStyle w:val="Callout"/>
                        <w:pBdr>
                          <w:top w:val="single" w:sz="18" w:space="0" w:color="E6E6E1" w:themeColor="accent5"/>
                        </w:pBdr>
                        <w:rPr>
                          <w:i/>
                          <w:color w:val="F25E21" w:themeColor="accent2"/>
                          <w:lang w:eastAsia="en-AU"/>
                        </w:rPr>
                      </w:pPr>
                      <w:r w:rsidRPr="005D5574">
                        <w:rPr>
                          <w:i/>
                          <w:color w:val="F25E21" w:themeColor="accent2"/>
                          <w:lang w:val="en-US" w:eastAsia="en-AU"/>
                        </w:rPr>
                        <w:t>“</w:t>
                      </w:r>
                      <w:r w:rsidRPr="006B1456">
                        <w:rPr>
                          <w:i/>
                          <w:iCs/>
                          <w:color w:val="F25E21" w:themeColor="accent2"/>
                          <w:lang w:eastAsia="en-AU"/>
                        </w:rPr>
                        <w:t>It would be really helpful if there was an organisation to provide corporate support for ACCHOs as a generic model where each AACCHO doesn't have to reinvent the wheel every time.</w:t>
                      </w:r>
                      <w:r w:rsidRPr="005D5574">
                        <w:rPr>
                          <w:i/>
                          <w:color w:val="F25E21" w:themeColor="accent2"/>
                          <w:lang w:val="en-US" w:eastAsia="en-AU"/>
                        </w:rPr>
                        <w:t xml:space="preserve"> – </w:t>
                      </w:r>
                      <w:r>
                        <w:rPr>
                          <w:i/>
                          <w:iCs/>
                          <w:color w:val="00264D" w:themeColor="background2"/>
                          <w:sz w:val="18"/>
                          <w:szCs w:val="18"/>
                          <w:lang w:val="en-US" w:eastAsia="en-AU"/>
                        </w:rPr>
                        <w:t xml:space="preserve">ACCHO stakeholder </w:t>
                      </w:r>
                    </w:p>
                  </w:txbxContent>
                </v:textbox>
                <w10:anchorlock/>
              </v:shape>
            </w:pict>
          </mc:Fallback>
        </mc:AlternateContent>
      </w:r>
    </w:p>
    <w:p w14:paraId="756B1064" w14:textId="18F61F76" w:rsidR="00DC368F" w:rsidRDefault="00877E42" w:rsidP="00DC368F">
      <w:pPr>
        <w:rPr>
          <w:lang w:eastAsia="en-AU"/>
        </w:rPr>
      </w:pPr>
      <w:r>
        <w:rPr>
          <w:lang w:eastAsia="en-AU"/>
        </w:rPr>
        <w:t xml:space="preserve">Several </w:t>
      </w:r>
      <w:r w:rsidR="008A7A8B">
        <w:rPr>
          <w:lang w:eastAsia="en-AU"/>
        </w:rPr>
        <w:t xml:space="preserve">ACCHO and government </w:t>
      </w:r>
      <w:r>
        <w:rPr>
          <w:lang w:eastAsia="en-AU"/>
        </w:rPr>
        <w:t>stakeholders</w:t>
      </w:r>
      <w:r w:rsidR="00244B8B" w:rsidRPr="00DC368F">
        <w:rPr>
          <w:lang w:eastAsia="en-AU"/>
        </w:rPr>
        <w:t xml:space="preserve"> suggested </w:t>
      </w:r>
      <w:r w:rsidR="00416966">
        <w:rPr>
          <w:lang w:eastAsia="en-AU"/>
        </w:rPr>
        <w:t>that</w:t>
      </w:r>
      <w:r w:rsidR="00101D0C">
        <w:rPr>
          <w:lang w:eastAsia="en-AU"/>
        </w:rPr>
        <w:t xml:space="preserve"> </w:t>
      </w:r>
      <w:r w:rsidR="00244B8B" w:rsidRPr="00DC368F">
        <w:rPr>
          <w:lang w:eastAsia="en-AU"/>
        </w:rPr>
        <w:t>establishing a</w:t>
      </w:r>
      <w:r w:rsidR="005245BD">
        <w:rPr>
          <w:lang w:eastAsia="en-AU"/>
        </w:rPr>
        <w:t>n</w:t>
      </w:r>
      <w:r w:rsidR="00244B8B" w:rsidRPr="00DC368F">
        <w:rPr>
          <w:lang w:eastAsia="en-AU"/>
        </w:rPr>
        <w:t xml:space="preserve"> organisation </w:t>
      </w:r>
      <w:r w:rsidR="002E2442">
        <w:rPr>
          <w:lang w:eastAsia="en-AU"/>
        </w:rPr>
        <w:t>that managed all the</w:t>
      </w:r>
      <w:r w:rsidR="00A07D27">
        <w:rPr>
          <w:lang w:eastAsia="en-AU"/>
        </w:rPr>
        <w:t xml:space="preserve"> corporate</w:t>
      </w:r>
      <w:r w:rsidR="00244B8B" w:rsidRPr="00DC368F">
        <w:rPr>
          <w:lang w:eastAsia="en-AU"/>
        </w:rPr>
        <w:t xml:space="preserve"> shared services for ACCHOs </w:t>
      </w:r>
      <w:r w:rsidR="00B02EC5">
        <w:rPr>
          <w:lang w:eastAsia="en-AU"/>
        </w:rPr>
        <w:t>(</w:t>
      </w:r>
      <w:r w:rsidR="002E2442">
        <w:rPr>
          <w:lang w:eastAsia="en-AU"/>
        </w:rPr>
        <w:t>e.g. HR</w:t>
      </w:r>
      <w:r w:rsidR="00B02EC5">
        <w:rPr>
          <w:lang w:eastAsia="en-AU"/>
        </w:rPr>
        <w:t>,</w:t>
      </w:r>
      <w:r w:rsidR="002E2442">
        <w:rPr>
          <w:lang w:eastAsia="en-AU"/>
        </w:rPr>
        <w:t xml:space="preserve"> IT</w:t>
      </w:r>
      <w:r w:rsidR="00B02EC5">
        <w:rPr>
          <w:lang w:eastAsia="en-AU"/>
        </w:rPr>
        <w:t>, finance)</w:t>
      </w:r>
      <w:r w:rsidR="00AB5288">
        <w:rPr>
          <w:lang w:eastAsia="en-AU"/>
        </w:rPr>
        <w:t xml:space="preserve"> would be helpful</w:t>
      </w:r>
      <w:r w:rsidR="002E2442">
        <w:rPr>
          <w:lang w:eastAsia="en-AU"/>
        </w:rPr>
        <w:t xml:space="preserve">. </w:t>
      </w:r>
      <w:r w:rsidR="00EE7ECB">
        <w:rPr>
          <w:lang w:eastAsia="en-AU"/>
        </w:rPr>
        <w:t>They believe</w:t>
      </w:r>
      <w:r w:rsidR="00892AE8">
        <w:rPr>
          <w:lang w:eastAsia="en-AU"/>
        </w:rPr>
        <w:t>d</w:t>
      </w:r>
      <w:r w:rsidR="00EE7ECB">
        <w:rPr>
          <w:lang w:eastAsia="en-AU"/>
        </w:rPr>
        <w:t xml:space="preserve"> that this</w:t>
      </w:r>
      <w:r w:rsidR="002E2442">
        <w:rPr>
          <w:lang w:eastAsia="en-AU"/>
        </w:rPr>
        <w:t xml:space="preserve"> would </w:t>
      </w:r>
      <w:r w:rsidR="005825FD">
        <w:rPr>
          <w:lang w:eastAsia="en-AU"/>
        </w:rPr>
        <w:t>assist</w:t>
      </w:r>
      <w:r w:rsidR="002E2442">
        <w:rPr>
          <w:lang w:eastAsia="en-AU"/>
        </w:rPr>
        <w:t xml:space="preserve"> ACCHOs</w:t>
      </w:r>
      <w:r w:rsidR="005E2A8A">
        <w:rPr>
          <w:lang w:eastAsia="en-AU"/>
        </w:rPr>
        <w:t>, particularly new ACCHOs,</w:t>
      </w:r>
      <w:r w:rsidR="00244B8B" w:rsidRPr="00DC368F">
        <w:rPr>
          <w:lang w:eastAsia="en-AU"/>
        </w:rPr>
        <w:t xml:space="preserve"> achieve economies of scale</w:t>
      </w:r>
      <w:r w:rsidR="002E2442">
        <w:rPr>
          <w:lang w:eastAsia="en-AU"/>
        </w:rPr>
        <w:t xml:space="preserve"> which</w:t>
      </w:r>
      <w:r w:rsidR="00E95E68">
        <w:rPr>
          <w:lang w:eastAsia="en-AU"/>
        </w:rPr>
        <w:t>, currently,</w:t>
      </w:r>
      <w:r w:rsidR="002E2442">
        <w:rPr>
          <w:lang w:eastAsia="en-AU"/>
        </w:rPr>
        <w:t xml:space="preserve"> is </w:t>
      </w:r>
      <w:r w:rsidR="008548EA">
        <w:rPr>
          <w:lang w:eastAsia="en-AU"/>
        </w:rPr>
        <w:t>a</w:t>
      </w:r>
      <w:r w:rsidR="002E2442">
        <w:rPr>
          <w:lang w:eastAsia="en-AU"/>
        </w:rPr>
        <w:t xml:space="preserve"> major advantage of government run services. </w:t>
      </w:r>
      <w:r w:rsidR="00EE7ECB">
        <w:rPr>
          <w:lang w:eastAsia="en-AU"/>
        </w:rPr>
        <w:t xml:space="preserve">However, </w:t>
      </w:r>
      <w:r w:rsidR="009A3539">
        <w:rPr>
          <w:lang w:eastAsia="en-AU"/>
        </w:rPr>
        <w:t xml:space="preserve">stakeholders were unclear </w:t>
      </w:r>
      <w:r w:rsidR="00EE7ECB">
        <w:rPr>
          <w:lang w:eastAsia="en-AU"/>
        </w:rPr>
        <w:t xml:space="preserve">who would be able to manage such services and </w:t>
      </w:r>
      <w:r w:rsidR="00BD37FB">
        <w:rPr>
          <w:lang w:eastAsia="en-AU"/>
        </w:rPr>
        <w:t xml:space="preserve">noted that while an Aboriginal organisation </w:t>
      </w:r>
      <w:r w:rsidR="004B4C9C">
        <w:rPr>
          <w:lang w:eastAsia="en-AU"/>
        </w:rPr>
        <w:t xml:space="preserve">would be </w:t>
      </w:r>
      <w:r w:rsidR="00BD37FB">
        <w:rPr>
          <w:lang w:eastAsia="en-AU"/>
        </w:rPr>
        <w:t>preferable</w:t>
      </w:r>
      <w:r w:rsidR="004B4C9C">
        <w:rPr>
          <w:lang w:eastAsia="en-AU"/>
        </w:rPr>
        <w:t>,</w:t>
      </w:r>
      <w:r w:rsidR="00BD37FB">
        <w:rPr>
          <w:lang w:eastAsia="en-AU"/>
        </w:rPr>
        <w:t xml:space="preserve"> that i</w:t>
      </w:r>
      <w:r w:rsidR="00EE7ECB">
        <w:rPr>
          <w:lang w:eastAsia="en-AU"/>
        </w:rPr>
        <w:t xml:space="preserve">t was not </w:t>
      </w:r>
      <w:r w:rsidR="003C4F00">
        <w:rPr>
          <w:lang w:eastAsia="en-AU"/>
        </w:rPr>
        <w:t xml:space="preserve">one existing ACCHO or </w:t>
      </w:r>
      <w:r w:rsidR="00EE7ECB">
        <w:rPr>
          <w:lang w:eastAsia="en-AU"/>
        </w:rPr>
        <w:t xml:space="preserve">AMSANT’s </w:t>
      </w:r>
      <w:r w:rsidR="00BD37FB">
        <w:rPr>
          <w:lang w:eastAsia="en-AU"/>
        </w:rPr>
        <w:t>role</w:t>
      </w:r>
      <w:r w:rsidR="00EE7ECB">
        <w:rPr>
          <w:lang w:eastAsia="en-AU"/>
        </w:rPr>
        <w:t xml:space="preserve"> to do so. </w:t>
      </w:r>
      <w:r w:rsidR="00E06BEF">
        <w:rPr>
          <w:lang w:eastAsia="en-AU"/>
        </w:rPr>
        <w:t>Larger ACCHOs saw this as less of an issue as they already had corporate services</w:t>
      </w:r>
      <w:r w:rsidR="0061232E">
        <w:rPr>
          <w:lang w:eastAsia="en-AU"/>
        </w:rPr>
        <w:t xml:space="preserve"> </w:t>
      </w:r>
      <w:r w:rsidR="00E06BEF">
        <w:rPr>
          <w:lang w:eastAsia="en-AU"/>
        </w:rPr>
        <w:t xml:space="preserve">in place. </w:t>
      </w:r>
    </w:p>
    <w:p w14:paraId="253D2720" w14:textId="36120FA6" w:rsidR="00A81B42" w:rsidRDefault="00A81B42" w:rsidP="00756039">
      <w:pPr>
        <w:pStyle w:val="Heading3"/>
      </w:pPr>
      <w:bookmarkStart w:id="31" w:name="_Ref100146941"/>
      <w:r>
        <w:t>Evaluation</w:t>
      </w:r>
      <w:bookmarkEnd w:id="31"/>
    </w:p>
    <w:tbl>
      <w:tblPr>
        <w:tblStyle w:val="NOUS"/>
        <w:tblW w:w="0" w:type="auto"/>
        <w:tblLook w:val="04A0" w:firstRow="1" w:lastRow="0" w:firstColumn="1" w:lastColumn="0" w:noHBand="0" w:noVBand="1"/>
      </w:tblPr>
      <w:tblGrid>
        <w:gridCol w:w="8930"/>
      </w:tblGrid>
      <w:tr w:rsidR="00A52D78" w14:paraId="767B2AFA" w14:textId="77777777" w:rsidTr="00A52D78">
        <w:trPr>
          <w:cnfStyle w:val="100000000000" w:firstRow="1" w:lastRow="0" w:firstColumn="0" w:lastColumn="0" w:oddVBand="0" w:evenVBand="0" w:oddHBand="0" w:evenHBand="0" w:firstRowFirstColumn="0" w:firstRowLastColumn="0" w:lastRowFirstColumn="0" w:lastRowLastColumn="0"/>
        </w:trPr>
        <w:tc>
          <w:tcPr>
            <w:tcW w:w="8930" w:type="dxa"/>
            <w:tcBorders>
              <w:top w:val="single" w:sz="24" w:space="0" w:color="00264D" w:themeColor="background2"/>
            </w:tcBorders>
          </w:tcPr>
          <w:p w14:paraId="65B1437D" w14:textId="77777777" w:rsidR="00A52D78" w:rsidRPr="00A52D78" w:rsidRDefault="00A52D78" w:rsidP="00A52D78">
            <w:pPr>
              <w:rPr>
                <w:rFonts w:eastAsia="Segoe UI" w:cs="Times New Roman"/>
                <w:sz w:val="20"/>
                <w:szCs w:val="24"/>
                <w:lang w:eastAsia="en-AU"/>
              </w:rPr>
            </w:pPr>
            <w:r w:rsidRPr="00A52D78">
              <w:rPr>
                <w:rFonts w:eastAsia="Segoe UI" w:cs="Times New Roman"/>
                <w:sz w:val="20"/>
                <w:szCs w:val="24"/>
                <w:lang w:eastAsia="en-AU"/>
              </w:rPr>
              <w:t>Summary of findings</w:t>
            </w:r>
          </w:p>
          <w:p w14:paraId="2658B4EA" w14:textId="21FE85A2" w:rsidR="00287CD4" w:rsidRPr="00287CD4" w:rsidRDefault="00287CD4" w:rsidP="00287CD4">
            <w:pPr>
              <w:pStyle w:val="Bullet"/>
              <w:rPr>
                <w:rFonts w:eastAsiaTheme="minorEastAsia"/>
                <w:b w:val="0"/>
              </w:rPr>
            </w:pPr>
            <w:r w:rsidRPr="00287CD4">
              <w:rPr>
                <w:rFonts w:eastAsiaTheme="minorEastAsia"/>
                <w:b w:val="0"/>
              </w:rPr>
              <w:t>There has been limited evaluation of transitions or of the P2CC program more broadly</w:t>
            </w:r>
            <w:r w:rsidR="00E3304B">
              <w:rPr>
                <w:rFonts w:eastAsiaTheme="minorEastAsia"/>
                <w:b w:val="0"/>
              </w:rPr>
              <w:t>.</w:t>
            </w:r>
          </w:p>
          <w:p w14:paraId="6D415081" w14:textId="4D06F502" w:rsidR="00A52D78" w:rsidRPr="00F84080" w:rsidRDefault="00A52D78" w:rsidP="002545A4">
            <w:pPr>
              <w:pStyle w:val="Bullet"/>
              <w:rPr>
                <w:b w:val="0"/>
              </w:rPr>
            </w:pPr>
            <w:r w:rsidRPr="002545A4">
              <w:rPr>
                <w:rFonts w:eastAsiaTheme="minorEastAsia"/>
                <w:b w:val="0"/>
              </w:rPr>
              <w:t xml:space="preserve">Some lessons learned </w:t>
            </w:r>
            <w:r w:rsidRPr="00F84080">
              <w:rPr>
                <w:rFonts w:eastAsiaTheme="minorEastAsia"/>
                <w:b w:val="0"/>
              </w:rPr>
              <w:t>about the transition process were developed and shared along the way</w:t>
            </w:r>
            <w:r w:rsidR="00E3304B">
              <w:rPr>
                <w:rFonts w:eastAsiaTheme="minorEastAsia"/>
                <w:b w:val="0"/>
              </w:rPr>
              <w:t>.</w:t>
            </w:r>
          </w:p>
          <w:p w14:paraId="4D83CEC8" w14:textId="1EF23368" w:rsidR="00A52D78" w:rsidRPr="00287CD4" w:rsidRDefault="00A52D78" w:rsidP="00A52D78">
            <w:pPr>
              <w:pStyle w:val="Bullet"/>
              <w:rPr>
                <w:rFonts w:eastAsiaTheme="minorEastAsia"/>
                <w:b w:val="0"/>
              </w:rPr>
            </w:pPr>
            <w:r w:rsidRPr="002545A4">
              <w:rPr>
                <w:rFonts w:eastAsiaTheme="minorEastAsia"/>
                <w:b w:val="0"/>
              </w:rPr>
              <w:t>There has been limited use of data to assess outcomes, but some anecdotal outcomes were reported</w:t>
            </w:r>
            <w:r w:rsidR="00E3304B">
              <w:rPr>
                <w:rFonts w:eastAsiaTheme="minorEastAsia"/>
                <w:b w:val="0"/>
              </w:rPr>
              <w:t>.</w:t>
            </w:r>
          </w:p>
          <w:p w14:paraId="22D8E94E" w14:textId="52D00572" w:rsidR="00A52D78" w:rsidRPr="00287CD4" w:rsidRDefault="005F58A5" w:rsidP="00A52D78">
            <w:pPr>
              <w:pStyle w:val="Bullet"/>
              <w:rPr>
                <w:rFonts w:eastAsiaTheme="minorEastAsia"/>
              </w:rPr>
            </w:pPr>
            <w:r w:rsidRPr="00287CD4">
              <w:rPr>
                <w:rFonts w:eastAsiaTheme="minorEastAsia"/>
                <w:b w:val="0"/>
              </w:rPr>
              <w:t xml:space="preserve">Measuring short, </w:t>
            </w:r>
            <w:r w:rsidRPr="004A70B2">
              <w:rPr>
                <w:rFonts w:eastAsiaTheme="minorEastAsia"/>
                <w:b w:val="0"/>
              </w:rPr>
              <w:t>medium</w:t>
            </w:r>
            <w:r w:rsidR="00163AE6" w:rsidRPr="004A70B2">
              <w:rPr>
                <w:rFonts w:eastAsiaTheme="minorEastAsia"/>
                <w:b w:val="0"/>
              </w:rPr>
              <w:t>,</w:t>
            </w:r>
            <w:r w:rsidRPr="00287CD4">
              <w:rPr>
                <w:rFonts w:eastAsiaTheme="minorEastAsia"/>
                <w:b w:val="0"/>
              </w:rPr>
              <w:t xml:space="preserve"> and long-term outcomes is important </w:t>
            </w:r>
            <w:r w:rsidR="00D24330" w:rsidRPr="00287CD4">
              <w:rPr>
                <w:rFonts w:eastAsiaTheme="minorEastAsia"/>
                <w:b w:val="0"/>
              </w:rPr>
              <w:t>to build the evidence</w:t>
            </w:r>
            <w:r w:rsidR="00287CD4" w:rsidRPr="00287CD4">
              <w:rPr>
                <w:rFonts w:eastAsiaTheme="minorEastAsia"/>
                <w:b w:val="0"/>
              </w:rPr>
              <w:t xml:space="preserve"> </w:t>
            </w:r>
            <w:r w:rsidR="00D24330" w:rsidRPr="00287CD4">
              <w:rPr>
                <w:rFonts w:eastAsiaTheme="minorEastAsia"/>
                <w:b w:val="0"/>
              </w:rPr>
              <w:t>base</w:t>
            </w:r>
            <w:r w:rsidR="00E3304B">
              <w:rPr>
                <w:rFonts w:eastAsiaTheme="minorEastAsia"/>
                <w:b w:val="0"/>
              </w:rPr>
              <w:t>.</w:t>
            </w:r>
          </w:p>
        </w:tc>
      </w:tr>
    </w:tbl>
    <w:p w14:paraId="2DB5B0A5" w14:textId="1E822F85" w:rsidR="00720B9B" w:rsidRDefault="00720B9B">
      <w:pPr>
        <w:spacing w:after="160" w:line="259" w:lineRule="auto"/>
        <w:rPr>
          <w:b/>
          <w:bCs/>
          <w:color w:val="00264D" w:themeColor="background2"/>
          <w:sz w:val="20"/>
          <w:szCs w:val="24"/>
        </w:rPr>
      </w:pPr>
    </w:p>
    <w:p w14:paraId="0365C402" w14:textId="77777777" w:rsidR="00720B9B" w:rsidRDefault="00720B9B">
      <w:pPr>
        <w:spacing w:after="160" w:line="259" w:lineRule="auto"/>
        <w:rPr>
          <w:b/>
          <w:bCs/>
          <w:color w:val="00264D" w:themeColor="background2"/>
          <w:sz w:val="20"/>
          <w:szCs w:val="24"/>
        </w:rPr>
      </w:pPr>
      <w:r>
        <w:rPr>
          <w:b/>
          <w:bCs/>
          <w:color w:val="00264D" w:themeColor="background2"/>
          <w:sz w:val="20"/>
          <w:szCs w:val="24"/>
        </w:rPr>
        <w:br w:type="page"/>
      </w:r>
    </w:p>
    <w:p w14:paraId="5E0507C5" w14:textId="287F10D6" w:rsidR="00C51DA5" w:rsidRPr="00063132" w:rsidRDefault="00C51DA5" w:rsidP="00063132">
      <w:pPr>
        <w:rPr>
          <w:b/>
          <w:bCs/>
          <w:color w:val="00264D" w:themeColor="background2"/>
          <w:sz w:val="20"/>
          <w:szCs w:val="24"/>
          <w:lang w:val="en-US"/>
        </w:rPr>
      </w:pPr>
      <w:r w:rsidRPr="00063132">
        <w:rPr>
          <w:b/>
          <w:bCs/>
          <w:color w:val="00264D" w:themeColor="background2"/>
          <w:sz w:val="20"/>
          <w:szCs w:val="24"/>
        </w:rPr>
        <w:lastRenderedPageBreak/>
        <w:t xml:space="preserve">There has been limited evaluation of transitions </w:t>
      </w:r>
      <w:r w:rsidR="00232546" w:rsidRPr="00063132">
        <w:rPr>
          <w:b/>
          <w:bCs/>
          <w:color w:val="00264D" w:themeColor="background2"/>
          <w:sz w:val="20"/>
          <w:szCs w:val="24"/>
        </w:rPr>
        <w:t>or of the P2CC program more broadly</w:t>
      </w:r>
    </w:p>
    <w:p w14:paraId="07175FD3" w14:textId="5069FF4B" w:rsidR="00301501" w:rsidRDefault="00C774C7" w:rsidP="00C51DA5">
      <w:pPr>
        <w:rPr>
          <w:lang w:eastAsia="en-AU"/>
        </w:rPr>
      </w:pPr>
      <w:r w:rsidRPr="00604BD3">
        <w:rPr>
          <w:lang w:eastAsia="en-AU"/>
        </w:rPr>
        <w:t>Both ACCHOs</w:t>
      </w:r>
      <w:r w:rsidRPr="00D01BD5">
        <w:rPr>
          <w:lang w:eastAsia="en-AU"/>
        </w:rPr>
        <w:t xml:space="preserve"> </w:t>
      </w:r>
      <w:r w:rsidRPr="00E3304B">
        <w:rPr>
          <w:lang w:eastAsia="en-AU"/>
        </w:rPr>
        <w:t xml:space="preserve">and government stakeholders noted the limited evaluation that had occurred across transitions generally. </w:t>
      </w:r>
      <w:r w:rsidR="00C51DA5" w:rsidRPr="00E3304B">
        <w:rPr>
          <w:lang w:eastAsia="en-AU"/>
        </w:rPr>
        <w:t xml:space="preserve">The NTG commissioned an evaluation of </w:t>
      </w:r>
      <w:proofErr w:type="spellStart"/>
      <w:r w:rsidR="00C51DA5" w:rsidRPr="00E3304B">
        <w:rPr>
          <w:lang w:eastAsia="en-AU"/>
        </w:rPr>
        <w:t>Miwatj’s</w:t>
      </w:r>
      <w:proofErr w:type="spellEnd"/>
      <w:r w:rsidR="00C51DA5" w:rsidRPr="00E3304B">
        <w:rPr>
          <w:lang w:eastAsia="en-AU"/>
        </w:rPr>
        <w:t xml:space="preserve"> Milingimbi clinic in 2020 (following its transition in 2016). This evaluation occurred significantly after the </w:t>
      </w:r>
      <w:r w:rsidR="0057241A" w:rsidRPr="002A7726">
        <w:rPr>
          <w:lang w:eastAsia="en-AU"/>
        </w:rPr>
        <w:t>recommended</w:t>
      </w:r>
      <w:r w:rsidR="00FE624F" w:rsidRPr="002A7726">
        <w:rPr>
          <w:lang w:eastAsia="en-AU"/>
        </w:rPr>
        <w:t xml:space="preserve"> </w:t>
      </w:r>
      <w:r w:rsidR="00C51DA5" w:rsidRPr="00604BD3">
        <w:rPr>
          <w:lang w:eastAsia="en-AU"/>
        </w:rPr>
        <w:t>evaluation period</w:t>
      </w:r>
      <w:r w:rsidR="00E623AE" w:rsidRPr="00D01BD5">
        <w:rPr>
          <w:lang w:eastAsia="en-AU"/>
        </w:rPr>
        <w:t xml:space="preserve"> </w:t>
      </w:r>
      <w:r w:rsidR="00D2412B" w:rsidRPr="0098297C">
        <w:rPr>
          <w:lang w:eastAsia="en-AU"/>
        </w:rPr>
        <w:t>(</w:t>
      </w:r>
      <w:r w:rsidR="00E623AE" w:rsidRPr="0098297C">
        <w:rPr>
          <w:lang w:eastAsia="en-AU"/>
        </w:rPr>
        <w:t xml:space="preserve">which </w:t>
      </w:r>
      <w:r w:rsidR="00D2412B" w:rsidRPr="0098297C">
        <w:rPr>
          <w:lang w:eastAsia="en-AU"/>
        </w:rPr>
        <w:t>is</w:t>
      </w:r>
      <w:r w:rsidR="00E623AE" w:rsidRPr="0098297C">
        <w:rPr>
          <w:lang w:eastAsia="en-AU"/>
        </w:rPr>
        <w:t xml:space="preserve"> 2 years after the transition </w:t>
      </w:r>
      <w:r w:rsidR="00D2412B" w:rsidRPr="00F34E26">
        <w:rPr>
          <w:lang w:eastAsia="en-AU"/>
        </w:rPr>
        <w:t>is</w:t>
      </w:r>
      <w:r w:rsidR="00E623AE" w:rsidRPr="00F34E26">
        <w:rPr>
          <w:lang w:eastAsia="en-AU"/>
        </w:rPr>
        <w:t xml:space="preserve"> implemented</w:t>
      </w:r>
      <w:r w:rsidR="00D2412B" w:rsidRPr="00F34E26">
        <w:rPr>
          <w:lang w:eastAsia="en-AU"/>
        </w:rPr>
        <w:t>)</w:t>
      </w:r>
      <w:r w:rsidR="00E623AE" w:rsidRPr="000D18DD">
        <w:rPr>
          <w:lang w:eastAsia="en-AU"/>
        </w:rPr>
        <w:t xml:space="preserve">. </w:t>
      </w:r>
      <w:r w:rsidR="00C51DA5" w:rsidRPr="000F6F91">
        <w:rPr>
          <w:lang w:eastAsia="en-AU"/>
        </w:rPr>
        <w:t>One AC</w:t>
      </w:r>
      <w:r w:rsidR="00C51DA5" w:rsidRPr="00793274">
        <w:rPr>
          <w:lang w:eastAsia="en-AU"/>
        </w:rPr>
        <w:t xml:space="preserve">CHO reported that there has been no real evaluation process to date for their transitions as they have been </w:t>
      </w:r>
      <w:r w:rsidR="000D0C92" w:rsidRPr="00546221">
        <w:rPr>
          <w:lang w:eastAsia="en-AU"/>
        </w:rPr>
        <w:t xml:space="preserve">so </w:t>
      </w:r>
      <w:r w:rsidR="00C51DA5" w:rsidRPr="00546221">
        <w:rPr>
          <w:lang w:eastAsia="en-AU"/>
        </w:rPr>
        <w:t>consumed with the transition</w:t>
      </w:r>
      <w:r w:rsidR="00D2412B" w:rsidRPr="00546221">
        <w:rPr>
          <w:lang w:eastAsia="en-AU"/>
        </w:rPr>
        <w:t xml:space="preserve"> and </w:t>
      </w:r>
      <w:r w:rsidR="001F721A" w:rsidRPr="000B6166">
        <w:rPr>
          <w:lang w:eastAsia="en-AU"/>
        </w:rPr>
        <w:t>there have been limited resources to focus o</w:t>
      </w:r>
      <w:r w:rsidR="001F721A" w:rsidRPr="00236EDA">
        <w:rPr>
          <w:lang w:eastAsia="en-AU"/>
        </w:rPr>
        <w:t>n</w:t>
      </w:r>
      <w:r w:rsidR="00040879" w:rsidRPr="00E3304B">
        <w:rPr>
          <w:lang w:eastAsia="en-AU"/>
        </w:rPr>
        <w:t xml:space="preserve"> any</w:t>
      </w:r>
      <w:r w:rsidR="00444494" w:rsidRPr="00E3304B">
        <w:rPr>
          <w:lang w:eastAsia="en-AU"/>
        </w:rPr>
        <w:t xml:space="preserve"> </w:t>
      </w:r>
      <w:r w:rsidR="0039775F" w:rsidRPr="00E3304B">
        <w:rPr>
          <w:lang w:eastAsia="en-AU"/>
        </w:rPr>
        <w:t>formal or ongoing</w:t>
      </w:r>
      <w:r w:rsidR="001F721A" w:rsidRPr="00E3304B">
        <w:rPr>
          <w:lang w:eastAsia="en-AU"/>
        </w:rPr>
        <w:t xml:space="preserve"> evaluation</w:t>
      </w:r>
      <w:r w:rsidR="00C51DA5" w:rsidRPr="00E3304B">
        <w:rPr>
          <w:lang w:eastAsia="en-AU"/>
        </w:rPr>
        <w:t xml:space="preserve">. </w:t>
      </w:r>
      <w:r w:rsidR="00F56AF1" w:rsidRPr="00E3304B">
        <w:rPr>
          <w:lang w:eastAsia="en-AU"/>
        </w:rPr>
        <w:t xml:space="preserve">None of the </w:t>
      </w:r>
      <w:r w:rsidR="00C51DA5" w:rsidRPr="00E3304B">
        <w:rPr>
          <w:lang w:eastAsia="en-AU"/>
        </w:rPr>
        <w:t xml:space="preserve">ACCHOs </w:t>
      </w:r>
      <w:r w:rsidR="00F56AF1" w:rsidRPr="00E3304B">
        <w:rPr>
          <w:lang w:eastAsia="en-AU"/>
        </w:rPr>
        <w:t>consulted as part of this evaluation developed thei</w:t>
      </w:r>
      <w:r w:rsidR="00C51DA5" w:rsidRPr="00E3304B">
        <w:rPr>
          <w:lang w:eastAsia="en-AU"/>
        </w:rPr>
        <w:t>r own evaluation strategies in the consolidation phase as recommended</w:t>
      </w:r>
      <w:r w:rsidR="00301501" w:rsidRPr="00E3304B">
        <w:rPr>
          <w:lang w:eastAsia="en-AU"/>
        </w:rPr>
        <w:t xml:space="preserve"> in the P2CC </w:t>
      </w:r>
      <w:r w:rsidR="009B68B1">
        <w:rPr>
          <w:lang w:eastAsia="en-AU"/>
        </w:rPr>
        <w:t xml:space="preserve">program </w:t>
      </w:r>
      <w:r w:rsidR="00301501" w:rsidRPr="00E3304B">
        <w:rPr>
          <w:lang w:eastAsia="en-AU"/>
        </w:rPr>
        <w:t xml:space="preserve">framework. </w:t>
      </w:r>
      <w:r w:rsidR="00600182" w:rsidRPr="00E3304B">
        <w:rPr>
          <w:lang w:eastAsia="en-AU"/>
        </w:rPr>
        <w:t>Many stakeholders were unclear as to who was responsible for evaluation and when it should occur.</w:t>
      </w:r>
    </w:p>
    <w:p w14:paraId="0D73BECF" w14:textId="2B0314E8" w:rsidR="002E3023" w:rsidRPr="00E3304B" w:rsidRDefault="002E3023" w:rsidP="00C51DA5">
      <w:pPr>
        <w:rPr>
          <w:lang w:eastAsia="en-AU"/>
        </w:rPr>
      </w:pPr>
      <w:r w:rsidRPr="00E3304B">
        <w:rPr>
          <w:noProof/>
        </w:rPr>
        <mc:AlternateContent>
          <mc:Choice Requires="wps">
            <w:drawing>
              <wp:inline distT="0" distB="0" distL="0" distR="0" wp14:anchorId="3045DA7B" wp14:editId="227E733E">
                <wp:extent cx="3752603" cy="237507"/>
                <wp:effectExtent l="0" t="0" r="635" b="0"/>
                <wp:docPr id="35" name="Text Box 35" descr="“[There was] no real evaluation process.” – ACCHO stakeholder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3752603" cy="2375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BACACE" w14:textId="77777777" w:rsidR="002E3023" w:rsidRPr="006B1456" w:rsidRDefault="002E3023" w:rsidP="002E3023">
                            <w:pPr>
                              <w:pStyle w:val="Callout"/>
                              <w:pBdr>
                                <w:top w:val="single" w:sz="18" w:space="0" w:color="E6E6E1" w:themeColor="accent5"/>
                              </w:pBdr>
                              <w:rPr>
                                <w:i/>
                                <w:color w:val="F25E21" w:themeColor="accent2"/>
                                <w:lang w:eastAsia="en-AU"/>
                              </w:rPr>
                            </w:pPr>
                            <w:r w:rsidRPr="007E56BB">
                              <w:rPr>
                                <w:i/>
                                <w:color w:val="F25E21" w:themeColor="accent2"/>
                                <w:lang w:val="en-US" w:eastAsia="en-AU"/>
                              </w:rPr>
                              <w:t xml:space="preserve">“[There was] no real evaluation process.” </w:t>
                            </w:r>
                            <w:r w:rsidRPr="005D5574">
                              <w:rPr>
                                <w:i/>
                                <w:color w:val="F25E21" w:themeColor="accent2"/>
                                <w:lang w:val="en-US" w:eastAsia="en-AU"/>
                              </w:rPr>
                              <w:t xml:space="preserve">– </w:t>
                            </w:r>
                            <w:r>
                              <w:rPr>
                                <w:i/>
                                <w:iCs/>
                                <w:color w:val="00264D" w:themeColor="background2"/>
                                <w:sz w:val="18"/>
                                <w:szCs w:val="18"/>
                                <w:lang w:val="en-US" w:eastAsia="en-AU"/>
                              </w:rPr>
                              <w:t xml:space="preserve">ACCHO stakeholder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inline>
            </w:drawing>
          </mc:Choice>
          <mc:Fallback>
            <w:pict>
              <v:shape w14:anchorId="3045DA7B" id="Text Box 35" o:spid="_x0000_s1041" type="#_x0000_t202" alt="“[There was] no real evaluation process.” – ACCHO stakeholder " style="width:295.5pt;height:1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" fillcolor="white [3201]" stroked="f" strokeweight=".5pt">
                <v:textbox style="mso-fit-shape-to-text:t" inset="0,,1mm">
                  <w:txbxContent>
                    <w:p w14:paraId="3ABACACE" w14:textId="77777777" w:rsidR="002E3023" w:rsidRPr="006B1456" w:rsidRDefault="002E3023" w:rsidP="002E3023">
                      <w:pPr>
                        <w:pStyle w:val="Callout"/>
                        <w:pBdr>
                          <w:top w:val="single" w:sz="18" w:space="0" w:color="E6E6E1" w:themeColor="accent5"/>
                        </w:pBdr>
                        <w:rPr>
                          <w:i/>
                          <w:color w:val="F25E21" w:themeColor="accent2"/>
                          <w:lang w:eastAsia="en-AU"/>
                        </w:rPr>
                      </w:pPr>
                      <w:r w:rsidRPr="007E56BB">
                        <w:rPr>
                          <w:i/>
                          <w:color w:val="F25E21" w:themeColor="accent2"/>
                          <w:lang w:val="en-US" w:eastAsia="en-AU"/>
                        </w:rPr>
                        <w:t xml:space="preserve">“[There was] no real evaluation process.” </w:t>
                      </w:r>
                      <w:r w:rsidRPr="005D5574">
                        <w:rPr>
                          <w:i/>
                          <w:color w:val="F25E21" w:themeColor="accent2"/>
                          <w:lang w:val="en-US" w:eastAsia="en-AU"/>
                        </w:rPr>
                        <w:t xml:space="preserve">– </w:t>
                      </w:r>
                      <w:r>
                        <w:rPr>
                          <w:i/>
                          <w:iCs/>
                          <w:color w:val="00264D" w:themeColor="background2"/>
                          <w:sz w:val="18"/>
                          <w:szCs w:val="18"/>
                          <w:lang w:val="en-US" w:eastAsia="en-AU"/>
                        </w:rPr>
                        <w:t xml:space="preserve">ACCHO stakeholder </w:t>
                      </w:r>
                    </w:p>
                  </w:txbxContent>
                </v:textbox>
                <w10:anchorlock/>
              </v:shape>
            </w:pict>
          </mc:Fallback>
        </mc:AlternateContent>
      </w:r>
    </w:p>
    <w:p w14:paraId="5111BE3E" w14:textId="5402520A" w:rsidR="006A6827" w:rsidRPr="00E3304B" w:rsidRDefault="00232546" w:rsidP="00C51DA5">
      <w:pPr>
        <w:rPr>
          <w:lang w:eastAsia="en-AU"/>
        </w:rPr>
      </w:pPr>
      <w:r w:rsidRPr="00E3304B">
        <w:rPr>
          <w:lang w:eastAsia="en-AU"/>
        </w:rPr>
        <w:t>This evaluation report represents the first evaluation undertaken that focuses exclusively on the P2CC program since its formal launch in 2009</w:t>
      </w:r>
      <w:r w:rsidRPr="00604BD3">
        <w:rPr>
          <w:lang w:eastAsia="en-AU"/>
        </w:rPr>
        <w:t>.</w:t>
      </w:r>
      <w:r w:rsidR="00D179BC" w:rsidRPr="00604BD3">
        <w:rPr>
          <w:rStyle w:val="FootnoteReference"/>
          <w:lang w:eastAsia="en-AU"/>
        </w:rPr>
        <w:footnoteReference w:id="22"/>
      </w:r>
      <w:r w:rsidRPr="00604BD3">
        <w:rPr>
          <w:lang w:eastAsia="en-AU"/>
        </w:rPr>
        <w:t xml:space="preserve"> </w:t>
      </w:r>
      <w:r w:rsidRPr="00D8417D">
        <w:rPr>
          <w:lang w:eastAsia="en-AU"/>
        </w:rPr>
        <w:t xml:space="preserve">However, as this evaluation is a process evaluation rather than an </w:t>
      </w:r>
      <w:r w:rsidRPr="00D01BD5">
        <w:rPr>
          <w:lang w:eastAsia="en-AU"/>
        </w:rPr>
        <w:t xml:space="preserve">outcomes evaluation, </w:t>
      </w:r>
      <w:r w:rsidR="00000B26" w:rsidRPr="002A7726">
        <w:rPr>
          <w:lang w:eastAsia="en-AU"/>
        </w:rPr>
        <w:t>a comprehensive</w:t>
      </w:r>
      <w:r w:rsidRPr="00604BD3">
        <w:rPr>
          <w:lang w:eastAsia="en-AU"/>
        </w:rPr>
        <w:t xml:space="preserve"> </w:t>
      </w:r>
      <w:r w:rsidRPr="00D8417D">
        <w:rPr>
          <w:lang w:eastAsia="en-AU"/>
        </w:rPr>
        <w:t>assessment of outcomes of the P2CC program remains as a key gap in building the evidence</w:t>
      </w:r>
      <w:r w:rsidR="00A63983">
        <w:rPr>
          <w:lang w:eastAsia="en-AU"/>
        </w:rPr>
        <w:t xml:space="preserve"> </w:t>
      </w:r>
      <w:r w:rsidRPr="00D8417D">
        <w:rPr>
          <w:lang w:eastAsia="en-AU"/>
        </w:rPr>
        <w:t xml:space="preserve">base for the program and </w:t>
      </w:r>
      <w:r w:rsidRPr="00A63983">
        <w:rPr>
          <w:lang w:eastAsia="en-AU"/>
        </w:rPr>
        <w:t>Aboriginal community control more generally.</w:t>
      </w:r>
      <w:r w:rsidR="000205B3" w:rsidRPr="002A7726">
        <w:rPr>
          <w:lang w:eastAsia="en-AU"/>
        </w:rPr>
        <w:t xml:space="preserve"> </w:t>
      </w:r>
      <w:r w:rsidR="006A6827" w:rsidRPr="00604BD3">
        <w:rPr>
          <w:lang w:eastAsia="en-AU"/>
        </w:rPr>
        <w:t>T</w:t>
      </w:r>
      <w:r w:rsidR="006A6827" w:rsidRPr="00D01BD5">
        <w:rPr>
          <w:lang w:eastAsia="en-AU"/>
        </w:rPr>
        <w:t>h</w:t>
      </w:r>
      <w:r w:rsidR="00A96362" w:rsidRPr="002A7726">
        <w:rPr>
          <w:lang w:eastAsia="en-AU"/>
        </w:rPr>
        <w:t>e current limited evaluation of the program</w:t>
      </w:r>
      <w:r w:rsidR="006A6827" w:rsidRPr="00E3304B">
        <w:rPr>
          <w:lang w:eastAsia="en-AU"/>
        </w:rPr>
        <w:t xml:space="preserve"> represents a missed opportunity for both:</w:t>
      </w:r>
    </w:p>
    <w:p w14:paraId="3076369E" w14:textId="40015CC1" w:rsidR="006A6827" w:rsidRPr="00E3304B" w:rsidRDefault="006A6827" w:rsidP="006A6827">
      <w:pPr>
        <w:pStyle w:val="Bullet"/>
      </w:pPr>
      <w:r w:rsidRPr="00E3304B">
        <w:t xml:space="preserve">Process evaluation </w:t>
      </w:r>
      <w:r w:rsidR="00E06791" w:rsidRPr="00E3304B">
        <w:t xml:space="preserve">that could inform continual improvement </w:t>
      </w:r>
      <w:r w:rsidR="007402A5" w:rsidRPr="00E3304B">
        <w:t xml:space="preserve">to </w:t>
      </w:r>
      <w:r w:rsidR="00232546" w:rsidRPr="00E3304B">
        <w:t>individual transitions and the program as a whole</w:t>
      </w:r>
    </w:p>
    <w:p w14:paraId="4B31B759" w14:textId="000766F7" w:rsidR="007402A5" w:rsidRPr="00E3304B" w:rsidRDefault="007402A5" w:rsidP="006A6827">
      <w:pPr>
        <w:pStyle w:val="Bullet"/>
      </w:pPr>
      <w:r w:rsidRPr="00E3304B">
        <w:t>Outcome evaluation that could</w:t>
      </w:r>
      <w:r w:rsidR="00904503" w:rsidRPr="00E3304B">
        <w:t xml:space="preserve"> identify features of transitions</w:t>
      </w:r>
      <w:r w:rsidR="00232546" w:rsidRPr="00E3304B">
        <w:t xml:space="preserve"> and the program</w:t>
      </w:r>
      <w:r w:rsidR="00904503" w:rsidRPr="00E3304B">
        <w:t xml:space="preserve"> that are associated with greater success.</w:t>
      </w:r>
    </w:p>
    <w:p w14:paraId="54ABA103" w14:textId="47A7E767" w:rsidR="00904503" w:rsidRDefault="00904503" w:rsidP="00904503">
      <w:pPr>
        <w:pStyle w:val="Bullet"/>
        <w:numPr>
          <w:ilvl w:val="0"/>
          <w:numId w:val="0"/>
        </w:numPr>
        <w:ind w:left="340" w:hanging="340"/>
      </w:pPr>
      <w:r w:rsidRPr="00E3304B">
        <w:t>Both forms of evaluation are critical in developing an evidence base to inform future transitions.</w:t>
      </w:r>
    </w:p>
    <w:p w14:paraId="2337C4C6" w14:textId="77777777" w:rsidR="001D6C14" w:rsidRPr="00063132" w:rsidRDefault="001D6C14" w:rsidP="00063132">
      <w:pPr>
        <w:rPr>
          <w:b/>
          <w:bCs/>
          <w:color w:val="00264D" w:themeColor="background2"/>
          <w:sz w:val="20"/>
          <w:szCs w:val="24"/>
          <w:lang w:val="en-US"/>
        </w:rPr>
      </w:pPr>
      <w:r w:rsidRPr="00063132">
        <w:rPr>
          <w:b/>
          <w:bCs/>
          <w:color w:val="00264D" w:themeColor="background2"/>
          <w:sz w:val="20"/>
          <w:szCs w:val="24"/>
        </w:rPr>
        <w:t xml:space="preserve">Some lessons learned about the transition process were developed and shared along the way </w:t>
      </w:r>
    </w:p>
    <w:p w14:paraId="260B869C" w14:textId="6C3CF731" w:rsidR="001D6C14" w:rsidRDefault="001D6C14" w:rsidP="00C51DA5">
      <w:pPr>
        <w:rPr>
          <w:rFonts w:ascii="Segoe UI Semilight" w:hAnsi="Segoe UI Semilight"/>
          <w:i/>
          <w:iCs/>
          <w:color w:val="F25E21" w:themeColor="accent2"/>
          <w:kern w:val="24"/>
          <w:sz w:val="22"/>
          <w:lang w:eastAsia="en-AU"/>
        </w:rPr>
      </w:pPr>
      <w:r>
        <w:rPr>
          <w:lang w:eastAsia="en-AU"/>
        </w:rPr>
        <w:t xml:space="preserve">While there </w:t>
      </w:r>
      <w:r w:rsidR="001D158F">
        <w:rPr>
          <w:lang w:eastAsia="en-AU"/>
        </w:rPr>
        <w:t>have been</w:t>
      </w:r>
      <w:r>
        <w:rPr>
          <w:lang w:eastAsia="en-AU"/>
        </w:rPr>
        <w:t xml:space="preserve"> limited formal evaluations of the transition process, some lessons learned </w:t>
      </w:r>
      <w:r w:rsidR="001D158F">
        <w:rPr>
          <w:lang w:eastAsia="en-AU"/>
        </w:rPr>
        <w:t xml:space="preserve">about transitions </w:t>
      </w:r>
      <w:r>
        <w:rPr>
          <w:lang w:eastAsia="en-AU"/>
        </w:rPr>
        <w:t xml:space="preserve">were shared along the way. </w:t>
      </w:r>
      <w:r w:rsidRPr="00C51DA5">
        <w:rPr>
          <w:lang w:eastAsia="en-AU"/>
        </w:rPr>
        <w:t xml:space="preserve">One ACCHO developed several ‘lessons learned’ documents </w:t>
      </w:r>
      <w:r>
        <w:rPr>
          <w:lang w:eastAsia="en-AU"/>
        </w:rPr>
        <w:t>for</w:t>
      </w:r>
      <w:r w:rsidRPr="00C51DA5">
        <w:rPr>
          <w:lang w:eastAsia="en-AU"/>
        </w:rPr>
        <w:t xml:space="preserve"> several</w:t>
      </w:r>
      <w:r>
        <w:rPr>
          <w:lang w:eastAsia="en-AU"/>
        </w:rPr>
        <w:t xml:space="preserve"> of</w:t>
      </w:r>
      <w:r w:rsidRPr="00C51DA5">
        <w:rPr>
          <w:lang w:eastAsia="en-AU"/>
        </w:rPr>
        <w:t xml:space="preserve"> </w:t>
      </w:r>
      <w:r>
        <w:rPr>
          <w:lang w:eastAsia="en-AU"/>
        </w:rPr>
        <w:t xml:space="preserve">its </w:t>
      </w:r>
      <w:r w:rsidRPr="00C51DA5">
        <w:rPr>
          <w:lang w:eastAsia="en-AU"/>
        </w:rPr>
        <w:t>transitions</w:t>
      </w:r>
      <w:r>
        <w:rPr>
          <w:lang w:eastAsia="en-AU"/>
        </w:rPr>
        <w:t xml:space="preserve"> which outlined key issues that occurred across housing, staffing, clinic buildings, IT, leases, legal agreements, and financials</w:t>
      </w:r>
      <w:r w:rsidRPr="00C51DA5">
        <w:rPr>
          <w:lang w:eastAsia="en-AU"/>
        </w:rPr>
        <w:t xml:space="preserve">. </w:t>
      </w:r>
      <w:r>
        <w:rPr>
          <w:lang w:eastAsia="en-AU"/>
        </w:rPr>
        <w:t xml:space="preserve">This ACCHO commented on the fact that the lessons from the </w:t>
      </w:r>
      <w:r w:rsidRPr="00C51DA5">
        <w:rPr>
          <w:lang w:eastAsia="en-AU"/>
        </w:rPr>
        <w:t>first transition helped to inform subsequent transitions</w:t>
      </w:r>
      <w:r>
        <w:rPr>
          <w:lang w:eastAsia="en-AU"/>
        </w:rPr>
        <w:t xml:space="preserve">. </w:t>
      </w:r>
      <w:r w:rsidRPr="00C51DA5">
        <w:rPr>
          <w:lang w:eastAsia="en-AU"/>
        </w:rPr>
        <w:t xml:space="preserve">Some of these lessons were shared with other </w:t>
      </w:r>
      <w:r w:rsidR="00AC32C0">
        <w:rPr>
          <w:lang w:eastAsia="en-AU"/>
        </w:rPr>
        <w:t>ACCHOs</w:t>
      </w:r>
      <w:r w:rsidR="00AC32C0" w:rsidRPr="00C51DA5">
        <w:rPr>
          <w:lang w:eastAsia="en-AU"/>
        </w:rPr>
        <w:t xml:space="preserve"> </w:t>
      </w:r>
      <w:r w:rsidRPr="00C51DA5">
        <w:rPr>
          <w:lang w:eastAsia="en-AU"/>
        </w:rPr>
        <w:t>looking to transition.</w:t>
      </w:r>
      <w:r w:rsidR="001D158F">
        <w:rPr>
          <w:lang w:eastAsia="en-AU"/>
        </w:rPr>
        <w:t xml:space="preserve"> </w:t>
      </w:r>
    </w:p>
    <w:p w14:paraId="79E3FA33" w14:textId="3C1D2C45" w:rsidR="002E3023" w:rsidRPr="001D6C14" w:rsidRDefault="002E3023" w:rsidP="00C51DA5">
      <w:pPr>
        <w:rPr>
          <w:lang w:eastAsia="en-AU"/>
        </w:rPr>
      </w:pPr>
      <w:r>
        <w:rPr>
          <w:noProof/>
        </w:rPr>
        <mc:AlternateContent>
          <mc:Choice Requires="wps">
            <w:drawing>
              <wp:inline distT="0" distB="0" distL="0" distR="0" wp14:anchorId="4638171A" wp14:editId="648E675D">
                <wp:extent cx="5118265" cy="605641"/>
                <wp:effectExtent l="0" t="0" r="6350" b="0"/>
                <wp:docPr id="25" name="Text Box 25" descr="“Despite the fact that other transitions happened before, all these hurdles you are having to work out, it’s almost as if it has never happened before.” – ACCHO stakeholder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5118265" cy="6056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A48F60" w14:textId="77777777" w:rsidR="002E3023" w:rsidRPr="00AB15F9" w:rsidRDefault="002E3023" w:rsidP="002E3023">
                            <w:pPr>
                              <w:pStyle w:val="Callout"/>
                              <w:pBdr>
                                <w:top w:val="single" w:sz="18" w:space="0" w:color="E6E6E1" w:themeColor="accent5"/>
                              </w:pBdr>
                              <w:rPr>
                                <w:i/>
                                <w:color w:val="F25E21" w:themeColor="accent2"/>
                                <w:lang w:eastAsia="en-AU"/>
                              </w:rPr>
                            </w:pPr>
                            <w:r w:rsidRPr="00AB15F9">
                              <w:rPr>
                                <w:i/>
                                <w:iCs/>
                                <w:color w:val="F25E21" w:themeColor="accent2"/>
                                <w:lang w:eastAsia="en-AU"/>
                              </w:rPr>
                              <w:t>“Despite the fact that other transitions happened before, all these hurdles you are having to work out, it’s almost as if it has never happened before.”</w:t>
                            </w:r>
                            <w:r>
                              <w:rPr>
                                <w:i/>
                                <w:iCs/>
                                <w:color w:val="F25E21" w:themeColor="accent2"/>
                                <w:lang w:eastAsia="en-AU"/>
                              </w:rPr>
                              <w:t xml:space="preserve"> </w:t>
                            </w:r>
                            <w:r w:rsidRPr="005D5574">
                              <w:rPr>
                                <w:i/>
                                <w:color w:val="F25E21" w:themeColor="accent2"/>
                                <w:lang w:val="en-US" w:eastAsia="en-AU"/>
                              </w:rPr>
                              <w:t xml:space="preserve">– </w:t>
                            </w:r>
                            <w:r>
                              <w:rPr>
                                <w:i/>
                                <w:iCs/>
                                <w:color w:val="00264D" w:themeColor="background2"/>
                                <w:sz w:val="18"/>
                                <w:szCs w:val="18"/>
                                <w:lang w:val="en-US" w:eastAsia="en-AU"/>
                              </w:rPr>
                              <w:t xml:space="preserve">ACCHO stakeholder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inline>
            </w:drawing>
          </mc:Choice>
          <mc:Fallback>
            <w:pict>
              <v:shape w14:anchorId="4638171A" id="Text Box 25" o:spid="_x0000_s1042" type="#_x0000_t202" alt="“Despite the fact that other transitions happened before, all these hurdles you are having to work out, it’s almost as if it has never happened before.” – ACCHO stakeholder " style="width:403pt;height:4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" fillcolor="white [3201]" stroked="f" strokeweight=".5pt">
                <v:textbox style="mso-fit-shape-to-text:t" inset="0,,1mm">
                  <w:txbxContent>
                    <w:p w14:paraId="58A48F60" w14:textId="77777777" w:rsidR="002E3023" w:rsidRPr="00AB15F9" w:rsidRDefault="002E3023" w:rsidP="002E3023">
                      <w:pPr>
                        <w:pStyle w:val="Callout"/>
                        <w:pBdr>
                          <w:top w:val="single" w:sz="18" w:space="0" w:color="E6E6E1" w:themeColor="accent5"/>
                        </w:pBdr>
                        <w:rPr>
                          <w:i/>
                          <w:color w:val="F25E21" w:themeColor="accent2"/>
                          <w:lang w:eastAsia="en-AU"/>
                        </w:rPr>
                      </w:pPr>
                      <w:r w:rsidRPr="00AB15F9">
                        <w:rPr>
                          <w:i/>
                          <w:iCs/>
                          <w:color w:val="F25E21" w:themeColor="accent2"/>
                          <w:lang w:eastAsia="en-AU"/>
                        </w:rPr>
                        <w:t>“Despite the fact that other transitions happened before, all these hurdles you are having to work out, it’s almost as if it has never happened before.”</w:t>
                      </w:r>
                      <w:r>
                        <w:rPr>
                          <w:i/>
                          <w:iCs/>
                          <w:color w:val="F25E21" w:themeColor="accent2"/>
                          <w:lang w:eastAsia="en-AU"/>
                        </w:rPr>
                        <w:t xml:space="preserve"> </w:t>
                      </w:r>
                      <w:r w:rsidRPr="005D5574">
                        <w:rPr>
                          <w:i/>
                          <w:color w:val="F25E21" w:themeColor="accent2"/>
                          <w:lang w:val="en-US" w:eastAsia="en-AU"/>
                        </w:rPr>
                        <w:t xml:space="preserve">– </w:t>
                      </w:r>
                      <w:r>
                        <w:rPr>
                          <w:i/>
                          <w:iCs/>
                          <w:color w:val="00264D" w:themeColor="background2"/>
                          <w:sz w:val="18"/>
                          <w:szCs w:val="18"/>
                          <w:lang w:val="en-US" w:eastAsia="en-AU"/>
                        </w:rPr>
                        <w:t xml:space="preserve">ACCHO stakeholder </w:t>
                      </w:r>
                    </w:p>
                  </w:txbxContent>
                </v:textbox>
                <w10:anchorlock/>
              </v:shape>
            </w:pict>
          </mc:Fallback>
        </mc:AlternateContent>
      </w:r>
    </w:p>
    <w:p w14:paraId="76547D95" w14:textId="77777777" w:rsidR="00C51DA5" w:rsidRPr="00063132" w:rsidRDefault="00C51DA5" w:rsidP="00063132">
      <w:pPr>
        <w:rPr>
          <w:b/>
          <w:bCs/>
          <w:lang w:val="en-US"/>
        </w:rPr>
      </w:pPr>
      <w:r w:rsidRPr="00063132">
        <w:rPr>
          <w:b/>
          <w:bCs/>
          <w:color w:val="00264D" w:themeColor="background2"/>
          <w:sz w:val="20"/>
          <w:szCs w:val="24"/>
        </w:rPr>
        <w:t>There has been limited use of data to assess outcomes, but some anecdotal outcomes were reported</w:t>
      </w:r>
    </w:p>
    <w:p w14:paraId="3FEF083C" w14:textId="28FB0F4F" w:rsidR="00C51DA5" w:rsidRDefault="00C51DA5" w:rsidP="00C51DA5">
      <w:pPr>
        <w:rPr>
          <w:lang w:eastAsia="en-AU"/>
        </w:rPr>
      </w:pPr>
      <w:r w:rsidRPr="00C51DA5">
        <w:rPr>
          <w:lang w:eastAsia="en-AU"/>
        </w:rPr>
        <w:t>There has been limited use of data to evaluate outcomes of individual transitions.</w:t>
      </w:r>
      <w:r w:rsidR="000E7712">
        <w:rPr>
          <w:lang w:eastAsia="en-AU"/>
        </w:rPr>
        <w:t xml:space="preserve"> </w:t>
      </w:r>
      <w:r w:rsidR="00501D44">
        <w:rPr>
          <w:lang w:eastAsia="en-AU"/>
        </w:rPr>
        <w:t>While high quality data is available (e.g. the NT Aboriginal Health Key Performance Indicators) it does not appear to have been used to evaluate the outcomes of individual transitions or the P2CC program as a whole.</w:t>
      </w:r>
      <w:r w:rsidR="00F67DD3">
        <w:rPr>
          <w:lang w:eastAsia="en-AU"/>
        </w:rPr>
        <w:t xml:space="preserve"> </w:t>
      </w:r>
      <w:r w:rsidR="00DA3712">
        <w:rPr>
          <w:lang w:eastAsia="en-AU"/>
        </w:rPr>
        <w:t xml:space="preserve">While </w:t>
      </w:r>
      <w:r w:rsidR="00384E67">
        <w:rPr>
          <w:lang w:eastAsia="en-AU"/>
        </w:rPr>
        <w:t xml:space="preserve">it is out of scope for </w:t>
      </w:r>
      <w:r w:rsidR="00DA3712">
        <w:rPr>
          <w:lang w:eastAsia="en-AU"/>
        </w:rPr>
        <w:t xml:space="preserve">this evaluation to </w:t>
      </w:r>
      <w:r w:rsidR="00384E67">
        <w:rPr>
          <w:lang w:eastAsia="en-AU"/>
        </w:rPr>
        <w:t>assess</w:t>
      </w:r>
      <w:r w:rsidR="00E603AB">
        <w:rPr>
          <w:lang w:eastAsia="en-AU"/>
        </w:rPr>
        <w:t xml:space="preserve"> </w:t>
      </w:r>
      <w:r w:rsidR="00FD13FE">
        <w:rPr>
          <w:lang w:eastAsia="en-AU"/>
        </w:rPr>
        <w:t xml:space="preserve">the change in </w:t>
      </w:r>
      <w:r w:rsidR="000D05A5">
        <w:rPr>
          <w:lang w:eastAsia="en-AU"/>
        </w:rPr>
        <w:t xml:space="preserve">health </w:t>
      </w:r>
      <w:r w:rsidR="00E603AB">
        <w:rPr>
          <w:lang w:eastAsia="en-AU"/>
        </w:rPr>
        <w:t xml:space="preserve">outcomes </w:t>
      </w:r>
      <w:r w:rsidR="009F2372">
        <w:rPr>
          <w:lang w:eastAsia="en-AU"/>
        </w:rPr>
        <w:t>as a result</w:t>
      </w:r>
      <w:r w:rsidRPr="00C51DA5">
        <w:rPr>
          <w:lang w:eastAsia="en-AU"/>
        </w:rPr>
        <w:t xml:space="preserve"> of </w:t>
      </w:r>
      <w:r w:rsidR="009F2372">
        <w:rPr>
          <w:lang w:eastAsia="en-AU"/>
        </w:rPr>
        <w:t>the</w:t>
      </w:r>
      <w:r w:rsidR="00E603AB">
        <w:rPr>
          <w:lang w:eastAsia="en-AU"/>
        </w:rPr>
        <w:t xml:space="preserve"> P2CC</w:t>
      </w:r>
      <w:r w:rsidR="00184B5C">
        <w:rPr>
          <w:lang w:eastAsia="en-AU"/>
        </w:rPr>
        <w:t xml:space="preserve"> program</w:t>
      </w:r>
      <w:r w:rsidR="00DA3712">
        <w:rPr>
          <w:lang w:eastAsia="en-AU"/>
        </w:rPr>
        <w:t xml:space="preserve">, </w:t>
      </w:r>
      <w:r w:rsidR="00F56C84">
        <w:rPr>
          <w:lang w:eastAsia="en-AU"/>
        </w:rPr>
        <w:t>many</w:t>
      </w:r>
      <w:r w:rsidRPr="00C51DA5">
        <w:rPr>
          <w:lang w:eastAsia="en-AU"/>
        </w:rPr>
        <w:t xml:space="preserve"> positive outcomes </w:t>
      </w:r>
      <w:r w:rsidR="00F56C84">
        <w:rPr>
          <w:lang w:eastAsia="en-AU"/>
        </w:rPr>
        <w:t>were</w:t>
      </w:r>
      <w:r w:rsidR="00DA3712">
        <w:rPr>
          <w:lang w:eastAsia="en-AU"/>
        </w:rPr>
        <w:t xml:space="preserve"> </w:t>
      </w:r>
      <w:r w:rsidR="009F2372">
        <w:rPr>
          <w:lang w:eastAsia="en-AU"/>
        </w:rPr>
        <w:t xml:space="preserve">anecdotally </w:t>
      </w:r>
      <w:r w:rsidR="00271B8B">
        <w:rPr>
          <w:lang w:eastAsia="en-AU"/>
        </w:rPr>
        <w:t>reported</w:t>
      </w:r>
      <w:r w:rsidR="00DA3712">
        <w:rPr>
          <w:lang w:eastAsia="en-AU"/>
        </w:rPr>
        <w:t xml:space="preserve"> throughout this evaluation process. </w:t>
      </w:r>
      <w:r w:rsidR="00036AC9">
        <w:rPr>
          <w:lang w:eastAsia="en-AU"/>
        </w:rPr>
        <w:t>The most common outcomes were</w:t>
      </w:r>
      <w:r w:rsidRPr="00C51DA5">
        <w:rPr>
          <w:lang w:eastAsia="en-AU"/>
        </w:rPr>
        <w:t xml:space="preserve"> improvements in </w:t>
      </w:r>
      <w:r w:rsidR="00AA53F3">
        <w:rPr>
          <w:lang w:eastAsia="en-AU"/>
        </w:rPr>
        <w:t>the</w:t>
      </w:r>
      <w:r w:rsidRPr="00C51DA5">
        <w:rPr>
          <w:lang w:eastAsia="en-AU"/>
        </w:rPr>
        <w:t xml:space="preserve"> employment of Aboriginal staff</w:t>
      </w:r>
      <w:r w:rsidR="00E02A4A">
        <w:rPr>
          <w:lang w:eastAsia="en-AU"/>
        </w:rPr>
        <w:t>, increased cultural safety</w:t>
      </w:r>
      <w:r w:rsidRPr="00C51DA5">
        <w:rPr>
          <w:lang w:eastAsia="en-AU"/>
        </w:rPr>
        <w:t xml:space="preserve"> and </w:t>
      </w:r>
      <w:r w:rsidR="006378D6">
        <w:rPr>
          <w:lang w:eastAsia="en-AU"/>
        </w:rPr>
        <w:t>an increase</w:t>
      </w:r>
      <w:r w:rsidRPr="00C51DA5">
        <w:rPr>
          <w:lang w:eastAsia="en-AU"/>
        </w:rPr>
        <w:t xml:space="preserve"> in the</w:t>
      </w:r>
      <w:r w:rsidR="00064E9D">
        <w:rPr>
          <w:lang w:eastAsia="en-AU"/>
        </w:rPr>
        <w:t xml:space="preserve"> number of</w:t>
      </w:r>
      <w:r w:rsidRPr="00C51DA5">
        <w:rPr>
          <w:lang w:eastAsia="en-AU"/>
        </w:rPr>
        <w:t xml:space="preserve"> </w:t>
      </w:r>
      <w:r w:rsidR="003831DA">
        <w:rPr>
          <w:lang w:eastAsia="en-AU"/>
        </w:rPr>
        <w:t>primary</w:t>
      </w:r>
      <w:r w:rsidRPr="00C51DA5">
        <w:rPr>
          <w:lang w:eastAsia="en-AU"/>
        </w:rPr>
        <w:t xml:space="preserve"> prevention and health promotion activities undertaken.</w:t>
      </w:r>
    </w:p>
    <w:p w14:paraId="3C34F276" w14:textId="431C83A2" w:rsidR="00064E9D" w:rsidRDefault="00064E9D" w:rsidP="00A329AC">
      <w:pPr>
        <w:rPr>
          <w:lang w:eastAsia="en-AU"/>
        </w:rPr>
      </w:pPr>
      <w:r>
        <w:rPr>
          <w:lang w:eastAsia="en-AU"/>
        </w:rPr>
        <w:lastRenderedPageBreak/>
        <w:t xml:space="preserve">Several ACCHOs </w:t>
      </w:r>
      <w:r w:rsidR="00765A1F">
        <w:rPr>
          <w:lang w:eastAsia="en-AU"/>
        </w:rPr>
        <w:t>highlighted</w:t>
      </w:r>
      <w:r w:rsidR="000022B2">
        <w:rPr>
          <w:lang w:eastAsia="en-AU"/>
        </w:rPr>
        <w:t xml:space="preserve"> the </w:t>
      </w:r>
      <w:r w:rsidR="00E651F7">
        <w:rPr>
          <w:lang w:eastAsia="en-AU"/>
        </w:rPr>
        <w:t xml:space="preserve">significant </w:t>
      </w:r>
      <w:r w:rsidR="000022B2">
        <w:rPr>
          <w:lang w:eastAsia="en-AU"/>
        </w:rPr>
        <w:t>increase in</w:t>
      </w:r>
      <w:r>
        <w:rPr>
          <w:lang w:eastAsia="en-AU"/>
        </w:rPr>
        <w:t xml:space="preserve"> local employment of Aboriginal and Torres Strait Islander staff, both in terms of the volume of staff, and th</w:t>
      </w:r>
      <w:r w:rsidR="000022B2">
        <w:rPr>
          <w:lang w:eastAsia="en-AU"/>
        </w:rPr>
        <w:t>e different positions in which they were engaged</w:t>
      </w:r>
      <w:r w:rsidR="001549A5">
        <w:rPr>
          <w:lang w:eastAsia="en-AU"/>
        </w:rPr>
        <w:t xml:space="preserve"> (both in clinical and corporate roles)</w:t>
      </w:r>
      <w:r w:rsidR="000022B2">
        <w:rPr>
          <w:lang w:eastAsia="en-AU"/>
        </w:rPr>
        <w:t xml:space="preserve">. </w:t>
      </w:r>
      <w:r w:rsidR="00796F72">
        <w:rPr>
          <w:lang w:eastAsia="en-AU"/>
        </w:rPr>
        <w:t xml:space="preserve">ACCHOs commented on the fact that this </w:t>
      </w:r>
      <w:r w:rsidR="001F6896">
        <w:rPr>
          <w:lang w:eastAsia="en-AU"/>
        </w:rPr>
        <w:t xml:space="preserve">employment had </w:t>
      </w:r>
      <w:r w:rsidR="00963875">
        <w:rPr>
          <w:lang w:eastAsia="en-AU"/>
        </w:rPr>
        <w:t xml:space="preserve">important </w:t>
      </w:r>
      <w:r w:rsidR="001F6896">
        <w:rPr>
          <w:lang w:eastAsia="en-AU"/>
        </w:rPr>
        <w:t xml:space="preserve">positive flow on effects including increased cultural </w:t>
      </w:r>
      <w:r w:rsidR="004935B5">
        <w:rPr>
          <w:lang w:eastAsia="en-AU"/>
        </w:rPr>
        <w:t xml:space="preserve">competency and </w:t>
      </w:r>
      <w:r w:rsidR="001F6896">
        <w:rPr>
          <w:lang w:eastAsia="en-AU"/>
        </w:rPr>
        <w:t xml:space="preserve">safety and </w:t>
      </w:r>
      <w:r w:rsidR="00141C4A">
        <w:rPr>
          <w:lang w:eastAsia="en-AU"/>
        </w:rPr>
        <w:t xml:space="preserve">a recognition by the community that the health service was genuinely controlled by the community. </w:t>
      </w:r>
    </w:p>
    <w:p w14:paraId="510C470E" w14:textId="77777777" w:rsidR="002E3023" w:rsidRDefault="00E162A4" w:rsidP="00C51DA5">
      <w:pPr>
        <w:rPr>
          <w:lang w:eastAsia="en-AU"/>
        </w:rPr>
      </w:pPr>
      <w:r>
        <w:rPr>
          <w:noProof/>
        </w:rPr>
        <mc:AlternateContent>
          <mc:Choice Requires="wps">
            <w:drawing>
              <wp:inline distT="0" distB="0" distL="0" distR="0" wp14:anchorId="00653817" wp14:editId="3565DD56">
                <wp:extent cx="5854535" cy="1246910"/>
                <wp:effectExtent l="0" t="0" r="0" b="4445"/>
                <wp:docPr id="37" name="Text Box 37" descr="“You are talking about multi-generational change - not seeing potential outcomes for 20 - 40 years.”– Government stakeholder &#10;“It’s a completely different clinic [since when I previously worked there] …it was just putting Band-Aids on everything keeping people alive and not dealing with the underlying chronic disease.” – Government stakeholder&#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5854535" cy="1246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42A912" w14:textId="77777777" w:rsidR="000C6018" w:rsidRDefault="000C6018" w:rsidP="00B64EAD">
                            <w:pPr>
                              <w:pStyle w:val="Callout"/>
                              <w:pBdr>
                                <w:top w:val="single" w:sz="18" w:space="0" w:color="E6E6E1" w:themeColor="accent5"/>
                              </w:pBdr>
                              <w:rPr>
                                <w:i/>
                                <w:iCs/>
                                <w:color w:val="00264D" w:themeColor="background2"/>
                                <w:sz w:val="18"/>
                                <w:szCs w:val="18"/>
                                <w:lang w:val="en-US" w:eastAsia="en-AU"/>
                              </w:rPr>
                            </w:pPr>
                            <w:r w:rsidRPr="00AB15F9">
                              <w:rPr>
                                <w:i/>
                                <w:iCs/>
                                <w:color w:val="F25E21" w:themeColor="accent2"/>
                                <w:lang w:eastAsia="en-AU"/>
                              </w:rPr>
                              <w:t>“</w:t>
                            </w:r>
                            <w:r w:rsidRPr="00AD5F41">
                              <w:rPr>
                                <w:i/>
                                <w:iCs/>
                                <w:color w:val="F25E21" w:themeColor="accent2"/>
                                <w:lang w:val="en-US" w:eastAsia="en-AU"/>
                              </w:rPr>
                              <w:t>You are talking about multi-generational change - not seeing potential outcomes for 20 - 40 years</w:t>
                            </w:r>
                            <w:r w:rsidRPr="00AB15F9">
                              <w:rPr>
                                <w:i/>
                                <w:iCs/>
                                <w:color w:val="F25E21" w:themeColor="accent2"/>
                                <w:lang w:eastAsia="en-AU"/>
                              </w:rPr>
                              <w:t>.”</w:t>
                            </w:r>
                            <w:r w:rsidRPr="005D5574">
                              <w:rPr>
                                <w:i/>
                                <w:color w:val="F25E21" w:themeColor="accent2"/>
                                <w:lang w:val="en-US" w:eastAsia="en-AU"/>
                              </w:rPr>
                              <w:t xml:space="preserve">– </w:t>
                            </w:r>
                            <w:r>
                              <w:rPr>
                                <w:i/>
                                <w:iCs/>
                                <w:color w:val="00264D" w:themeColor="background2"/>
                                <w:sz w:val="18"/>
                                <w:szCs w:val="18"/>
                                <w:lang w:val="en-US" w:eastAsia="en-AU"/>
                              </w:rPr>
                              <w:t xml:space="preserve">Government stakeholder </w:t>
                            </w:r>
                          </w:p>
                          <w:p w14:paraId="6A5D156B" w14:textId="3074A8D4" w:rsidR="000C6018" w:rsidRPr="001022A4" w:rsidRDefault="000C6018" w:rsidP="00B64EAD">
                            <w:pPr>
                              <w:pStyle w:val="Callout"/>
                              <w:pBdr>
                                <w:top w:val="single" w:sz="18" w:space="0" w:color="E6E6E1" w:themeColor="accent5"/>
                              </w:pBdr>
                              <w:rPr>
                                <w:i/>
                                <w:color w:val="F25E21" w:themeColor="accent2"/>
                                <w:lang w:val="en-US" w:eastAsia="en-AU"/>
                              </w:rPr>
                            </w:pPr>
                            <w:r>
                              <w:rPr>
                                <w:i/>
                                <w:iCs/>
                                <w:color w:val="F25E21" w:themeColor="accent2"/>
                                <w:lang w:eastAsia="en-AU"/>
                              </w:rPr>
                              <w:t>“It’s a completely different clinic [since when I previously worked there] …it was just putting Band-Aids on everything keeping people alive and not dealing with the underlying chronic disease</w:t>
                            </w:r>
                            <w:r w:rsidRPr="001022A4">
                              <w:rPr>
                                <w:i/>
                                <w:iCs/>
                                <w:color w:val="F25E21" w:themeColor="accent2"/>
                                <w:lang w:eastAsia="en-AU"/>
                              </w:rPr>
                              <w:t>.”</w:t>
                            </w:r>
                            <w:r w:rsidRPr="00FF7C31">
                              <w:rPr>
                                <w:i/>
                                <w:color w:val="F25E21" w:themeColor="accent2"/>
                                <w:lang w:val="en-US" w:eastAsia="en-AU"/>
                              </w:rPr>
                              <w:t xml:space="preserve"> </w:t>
                            </w:r>
                            <w:r w:rsidRPr="005D5574">
                              <w:rPr>
                                <w:i/>
                                <w:color w:val="F25E21" w:themeColor="accent2"/>
                                <w:lang w:val="en-US" w:eastAsia="en-AU"/>
                              </w:rPr>
                              <w:t>–</w:t>
                            </w:r>
                            <w:r w:rsidRPr="001022A4">
                              <w:rPr>
                                <w:i/>
                                <w:iCs/>
                                <w:color w:val="F25E21" w:themeColor="accent2"/>
                                <w:lang w:eastAsia="en-AU"/>
                              </w:rPr>
                              <w:t xml:space="preserve"> </w:t>
                            </w:r>
                            <w:r w:rsidRPr="001022A4">
                              <w:rPr>
                                <w:i/>
                                <w:iCs/>
                                <w:color w:val="00264D" w:themeColor="background2"/>
                                <w:sz w:val="18"/>
                                <w:szCs w:val="18"/>
                                <w:lang w:val="en-US" w:eastAsia="en-AU"/>
                              </w:rPr>
                              <w:t>Government stakeholder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inline>
            </w:drawing>
          </mc:Choice>
          <mc:Fallback>
            <w:pict>
              <v:shape w14:anchorId="00653817" id="Text Box 37" o:spid="_x0000_s1043" type="#_x0000_t202" alt="“You are talking about multi-generational change - not seeing potential outcomes for 20 - 40 years.”– Government stakeholder &#10;“It’s a completely different clinic [since when I previously worked there] …it was just putting Band-Aids on everything keeping people alive and not dealing with the underlying chronic disease.” – Government stakeholder&#10;" style="width:461pt;height:9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" fillcolor="white [3201]" stroked="f" strokeweight=".5pt">
                <v:textbox style="mso-fit-shape-to-text:t" inset="0,,1mm">
                  <w:txbxContent>
                    <w:p w14:paraId="7A42A912" w14:textId="77777777" w:rsidR="000C6018" w:rsidRDefault="000C6018" w:rsidP="00B64EAD">
                      <w:pPr>
                        <w:pStyle w:val="Callout"/>
                        <w:pBdr>
                          <w:top w:val="single" w:sz="18" w:space="0" w:color="E6E6E1" w:themeColor="accent5"/>
                        </w:pBdr>
                        <w:rPr>
                          <w:i/>
                          <w:iCs/>
                          <w:color w:val="00264D" w:themeColor="background2"/>
                          <w:sz w:val="18"/>
                          <w:szCs w:val="18"/>
                          <w:lang w:val="en-US" w:eastAsia="en-AU"/>
                        </w:rPr>
                      </w:pPr>
                      <w:r w:rsidRPr="00AB15F9">
                        <w:rPr>
                          <w:i/>
                          <w:iCs/>
                          <w:color w:val="F25E21" w:themeColor="accent2"/>
                          <w:lang w:eastAsia="en-AU"/>
                        </w:rPr>
                        <w:t>“</w:t>
                      </w:r>
                      <w:r w:rsidRPr="00AD5F41">
                        <w:rPr>
                          <w:i/>
                          <w:iCs/>
                          <w:color w:val="F25E21" w:themeColor="accent2"/>
                          <w:lang w:val="en-US" w:eastAsia="en-AU"/>
                        </w:rPr>
                        <w:t>You are talking about multi-generational change - not seeing potential outcomes for 20 - 40 years</w:t>
                      </w:r>
                      <w:r w:rsidRPr="00AB15F9">
                        <w:rPr>
                          <w:i/>
                          <w:iCs/>
                          <w:color w:val="F25E21" w:themeColor="accent2"/>
                          <w:lang w:eastAsia="en-AU"/>
                        </w:rPr>
                        <w:t>.”</w:t>
                      </w:r>
                      <w:r w:rsidRPr="005D5574">
                        <w:rPr>
                          <w:i/>
                          <w:color w:val="F25E21" w:themeColor="accent2"/>
                          <w:lang w:val="en-US" w:eastAsia="en-AU"/>
                        </w:rPr>
                        <w:t xml:space="preserve">– </w:t>
                      </w:r>
                      <w:r>
                        <w:rPr>
                          <w:i/>
                          <w:iCs/>
                          <w:color w:val="00264D" w:themeColor="background2"/>
                          <w:sz w:val="18"/>
                          <w:szCs w:val="18"/>
                          <w:lang w:val="en-US" w:eastAsia="en-AU"/>
                        </w:rPr>
                        <w:t xml:space="preserve">Government stakeholder </w:t>
                      </w:r>
                    </w:p>
                    <w:p w14:paraId="6A5D156B" w14:textId="3074A8D4" w:rsidR="000C6018" w:rsidRPr="001022A4" w:rsidRDefault="000C6018" w:rsidP="00B64EAD">
                      <w:pPr>
                        <w:pStyle w:val="Callout"/>
                        <w:pBdr>
                          <w:top w:val="single" w:sz="18" w:space="0" w:color="E6E6E1" w:themeColor="accent5"/>
                        </w:pBdr>
                        <w:rPr>
                          <w:i/>
                          <w:color w:val="F25E21" w:themeColor="accent2"/>
                          <w:lang w:val="en-US" w:eastAsia="en-AU"/>
                        </w:rPr>
                      </w:pPr>
                      <w:r>
                        <w:rPr>
                          <w:i/>
                          <w:iCs/>
                          <w:color w:val="F25E21" w:themeColor="accent2"/>
                          <w:lang w:eastAsia="en-AU"/>
                        </w:rPr>
                        <w:t>“It’s a completely different clinic [since when I previously worked there] …it was just putting Band-Aids on everything keeping people alive and not dealing with the underlying chronic disease</w:t>
                      </w:r>
                      <w:r w:rsidRPr="001022A4">
                        <w:rPr>
                          <w:i/>
                          <w:iCs/>
                          <w:color w:val="F25E21" w:themeColor="accent2"/>
                          <w:lang w:eastAsia="en-AU"/>
                        </w:rPr>
                        <w:t>.”</w:t>
                      </w:r>
                      <w:r w:rsidRPr="00FF7C31">
                        <w:rPr>
                          <w:i/>
                          <w:color w:val="F25E21" w:themeColor="accent2"/>
                          <w:lang w:val="en-US" w:eastAsia="en-AU"/>
                        </w:rPr>
                        <w:t xml:space="preserve"> </w:t>
                      </w:r>
                      <w:r w:rsidRPr="005D5574">
                        <w:rPr>
                          <w:i/>
                          <w:color w:val="F25E21" w:themeColor="accent2"/>
                          <w:lang w:val="en-US" w:eastAsia="en-AU"/>
                        </w:rPr>
                        <w:t>–</w:t>
                      </w:r>
                      <w:r w:rsidRPr="001022A4">
                        <w:rPr>
                          <w:i/>
                          <w:iCs/>
                          <w:color w:val="F25E21" w:themeColor="accent2"/>
                          <w:lang w:eastAsia="en-AU"/>
                        </w:rPr>
                        <w:t xml:space="preserve"> </w:t>
                      </w:r>
                      <w:r w:rsidRPr="001022A4">
                        <w:rPr>
                          <w:i/>
                          <w:iCs/>
                          <w:color w:val="00264D" w:themeColor="background2"/>
                          <w:sz w:val="18"/>
                          <w:szCs w:val="18"/>
                          <w:lang w:val="en-US" w:eastAsia="en-AU"/>
                        </w:rPr>
                        <w:t>Government stakeholder</w:t>
                      </w:r>
                    </w:p>
                  </w:txbxContent>
                </v:textbox>
                <w10:anchorlock/>
              </v:shape>
            </w:pict>
          </mc:Fallback>
        </mc:AlternateContent>
      </w:r>
    </w:p>
    <w:p w14:paraId="50EFCE96" w14:textId="1B8ED19D" w:rsidR="00773A0D" w:rsidRDefault="00C319BE" w:rsidP="00C51DA5">
      <w:pPr>
        <w:rPr>
          <w:lang w:eastAsia="en-AU"/>
        </w:rPr>
      </w:pPr>
      <w:r>
        <w:rPr>
          <w:lang w:eastAsia="en-AU"/>
        </w:rPr>
        <w:t xml:space="preserve">Many ACCHOs also </w:t>
      </w:r>
      <w:r w:rsidR="007D323D">
        <w:rPr>
          <w:lang w:eastAsia="en-AU"/>
        </w:rPr>
        <w:t>reported</w:t>
      </w:r>
      <w:r>
        <w:rPr>
          <w:lang w:eastAsia="en-AU"/>
        </w:rPr>
        <w:t xml:space="preserve"> a greater emphasis on primary prevention programs after transitioning to community control. </w:t>
      </w:r>
      <w:r w:rsidR="00AD060E">
        <w:rPr>
          <w:lang w:eastAsia="en-AU"/>
        </w:rPr>
        <w:t>For example, o</w:t>
      </w:r>
      <w:r w:rsidR="00773A0D">
        <w:rPr>
          <w:lang w:eastAsia="en-AU"/>
        </w:rPr>
        <w:t xml:space="preserve">ne </w:t>
      </w:r>
      <w:r w:rsidR="00C56A68">
        <w:rPr>
          <w:lang w:eastAsia="en-AU"/>
        </w:rPr>
        <w:t>doctor</w:t>
      </w:r>
      <w:r w:rsidR="00773A0D">
        <w:rPr>
          <w:lang w:eastAsia="en-AU"/>
        </w:rPr>
        <w:t xml:space="preserve"> who worked </w:t>
      </w:r>
      <w:r w:rsidR="00C475DD">
        <w:rPr>
          <w:lang w:eastAsia="en-AU"/>
        </w:rPr>
        <w:t>in the same clinic</w:t>
      </w:r>
      <w:r w:rsidR="00773A0D">
        <w:rPr>
          <w:lang w:eastAsia="en-AU"/>
        </w:rPr>
        <w:t xml:space="preserve"> </w:t>
      </w:r>
      <w:r w:rsidR="00C65E8C">
        <w:rPr>
          <w:lang w:eastAsia="en-AU"/>
        </w:rPr>
        <w:t xml:space="preserve">both </w:t>
      </w:r>
      <w:r w:rsidR="00773A0D">
        <w:rPr>
          <w:lang w:eastAsia="en-AU"/>
        </w:rPr>
        <w:t xml:space="preserve">before and after transition commented on the </w:t>
      </w:r>
      <w:r w:rsidR="00CE0343">
        <w:rPr>
          <w:lang w:eastAsia="en-AU"/>
        </w:rPr>
        <w:t>dramatic change in approach to primary health care for that clinic.</w:t>
      </w:r>
      <w:r w:rsidR="00AF5AFC">
        <w:rPr>
          <w:lang w:eastAsia="en-AU"/>
        </w:rPr>
        <w:t xml:space="preserve"> Previously, the clinic was only focused on</w:t>
      </w:r>
      <w:r w:rsidR="00033117">
        <w:rPr>
          <w:lang w:eastAsia="en-AU"/>
        </w:rPr>
        <w:t xml:space="preserve"> acute care</w:t>
      </w:r>
      <w:r w:rsidR="00EB3286">
        <w:rPr>
          <w:lang w:eastAsia="en-AU"/>
        </w:rPr>
        <w:t xml:space="preserve"> with </w:t>
      </w:r>
      <w:r w:rsidR="00262D98">
        <w:rPr>
          <w:lang w:eastAsia="en-AU"/>
        </w:rPr>
        <w:t>little focus</w:t>
      </w:r>
      <w:r w:rsidR="00EB3286">
        <w:rPr>
          <w:lang w:eastAsia="en-AU"/>
        </w:rPr>
        <w:t xml:space="preserve"> on chronic disease. </w:t>
      </w:r>
      <w:r w:rsidR="00B9749B">
        <w:rPr>
          <w:lang w:eastAsia="en-AU"/>
        </w:rPr>
        <w:t xml:space="preserve">The </w:t>
      </w:r>
      <w:r w:rsidR="00A6029D">
        <w:rPr>
          <w:lang w:eastAsia="en-AU"/>
        </w:rPr>
        <w:t>doctor</w:t>
      </w:r>
      <w:r w:rsidR="00B9749B">
        <w:rPr>
          <w:lang w:eastAsia="en-AU"/>
        </w:rPr>
        <w:t xml:space="preserve"> </w:t>
      </w:r>
      <w:r w:rsidR="00D544D6">
        <w:rPr>
          <w:lang w:eastAsia="en-AU"/>
        </w:rPr>
        <w:t>commented on the</w:t>
      </w:r>
      <w:r w:rsidR="00D66487">
        <w:rPr>
          <w:lang w:eastAsia="en-AU"/>
        </w:rPr>
        <w:t xml:space="preserve"> benefit of the increase in</w:t>
      </w:r>
      <w:r w:rsidR="00DA2763">
        <w:rPr>
          <w:lang w:eastAsia="en-AU"/>
        </w:rPr>
        <w:t xml:space="preserve"> the diversity of</w:t>
      </w:r>
      <w:r w:rsidR="00EB3286">
        <w:rPr>
          <w:lang w:eastAsia="en-AU"/>
        </w:rPr>
        <w:t xml:space="preserve"> programs</w:t>
      </w:r>
      <w:r w:rsidR="00D66487">
        <w:rPr>
          <w:lang w:eastAsia="en-AU"/>
        </w:rPr>
        <w:t xml:space="preserve"> (e.g., for women’s and men’s health)</w:t>
      </w:r>
      <w:r w:rsidR="00EB3286">
        <w:rPr>
          <w:lang w:eastAsia="en-AU"/>
        </w:rPr>
        <w:t xml:space="preserve"> </w:t>
      </w:r>
      <w:r w:rsidR="00D66487">
        <w:rPr>
          <w:lang w:eastAsia="en-AU"/>
        </w:rPr>
        <w:t>with</w:t>
      </w:r>
      <w:r w:rsidR="00EB3286">
        <w:rPr>
          <w:lang w:eastAsia="en-AU"/>
        </w:rPr>
        <w:t xml:space="preserve"> doctors and nurses allocated to each program. </w:t>
      </w:r>
      <w:r w:rsidR="00466C6E">
        <w:rPr>
          <w:lang w:eastAsia="en-AU"/>
        </w:rPr>
        <w:t xml:space="preserve">The </w:t>
      </w:r>
      <w:r w:rsidR="009E5665">
        <w:rPr>
          <w:lang w:eastAsia="en-AU"/>
        </w:rPr>
        <w:t>doctor</w:t>
      </w:r>
      <w:r w:rsidR="00466C6E">
        <w:rPr>
          <w:lang w:eastAsia="en-AU"/>
        </w:rPr>
        <w:t xml:space="preserve"> reported </w:t>
      </w:r>
      <w:r w:rsidR="00C56A68">
        <w:rPr>
          <w:lang w:eastAsia="en-AU"/>
        </w:rPr>
        <w:t>that the clinic was even busier</w:t>
      </w:r>
      <w:r w:rsidR="003C4EB6">
        <w:rPr>
          <w:lang w:eastAsia="en-AU"/>
        </w:rPr>
        <w:t xml:space="preserve"> after transition </w:t>
      </w:r>
      <w:r w:rsidR="00D423FD">
        <w:rPr>
          <w:lang w:eastAsia="en-AU"/>
        </w:rPr>
        <w:t xml:space="preserve">which they </w:t>
      </w:r>
      <w:r w:rsidR="005D7BE4">
        <w:rPr>
          <w:lang w:eastAsia="en-AU"/>
        </w:rPr>
        <w:t>believed</w:t>
      </w:r>
      <w:r w:rsidR="00DA2763">
        <w:rPr>
          <w:lang w:eastAsia="en-AU"/>
        </w:rPr>
        <w:t xml:space="preserve"> was </w:t>
      </w:r>
      <w:r w:rsidR="00B10864">
        <w:rPr>
          <w:lang w:eastAsia="en-AU"/>
        </w:rPr>
        <w:t>a result of being</w:t>
      </w:r>
      <w:r w:rsidR="003A557E">
        <w:rPr>
          <w:lang w:eastAsia="en-AU"/>
        </w:rPr>
        <w:t xml:space="preserve"> able to </w:t>
      </w:r>
      <w:r w:rsidR="003E6022">
        <w:rPr>
          <w:lang w:eastAsia="en-AU"/>
        </w:rPr>
        <w:t>investigate</w:t>
      </w:r>
      <w:r w:rsidR="003A557E">
        <w:rPr>
          <w:lang w:eastAsia="en-AU"/>
        </w:rPr>
        <w:t xml:space="preserve"> issues </w:t>
      </w:r>
      <w:r w:rsidR="00040AF2">
        <w:rPr>
          <w:lang w:eastAsia="en-AU"/>
        </w:rPr>
        <w:t>at the prevention stage</w:t>
      </w:r>
      <w:r w:rsidR="00C706F7">
        <w:rPr>
          <w:lang w:eastAsia="en-AU"/>
        </w:rPr>
        <w:t xml:space="preserve">. </w:t>
      </w:r>
    </w:p>
    <w:p w14:paraId="7D0E6426" w14:textId="5B993B27" w:rsidR="00610CF4" w:rsidRDefault="000359A4" w:rsidP="00306702">
      <w:pPr>
        <w:rPr>
          <w:lang w:eastAsia="en-AU"/>
        </w:rPr>
      </w:pPr>
      <w:r>
        <w:rPr>
          <w:lang w:eastAsia="en-AU"/>
        </w:rPr>
        <w:t xml:space="preserve">These anecdotal outcomes align with </w:t>
      </w:r>
      <w:r w:rsidR="00870424">
        <w:rPr>
          <w:lang w:eastAsia="en-AU"/>
        </w:rPr>
        <w:t>some of the findings of</w:t>
      </w:r>
      <w:r w:rsidR="00400999">
        <w:rPr>
          <w:lang w:eastAsia="en-AU"/>
        </w:rPr>
        <w:t xml:space="preserve"> previous evaluations undertaken </w:t>
      </w:r>
      <w:r w:rsidR="000533FA">
        <w:rPr>
          <w:lang w:eastAsia="en-AU"/>
        </w:rPr>
        <w:t>regarding</w:t>
      </w:r>
      <w:r w:rsidR="00E77E57">
        <w:rPr>
          <w:lang w:eastAsia="en-AU"/>
        </w:rPr>
        <w:t xml:space="preserve"> the</w:t>
      </w:r>
      <w:r w:rsidR="003A4DEF">
        <w:rPr>
          <w:lang w:eastAsia="en-AU"/>
        </w:rPr>
        <w:t xml:space="preserve"> </w:t>
      </w:r>
      <w:r w:rsidR="00400999">
        <w:rPr>
          <w:lang w:eastAsia="en-AU"/>
        </w:rPr>
        <w:t xml:space="preserve">transition </w:t>
      </w:r>
      <w:r w:rsidR="00E77E57">
        <w:rPr>
          <w:lang w:eastAsia="en-AU"/>
        </w:rPr>
        <w:t xml:space="preserve">of </w:t>
      </w:r>
      <w:r w:rsidR="00400999">
        <w:rPr>
          <w:lang w:eastAsia="en-AU"/>
        </w:rPr>
        <w:t xml:space="preserve">health services to Aboriginal </w:t>
      </w:r>
      <w:r w:rsidR="003A4DEF">
        <w:rPr>
          <w:lang w:eastAsia="en-AU"/>
        </w:rPr>
        <w:t>community control</w:t>
      </w:r>
      <w:r w:rsidR="00400999">
        <w:rPr>
          <w:lang w:eastAsia="en-AU"/>
        </w:rPr>
        <w:t xml:space="preserve"> across Australia. </w:t>
      </w:r>
      <w:r w:rsidR="00610CF4">
        <w:rPr>
          <w:lang w:eastAsia="en-AU"/>
        </w:rPr>
        <w:t>Evaluations of the three Coordinated Care Trial</w:t>
      </w:r>
      <w:r w:rsidR="00823556">
        <w:rPr>
          <w:lang w:eastAsia="en-AU"/>
        </w:rPr>
        <w:t>s</w:t>
      </w:r>
      <w:r w:rsidR="0012076D">
        <w:rPr>
          <w:lang w:eastAsia="en-AU"/>
        </w:rPr>
        <w:t xml:space="preserve"> in the </w:t>
      </w:r>
      <w:r w:rsidR="00CA52D1">
        <w:rPr>
          <w:lang w:eastAsia="en-AU"/>
        </w:rPr>
        <w:t>NT</w:t>
      </w:r>
      <w:r w:rsidR="00823556">
        <w:rPr>
          <w:lang w:eastAsia="en-AU"/>
        </w:rPr>
        <w:t xml:space="preserve"> (Katherine West, Sunrise and Tiwi Islands), </w:t>
      </w:r>
      <w:r w:rsidR="00610CF4">
        <w:rPr>
          <w:lang w:eastAsia="en-AU"/>
        </w:rPr>
        <w:t xml:space="preserve">which saw the transfer of health services to </w:t>
      </w:r>
      <w:r w:rsidR="00400999">
        <w:rPr>
          <w:lang w:eastAsia="en-AU"/>
        </w:rPr>
        <w:t xml:space="preserve">Aboriginal </w:t>
      </w:r>
      <w:r w:rsidR="00610CF4">
        <w:rPr>
          <w:lang w:eastAsia="en-AU"/>
        </w:rPr>
        <w:t xml:space="preserve">community control in the </w:t>
      </w:r>
      <w:r w:rsidR="00C413A1">
        <w:rPr>
          <w:lang w:eastAsia="en-AU"/>
        </w:rPr>
        <w:t>1990s</w:t>
      </w:r>
      <w:r w:rsidR="00823556">
        <w:rPr>
          <w:lang w:eastAsia="en-AU"/>
        </w:rPr>
        <w:t>,</w:t>
      </w:r>
      <w:r w:rsidR="00C413A1">
        <w:rPr>
          <w:lang w:eastAsia="en-AU"/>
        </w:rPr>
        <w:t xml:space="preserve"> </w:t>
      </w:r>
      <w:r w:rsidR="00F411D6">
        <w:rPr>
          <w:lang w:eastAsia="en-AU"/>
        </w:rPr>
        <w:t xml:space="preserve">documented </w:t>
      </w:r>
      <w:r w:rsidR="00C413A1">
        <w:rPr>
          <w:lang w:eastAsia="en-AU"/>
        </w:rPr>
        <w:t xml:space="preserve">key benefits </w:t>
      </w:r>
      <w:r w:rsidR="00F411D6">
        <w:rPr>
          <w:lang w:eastAsia="en-AU"/>
        </w:rPr>
        <w:t xml:space="preserve">of community control </w:t>
      </w:r>
      <w:r w:rsidR="00C413A1">
        <w:rPr>
          <w:lang w:eastAsia="en-AU"/>
        </w:rPr>
        <w:t>including:</w:t>
      </w:r>
      <w:r w:rsidR="00FB0156">
        <w:rPr>
          <w:lang w:eastAsia="en-AU"/>
        </w:rPr>
        <w:t xml:space="preserve"> greater access to </w:t>
      </w:r>
      <w:r w:rsidR="001D3B95">
        <w:rPr>
          <w:lang w:eastAsia="en-AU"/>
        </w:rPr>
        <w:t>health staff a</w:t>
      </w:r>
      <w:r w:rsidR="00F83846">
        <w:rPr>
          <w:lang w:eastAsia="en-AU"/>
        </w:rPr>
        <w:t>nd services, enhanced focus on population health</w:t>
      </w:r>
      <w:r w:rsidR="00FB0156">
        <w:rPr>
          <w:lang w:eastAsia="en-AU"/>
        </w:rPr>
        <w:t>, improved cultural safety, and increased employment of Aboriginal and Torres Strait Islander staff.</w:t>
      </w:r>
      <w:r w:rsidR="00F83846">
        <w:rPr>
          <w:rStyle w:val="FootnoteReference"/>
          <w:lang w:eastAsia="en-AU"/>
        </w:rPr>
        <w:footnoteReference w:id="23"/>
      </w:r>
      <w:r w:rsidR="00FB0156">
        <w:rPr>
          <w:lang w:eastAsia="en-AU"/>
        </w:rPr>
        <w:t xml:space="preserve"> </w:t>
      </w:r>
      <w:r w:rsidR="0026051E">
        <w:rPr>
          <w:lang w:eastAsia="en-AU"/>
        </w:rPr>
        <w:t xml:space="preserve">These </w:t>
      </w:r>
      <w:r w:rsidR="003B1FA3">
        <w:rPr>
          <w:lang w:eastAsia="en-AU"/>
        </w:rPr>
        <w:t>e</w:t>
      </w:r>
      <w:r w:rsidR="0026051E">
        <w:rPr>
          <w:lang w:eastAsia="en-AU"/>
        </w:rPr>
        <w:t xml:space="preserve">valuations </w:t>
      </w:r>
      <w:r w:rsidR="00F411D6">
        <w:rPr>
          <w:lang w:eastAsia="en-AU"/>
        </w:rPr>
        <w:t>were</w:t>
      </w:r>
      <w:r w:rsidR="0026051E">
        <w:rPr>
          <w:lang w:eastAsia="en-AU"/>
        </w:rPr>
        <w:t>, however,</w:t>
      </w:r>
      <w:r w:rsidR="00F411D6">
        <w:rPr>
          <w:lang w:eastAsia="en-AU"/>
        </w:rPr>
        <w:t xml:space="preserve"> unable to demonstrate the direct benefits of community control in terms of health outcomes</w:t>
      </w:r>
      <w:r w:rsidR="00F54AAA">
        <w:rPr>
          <w:lang w:eastAsia="en-AU"/>
        </w:rPr>
        <w:t>.</w:t>
      </w:r>
      <w:r w:rsidR="0098096D">
        <w:rPr>
          <w:rStyle w:val="FootnoteReference"/>
          <w:lang w:eastAsia="en-AU"/>
        </w:rPr>
        <w:footnoteReference w:id="24"/>
      </w:r>
      <w:r w:rsidR="00FB0156">
        <w:rPr>
          <w:lang w:eastAsia="en-AU"/>
        </w:rPr>
        <w:t xml:space="preserve"> </w:t>
      </w:r>
      <w:r w:rsidR="002E3C20">
        <w:rPr>
          <w:lang w:eastAsia="en-AU"/>
        </w:rPr>
        <w:t xml:space="preserve">The National Evaluation </w:t>
      </w:r>
      <w:r w:rsidR="00083C0D">
        <w:rPr>
          <w:lang w:eastAsia="en-AU"/>
        </w:rPr>
        <w:t>of the Second round of Coordinated Care Trials</w:t>
      </w:r>
      <w:r w:rsidR="000C2E1E">
        <w:rPr>
          <w:rStyle w:val="FootnoteReference"/>
          <w:lang w:eastAsia="en-AU"/>
        </w:rPr>
        <w:footnoteReference w:id="25"/>
      </w:r>
      <w:r w:rsidR="00083C0D">
        <w:rPr>
          <w:lang w:eastAsia="en-AU"/>
        </w:rPr>
        <w:t xml:space="preserve"> </w:t>
      </w:r>
      <w:r w:rsidR="002E3C20">
        <w:rPr>
          <w:lang w:eastAsia="en-AU"/>
        </w:rPr>
        <w:t>also found for trials focused on Aboriginal populations</w:t>
      </w:r>
      <w:r w:rsidR="00014FA9">
        <w:rPr>
          <w:lang w:eastAsia="en-AU"/>
        </w:rPr>
        <w:t xml:space="preserve"> </w:t>
      </w:r>
      <w:r w:rsidR="000D7D2A">
        <w:rPr>
          <w:lang w:eastAsia="en-AU"/>
        </w:rPr>
        <w:t>that positive outcomes for participants included</w:t>
      </w:r>
      <w:r w:rsidR="00014FA9">
        <w:rPr>
          <w:lang w:eastAsia="en-AU"/>
        </w:rPr>
        <w:t xml:space="preserve"> increases in access to services</w:t>
      </w:r>
      <w:r w:rsidR="000D7D2A">
        <w:rPr>
          <w:lang w:eastAsia="en-AU"/>
        </w:rPr>
        <w:t xml:space="preserve">, </w:t>
      </w:r>
      <w:r w:rsidR="00D01D22">
        <w:rPr>
          <w:lang w:eastAsia="en-AU"/>
        </w:rPr>
        <w:t xml:space="preserve">and removal of barriers including access, communication, </w:t>
      </w:r>
      <w:r w:rsidR="000C2E1E">
        <w:rPr>
          <w:lang w:eastAsia="en-AU"/>
        </w:rPr>
        <w:t>and discrimination and enhanced</w:t>
      </w:r>
      <w:r w:rsidR="00B86A0F">
        <w:rPr>
          <w:lang w:eastAsia="en-AU"/>
        </w:rPr>
        <w:t xml:space="preserve"> cultural safety </w:t>
      </w:r>
      <w:r w:rsidR="000C2E1E">
        <w:rPr>
          <w:lang w:eastAsia="en-AU"/>
        </w:rPr>
        <w:t>of services</w:t>
      </w:r>
      <w:r w:rsidR="00B86A0F">
        <w:rPr>
          <w:lang w:eastAsia="en-AU"/>
        </w:rPr>
        <w:t xml:space="preserve">. </w:t>
      </w:r>
    </w:p>
    <w:p w14:paraId="4EAA0AB1" w14:textId="762AB5FD" w:rsidR="00F53E67" w:rsidRPr="00063132" w:rsidRDefault="00F53E67" w:rsidP="00063132">
      <w:pPr>
        <w:rPr>
          <w:b/>
          <w:bCs/>
          <w:color w:val="00264D" w:themeColor="background2"/>
          <w:sz w:val="20"/>
          <w:szCs w:val="24"/>
          <w:lang w:val="en-US"/>
        </w:rPr>
      </w:pPr>
      <w:r w:rsidRPr="00063132">
        <w:rPr>
          <w:b/>
          <w:bCs/>
          <w:color w:val="00264D" w:themeColor="background2"/>
          <w:sz w:val="20"/>
          <w:szCs w:val="24"/>
        </w:rPr>
        <w:t>Measuring short, medium and long-term outcomes is important</w:t>
      </w:r>
      <w:r w:rsidR="00D24330" w:rsidRPr="00063132">
        <w:rPr>
          <w:b/>
          <w:bCs/>
          <w:color w:val="00264D" w:themeColor="background2"/>
          <w:sz w:val="20"/>
          <w:szCs w:val="24"/>
        </w:rPr>
        <w:t xml:space="preserve"> to build the evidence base </w:t>
      </w:r>
    </w:p>
    <w:p w14:paraId="11A4A6C6" w14:textId="0CD15046" w:rsidR="00306702" w:rsidRPr="00C51DA5" w:rsidRDefault="00364F4B" w:rsidP="00C51DA5">
      <w:pPr>
        <w:rPr>
          <w:lang w:eastAsia="en-AU"/>
        </w:rPr>
      </w:pPr>
      <w:r w:rsidRPr="00604BD3">
        <w:rPr>
          <w:lang w:eastAsia="en-AU"/>
        </w:rPr>
        <w:t>Stakeholders consu</w:t>
      </w:r>
      <w:r w:rsidRPr="00D01BD5">
        <w:rPr>
          <w:lang w:eastAsia="en-AU"/>
        </w:rPr>
        <w:t>lted</w:t>
      </w:r>
      <w:r w:rsidR="0098096D" w:rsidRPr="00D01BD5">
        <w:rPr>
          <w:lang w:eastAsia="en-AU"/>
        </w:rPr>
        <w:t xml:space="preserve"> in this evaluation </w:t>
      </w:r>
      <w:r w:rsidRPr="00D01BD5">
        <w:rPr>
          <w:lang w:eastAsia="en-AU"/>
        </w:rPr>
        <w:t>noted t</w:t>
      </w:r>
      <w:r w:rsidRPr="0098297C">
        <w:rPr>
          <w:lang w:eastAsia="en-AU"/>
        </w:rPr>
        <w:t xml:space="preserve">he challenges of measuring changes in </w:t>
      </w:r>
      <w:r w:rsidR="0098096D" w:rsidRPr="0098297C">
        <w:rPr>
          <w:lang w:eastAsia="en-AU"/>
        </w:rPr>
        <w:t>long-term health outcomes</w:t>
      </w:r>
      <w:r w:rsidRPr="0098297C">
        <w:rPr>
          <w:lang w:eastAsia="en-AU"/>
        </w:rPr>
        <w:t xml:space="preserve"> that </w:t>
      </w:r>
      <w:r w:rsidR="00832BC2" w:rsidRPr="002A7726">
        <w:rPr>
          <w:lang w:eastAsia="en-AU"/>
        </w:rPr>
        <w:t>often can only</w:t>
      </w:r>
      <w:r w:rsidRPr="00604BD3">
        <w:rPr>
          <w:lang w:eastAsia="en-AU"/>
        </w:rPr>
        <w:t xml:space="preserve"> be achieved over a timespan of decades. </w:t>
      </w:r>
      <w:r w:rsidR="00B010F2" w:rsidRPr="00D01BD5">
        <w:rPr>
          <w:lang w:eastAsia="en-AU"/>
        </w:rPr>
        <w:t>However,</w:t>
      </w:r>
      <w:r w:rsidR="008B7397" w:rsidRPr="00D01BD5">
        <w:rPr>
          <w:lang w:eastAsia="en-AU"/>
        </w:rPr>
        <w:t xml:space="preserve"> </w:t>
      </w:r>
      <w:r w:rsidR="00B010F2" w:rsidRPr="00F34E26">
        <w:rPr>
          <w:lang w:eastAsia="en-AU"/>
        </w:rPr>
        <w:t>outcomes</w:t>
      </w:r>
      <w:r w:rsidR="00F22F54" w:rsidRPr="00F34E26">
        <w:rPr>
          <w:lang w:eastAsia="en-AU"/>
        </w:rPr>
        <w:t xml:space="preserve"> are measurable ac</w:t>
      </w:r>
      <w:r w:rsidR="00F22F54" w:rsidRPr="000D18DD">
        <w:rPr>
          <w:lang w:eastAsia="en-AU"/>
        </w:rPr>
        <w:t xml:space="preserve">ross different </w:t>
      </w:r>
      <w:r w:rsidR="00F22F54" w:rsidRPr="000F6F91">
        <w:rPr>
          <w:lang w:eastAsia="en-AU"/>
        </w:rPr>
        <w:t>ti</w:t>
      </w:r>
      <w:r w:rsidR="00F22F54" w:rsidRPr="00793274">
        <w:rPr>
          <w:lang w:eastAsia="en-AU"/>
        </w:rPr>
        <w:t>meframes</w:t>
      </w:r>
      <w:r w:rsidR="001F28BE" w:rsidRPr="00F62C41">
        <w:rPr>
          <w:lang w:eastAsia="en-AU"/>
        </w:rPr>
        <w:t>,</w:t>
      </w:r>
      <w:r w:rsidR="00F22F54" w:rsidRPr="00546221">
        <w:rPr>
          <w:lang w:eastAsia="en-AU"/>
        </w:rPr>
        <w:t xml:space="preserve"> and it is important tha</w:t>
      </w:r>
      <w:r w:rsidR="00F22F54" w:rsidRPr="00C07F12">
        <w:rPr>
          <w:lang w:eastAsia="en-AU"/>
        </w:rPr>
        <w:t>t short term</w:t>
      </w:r>
      <w:r w:rsidR="00F22F54" w:rsidRPr="00345E10">
        <w:rPr>
          <w:lang w:eastAsia="en-AU"/>
        </w:rPr>
        <w:t xml:space="preserve">, medium </w:t>
      </w:r>
      <w:r w:rsidR="00F22F54" w:rsidRPr="000B6166">
        <w:rPr>
          <w:lang w:eastAsia="en-AU"/>
        </w:rPr>
        <w:t>term</w:t>
      </w:r>
      <w:r w:rsidR="008D6558" w:rsidRPr="00236EDA">
        <w:rPr>
          <w:lang w:eastAsia="en-AU"/>
        </w:rPr>
        <w:t>,</w:t>
      </w:r>
      <w:r w:rsidR="00F22F54" w:rsidRPr="00E3304B">
        <w:rPr>
          <w:lang w:eastAsia="en-AU"/>
        </w:rPr>
        <w:t xml:space="preserve"> and long</w:t>
      </w:r>
      <w:r w:rsidR="00C763CE" w:rsidRPr="00E3304B">
        <w:rPr>
          <w:lang w:eastAsia="en-AU"/>
        </w:rPr>
        <w:t>-</w:t>
      </w:r>
      <w:r w:rsidR="00F22F54" w:rsidRPr="00E3304B">
        <w:rPr>
          <w:lang w:eastAsia="en-AU"/>
        </w:rPr>
        <w:t>term</w:t>
      </w:r>
      <w:r w:rsidR="008B7397" w:rsidRPr="00E3304B">
        <w:rPr>
          <w:lang w:eastAsia="en-AU"/>
        </w:rPr>
        <w:t xml:space="preserve"> measures are identified</w:t>
      </w:r>
      <w:r w:rsidR="00C763CE" w:rsidRPr="00E3304B">
        <w:rPr>
          <w:lang w:eastAsia="en-AU"/>
        </w:rPr>
        <w:t xml:space="preserve"> and monitored</w:t>
      </w:r>
      <w:r w:rsidR="008B7397" w:rsidRPr="00E3304B">
        <w:rPr>
          <w:lang w:eastAsia="en-AU"/>
        </w:rPr>
        <w:t>. For example, outcomes such as life expectancy and reductions in type 2 diabetes are measures</w:t>
      </w:r>
      <w:r w:rsidR="000544BE" w:rsidRPr="002A7726">
        <w:rPr>
          <w:lang w:eastAsia="en-AU"/>
        </w:rPr>
        <w:t xml:space="preserve"> that</w:t>
      </w:r>
      <w:r w:rsidR="00FF2A60" w:rsidRPr="002A7726">
        <w:rPr>
          <w:lang w:eastAsia="en-AU"/>
        </w:rPr>
        <w:t xml:space="preserve"> will change over long periods of time</w:t>
      </w:r>
      <w:r w:rsidR="005372C0" w:rsidRPr="00604BD3">
        <w:rPr>
          <w:lang w:eastAsia="en-AU"/>
        </w:rPr>
        <w:t>,</w:t>
      </w:r>
      <w:r w:rsidR="008B7397" w:rsidRPr="00D01BD5">
        <w:rPr>
          <w:lang w:eastAsia="en-AU"/>
        </w:rPr>
        <w:t xml:space="preserve"> however</w:t>
      </w:r>
      <w:r w:rsidR="005372C0" w:rsidRPr="00F34E26">
        <w:rPr>
          <w:lang w:eastAsia="en-AU"/>
        </w:rPr>
        <w:t>,</w:t>
      </w:r>
      <w:r w:rsidR="008B7397" w:rsidRPr="00F34E26">
        <w:rPr>
          <w:lang w:eastAsia="en-AU"/>
        </w:rPr>
        <w:t xml:space="preserve"> o</w:t>
      </w:r>
      <w:r w:rsidR="008B7397" w:rsidRPr="000D18DD">
        <w:rPr>
          <w:lang w:eastAsia="en-AU"/>
        </w:rPr>
        <w:t>ther measures such a</w:t>
      </w:r>
      <w:r w:rsidR="008B7397" w:rsidRPr="000F6F91">
        <w:rPr>
          <w:lang w:eastAsia="en-AU"/>
        </w:rPr>
        <w:t>s</w:t>
      </w:r>
      <w:r w:rsidR="008B7397" w:rsidRPr="00793274">
        <w:rPr>
          <w:lang w:eastAsia="en-AU"/>
        </w:rPr>
        <w:t xml:space="preserve"> red</w:t>
      </w:r>
      <w:r w:rsidR="008B7397" w:rsidRPr="00F62C41">
        <w:rPr>
          <w:lang w:eastAsia="en-AU"/>
        </w:rPr>
        <w:t>uce</w:t>
      </w:r>
      <w:r w:rsidR="008B7397" w:rsidRPr="00546221">
        <w:rPr>
          <w:lang w:eastAsia="en-AU"/>
        </w:rPr>
        <w:t>d hear</w:t>
      </w:r>
      <w:r w:rsidR="008B7397" w:rsidRPr="00C07F12">
        <w:rPr>
          <w:lang w:eastAsia="en-AU"/>
        </w:rPr>
        <w:t xml:space="preserve">ing loss or drug and </w:t>
      </w:r>
      <w:r w:rsidR="008B7397" w:rsidRPr="00345E10">
        <w:rPr>
          <w:lang w:eastAsia="en-AU"/>
        </w:rPr>
        <w:t>alcohol use are</w:t>
      </w:r>
      <w:r w:rsidR="001D0399" w:rsidRPr="00236EDA">
        <w:rPr>
          <w:lang w:eastAsia="en-AU"/>
        </w:rPr>
        <w:t xml:space="preserve"> able to be measured over the medium </w:t>
      </w:r>
      <w:r w:rsidR="00BA0083" w:rsidRPr="00E3304B">
        <w:rPr>
          <w:lang w:eastAsia="en-AU"/>
        </w:rPr>
        <w:t xml:space="preserve">term, </w:t>
      </w:r>
      <w:r w:rsidR="00BA0083" w:rsidRPr="00C56F27">
        <w:rPr>
          <w:lang w:eastAsia="en-AU"/>
        </w:rPr>
        <w:t xml:space="preserve">and access to services </w:t>
      </w:r>
      <w:r w:rsidR="000D71AB" w:rsidRPr="00C56F27">
        <w:rPr>
          <w:lang w:eastAsia="en-AU"/>
        </w:rPr>
        <w:t>is</w:t>
      </w:r>
      <w:r w:rsidR="00BA0083" w:rsidRPr="00C56F27">
        <w:rPr>
          <w:lang w:eastAsia="en-AU"/>
        </w:rPr>
        <w:t xml:space="preserve"> able to be measured in the short term. </w:t>
      </w:r>
      <w:r w:rsidR="003B396B" w:rsidRPr="00C56F27">
        <w:rPr>
          <w:lang w:eastAsia="en-AU"/>
        </w:rPr>
        <w:t xml:space="preserve">Implementing effective evaluation mechanisms to measure these short, </w:t>
      </w:r>
      <w:r w:rsidR="00803F27" w:rsidRPr="00C56F27">
        <w:rPr>
          <w:lang w:eastAsia="en-AU"/>
        </w:rPr>
        <w:t>medium,</w:t>
      </w:r>
      <w:r w:rsidR="003B396B" w:rsidRPr="00C56F27">
        <w:rPr>
          <w:lang w:eastAsia="en-AU"/>
        </w:rPr>
        <w:t xml:space="preserve"> and long-term measures is essential to building the evidence base about transitioning health services to Aboriginal community control. </w:t>
      </w:r>
      <w:r w:rsidR="000E1B8A" w:rsidRPr="00C56F27">
        <w:rPr>
          <w:lang w:eastAsia="en-AU"/>
        </w:rPr>
        <w:t>The</w:t>
      </w:r>
      <w:r w:rsidR="003B2F82" w:rsidRPr="00C56F27">
        <w:rPr>
          <w:lang w:eastAsia="en-AU"/>
        </w:rPr>
        <w:t xml:space="preserve"> indicators of good practice</w:t>
      </w:r>
      <w:r w:rsidR="000E1B8A" w:rsidRPr="00C56F27">
        <w:rPr>
          <w:lang w:eastAsia="en-AU"/>
        </w:rPr>
        <w:t xml:space="preserve"> presented in </w:t>
      </w:r>
      <w:r w:rsidR="000E1B8A" w:rsidRPr="00D01BD5">
        <w:rPr>
          <w:lang w:eastAsia="en-AU"/>
        </w:rPr>
        <w:fldChar w:fldCharType="begin"/>
      </w:r>
      <w:r w:rsidR="000E1B8A" w:rsidRPr="00E3304B">
        <w:rPr>
          <w:lang w:eastAsia="en-AU"/>
        </w:rPr>
        <w:instrText xml:space="preserve"> REF _Ref100247358 \r \h </w:instrText>
      </w:r>
      <w:r w:rsidR="00AD1CD5" w:rsidRPr="00E3304B">
        <w:rPr>
          <w:lang w:eastAsia="en-AU"/>
        </w:rPr>
        <w:instrText xml:space="preserve"> \* MERGEFORMAT </w:instrText>
      </w:r>
      <w:r w:rsidR="000E1B8A" w:rsidRPr="00D01BD5">
        <w:rPr>
          <w:lang w:eastAsia="en-AU"/>
        </w:rPr>
      </w:r>
      <w:r w:rsidR="000E1B8A" w:rsidRPr="00D01BD5">
        <w:rPr>
          <w:lang w:eastAsia="en-AU"/>
        </w:rPr>
        <w:fldChar w:fldCharType="separate"/>
      </w:r>
      <w:r w:rsidR="00A439E2">
        <w:rPr>
          <w:lang w:eastAsia="en-AU"/>
        </w:rPr>
        <w:t>Appendix A</w:t>
      </w:r>
      <w:r w:rsidR="000E1B8A" w:rsidRPr="00D01BD5">
        <w:rPr>
          <w:lang w:eastAsia="en-AU"/>
        </w:rPr>
        <w:fldChar w:fldCharType="end"/>
      </w:r>
      <w:r w:rsidR="000E1B8A" w:rsidRPr="00604BD3">
        <w:rPr>
          <w:lang w:eastAsia="en-AU"/>
        </w:rPr>
        <w:t xml:space="preserve"> provide an </w:t>
      </w:r>
      <w:r w:rsidR="000E1B8A" w:rsidRPr="00D01BD5">
        <w:rPr>
          <w:lang w:eastAsia="en-AU"/>
        </w:rPr>
        <w:t>ex</w:t>
      </w:r>
      <w:r w:rsidR="000E1B8A" w:rsidRPr="00C56F27">
        <w:rPr>
          <w:lang w:eastAsia="en-AU"/>
        </w:rPr>
        <w:t xml:space="preserve">ample of </w:t>
      </w:r>
      <w:r w:rsidR="002E4796" w:rsidRPr="00C56F27">
        <w:rPr>
          <w:lang w:eastAsia="en-AU"/>
        </w:rPr>
        <w:t xml:space="preserve">an approach to measuring performance </w:t>
      </w:r>
      <w:r w:rsidR="005E7B57" w:rsidRPr="00C56F27">
        <w:rPr>
          <w:lang w:eastAsia="en-AU"/>
        </w:rPr>
        <w:t>when data on outcomes is unavailable (or out of scope).</w:t>
      </w:r>
    </w:p>
    <w:p w14:paraId="6DEF135E" w14:textId="3ACE683C" w:rsidR="00374B15" w:rsidRDefault="00374B15" w:rsidP="00C51DA5">
      <w:pPr>
        <w:rPr>
          <w:lang w:eastAsia="en-AU"/>
        </w:rPr>
      </w:pPr>
      <w:r>
        <w:rPr>
          <w:lang w:eastAsia="en-AU"/>
        </w:rPr>
        <w:br w:type="page"/>
      </w:r>
    </w:p>
    <w:p w14:paraId="7A27B61E" w14:textId="020109EC" w:rsidR="00916E0E" w:rsidRPr="00557352" w:rsidRDefault="00557352" w:rsidP="00916E0E">
      <w:pPr>
        <w:pStyle w:val="Heading1"/>
        <w:rPr>
          <w:color w:val="FFFFFF" w:themeColor="background1"/>
        </w:rPr>
      </w:pPr>
      <w:bookmarkStart w:id="32" w:name="_Toc106294800"/>
      <w:r w:rsidRPr="00557352">
        <w:rPr>
          <w:noProof/>
          <w:color w:val="FFFFFF" w:themeColor="background1"/>
        </w:rPr>
        <w:lastRenderedPageBreak/>
        <w:drawing>
          <wp:anchor distT="0" distB="0" distL="114300" distR="114300" simplePos="0" relativeHeight="251658259" behindDoc="1" locked="0" layoutInCell="1" allowOverlap="1" wp14:anchorId="6DA5FC9E" wp14:editId="641D32F9">
            <wp:simplePos x="0" y="0"/>
            <wp:positionH relativeFrom="margin">
              <wp:posOffset>-983945</wp:posOffset>
            </wp:positionH>
            <wp:positionV relativeFrom="paragraph">
              <wp:posOffset>-796925</wp:posOffset>
            </wp:positionV>
            <wp:extent cx="7562850" cy="1254642"/>
            <wp:effectExtent l="0" t="0" r="0" b="317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62850" cy="1254642"/>
                    </a:xfrm>
                    <a:prstGeom prst="rect">
                      <a:avLst/>
                    </a:prstGeom>
                    <a:noFill/>
                    <a:ln>
                      <a:noFill/>
                    </a:ln>
                  </pic:spPr>
                </pic:pic>
              </a:graphicData>
            </a:graphic>
            <wp14:sizeRelH relativeFrom="page">
              <wp14:pctWidth>0</wp14:pctWidth>
            </wp14:sizeRelH>
            <wp14:sizeRelV relativeFrom="page">
              <wp14:pctHeight>0</wp14:pctHeight>
            </wp14:sizeRelV>
          </wp:anchor>
        </w:drawing>
      </w:r>
      <w:r w:rsidR="00916E0E" w:rsidRPr="00557352">
        <w:rPr>
          <w:color w:val="FFFFFF" w:themeColor="background1"/>
        </w:rPr>
        <w:t>Recommendations</w:t>
      </w:r>
      <w:bookmarkEnd w:id="32"/>
    </w:p>
    <w:p w14:paraId="2E9E241F" w14:textId="3ACE683C" w:rsidR="00BA5B26" w:rsidRDefault="00BA5B26" w:rsidP="00BA5B26">
      <w:pPr>
        <w:rPr>
          <w:lang w:eastAsia="en-AU"/>
        </w:rPr>
      </w:pPr>
      <w:r>
        <w:rPr>
          <w:lang w:eastAsia="en-AU"/>
        </w:rPr>
        <w:t>This section presents:</w:t>
      </w:r>
    </w:p>
    <w:p w14:paraId="152CDAB9" w14:textId="2D7CC66F" w:rsidR="00BA5B26" w:rsidRDefault="00BA5B26" w:rsidP="00BA5B26">
      <w:pPr>
        <w:pStyle w:val="Bullet"/>
      </w:pPr>
      <w:r>
        <w:t xml:space="preserve">An overarching recommendation for the future of the P2CC program (see Section </w:t>
      </w:r>
      <w:r>
        <w:fldChar w:fldCharType="begin"/>
      </w:r>
      <w:r>
        <w:instrText xml:space="preserve"> REF _Ref100244972 \r \h </w:instrText>
      </w:r>
      <w:r>
        <w:fldChar w:fldCharType="separate"/>
      </w:r>
      <w:r w:rsidR="00A439E2">
        <w:t>4.1</w:t>
      </w:r>
      <w:r>
        <w:fldChar w:fldCharType="end"/>
      </w:r>
      <w:r>
        <w:t>)</w:t>
      </w:r>
    </w:p>
    <w:p w14:paraId="545A4745" w14:textId="64E65876" w:rsidR="00BA5B26" w:rsidRDefault="003A355F" w:rsidP="00BA5B26">
      <w:pPr>
        <w:pStyle w:val="Bullet"/>
      </w:pPr>
      <w:r>
        <w:t xml:space="preserve">A set of recommendations regarding the core P2CC program framework (see Section </w:t>
      </w:r>
      <w:r>
        <w:fldChar w:fldCharType="begin"/>
      </w:r>
      <w:r>
        <w:instrText xml:space="preserve"> REF _Ref100245009 \r \h </w:instrText>
      </w:r>
      <w:r>
        <w:fldChar w:fldCharType="separate"/>
      </w:r>
      <w:r w:rsidR="00A439E2">
        <w:t>4.2</w:t>
      </w:r>
      <w:r>
        <w:fldChar w:fldCharType="end"/>
      </w:r>
      <w:r>
        <w:t>)</w:t>
      </w:r>
    </w:p>
    <w:p w14:paraId="011B3A4D" w14:textId="70CEC88E" w:rsidR="003A355F" w:rsidRDefault="003A355F" w:rsidP="003A355F">
      <w:pPr>
        <w:pStyle w:val="Bullet"/>
      </w:pPr>
      <w:r>
        <w:t xml:space="preserve">A set of recommendations regarding the transition process and supports (see Section </w:t>
      </w:r>
      <w:r>
        <w:fldChar w:fldCharType="begin"/>
      </w:r>
      <w:r>
        <w:instrText xml:space="preserve"> REF _Ref100245046 \r \h </w:instrText>
      </w:r>
      <w:r>
        <w:fldChar w:fldCharType="separate"/>
      </w:r>
      <w:r w:rsidR="00A439E2">
        <w:t>4.3</w:t>
      </w:r>
      <w:r>
        <w:fldChar w:fldCharType="end"/>
      </w:r>
      <w:r>
        <w:t>).</w:t>
      </w:r>
    </w:p>
    <w:p w14:paraId="14919AA9" w14:textId="65FD8CE7" w:rsidR="00231218" w:rsidRPr="00BA5B26" w:rsidRDefault="00231218" w:rsidP="00231218">
      <w:pPr>
        <w:pStyle w:val="Bullet"/>
        <w:numPr>
          <w:ilvl w:val="0"/>
          <w:numId w:val="0"/>
        </w:numPr>
        <w:ind w:left="340" w:hanging="340"/>
      </w:pPr>
      <w:r>
        <w:t>For each recommendation, a rationale</w:t>
      </w:r>
      <w:r w:rsidR="000A570A">
        <w:t xml:space="preserve"> is provided</w:t>
      </w:r>
      <w:r>
        <w:t xml:space="preserve"> </w:t>
      </w:r>
      <w:r w:rsidR="00DC0C5B">
        <w:t xml:space="preserve">based on evidence presented throughout the </w:t>
      </w:r>
      <w:r w:rsidR="000A570A">
        <w:t>report.</w:t>
      </w:r>
    </w:p>
    <w:p w14:paraId="3FBDAACA" w14:textId="7D28DCC6" w:rsidR="00AF2AFD" w:rsidRDefault="00AF2AFD" w:rsidP="00AF2AFD">
      <w:pPr>
        <w:pStyle w:val="Heading2"/>
      </w:pPr>
      <w:bookmarkStart w:id="33" w:name="_Ref100244972"/>
      <w:bookmarkStart w:id="34" w:name="_Toc106294801"/>
      <w:r>
        <w:t>The P2CC program should be refreshed and recommitted to</w:t>
      </w:r>
      <w:bookmarkEnd w:id="33"/>
      <w:bookmarkEnd w:id="34"/>
    </w:p>
    <w:p w14:paraId="65A1F502" w14:textId="7EBD3458" w:rsidR="000F5E99" w:rsidRDefault="00B3026C" w:rsidP="00D63EF0">
      <w:pPr>
        <w:pStyle w:val="Bullet"/>
        <w:numPr>
          <w:ilvl w:val="0"/>
          <w:numId w:val="0"/>
        </w:numPr>
      </w:pPr>
      <w:r>
        <w:t xml:space="preserve">The P2CC program has endured </w:t>
      </w:r>
      <w:r w:rsidR="00035E9B">
        <w:t xml:space="preserve">over almost 15 years despite </w:t>
      </w:r>
      <w:r w:rsidR="00BB0A76">
        <w:t xml:space="preserve">changes in </w:t>
      </w:r>
      <w:r w:rsidR="00921EC3">
        <w:t xml:space="preserve">government and policy at both the NT and </w:t>
      </w:r>
      <w:r w:rsidR="00F61BBE">
        <w:t>Commonwealth</w:t>
      </w:r>
      <w:r w:rsidR="00921EC3">
        <w:t xml:space="preserve"> levels</w:t>
      </w:r>
      <w:r w:rsidR="00D57DE6">
        <w:t xml:space="preserve"> (see Section </w:t>
      </w:r>
      <w:r w:rsidR="00D57DE6">
        <w:fldChar w:fldCharType="begin"/>
      </w:r>
      <w:r w:rsidR="00D57DE6">
        <w:instrText xml:space="preserve"> REF _Ref100247064 \r \h </w:instrText>
      </w:r>
      <w:r w:rsidR="00D57DE6">
        <w:fldChar w:fldCharType="separate"/>
      </w:r>
      <w:r w:rsidR="00A439E2">
        <w:t>2.2</w:t>
      </w:r>
      <w:r w:rsidR="00D57DE6">
        <w:fldChar w:fldCharType="end"/>
      </w:r>
      <w:r w:rsidR="00D57DE6">
        <w:t>).</w:t>
      </w:r>
      <w:r w:rsidR="006B28DA">
        <w:t xml:space="preserve"> </w:t>
      </w:r>
      <w:r w:rsidR="00D57DE6">
        <w:t xml:space="preserve">Recent policy and strategy settings (see Section </w:t>
      </w:r>
      <w:r w:rsidR="00D57DE6">
        <w:fldChar w:fldCharType="begin"/>
      </w:r>
      <w:r w:rsidR="00D57DE6">
        <w:instrText xml:space="preserve"> REF _Ref100246726 \r \h </w:instrText>
      </w:r>
      <w:r w:rsidR="00D57DE6">
        <w:fldChar w:fldCharType="separate"/>
      </w:r>
      <w:r w:rsidR="00A439E2">
        <w:t>2.3</w:t>
      </w:r>
      <w:r w:rsidR="00D57DE6">
        <w:fldChar w:fldCharType="end"/>
      </w:r>
      <w:r w:rsidR="00D57DE6">
        <w:t>) and the consultations conducted for this evaluation (see Section</w:t>
      </w:r>
      <w:r w:rsidR="007529B2">
        <w:t xml:space="preserve"> </w:t>
      </w:r>
      <w:r w:rsidR="009236DC">
        <w:fldChar w:fldCharType="begin"/>
      </w:r>
      <w:r w:rsidR="009236DC">
        <w:instrText xml:space="preserve"> REF _Ref103676139 \r \h </w:instrText>
      </w:r>
      <w:r w:rsidR="009236DC">
        <w:fldChar w:fldCharType="separate"/>
      </w:r>
      <w:r w:rsidR="00A439E2">
        <w:t>3.1</w:t>
      </w:r>
      <w:r w:rsidR="009236DC">
        <w:fldChar w:fldCharType="end"/>
      </w:r>
      <w:r w:rsidR="00D57DE6">
        <w:t>)</w:t>
      </w:r>
      <w:r w:rsidR="006B28DA">
        <w:t xml:space="preserve"> reflected continuing </w:t>
      </w:r>
      <w:r w:rsidR="000F5E99">
        <w:t xml:space="preserve">support for </w:t>
      </w:r>
      <w:r w:rsidR="00CD2123">
        <w:t>Aboriginal community control of primary health care</w:t>
      </w:r>
      <w:r w:rsidR="006B28DA">
        <w:t>.</w:t>
      </w:r>
      <w:r w:rsidR="00633F0C">
        <w:t xml:space="preserve"> </w:t>
      </w:r>
    </w:p>
    <w:p w14:paraId="7DC4303E" w14:textId="24ADD218" w:rsidR="00A11263" w:rsidRDefault="00490717" w:rsidP="00D63EF0">
      <w:pPr>
        <w:pStyle w:val="Bullet"/>
        <w:numPr>
          <w:ilvl w:val="0"/>
          <w:numId w:val="0"/>
        </w:numPr>
      </w:pPr>
      <w:r>
        <w:t xml:space="preserve">However, support for the program </w:t>
      </w:r>
      <w:r w:rsidR="00185889">
        <w:t>has been</w:t>
      </w:r>
      <w:r w:rsidR="006E5573">
        <w:t xml:space="preserve"> eroded</w:t>
      </w:r>
      <w:r>
        <w:t xml:space="preserve"> by</w:t>
      </w:r>
      <w:r w:rsidR="00AF7CDB">
        <w:t xml:space="preserve"> a range of</w:t>
      </w:r>
      <w:r>
        <w:t xml:space="preserve"> </w:t>
      </w:r>
      <w:r w:rsidR="003371F2">
        <w:t>implementation challenges</w:t>
      </w:r>
      <w:r w:rsidR="00AF7CDB">
        <w:t xml:space="preserve">. Many of these challenges are long-standing; </w:t>
      </w:r>
      <w:r w:rsidR="00CD73EB">
        <w:t xml:space="preserve">for example, </w:t>
      </w:r>
      <w:r w:rsidR="00AF7CDB">
        <w:t xml:space="preserve">aligning </w:t>
      </w:r>
      <w:r w:rsidR="00CD73EB">
        <w:t xml:space="preserve">with those identified in the 2011 evaluation of the EHSDI (see </w:t>
      </w:r>
      <w:r w:rsidR="00CD73EB">
        <w:fldChar w:fldCharType="begin"/>
      </w:r>
      <w:r w:rsidR="00CD73EB">
        <w:instrText xml:space="preserve"> REF _Ref100247358 \r \h </w:instrText>
      </w:r>
      <w:r w:rsidR="00CD73EB">
        <w:fldChar w:fldCharType="separate"/>
      </w:r>
      <w:r w:rsidR="00A439E2">
        <w:t>Appendix A</w:t>
      </w:r>
      <w:r w:rsidR="00CD73EB">
        <w:fldChar w:fldCharType="end"/>
      </w:r>
      <w:r w:rsidR="00CD73EB">
        <w:t>).</w:t>
      </w:r>
      <w:r w:rsidR="000F4C81">
        <w:t xml:space="preserve"> </w:t>
      </w:r>
      <w:r w:rsidR="00185889">
        <w:t>Stakeholders provided</w:t>
      </w:r>
      <w:r w:rsidR="00B46E8B">
        <w:t xml:space="preserve"> consistent feedback about the need for improvement in all aspects of the program (see Section </w:t>
      </w:r>
      <w:r w:rsidR="00447076">
        <w:fldChar w:fldCharType="begin"/>
      </w:r>
      <w:r w:rsidR="00447076">
        <w:instrText xml:space="preserve"> REF _Ref103676139 \r \h </w:instrText>
      </w:r>
      <w:r w:rsidR="00447076">
        <w:fldChar w:fldCharType="separate"/>
      </w:r>
      <w:r w:rsidR="00A439E2">
        <w:t>3.1</w:t>
      </w:r>
      <w:r w:rsidR="00447076">
        <w:fldChar w:fldCharType="end"/>
      </w:r>
      <w:r w:rsidR="00B46E8B">
        <w:t>).</w:t>
      </w:r>
    </w:p>
    <w:p w14:paraId="1A0F53BC" w14:textId="12BF326D" w:rsidR="00F1234C" w:rsidRDefault="00633F0C" w:rsidP="00AC148E">
      <w:pPr>
        <w:pStyle w:val="Bullet"/>
        <w:numPr>
          <w:ilvl w:val="0"/>
          <w:numId w:val="0"/>
        </w:numPr>
      </w:pPr>
      <w:r>
        <w:t xml:space="preserve">This highlights that </w:t>
      </w:r>
      <w:r w:rsidR="00BC52C7">
        <w:t>achieving the vision and intended outcomes of</w:t>
      </w:r>
      <w:r w:rsidR="00136CF0">
        <w:t xml:space="preserve"> the P2CC program over the long term </w:t>
      </w:r>
      <w:r w:rsidR="00BC52C7">
        <w:t>will require</w:t>
      </w:r>
      <w:r w:rsidR="00136CF0">
        <w:t xml:space="preserve"> </w:t>
      </w:r>
      <w:r>
        <w:t>more than incremental improvement</w:t>
      </w:r>
      <w:r w:rsidR="00D84602">
        <w:t xml:space="preserve">. </w:t>
      </w:r>
      <w:r w:rsidR="00140B70">
        <w:t>A</w:t>
      </w:r>
      <w:r w:rsidR="00065976">
        <w:t xml:space="preserve">ction </w:t>
      </w:r>
      <w:r w:rsidR="009F0BA6">
        <w:t xml:space="preserve">is needed </w:t>
      </w:r>
      <w:r w:rsidR="00AF6A97">
        <w:t xml:space="preserve">to </w:t>
      </w:r>
      <w:r w:rsidR="00AC148E">
        <w:t>strengthen the fundamental elements of the program</w:t>
      </w:r>
      <w:r w:rsidR="006E6253">
        <w:t>.</w:t>
      </w:r>
    </w:p>
    <w:p w14:paraId="674EB61E" w14:textId="3F72BA86" w:rsidR="00E036B4" w:rsidRDefault="00E036B4" w:rsidP="00AC148E">
      <w:pPr>
        <w:pStyle w:val="Bullet"/>
        <w:numPr>
          <w:ilvl w:val="0"/>
          <w:numId w:val="0"/>
        </w:numPr>
      </w:pPr>
      <w:r w:rsidRPr="00F97AB5">
        <w:rPr>
          <w:noProof/>
        </w:rPr>
        <w:drawing>
          <wp:inline distT="0" distB="0" distL="0" distR="0" wp14:anchorId="254DFDD6" wp14:editId="6C6666EC">
            <wp:extent cx="5113655" cy="287655"/>
            <wp:effectExtent l="0" t="0" r="0" b="0"/>
            <wp:docPr id="32" name="Picture 32" descr="Recommend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Recommendation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13655" cy="287655"/>
                    </a:xfrm>
                    <a:prstGeom prst="rect">
                      <a:avLst/>
                    </a:prstGeom>
                    <a:noFill/>
                    <a:ln>
                      <a:noFill/>
                    </a:ln>
                  </pic:spPr>
                </pic:pic>
              </a:graphicData>
            </a:graphic>
          </wp:inline>
        </w:drawing>
      </w:r>
      <w:r>
        <w:rPr>
          <w:noProof/>
        </w:rPr>
        <w:drawing>
          <wp:inline distT="0" distB="0" distL="0" distR="0" wp14:anchorId="2F6A737C" wp14:editId="013CF4BB">
            <wp:extent cx="498764" cy="296883"/>
            <wp:effectExtent l="0" t="0" r="0" b="825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r="6715" b="7419"/>
                    <a:stretch/>
                  </pic:blipFill>
                  <pic:spPr bwMode="auto">
                    <a:xfrm>
                      <a:off x="0" y="0"/>
                      <a:ext cx="498764" cy="296883"/>
                    </a:xfrm>
                    <a:prstGeom prst="rect">
                      <a:avLst/>
                    </a:prstGeom>
                    <a:noFill/>
                    <a:ln>
                      <a:noFill/>
                    </a:ln>
                    <a:extLst>
                      <a:ext uri="{53640926-AAD7-44D8-BBD7-CCE9431645EC}">
                        <a14:shadowObscured xmlns:a14="http://schemas.microsoft.com/office/drawing/2010/main"/>
                      </a:ext>
                    </a:extLst>
                  </pic:spPr>
                </pic:pic>
              </a:graphicData>
            </a:graphic>
          </wp:inline>
        </w:drawing>
      </w:r>
    </w:p>
    <w:p w14:paraId="0B14EFC5" w14:textId="54EEF8A1" w:rsidR="00E036B4" w:rsidRPr="00774B5D" w:rsidRDefault="00E036B4" w:rsidP="00AC148E">
      <w:pPr>
        <w:pStyle w:val="Bullet"/>
        <w:numPr>
          <w:ilvl w:val="0"/>
          <w:numId w:val="0"/>
        </w:numPr>
      </w:pPr>
      <w:r w:rsidRPr="00AF2AFD">
        <w:t xml:space="preserve">The partners should </w:t>
      </w:r>
      <w:r>
        <w:t>refresh and recommit to</w:t>
      </w:r>
      <w:r w:rsidRPr="00AF2AFD">
        <w:t xml:space="preserve"> the P2CC program to </w:t>
      </w:r>
      <w:r>
        <w:t>improve</w:t>
      </w:r>
      <w:r w:rsidRPr="00AF2AFD">
        <w:t xml:space="preserve"> clarity, consistency and transparency in all aspects and promote accountability at all levels</w:t>
      </w:r>
      <w:r>
        <w:rPr>
          <w:noProof/>
        </w:rPr>
        <w:drawing>
          <wp:inline distT="0" distB="0" distL="0" distR="0" wp14:anchorId="5135F23D" wp14:editId="0C977A56">
            <wp:extent cx="5593080" cy="166370"/>
            <wp:effectExtent l="0" t="0" r="7620" b="508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3080" cy="166370"/>
                    </a:xfrm>
                    <a:prstGeom prst="rect">
                      <a:avLst/>
                    </a:prstGeom>
                    <a:noFill/>
                    <a:ln>
                      <a:noFill/>
                    </a:ln>
                  </pic:spPr>
                </pic:pic>
              </a:graphicData>
            </a:graphic>
          </wp:inline>
        </w:drawing>
      </w:r>
    </w:p>
    <w:p w14:paraId="794122E3" w14:textId="0E4DF36A" w:rsidR="00DB57E3" w:rsidRDefault="00C146EC" w:rsidP="00DB57E3">
      <w:pPr>
        <w:pStyle w:val="Heading2"/>
      </w:pPr>
      <w:bookmarkStart w:id="35" w:name="_Ref100245009"/>
      <w:bookmarkStart w:id="36" w:name="_Toc106294802"/>
      <w:r>
        <w:t>The program framework should be</w:t>
      </w:r>
      <w:r w:rsidR="00B20009">
        <w:t xml:space="preserve"> </w:t>
      </w:r>
      <w:r>
        <w:t xml:space="preserve">systematically </w:t>
      </w:r>
      <w:r w:rsidR="00B20009">
        <w:t>strengthened</w:t>
      </w:r>
      <w:bookmarkEnd w:id="35"/>
      <w:bookmarkEnd w:id="36"/>
    </w:p>
    <w:p w14:paraId="064A982B" w14:textId="35F4A0AA" w:rsidR="00097C62" w:rsidRDefault="00C36F40" w:rsidP="00097C62">
      <w:pPr>
        <w:rPr>
          <w:lang w:eastAsia="en-AU"/>
        </w:rPr>
      </w:pPr>
      <w:r>
        <w:rPr>
          <w:lang w:eastAsia="en-AU"/>
        </w:rPr>
        <w:t>The program framework could be strengthened through:</w:t>
      </w:r>
    </w:p>
    <w:p w14:paraId="7DC1DB34" w14:textId="4F5F947E" w:rsidR="00C36F40" w:rsidRDefault="00C36F40" w:rsidP="00C36F40">
      <w:pPr>
        <w:pStyle w:val="Bullet"/>
      </w:pPr>
      <w:r>
        <w:t>Clarification of the authorising environment</w:t>
      </w:r>
    </w:p>
    <w:p w14:paraId="7D3D535B" w14:textId="5F7A9BEA" w:rsidR="00C36F40" w:rsidRDefault="00422E0D" w:rsidP="00C36F40">
      <w:pPr>
        <w:pStyle w:val="Bullet"/>
      </w:pPr>
      <w:r>
        <w:t>More active governance</w:t>
      </w:r>
    </w:p>
    <w:p w14:paraId="6BAB2754" w14:textId="656EBA20" w:rsidR="00912C18" w:rsidRDefault="00912C18" w:rsidP="003B03D0">
      <w:pPr>
        <w:pStyle w:val="Bullet"/>
      </w:pPr>
      <w:r>
        <w:t>A</w:t>
      </w:r>
      <w:r w:rsidR="002221F4">
        <w:t xml:space="preserve"> more planned process to identify potential site</w:t>
      </w:r>
      <w:r w:rsidR="00F103B1">
        <w:t xml:space="preserve">s and a more rigorous process to </w:t>
      </w:r>
      <w:r w:rsidR="00C86A5D">
        <w:t>select them</w:t>
      </w:r>
    </w:p>
    <w:p w14:paraId="1C8E9BF9" w14:textId="3327C2D7" w:rsidR="00D73E1B" w:rsidRDefault="00D73E1B" w:rsidP="00C36F40">
      <w:pPr>
        <w:pStyle w:val="Bullet"/>
      </w:pPr>
      <w:r>
        <w:t xml:space="preserve">Agreement </w:t>
      </w:r>
      <w:r w:rsidR="003B03D0">
        <w:t>of community consultation</w:t>
      </w:r>
      <w:r w:rsidR="00195440">
        <w:t xml:space="preserve"> principles</w:t>
      </w:r>
      <w:r w:rsidR="00C86A5D">
        <w:t xml:space="preserve"> and processes</w:t>
      </w:r>
    </w:p>
    <w:p w14:paraId="4B1A9BC3" w14:textId="4C9FE7AB" w:rsidR="00422E0D" w:rsidRDefault="00422E0D" w:rsidP="00C36F40">
      <w:pPr>
        <w:pStyle w:val="Bullet"/>
      </w:pPr>
      <w:r>
        <w:t xml:space="preserve">Establishment of a </w:t>
      </w:r>
      <w:r w:rsidR="00396B93">
        <w:t xml:space="preserve">process and </w:t>
      </w:r>
      <w:r w:rsidR="00A7541A">
        <w:t>method for undertaking an upfront comprehensive assessment of the costs of transitioning a primary health care service</w:t>
      </w:r>
    </w:p>
    <w:p w14:paraId="1035A51E" w14:textId="24EE56B0" w:rsidR="00195440" w:rsidRDefault="007051E1" w:rsidP="00C36F40">
      <w:pPr>
        <w:pStyle w:val="Bullet"/>
      </w:pPr>
      <w:r>
        <w:t>Updating of key program documents.</w:t>
      </w:r>
    </w:p>
    <w:p w14:paraId="32702378" w14:textId="3ACEEEB4" w:rsidR="00B412AE" w:rsidRDefault="007051E1" w:rsidP="00405917">
      <w:pPr>
        <w:pStyle w:val="Bullet"/>
        <w:numPr>
          <w:ilvl w:val="0"/>
          <w:numId w:val="0"/>
        </w:numPr>
        <w:ind w:left="340" w:hanging="340"/>
      </w:pPr>
      <w:r>
        <w:t>Each of these improvements is discussed in turn below.</w:t>
      </w:r>
      <w:r w:rsidR="00B412AE">
        <w:br w:type="page"/>
      </w:r>
    </w:p>
    <w:p w14:paraId="6BBE9BE5" w14:textId="4FB9DBF3" w:rsidR="00E3488D" w:rsidRPr="00063132" w:rsidRDefault="00DD600B" w:rsidP="00063132">
      <w:pPr>
        <w:rPr>
          <w:b/>
          <w:bCs/>
          <w:color w:val="00264D" w:themeColor="background2"/>
          <w:sz w:val="20"/>
          <w:szCs w:val="24"/>
        </w:rPr>
      </w:pPr>
      <w:r w:rsidRPr="00063132">
        <w:rPr>
          <w:b/>
          <w:bCs/>
          <w:color w:val="00264D" w:themeColor="background2"/>
          <w:sz w:val="20"/>
          <w:szCs w:val="24"/>
        </w:rPr>
        <w:lastRenderedPageBreak/>
        <w:t>The authorising environment for the P2CC program should be clarified</w:t>
      </w:r>
    </w:p>
    <w:p w14:paraId="03DB6FCB" w14:textId="2D8902C6" w:rsidR="006B44DE" w:rsidRDefault="00465ABA" w:rsidP="00873F3A">
      <w:pPr>
        <w:rPr>
          <w:lang w:eastAsia="en-AU"/>
        </w:rPr>
      </w:pPr>
      <w:r>
        <w:rPr>
          <w:lang w:eastAsia="en-AU"/>
        </w:rPr>
        <w:t xml:space="preserve">The literature review presented in </w:t>
      </w:r>
      <w:r>
        <w:rPr>
          <w:lang w:eastAsia="en-AU"/>
        </w:rPr>
        <w:fldChar w:fldCharType="begin"/>
      </w:r>
      <w:r>
        <w:rPr>
          <w:lang w:eastAsia="en-AU"/>
        </w:rPr>
        <w:instrText xml:space="preserve"> REF _Ref100252243 \r \h </w:instrText>
      </w:r>
      <w:r>
        <w:rPr>
          <w:lang w:eastAsia="en-AU"/>
        </w:rPr>
      </w:r>
      <w:r>
        <w:rPr>
          <w:lang w:eastAsia="en-AU"/>
        </w:rPr>
        <w:fldChar w:fldCharType="separate"/>
      </w:r>
      <w:r w:rsidR="00A439E2">
        <w:rPr>
          <w:lang w:eastAsia="en-AU"/>
        </w:rPr>
        <w:t>Appendix B</w:t>
      </w:r>
      <w:r>
        <w:rPr>
          <w:lang w:eastAsia="en-AU"/>
        </w:rPr>
        <w:fldChar w:fldCharType="end"/>
      </w:r>
      <w:r>
        <w:rPr>
          <w:lang w:eastAsia="en-AU"/>
        </w:rPr>
        <w:t xml:space="preserve"> highlighted </w:t>
      </w:r>
      <w:r w:rsidR="00FC7223">
        <w:rPr>
          <w:lang w:eastAsia="en-AU"/>
        </w:rPr>
        <w:t xml:space="preserve">accountability as both critically important and a key challenge in transitioning primary health care services to community control. </w:t>
      </w:r>
      <w:r w:rsidR="00B15895">
        <w:rPr>
          <w:lang w:eastAsia="en-AU"/>
        </w:rPr>
        <w:t>While the ACCHO must be accountable to government and the community, it i</w:t>
      </w:r>
      <w:r w:rsidR="00D11F3F">
        <w:rPr>
          <w:lang w:eastAsia="en-AU"/>
        </w:rPr>
        <w:t xml:space="preserve">s essential that government </w:t>
      </w:r>
      <w:r w:rsidR="00945F62">
        <w:rPr>
          <w:lang w:eastAsia="en-AU"/>
        </w:rPr>
        <w:t>stakeholders are</w:t>
      </w:r>
      <w:r w:rsidR="00D11F3F">
        <w:rPr>
          <w:lang w:eastAsia="en-AU"/>
        </w:rPr>
        <w:t xml:space="preserve"> also accountable to the ACCHO and the community</w:t>
      </w:r>
      <w:r w:rsidR="00EA1560">
        <w:rPr>
          <w:lang w:eastAsia="en-AU"/>
        </w:rPr>
        <w:t>.</w:t>
      </w:r>
      <w:r w:rsidR="005232FD">
        <w:rPr>
          <w:lang w:eastAsia="en-AU"/>
        </w:rPr>
        <w:t xml:space="preserve"> Achieving </w:t>
      </w:r>
      <w:r w:rsidR="00450D6F">
        <w:rPr>
          <w:lang w:eastAsia="en-AU"/>
        </w:rPr>
        <w:t xml:space="preserve">this </w:t>
      </w:r>
      <w:r w:rsidR="00046C0F">
        <w:rPr>
          <w:lang w:eastAsia="en-AU"/>
        </w:rPr>
        <w:t xml:space="preserve">accountability </w:t>
      </w:r>
      <w:r w:rsidR="005232FD">
        <w:rPr>
          <w:lang w:eastAsia="en-AU"/>
        </w:rPr>
        <w:t>is complicated by the</w:t>
      </w:r>
      <w:r w:rsidR="00946744">
        <w:rPr>
          <w:lang w:eastAsia="en-AU"/>
        </w:rPr>
        <w:t xml:space="preserve"> complex mix of funding and regulatory roles between different levels </w:t>
      </w:r>
      <w:r w:rsidR="00450D6F">
        <w:rPr>
          <w:lang w:eastAsia="en-AU"/>
        </w:rPr>
        <w:t xml:space="preserve">(and agencies) </w:t>
      </w:r>
      <w:r w:rsidR="00946744">
        <w:rPr>
          <w:lang w:eastAsia="en-AU"/>
        </w:rPr>
        <w:t xml:space="preserve">of government </w:t>
      </w:r>
      <w:r w:rsidR="00450D6F">
        <w:rPr>
          <w:lang w:eastAsia="en-AU"/>
        </w:rPr>
        <w:t xml:space="preserve">and the tripartite arrangements between the </w:t>
      </w:r>
      <w:r w:rsidR="00F82C19">
        <w:rPr>
          <w:lang w:eastAsia="en-AU"/>
        </w:rPr>
        <w:t>Australian Government</w:t>
      </w:r>
      <w:r w:rsidR="00450D6F">
        <w:rPr>
          <w:lang w:eastAsia="en-AU"/>
        </w:rPr>
        <w:t xml:space="preserve">, </w:t>
      </w:r>
      <w:r w:rsidR="00CA52D1">
        <w:rPr>
          <w:lang w:eastAsia="en-AU"/>
        </w:rPr>
        <w:t>NT</w:t>
      </w:r>
      <w:r w:rsidR="00396B93">
        <w:rPr>
          <w:lang w:eastAsia="en-AU"/>
        </w:rPr>
        <w:t>G</w:t>
      </w:r>
      <w:r w:rsidR="00CA52D1">
        <w:rPr>
          <w:lang w:eastAsia="en-AU"/>
        </w:rPr>
        <w:t xml:space="preserve"> </w:t>
      </w:r>
      <w:r w:rsidR="00450D6F">
        <w:rPr>
          <w:lang w:eastAsia="en-AU"/>
        </w:rPr>
        <w:t xml:space="preserve">and community </w:t>
      </w:r>
      <w:r w:rsidR="00783272">
        <w:rPr>
          <w:lang w:eastAsia="en-AU"/>
        </w:rPr>
        <w:t>needed to achieve the transition.</w:t>
      </w:r>
    </w:p>
    <w:p w14:paraId="79C48502" w14:textId="29E68E19" w:rsidR="0019504A" w:rsidRDefault="0019504A" w:rsidP="00873F3A">
      <w:pPr>
        <w:rPr>
          <w:lang w:eastAsia="en-AU"/>
        </w:rPr>
      </w:pPr>
      <w:r>
        <w:rPr>
          <w:lang w:eastAsia="en-AU"/>
        </w:rPr>
        <w:t xml:space="preserve">These challenges were evident in the implementation of the P2CC program. The roles and responsibilities of the Australian </w:t>
      </w:r>
      <w:r w:rsidR="00C07F56">
        <w:rPr>
          <w:lang w:eastAsia="en-AU"/>
        </w:rPr>
        <w:t xml:space="preserve">Government </w:t>
      </w:r>
      <w:r>
        <w:rPr>
          <w:lang w:eastAsia="en-AU"/>
        </w:rPr>
        <w:t xml:space="preserve">and </w:t>
      </w:r>
      <w:r w:rsidR="00A55AAE">
        <w:rPr>
          <w:lang w:eastAsia="en-AU"/>
        </w:rPr>
        <w:t>NTG</w:t>
      </w:r>
      <w:r>
        <w:rPr>
          <w:lang w:eastAsia="en-AU"/>
        </w:rPr>
        <w:t xml:space="preserve"> after transition funding is awarded are not articulated in P2CC program document</w:t>
      </w:r>
      <w:r w:rsidR="00945F62">
        <w:rPr>
          <w:lang w:eastAsia="en-AU"/>
        </w:rPr>
        <w:t>s</w:t>
      </w:r>
      <w:r w:rsidR="00E33423">
        <w:rPr>
          <w:lang w:eastAsia="en-AU"/>
        </w:rPr>
        <w:t xml:space="preserve">. </w:t>
      </w:r>
      <w:r>
        <w:rPr>
          <w:lang w:eastAsia="en-AU"/>
        </w:rPr>
        <w:t xml:space="preserve">Consistent with this, </w:t>
      </w:r>
      <w:r w:rsidR="00AD43D6">
        <w:rPr>
          <w:lang w:eastAsia="en-AU"/>
        </w:rPr>
        <w:t>s</w:t>
      </w:r>
      <w:r w:rsidR="00AD43D6" w:rsidRPr="00AD43D6">
        <w:rPr>
          <w:lang w:eastAsia="en-AU"/>
        </w:rPr>
        <w:t>ome stakeholders felt the role of</w:t>
      </w:r>
      <w:r w:rsidR="00E33423">
        <w:rPr>
          <w:lang w:eastAsia="en-AU"/>
        </w:rPr>
        <w:t xml:space="preserve"> the Australian and </w:t>
      </w:r>
      <w:r w:rsidR="00A55AAE">
        <w:rPr>
          <w:lang w:eastAsia="en-AU"/>
        </w:rPr>
        <w:t>NTG</w:t>
      </w:r>
      <w:r w:rsidR="00E33423">
        <w:rPr>
          <w:lang w:eastAsia="en-AU"/>
        </w:rPr>
        <w:t xml:space="preserve"> agencies involved</w:t>
      </w:r>
      <w:r w:rsidR="00AD43D6" w:rsidRPr="00AD43D6">
        <w:rPr>
          <w:lang w:eastAsia="en-AU"/>
        </w:rPr>
        <w:t xml:space="preserve"> in the transition process need</w:t>
      </w:r>
      <w:r w:rsidR="00E33423">
        <w:rPr>
          <w:lang w:eastAsia="en-AU"/>
        </w:rPr>
        <w:t>ed</w:t>
      </w:r>
      <w:r w:rsidR="00AD43D6" w:rsidRPr="00AD43D6">
        <w:rPr>
          <w:lang w:eastAsia="en-AU"/>
        </w:rPr>
        <w:t xml:space="preserve"> to be better defined</w:t>
      </w:r>
      <w:r w:rsidR="00E33423">
        <w:rPr>
          <w:lang w:eastAsia="en-AU"/>
        </w:rPr>
        <w:t xml:space="preserve"> (see Section </w:t>
      </w:r>
      <w:r w:rsidR="00E33423">
        <w:rPr>
          <w:lang w:eastAsia="en-AU"/>
        </w:rPr>
        <w:fldChar w:fldCharType="begin"/>
      </w:r>
      <w:r w:rsidR="00E33423">
        <w:rPr>
          <w:lang w:eastAsia="en-AU"/>
        </w:rPr>
        <w:instrText xml:space="preserve"> REF _Ref100253061 \r \h </w:instrText>
      </w:r>
      <w:r w:rsidR="00E33423">
        <w:rPr>
          <w:lang w:eastAsia="en-AU"/>
        </w:rPr>
      </w:r>
      <w:r w:rsidR="00E33423">
        <w:rPr>
          <w:lang w:eastAsia="en-AU"/>
        </w:rPr>
        <w:fldChar w:fldCharType="separate"/>
      </w:r>
      <w:r w:rsidR="00A439E2">
        <w:rPr>
          <w:lang w:eastAsia="en-AU"/>
        </w:rPr>
        <w:t>3.2.2</w:t>
      </w:r>
      <w:r w:rsidR="00E33423">
        <w:rPr>
          <w:lang w:eastAsia="en-AU"/>
        </w:rPr>
        <w:fldChar w:fldCharType="end"/>
      </w:r>
      <w:r w:rsidR="00E33423">
        <w:rPr>
          <w:lang w:eastAsia="en-AU"/>
        </w:rPr>
        <w:t>).</w:t>
      </w:r>
    </w:p>
    <w:p w14:paraId="3E5463FE" w14:textId="7604A102" w:rsidR="00F75DB4" w:rsidRDefault="007E242A" w:rsidP="00873F3A">
      <w:r>
        <w:rPr>
          <w:lang w:eastAsia="en-AU"/>
        </w:rPr>
        <w:t xml:space="preserve">Some ACCHO stakeholders </w:t>
      </w:r>
      <w:r w:rsidR="00CB07D4">
        <w:rPr>
          <w:lang w:eastAsia="en-AU"/>
        </w:rPr>
        <w:t xml:space="preserve">raised the issue of </w:t>
      </w:r>
      <w:r w:rsidR="00FC4E90">
        <w:rPr>
          <w:lang w:eastAsia="en-AU"/>
        </w:rPr>
        <w:t xml:space="preserve">key </w:t>
      </w:r>
      <w:r w:rsidR="00A55AAE">
        <w:rPr>
          <w:lang w:eastAsia="en-AU"/>
        </w:rPr>
        <w:t>NTG</w:t>
      </w:r>
      <w:r w:rsidR="00FC4E90">
        <w:rPr>
          <w:lang w:eastAsia="en-AU"/>
        </w:rPr>
        <w:t xml:space="preserve"> personnel such as transition managers not being consistently resourced and vacancies not being quickly filled</w:t>
      </w:r>
      <w:r w:rsidR="00FF5BB7">
        <w:rPr>
          <w:lang w:eastAsia="en-AU"/>
        </w:rPr>
        <w:t xml:space="preserve">, leading to delays. </w:t>
      </w:r>
      <w:r w:rsidR="009A1DC1">
        <w:rPr>
          <w:lang w:eastAsia="en-AU"/>
        </w:rPr>
        <w:t xml:space="preserve">This partly reflects </w:t>
      </w:r>
      <w:r w:rsidR="00CE12F3">
        <w:rPr>
          <w:lang w:eastAsia="en-AU"/>
        </w:rPr>
        <w:t xml:space="preserve">a lack of funding for </w:t>
      </w:r>
      <w:r w:rsidR="00A55AAE">
        <w:rPr>
          <w:lang w:eastAsia="en-AU"/>
        </w:rPr>
        <w:t>NTG</w:t>
      </w:r>
      <w:r w:rsidR="00CE12F3">
        <w:rPr>
          <w:lang w:eastAsia="en-AU"/>
        </w:rPr>
        <w:t xml:space="preserve"> agencies to participate in transition, w</w:t>
      </w:r>
      <w:r w:rsidR="00F75DB4">
        <w:rPr>
          <w:lang w:eastAsia="en-AU"/>
        </w:rPr>
        <w:t xml:space="preserve">ith the result that transitions </w:t>
      </w:r>
      <w:r w:rsidR="00CE12F3">
        <w:rPr>
          <w:lang w:eastAsia="en-AU"/>
        </w:rPr>
        <w:t>compete</w:t>
      </w:r>
      <w:r w:rsidR="00F75DB4">
        <w:rPr>
          <w:lang w:eastAsia="en-AU"/>
        </w:rPr>
        <w:t xml:space="preserve"> with other priorities for </w:t>
      </w:r>
      <w:r w:rsidR="00A55AAE">
        <w:rPr>
          <w:lang w:eastAsia="en-AU"/>
        </w:rPr>
        <w:t>NTG</w:t>
      </w:r>
      <w:r w:rsidR="00F75DB4">
        <w:rPr>
          <w:lang w:eastAsia="en-AU"/>
        </w:rPr>
        <w:t xml:space="preserve"> staf</w:t>
      </w:r>
      <w:r w:rsidR="00CE12F3">
        <w:rPr>
          <w:lang w:eastAsia="en-AU"/>
        </w:rPr>
        <w:t xml:space="preserve">f (see Section </w:t>
      </w:r>
      <w:r w:rsidR="001A092A">
        <w:fldChar w:fldCharType="begin"/>
      </w:r>
      <w:r w:rsidR="001A092A">
        <w:instrText xml:space="preserve"> REF _Ref103676139 \r \h </w:instrText>
      </w:r>
      <w:r w:rsidR="001A092A">
        <w:fldChar w:fldCharType="separate"/>
      </w:r>
      <w:r w:rsidR="00A439E2">
        <w:t>3.1</w:t>
      </w:r>
      <w:r w:rsidR="001A092A">
        <w:fldChar w:fldCharType="end"/>
      </w:r>
      <w:r w:rsidR="00CE12F3">
        <w:t>).</w:t>
      </w:r>
    </w:p>
    <w:p w14:paraId="7BE184F5" w14:textId="262E3AB3" w:rsidR="00873F3A" w:rsidRDefault="00BF041A" w:rsidP="00873F3A">
      <w:r>
        <w:t xml:space="preserve">Clarifying the authoring environment for the program </w:t>
      </w:r>
      <w:r w:rsidR="0001001B">
        <w:t xml:space="preserve">would strengthen accountability at </w:t>
      </w:r>
      <w:r w:rsidR="00A15990">
        <w:t xml:space="preserve">all levels within the Australian and </w:t>
      </w:r>
      <w:r w:rsidR="00A55AAE">
        <w:t>NTG</w:t>
      </w:r>
      <w:r w:rsidR="00A15990">
        <w:t xml:space="preserve">s. </w:t>
      </w:r>
    </w:p>
    <w:p w14:paraId="568E9F65" w14:textId="2B80A4FF" w:rsidR="00E036B4" w:rsidRDefault="00E036B4" w:rsidP="00873F3A">
      <w:r w:rsidRPr="00F97AB5">
        <w:rPr>
          <w:noProof/>
          <w:lang w:eastAsia="en-AU"/>
        </w:rPr>
        <w:drawing>
          <wp:inline distT="0" distB="0" distL="0" distR="0" wp14:anchorId="5E693268" wp14:editId="7BFE0174">
            <wp:extent cx="5113655" cy="287655"/>
            <wp:effectExtent l="0" t="0" r="0" b="0"/>
            <wp:docPr id="15" name="Picture 15" descr="Recommend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Recommendation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13655" cy="287655"/>
                    </a:xfrm>
                    <a:prstGeom prst="rect">
                      <a:avLst/>
                    </a:prstGeom>
                    <a:noFill/>
                    <a:ln>
                      <a:noFill/>
                    </a:ln>
                  </pic:spPr>
                </pic:pic>
              </a:graphicData>
            </a:graphic>
          </wp:inline>
        </w:drawing>
      </w:r>
      <w:r>
        <w:rPr>
          <w:noProof/>
        </w:rPr>
        <w:drawing>
          <wp:inline distT="0" distB="0" distL="0" distR="0" wp14:anchorId="01469F76" wp14:editId="3C79F329">
            <wp:extent cx="344170" cy="297180"/>
            <wp:effectExtent l="0" t="0" r="0" b="762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4170" cy="297180"/>
                    </a:xfrm>
                    <a:prstGeom prst="rect">
                      <a:avLst/>
                    </a:prstGeom>
                    <a:noFill/>
                    <a:ln>
                      <a:noFill/>
                    </a:ln>
                  </pic:spPr>
                </pic:pic>
              </a:graphicData>
            </a:graphic>
          </wp:inline>
        </w:drawing>
      </w:r>
    </w:p>
    <w:p w14:paraId="0EDAAD68" w14:textId="632701BA" w:rsidR="00E036B4" w:rsidRDefault="00E036B4" w:rsidP="00873F3A">
      <w:r w:rsidRPr="00AF2AFD">
        <w:rPr>
          <w:lang w:eastAsia="en-AU"/>
        </w:rPr>
        <w:t xml:space="preserve">The partners should </w:t>
      </w:r>
      <w:r>
        <w:rPr>
          <w:lang w:eastAsia="en-AU"/>
        </w:rPr>
        <w:t>consider strengthening the authorising environment for the P2CC program through senior-level (in the case of the Australian and NT Governments preferably ministerial level) statements of commitment and endorsement of program guidelines from all partners.</w:t>
      </w:r>
    </w:p>
    <w:p w14:paraId="74881CF6" w14:textId="60FA5758" w:rsidR="00E036B4" w:rsidRDefault="00E036B4" w:rsidP="00873F3A">
      <w:r>
        <w:rPr>
          <w:noProof/>
        </w:rPr>
        <w:drawing>
          <wp:inline distT="0" distB="0" distL="0" distR="0" wp14:anchorId="33164194" wp14:editId="77DEA966">
            <wp:extent cx="5593080" cy="166370"/>
            <wp:effectExtent l="0" t="0" r="7620" b="508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3080" cy="166370"/>
                    </a:xfrm>
                    <a:prstGeom prst="rect">
                      <a:avLst/>
                    </a:prstGeom>
                    <a:noFill/>
                    <a:ln>
                      <a:noFill/>
                    </a:ln>
                  </pic:spPr>
                </pic:pic>
              </a:graphicData>
            </a:graphic>
          </wp:inline>
        </w:drawing>
      </w:r>
    </w:p>
    <w:p w14:paraId="7EF5B9A2" w14:textId="7CEA5441" w:rsidR="00E036B4" w:rsidRDefault="00E036B4" w:rsidP="00873F3A"/>
    <w:p w14:paraId="369207E5" w14:textId="60858849" w:rsidR="00E3488D" w:rsidRPr="00063132" w:rsidRDefault="00DB57E3" w:rsidP="00063132">
      <w:pPr>
        <w:rPr>
          <w:b/>
          <w:bCs/>
          <w:color w:val="00264D" w:themeColor="background2"/>
          <w:sz w:val="20"/>
          <w:szCs w:val="24"/>
        </w:rPr>
      </w:pPr>
      <w:r w:rsidRPr="00063132">
        <w:rPr>
          <w:b/>
          <w:bCs/>
          <w:color w:val="00264D" w:themeColor="background2"/>
          <w:sz w:val="20"/>
          <w:szCs w:val="24"/>
        </w:rPr>
        <w:t>Governance should be more actively performed</w:t>
      </w:r>
    </w:p>
    <w:p w14:paraId="16D319F5" w14:textId="352E0233" w:rsidR="0074627D" w:rsidRDefault="00163974" w:rsidP="003003BC">
      <w:pPr>
        <w:rPr>
          <w:lang w:eastAsia="en-AU"/>
        </w:rPr>
      </w:pPr>
      <w:r>
        <w:rPr>
          <w:lang w:eastAsia="en-AU"/>
        </w:rPr>
        <w:t>NTAHF is generally seen to be a strong</w:t>
      </w:r>
      <w:r w:rsidR="00CD223C">
        <w:rPr>
          <w:lang w:eastAsia="en-AU"/>
        </w:rPr>
        <w:t xml:space="preserve"> governance body </w:t>
      </w:r>
      <w:r w:rsidR="00523F7F">
        <w:rPr>
          <w:lang w:eastAsia="en-AU"/>
        </w:rPr>
        <w:t>that is committed to</w:t>
      </w:r>
      <w:r w:rsidR="00CD223C">
        <w:rPr>
          <w:lang w:eastAsia="en-AU"/>
        </w:rPr>
        <w:t xml:space="preserve"> the P2CC program</w:t>
      </w:r>
      <w:r w:rsidR="00523F7F">
        <w:rPr>
          <w:lang w:eastAsia="en-AU"/>
        </w:rPr>
        <w:t xml:space="preserve"> (see Section </w:t>
      </w:r>
      <w:r w:rsidR="00471389">
        <w:rPr>
          <w:lang w:eastAsia="en-AU"/>
        </w:rPr>
        <w:fldChar w:fldCharType="begin"/>
      </w:r>
      <w:r w:rsidR="00471389">
        <w:rPr>
          <w:lang w:eastAsia="en-AU"/>
        </w:rPr>
        <w:instrText xml:space="preserve"> REF _Ref100255737 \r \h </w:instrText>
      </w:r>
      <w:r w:rsidR="00471389">
        <w:rPr>
          <w:lang w:eastAsia="en-AU"/>
        </w:rPr>
      </w:r>
      <w:r w:rsidR="00471389">
        <w:rPr>
          <w:lang w:eastAsia="en-AU"/>
        </w:rPr>
        <w:fldChar w:fldCharType="separate"/>
      </w:r>
      <w:r w:rsidR="00A439E2">
        <w:rPr>
          <w:lang w:eastAsia="en-AU"/>
        </w:rPr>
        <w:t>3.2.1</w:t>
      </w:r>
      <w:r w:rsidR="00471389">
        <w:rPr>
          <w:lang w:eastAsia="en-AU"/>
        </w:rPr>
        <w:fldChar w:fldCharType="end"/>
      </w:r>
      <w:r w:rsidR="00471389">
        <w:rPr>
          <w:lang w:eastAsia="en-AU"/>
        </w:rPr>
        <w:t>)</w:t>
      </w:r>
      <w:r w:rsidR="003306AC">
        <w:rPr>
          <w:lang w:eastAsia="en-AU"/>
        </w:rPr>
        <w:t xml:space="preserve">. </w:t>
      </w:r>
      <w:r w:rsidR="001722FA">
        <w:rPr>
          <w:lang w:eastAsia="en-AU"/>
        </w:rPr>
        <w:t>However, i</w:t>
      </w:r>
      <w:r w:rsidR="003306AC">
        <w:rPr>
          <w:lang w:eastAsia="en-AU"/>
        </w:rPr>
        <w:t>t is a busy forum that considers many complex issues across the NT health system</w:t>
      </w:r>
      <w:r w:rsidR="00F513A4">
        <w:rPr>
          <w:lang w:eastAsia="en-AU"/>
        </w:rPr>
        <w:t>, which limits the attention it can put on</w:t>
      </w:r>
      <w:r w:rsidR="00754AD1">
        <w:rPr>
          <w:lang w:eastAsia="en-AU"/>
        </w:rPr>
        <w:t xml:space="preserve"> </w:t>
      </w:r>
      <w:r w:rsidR="00E606CD">
        <w:rPr>
          <w:lang w:eastAsia="en-AU"/>
        </w:rPr>
        <w:t>the program</w:t>
      </w:r>
      <w:r w:rsidR="002D2533">
        <w:rPr>
          <w:lang w:eastAsia="en-AU"/>
        </w:rPr>
        <w:t>,</w:t>
      </w:r>
      <w:r w:rsidR="00E606CD">
        <w:rPr>
          <w:lang w:eastAsia="en-AU"/>
        </w:rPr>
        <w:t xml:space="preserve"> and</w:t>
      </w:r>
      <w:r w:rsidR="00754AD1">
        <w:rPr>
          <w:lang w:eastAsia="en-AU"/>
        </w:rPr>
        <w:t xml:space="preserve"> there are indications it could </w:t>
      </w:r>
      <w:r w:rsidR="0026680B">
        <w:rPr>
          <w:lang w:eastAsia="en-AU"/>
        </w:rPr>
        <w:t>govern</w:t>
      </w:r>
      <w:r w:rsidR="00754AD1">
        <w:rPr>
          <w:lang w:eastAsia="en-AU"/>
        </w:rPr>
        <w:t xml:space="preserve"> the program more actively. </w:t>
      </w:r>
      <w:r w:rsidR="002337FC">
        <w:rPr>
          <w:lang w:eastAsia="en-AU"/>
        </w:rPr>
        <w:t xml:space="preserve">First, </w:t>
      </w:r>
      <w:r w:rsidR="008458B7">
        <w:rPr>
          <w:lang w:eastAsia="en-AU"/>
        </w:rPr>
        <w:t>at the level of</w:t>
      </w:r>
      <w:r w:rsidR="00AB7866">
        <w:rPr>
          <w:lang w:eastAsia="en-AU"/>
        </w:rPr>
        <w:t xml:space="preserve"> both</w:t>
      </w:r>
      <w:r w:rsidR="001910F2" w:rsidRPr="001910F2">
        <w:rPr>
          <w:lang w:eastAsia="en-AU"/>
        </w:rPr>
        <w:t xml:space="preserve"> </w:t>
      </w:r>
      <w:r w:rsidR="001910F2">
        <w:rPr>
          <w:lang w:eastAsia="en-AU"/>
        </w:rPr>
        <w:t>the overall program</w:t>
      </w:r>
      <w:r w:rsidR="001910F2" w:rsidRPr="001910F2">
        <w:rPr>
          <w:lang w:eastAsia="en-AU"/>
        </w:rPr>
        <w:t xml:space="preserve"> </w:t>
      </w:r>
      <w:r w:rsidR="001910F2">
        <w:rPr>
          <w:lang w:eastAsia="en-AU"/>
        </w:rPr>
        <w:t>and</w:t>
      </w:r>
      <w:r w:rsidR="008458B7">
        <w:rPr>
          <w:lang w:eastAsia="en-AU"/>
        </w:rPr>
        <w:t xml:space="preserve"> individual transitions</w:t>
      </w:r>
      <w:r w:rsidR="00D246E8">
        <w:rPr>
          <w:lang w:eastAsia="en-AU"/>
        </w:rPr>
        <w:t>, challenges that have emer</w:t>
      </w:r>
      <w:r w:rsidR="00E377B5">
        <w:rPr>
          <w:lang w:eastAsia="en-AU"/>
        </w:rPr>
        <w:t>ged have not been expeditiously resolved</w:t>
      </w:r>
      <w:r w:rsidR="00AB7866">
        <w:rPr>
          <w:lang w:eastAsia="en-AU"/>
        </w:rPr>
        <w:t xml:space="preserve"> – some have continued for the life of the program (as noted in Section </w:t>
      </w:r>
      <w:r w:rsidR="00AB7866">
        <w:rPr>
          <w:lang w:eastAsia="en-AU"/>
        </w:rPr>
        <w:fldChar w:fldCharType="begin"/>
      </w:r>
      <w:r w:rsidR="00AB7866">
        <w:rPr>
          <w:lang w:eastAsia="en-AU"/>
        </w:rPr>
        <w:instrText xml:space="preserve"> REF _Ref100244972 \r \h </w:instrText>
      </w:r>
      <w:r w:rsidR="00AB7866">
        <w:rPr>
          <w:lang w:eastAsia="en-AU"/>
        </w:rPr>
      </w:r>
      <w:r w:rsidR="00AB7866">
        <w:rPr>
          <w:lang w:eastAsia="en-AU"/>
        </w:rPr>
        <w:fldChar w:fldCharType="separate"/>
      </w:r>
      <w:r w:rsidR="00A439E2">
        <w:rPr>
          <w:lang w:eastAsia="en-AU"/>
        </w:rPr>
        <w:t>4.1</w:t>
      </w:r>
      <w:r w:rsidR="00AB7866">
        <w:rPr>
          <w:lang w:eastAsia="en-AU"/>
        </w:rPr>
        <w:fldChar w:fldCharType="end"/>
      </w:r>
      <w:r w:rsidR="00512422">
        <w:rPr>
          <w:lang w:eastAsia="en-AU"/>
        </w:rPr>
        <w:t xml:space="preserve"> above</w:t>
      </w:r>
      <w:r w:rsidR="00AB7866">
        <w:rPr>
          <w:lang w:eastAsia="en-AU"/>
        </w:rPr>
        <w:t xml:space="preserve">). Second, </w:t>
      </w:r>
      <w:r w:rsidR="001C42E6">
        <w:rPr>
          <w:lang w:eastAsia="en-AU"/>
        </w:rPr>
        <w:t>ACCHO and government stakeholders questioned whether NTAHF</w:t>
      </w:r>
      <w:r w:rsidR="009A6F87">
        <w:rPr>
          <w:lang w:eastAsia="en-AU"/>
        </w:rPr>
        <w:t xml:space="preserve"> assesses</w:t>
      </w:r>
      <w:r w:rsidR="001B2E0B">
        <w:rPr>
          <w:lang w:eastAsia="en-AU"/>
        </w:rPr>
        <w:t xml:space="preserve"> </w:t>
      </w:r>
      <w:r w:rsidR="00990FC2">
        <w:rPr>
          <w:lang w:eastAsia="en-AU"/>
        </w:rPr>
        <w:t>business cases, which are often lengthy documents, as comprehensively as it could.</w:t>
      </w:r>
      <w:r w:rsidR="000A58E1">
        <w:rPr>
          <w:lang w:eastAsia="en-AU"/>
        </w:rPr>
        <w:t xml:space="preserve"> </w:t>
      </w:r>
      <w:r w:rsidR="009418A9">
        <w:rPr>
          <w:lang w:eastAsia="en-AU"/>
        </w:rPr>
        <w:t>If</w:t>
      </w:r>
      <w:r w:rsidR="004F1039">
        <w:rPr>
          <w:lang w:eastAsia="en-AU"/>
        </w:rPr>
        <w:t xml:space="preserve">, given the </w:t>
      </w:r>
      <w:r w:rsidR="000E1FDC">
        <w:rPr>
          <w:lang w:eastAsia="en-AU"/>
        </w:rPr>
        <w:t>brea</w:t>
      </w:r>
      <w:r w:rsidR="00863A5D">
        <w:rPr>
          <w:lang w:eastAsia="en-AU"/>
        </w:rPr>
        <w:t>d</w:t>
      </w:r>
      <w:r w:rsidR="000E1FDC">
        <w:rPr>
          <w:lang w:eastAsia="en-AU"/>
        </w:rPr>
        <w:t>th of NT</w:t>
      </w:r>
      <w:r w:rsidR="00E25676">
        <w:rPr>
          <w:lang w:eastAsia="en-AU"/>
        </w:rPr>
        <w:t>AHF roles and responsibilities,</w:t>
      </w:r>
      <w:r w:rsidR="009418A9">
        <w:rPr>
          <w:lang w:eastAsia="en-AU"/>
        </w:rPr>
        <w:t xml:space="preserve"> NTAHF is unable </w:t>
      </w:r>
      <w:r w:rsidR="0026680B">
        <w:rPr>
          <w:lang w:eastAsia="en-AU"/>
        </w:rPr>
        <w:t>to govern the program as actively as required, it could consider alternative arrangements</w:t>
      </w:r>
      <w:r w:rsidR="000A58E1">
        <w:rPr>
          <w:lang w:eastAsia="en-AU"/>
        </w:rPr>
        <w:t xml:space="preserve">, such as a separate working group </w:t>
      </w:r>
      <w:r w:rsidR="00725273">
        <w:rPr>
          <w:lang w:eastAsia="en-AU"/>
        </w:rPr>
        <w:t>of</w:t>
      </w:r>
      <w:r w:rsidR="000A58E1">
        <w:rPr>
          <w:lang w:eastAsia="en-AU"/>
        </w:rPr>
        <w:t xml:space="preserve"> senior representatives from each partner.</w:t>
      </w:r>
    </w:p>
    <w:p w14:paraId="1C45A0C4" w14:textId="6860C331" w:rsidR="001910F2" w:rsidRPr="003003BC" w:rsidRDefault="007B5D94" w:rsidP="003003BC">
      <w:pPr>
        <w:rPr>
          <w:lang w:eastAsia="en-AU"/>
        </w:rPr>
      </w:pPr>
      <w:r>
        <w:rPr>
          <w:lang w:eastAsia="en-AU"/>
        </w:rPr>
        <w:t xml:space="preserve">NTAHF cannot be expected to be </w:t>
      </w:r>
      <w:r w:rsidR="00A02710">
        <w:rPr>
          <w:lang w:eastAsia="en-AU"/>
        </w:rPr>
        <w:t xml:space="preserve">actively involved in all aspects of each transition. </w:t>
      </w:r>
      <w:r w:rsidR="006C7518">
        <w:rPr>
          <w:lang w:eastAsia="en-AU"/>
        </w:rPr>
        <w:t>There is a distinction between program</w:t>
      </w:r>
      <w:r w:rsidR="00355BF5">
        <w:rPr>
          <w:lang w:eastAsia="en-AU"/>
        </w:rPr>
        <w:t xml:space="preserve">-level governance and individual transition-level governance. </w:t>
      </w:r>
      <w:r w:rsidR="00CE6606">
        <w:rPr>
          <w:lang w:eastAsia="en-AU"/>
        </w:rPr>
        <w:t>But</w:t>
      </w:r>
      <w:r w:rsidR="00C41EEF">
        <w:rPr>
          <w:lang w:eastAsia="en-AU"/>
        </w:rPr>
        <w:t xml:space="preserve"> </w:t>
      </w:r>
      <w:r w:rsidR="002459CC">
        <w:rPr>
          <w:lang w:eastAsia="en-AU"/>
        </w:rPr>
        <w:t>they</w:t>
      </w:r>
      <w:r w:rsidR="00927D54">
        <w:rPr>
          <w:lang w:eastAsia="en-AU"/>
        </w:rPr>
        <w:t xml:space="preserve"> should not be viewed as </w:t>
      </w:r>
      <w:r w:rsidR="00B855A7">
        <w:rPr>
          <w:lang w:eastAsia="en-AU"/>
        </w:rPr>
        <w:t xml:space="preserve">entirely </w:t>
      </w:r>
      <w:r w:rsidR="00927D54">
        <w:rPr>
          <w:lang w:eastAsia="en-AU"/>
        </w:rPr>
        <w:t xml:space="preserve">separate – an important aspect of </w:t>
      </w:r>
      <w:r w:rsidR="003417F5">
        <w:rPr>
          <w:lang w:eastAsia="en-AU"/>
        </w:rPr>
        <w:t xml:space="preserve">governance at the </w:t>
      </w:r>
      <w:r w:rsidR="00927D54">
        <w:rPr>
          <w:lang w:eastAsia="en-AU"/>
        </w:rPr>
        <w:t>program</w:t>
      </w:r>
      <w:r w:rsidR="003417F5">
        <w:rPr>
          <w:lang w:eastAsia="en-AU"/>
        </w:rPr>
        <w:t xml:space="preserve"> </w:t>
      </w:r>
      <w:r w:rsidR="00927D54">
        <w:rPr>
          <w:lang w:eastAsia="en-AU"/>
        </w:rPr>
        <w:t xml:space="preserve">level </w:t>
      </w:r>
      <w:r w:rsidR="00761F93">
        <w:rPr>
          <w:lang w:eastAsia="en-AU"/>
        </w:rPr>
        <w:t xml:space="preserve">is the escalation of issues </w:t>
      </w:r>
      <w:r w:rsidR="003417F5">
        <w:rPr>
          <w:lang w:eastAsia="en-AU"/>
        </w:rPr>
        <w:t>from the</w:t>
      </w:r>
      <w:r w:rsidR="00336C03">
        <w:rPr>
          <w:lang w:eastAsia="en-AU"/>
        </w:rPr>
        <w:t xml:space="preserve"> transition</w:t>
      </w:r>
      <w:r w:rsidR="003417F5">
        <w:rPr>
          <w:lang w:eastAsia="en-AU"/>
        </w:rPr>
        <w:t xml:space="preserve"> level</w:t>
      </w:r>
      <w:r w:rsidR="00336C03">
        <w:rPr>
          <w:lang w:eastAsia="en-AU"/>
        </w:rPr>
        <w:t xml:space="preserve">; for example, </w:t>
      </w:r>
      <w:r w:rsidR="00FE3C2B">
        <w:rPr>
          <w:lang w:eastAsia="en-AU"/>
        </w:rPr>
        <w:t xml:space="preserve">to resolve disputes or trouble shoot </w:t>
      </w:r>
      <w:r w:rsidR="00C13826">
        <w:rPr>
          <w:lang w:eastAsia="en-AU"/>
        </w:rPr>
        <w:t>challenges.</w:t>
      </w:r>
    </w:p>
    <w:p w14:paraId="48454458" w14:textId="77777777" w:rsidR="00E036B4" w:rsidRDefault="00E036B4" w:rsidP="00286F98">
      <w:r w:rsidRPr="00F97AB5">
        <w:rPr>
          <w:noProof/>
          <w:lang w:eastAsia="en-AU"/>
        </w:rPr>
        <w:drawing>
          <wp:inline distT="0" distB="0" distL="0" distR="0" wp14:anchorId="6F0389BF" wp14:editId="3DBC4FBF">
            <wp:extent cx="5113655" cy="287655"/>
            <wp:effectExtent l="0" t="0" r="0" b="0"/>
            <wp:docPr id="26" name="Picture 26" descr="Recommenda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Recommendation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13655" cy="287655"/>
                    </a:xfrm>
                    <a:prstGeom prst="rect">
                      <a:avLst/>
                    </a:prstGeom>
                    <a:noFill/>
                    <a:ln>
                      <a:noFill/>
                    </a:ln>
                  </pic:spPr>
                </pic:pic>
              </a:graphicData>
            </a:graphic>
          </wp:inline>
        </w:drawing>
      </w:r>
      <w:r>
        <w:rPr>
          <w:noProof/>
        </w:rPr>
        <w:drawing>
          <wp:inline distT="0" distB="0" distL="0" distR="0" wp14:anchorId="7A9F777F" wp14:editId="2511EB12">
            <wp:extent cx="356235" cy="297180"/>
            <wp:effectExtent l="0" t="0" r="5715" b="762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6235" cy="297180"/>
                    </a:xfrm>
                    <a:prstGeom prst="rect">
                      <a:avLst/>
                    </a:prstGeom>
                    <a:noFill/>
                    <a:ln>
                      <a:noFill/>
                    </a:ln>
                  </pic:spPr>
                </pic:pic>
              </a:graphicData>
            </a:graphic>
          </wp:inline>
        </w:drawing>
      </w:r>
    </w:p>
    <w:p w14:paraId="71845DBA" w14:textId="77B51927" w:rsidR="00E036B4" w:rsidRDefault="00E036B4" w:rsidP="00286F98">
      <w:r w:rsidRPr="00AF2AFD">
        <w:rPr>
          <w:lang w:eastAsia="en-AU"/>
        </w:rPr>
        <w:t xml:space="preserve">The partners should </w:t>
      </w:r>
      <w:r>
        <w:rPr>
          <w:lang w:eastAsia="en-AU"/>
        </w:rPr>
        <w:t>ensure the governance of the P2CC program is led by a group that is sufficiently senior and active to address problems and delays and adapt to emerging issues and events.</w:t>
      </w:r>
    </w:p>
    <w:p w14:paraId="2FB49586" w14:textId="7E0C9A88" w:rsidR="00286F98" w:rsidRDefault="00E036B4" w:rsidP="00286F98">
      <w:r>
        <w:rPr>
          <w:noProof/>
        </w:rPr>
        <w:drawing>
          <wp:inline distT="0" distB="0" distL="0" distR="0" wp14:anchorId="44915E40" wp14:editId="17D9870F">
            <wp:extent cx="5593080" cy="166370"/>
            <wp:effectExtent l="0" t="0" r="7620" b="508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3080" cy="166370"/>
                    </a:xfrm>
                    <a:prstGeom prst="rect">
                      <a:avLst/>
                    </a:prstGeom>
                    <a:noFill/>
                    <a:ln>
                      <a:noFill/>
                    </a:ln>
                  </pic:spPr>
                </pic:pic>
              </a:graphicData>
            </a:graphic>
          </wp:inline>
        </w:drawing>
      </w:r>
      <w:r w:rsidR="00286F98">
        <w:br w:type="page"/>
      </w:r>
    </w:p>
    <w:p w14:paraId="376B55F4" w14:textId="3FD735CD" w:rsidR="00B2582D" w:rsidRPr="00063132" w:rsidRDefault="00FF2DA5" w:rsidP="00063132">
      <w:pPr>
        <w:rPr>
          <w:b/>
          <w:bCs/>
          <w:color w:val="00264D" w:themeColor="background2"/>
          <w:sz w:val="20"/>
          <w:szCs w:val="24"/>
        </w:rPr>
      </w:pPr>
      <w:r w:rsidRPr="00063132">
        <w:rPr>
          <w:b/>
          <w:bCs/>
          <w:color w:val="00264D" w:themeColor="background2"/>
          <w:sz w:val="20"/>
          <w:szCs w:val="24"/>
        </w:rPr>
        <w:lastRenderedPageBreak/>
        <w:t>The processes to identify, prioritise and select sites for transition could be improved</w:t>
      </w:r>
    </w:p>
    <w:p w14:paraId="7957F4CC" w14:textId="3202A985" w:rsidR="00594218" w:rsidRDefault="000B1FA2" w:rsidP="005817D5">
      <w:pPr>
        <w:rPr>
          <w:lang w:eastAsia="en-AU"/>
        </w:rPr>
      </w:pPr>
      <w:r>
        <w:rPr>
          <w:lang w:eastAsia="en-AU"/>
        </w:rPr>
        <w:t xml:space="preserve">Stakeholders </w:t>
      </w:r>
      <w:r w:rsidR="00377D85">
        <w:rPr>
          <w:lang w:eastAsia="en-AU"/>
        </w:rPr>
        <w:t>raised</w:t>
      </w:r>
      <w:r>
        <w:rPr>
          <w:lang w:eastAsia="en-AU"/>
        </w:rPr>
        <w:t xml:space="preserve"> a number of </w:t>
      </w:r>
      <w:r w:rsidR="00D575C4">
        <w:rPr>
          <w:lang w:eastAsia="en-AU"/>
        </w:rPr>
        <w:t xml:space="preserve">shortcomings </w:t>
      </w:r>
      <w:r w:rsidR="00377D85">
        <w:rPr>
          <w:lang w:eastAsia="en-AU"/>
        </w:rPr>
        <w:t>with</w:t>
      </w:r>
      <w:r>
        <w:rPr>
          <w:lang w:eastAsia="en-AU"/>
        </w:rPr>
        <w:t xml:space="preserve"> the </w:t>
      </w:r>
      <w:r w:rsidR="00E1161F">
        <w:rPr>
          <w:lang w:eastAsia="en-AU"/>
        </w:rPr>
        <w:t>process to identify, select and prioritise transitions</w:t>
      </w:r>
      <w:r w:rsidR="003A7C70">
        <w:rPr>
          <w:lang w:eastAsia="en-AU"/>
        </w:rPr>
        <w:t xml:space="preserve"> (see Section </w:t>
      </w:r>
      <w:r w:rsidR="003A7C70">
        <w:rPr>
          <w:lang w:eastAsia="en-AU"/>
        </w:rPr>
        <w:fldChar w:fldCharType="begin"/>
      </w:r>
      <w:r w:rsidR="003A7C70">
        <w:rPr>
          <w:lang w:eastAsia="en-AU"/>
        </w:rPr>
        <w:instrText xml:space="preserve"> REF _Ref100255737 \r \h </w:instrText>
      </w:r>
      <w:r w:rsidR="003A7C70">
        <w:rPr>
          <w:lang w:eastAsia="en-AU"/>
        </w:rPr>
      </w:r>
      <w:r w:rsidR="003A7C70">
        <w:rPr>
          <w:lang w:eastAsia="en-AU"/>
        </w:rPr>
        <w:fldChar w:fldCharType="separate"/>
      </w:r>
      <w:r w:rsidR="00A439E2">
        <w:rPr>
          <w:lang w:eastAsia="en-AU"/>
        </w:rPr>
        <w:t>3.2.1</w:t>
      </w:r>
      <w:r w:rsidR="003A7C70">
        <w:rPr>
          <w:lang w:eastAsia="en-AU"/>
        </w:rPr>
        <w:fldChar w:fldCharType="end"/>
      </w:r>
      <w:r w:rsidR="003A7C70">
        <w:rPr>
          <w:lang w:eastAsia="en-AU"/>
        </w:rPr>
        <w:t>)</w:t>
      </w:r>
      <w:r w:rsidR="009E08B0">
        <w:rPr>
          <w:lang w:eastAsia="en-AU"/>
        </w:rPr>
        <w:t>; for example:</w:t>
      </w:r>
    </w:p>
    <w:p w14:paraId="0245BB04" w14:textId="02F64043" w:rsidR="002630EB" w:rsidRDefault="002630EB" w:rsidP="00A1447B">
      <w:pPr>
        <w:pStyle w:val="Bullet"/>
      </w:pPr>
      <w:r>
        <w:t xml:space="preserve">The </w:t>
      </w:r>
      <w:r w:rsidR="00986C67">
        <w:t>absence</w:t>
      </w:r>
      <w:r>
        <w:t xml:space="preserve"> of a process to identify which clinics are in the pipeline to transition and notify regions when an opportunity to transition becomes available</w:t>
      </w:r>
    </w:p>
    <w:p w14:paraId="1E04B06F" w14:textId="5B0972E5" w:rsidR="00E1161F" w:rsidRDefault="002630EB" w:rsidP="00E1161F">
      <w:pPr>
        <w:pStyle w:val="Bullet"/>
      </w:pPr>
      <w:r>
        <w:t>The lack of</w:t>
      </w:r>
      <w:r w:rsidR="00E1161F">
        <w:t xml:space="preserve"> </w:t>
      </w:r>
      <w:r w:rsidR="00AB4810">
        <w:t>information about</w:t>
      </w:r>
      <w:r w:rsidR="00E1161F">
        <w:t xml:space="preserve"> who </w:t>
      </w:r>
      <w:r w:rsidR="00E52BD8">
        <w:t>initiates</w:t>
      </w:r>
      <w:r w:rsidR="00E1161F">
        <w:t xml:space="preserve"> new transitions </w:t>
      </w:r>
      <w:r w:rsidR="00A411D9">
        <w:t xml:space="preserve">and </w:t>
      </w:r>
      <w:r w:rsidR="00E1161F">
        <w:t>how they are prioritised</w:t>
      </w:r>
    </w:p>
    <w:p w14:paraId="44EE96DC" w14:textId="218CFF26" w:rsidR="00D211DC" w:rsidRDefault="00D211DC" w:rsidP="00D211DC">
      <w:pPr>
        <w:pStyle w:val="Bullet"/>
      </w:pPr>
      <w:r>
        <w:t xml:space="preserve">The </w:t>
      </w:r>
      <w:r w:rsidR="006E274E">
        <w:t>guideline</w:t>
      </w:r>
      <w:r>
        <w:t xml:space="preserve"> that only three regions can transition at a time despite the significant variation in time and effort required for different transitions</w:t>
      </w:r>
    </w:p>
    <w:p w14:paraId="3D34A099" w14:textId="42760855" w:rsidR="00A376E0" w:rsidRDefault="00A376E0" w:rsidP="00D211DC">
      <w:pPr>
        <w:pStyle w:val="Bullet"/>
      </w:pPr>
      <w:r>
        <w:t xml:space="preserve">The unclear relationship between NTAHF’s decision </w:t>
      </w:r>
      <w:r w:rsidR="00AC49EE">
        <w:t xml:space="preserve">to support </w:t>
      </w:r>
      <w:r w:rsidR="000B4704">
        <w:t xml:space="preserve">a transition </w:t>
      </w:r>
      <w:r>
        <w:t>and the subsequent Australian Government decision</w:t>
      </w:r>
      <w:r w:rsidR="00BB78CC">
        <w:t xml:space="preserve"> to provide transition funding</w:t>
      </w:r>
      <w:r>
        <w:t xml:space="preserve">, and between the P2CC program and the </w:t>
      </w:r>
      <w:r w:rsidR="00C271D2">
        <w:t>L</w:t>
      </w:r>
      <w:r>
        <w:t xml:space="preserve">ocal </w:t>
      </w:r>
      <w:r w:rsidR="00C271D2">
        <w:t>D</w:t>
      </w:r>
      <w:r>
        <w:t>ecision</w:t>
      </w:r>
      <w:r w:rsidR="00C271D2">
        <w:t xml:space="preserve"> M</w:t>
      </w:r>
      <w:r>
        <w:t>aking process.</w:t>
      </w:r>
    </w:p>
    <w:p w14:paraId="7128ADA6" w14:textId="44A57D90" w:rsidR="00D211DC" w:rsidRDefault="0050699B" w:rsidP="005817D5">
      <w:pPr>
        <w:rPr>
          <w:lang w:eastAsia="en-AU"/>
        </w:rPr>
      </w:pPr>
      <w:r>
        <w:rPr>
          <w:lang w:eastAsia="en-AU"/>
        </w:rPr>
        <w:t>Development of</w:t>
      </w:r>
      <w:r w:rsidR="00954A20">
        <w:rPr>
          <w:lang w:eastAsia="en-AU"/>
        </w:rPr>
        <w:t xml:space="preserve"> criteria to assess the readiness of a region for transition </w:t>
      </w:r>
      <w:r w:rsidR="00A376E0">
        <w:rPr>
          <w:lang w:eastAsia="en-AU"/>
        </w:rPr>
        <w:t>w</w:t>
      </w:r>
      <w:r>
        <w:rPr>
          <w:lang w:eastAsia="en-AU"/>
        </w:rPr>
        <w:t>as</w:t>
      </w:r>
      <w:r w:rsidR="00A376E0">
        <w:rPr>
          <w:lang w:eastAsia="en-AU"/>
        </w:rPr>
        <w:t xml:space="preserve"> viewed </w:t>
      </w:r>
      <w:r w:rsidR="00954A20">
        <w:rPr>
          <w:lang w:eastAsia="en-AU"/>
        </w:rPr>
        <w:t>as a positive development</w:t>
      </w:r>
      <w:r w:rsidR="00EE57A0">
        <w:rPr>
          <w:lang w:eastAsia="en-AU"/>
        </w:rPr>
        <w:t xml:space="preserve">, but some </w:t>
      </w:r>
      <w:r w:rsidR="00242234">
        <w:rPr>
          <w:lang w:eastAsia="en-AU"/>
        </w:rPr>
        <w:t>noted these criteria had not been applied consistently</w:t>
      </w:r>
      <w:r w:rsidR="0086115C">
        <w:rPr>
          <w:lang w:eastAsia="en-AU"/>
        </w:rPr>
        <w:t xml:space="preserve">, </w:t>
      </w:r>
      <w:r w:rsidR="003A7C70">
        <w:rPr>
          <w:lang w:eastAsia="en-AU"/>
        </w:rPr>
        <w:t>leading to</w:t>
      </w:r>
      <w:r w:rsidR="0086115C">
        <w:rPr>
          <w:lang w:eastAsia="en-AU"/>
        </w:rPr>
        <w:t xml:space="preserve"> confusion.</w:t>
      </w:r>
    </w:p>
    <w:p w14:paraId="693D5BB1" w14:textId="0E04D842" w:rsidR="00C912CE" w:rsidRDefault="00156EB0" w:rsidP="009E3017">
      <w:pPr>
        <w:rPr>
          <w:lang w:eastAsia="en-AU"/>
        </w:rPr>
      </w:pPr>
      <w:r>
        <w:rPr>
          <w:lang w:eastAsia="en-AU"/>
        </w:rPr>
        <w:t xml:space="preserve">Stakeholders were </w:t>
      </w:r>
      <w:r w:rsidR="005F3EF2">
        <w:rPr>
          <w:lang w:eastAsia="en-AU"/>
        </w:rPr>
        <w:t xml:space="preserve">unaware of instances in which a business case had been rejected by the Australian Government after NTAHF had endorsed it. </w:t>
      </w:r>
      <w:r w:rsidR="00BC5986">
        <w:rPr>
          <w:lang w:eastAsia="en-AU"/>
        </w:rPr>
        <w:t xml:space="preserve">The changes made to a business case before the Australian </w:t>
      </w:r>
      <w:r w:rsidR="00C04564">
        <w:rPr>
          <w:lang w:eastAsia="en-AU"/>
        </w:rPr>
        <w:t>Government</w:t>
      </w:r>
      <w:r w:rsidR="00BC5986">
        <w:rPr>
          <w:lang w:eastAsia="en-AU"/>
        </w:rPr>
        <w:t xml:space="preserve"> converts it to a business case are typically </w:t>
      </w:r>
      <w:r w:rsidR="00AD1199">
        <w:rPr>
          <w:lang w:eastAsia="en-AU"/>
        </w:rPr>
        <w:t>mi</w:t>
      </w:r>
      <w:r w:rsidR="0071599A">
        <w:rPr>
          <w:lang w:eastAsia="en-AU"/>
        </w:rPr>
        <w:t>nor</w:t>
      </w:r>
      <w:r w:rsidR="00BC5986">
        <w:rPr>
          <w:lang w:eastAsia="en-AU"/>
        </w:rPr>
        <w:t xml:space="preserve">. </w:t>
      </w:r>
      <w:r w:rsidR="001930DA">
        <w:rPr>
          <w:lang w:eastAsia="en-AU"/>
        </w:rPr>
        <w:t xml:space="preserve">It would be beneficial to </w:t>
      </w:r>
      <w:r w:rsidR="009E3017">
        <w:rPr>
          <w:lang w:eastAsia="en-AU"/>
        </w:rPr>
        <w:t xml:space="preserve">more </w:t>
      </w:r>
      <w:r w:rsidR="001930DA">
        <w:rPr>
          <w:lang w:eastAsia="en-AU"/>
        </w:rPr>
        <w:t xml:space="preserve">clearly </w:t>
      </w:r>
      <w:r w:rsidR="009E3017">
        <w:rPr>
          <w:lang w:eastAsia="en-AU"/>
        </w:rPr>
        <w:t xml:space="preserve">communicate this to stakeholders (e.g. in NTAHF meetings and program documentation). It may also be </w:t>
      </w:r>
      <w:r w:rsidR="00FB4033">
        <w:rPr>
          <w:lang w:eastAsia="en-AU"/>
        </w:rPr>
        <w:t>beneficial</w:t>
      </w:r>
      <w:r w:rsidR="00BC5986">
        <w:rPr>
          <w:lang w:eastAsia="en-AU"/>
        </w:rPr>
        <w:t xml:space="preserve"> to </w:t>
      </w:r>
      <w:r w:rsidR="0050699B">
        <w:rPr>
          <w:lang w:eastAsia="en-AU"/>
        </w:rPr>
        <w:t xml:space="preserve">streamline the </w:t>
      </w:r>
      <w:r w:rsidR="00A056A8">
        <w:rPr>
          <w:lang w:eastAsia="en-AU"/>
        </w:rPr>
        <w:t>decision-making</w:t>
      </w:r>
      <w:r w:rsidR="0050699B">
        <w:rPr>
          <w:lang w:eastAsia="en-AU"/>
        </w:rPr>
        <w:t xml:space="preserve"> process and</w:t>
      </w:r>
      <w:r w:rsidR="00FB4033">
        <w:rPr>
          <w:lang w:eastAsia="en-AU"/>
        </w:rPr>
        <w:t xml:space="preserve"> have as m</w:t>
      </w:r>
      <w:r w:rsidR="00570781">
        <w:rPr>
          <w:lang w:eastAsia="en-AU"/>
        </w:rPr>
        <w:t>uch as possible</w:t>
      </w:r>
      <w:r w:rsidR="00FB4033">
        <w:rPr>
          <w:lang w:eastAsia="en-AU"/>
        </w:rPr>
        <w:t xml:space="preserve"> </w:t>
      </w:r>
      <w:r w:rsidR="00570781">
        <w:rPr>
          <w:lang w:eastAsia="en-AU"/>
        </w:rPr>
        <w:t>of</w:t>
      </w:r>
      <w:r w:rsidR="00FB4033">
        <w:rPr>
          <w:lang w:eastAsia="en-AU"/>
        </w:rPr>
        <w:t xml:space="preserve"> the </w:t>
      </w:r>
      <w:r w:rsidR="00241C32">
        <w:rPr>
          <w:lang w:eastAsia="en-AU"/>
        </w:rPr>
        <w:t xml:space="preserve">information the </w:t>
      </w:r>
      <w:r w:rsidR="00AE701C">
        <w:rPr>
          <w:lang w:eastAsia="en-AU"/>
        </w:rPr>
        <w:t>Australian Government</w:t>
      </w:r>
      <w:r w:rsidR="00C22DEB">
        <w:rPr>
          <w:lang w:eastAsia="en-AU"/>
        </w:rPr>
        <w:t xml:space="preserve"> </w:t>
      </w:r>
      <w:r w:rsidR="00AE701C">
        <w:rPr>
          <w:lang w:eastAsia="en-AU"/>
        </w:rPr>
        <w:t>require</w:t>
      </w:r>
      <w:r w:rsidR="00241C32">
        <w:rPr>
          <w:lang w:eastAsia="en-AU"/>
        </w:rPr>
        <w:t>s</w:t>
      </w:r>
      <w:r w:rsidR="00C22DEB">
        <w:rPr>
          <w:lang w:eastAsia="en-AU"/>
        </w:rPr>
        <w:t xml:space="preserve"> </w:t>
      </w:r>
      <w:r w:rsidR="00241C32">
        <w:rPr>
          <w:lang w:eastAsia="en-AU"/>
        </w:rPr>
        <w:t>to</w:t>
      </w:r>
      <w:r w:rsidR="00AE701C">
        <w:rPr>
          <w:lang w:eastAsia="en-AU"/>
        </w:rPr>
        <w:t xml:space="preserve"> </w:t>
      </w:r>
      <w:r w:rsidR="00C22DEB">
        <w:rPr>
          <w:lang w:eastAsia="en-AU"/>
        </w:rPr>
        <w:t>mak</w:t>
      </w:r>
      <w:r w:rsidR="00241C32">
        <w:rPr>
          <w:lang w:eastAsia="en-AU"/>
        </w:rPr>
        <w:t>e</w:t>
      </w:r>
      <w:r w:rsidR="00C22DEB">
        <w:rPr>
          <w:lang w:eastAsia="en-AU"/>
        </w:rPr>
        <w:t xml:space="preserve"> </w:t>
      </w:r>
      <w:r w:rsidR="00AE701C">
        <w:rPr>
          <w:lang w:eastAsia="en-AU"/>
        </w:rPr>
        <w:t xml:space="preserve">funding </w:t>
      </w:r>
      <w:r w:rsidR="00504729">
        <w:rPr>
          <w:lang w:eastAsia="en-AU"/>
        </w:rPr>
        <w:t xml:space="preserve">decisions </w:t>
      </w:r>
      <w:r w:rsidR="00AA2EBA">
        <w:rPr>
          <w:lang w:eastAsia="en-AU"/>
        </w:rPr>
        <w:t>captured in the business case</w:t>
      </w:r>
      <w:r w:rsidR="00C22DEB">
        <w:rPr>
          <w:lang w:eastAsia="en-AU"/>
        </w:rPr>
        <w:t>.</w:t>
      </w:r>
    </w:p>
    <w:p w14:paraId="17F2ECD1" w14:textId="0DD28822" w:rsidR="00461380" w:rsidRDefault="00461380" w:rsidP="009E3017">
      <w:pPr>
        <w:rPr>
          <w:lang w:eastAsia="en-AU"/>
        </w:rPr>
      </w:pPr>
      <w:r>
        <w:rPr>
          <w:lang w:eastAsia="en-AU"/>
        </w:rPr>
        <w:t xml:space="preserve">Improving </w:t>
      </w:r>
      <w:r w:rsidR="00DC296D">
        <w:rPr>
          <w:lang w:eastAsia="en-AU"/>
        </w:rPr>
        <w:t>the identification, prioritisation and selection of</w:t>
      </w:r>
      <w:r w:rsidR="00502566" w:rsidRPr="00502566">
        <w:rPr>
          <w:lang w:eastAsia="en-AU"/>
        </w:rPr>
        <w:t xml:space="preserve"> sites for transition </w:t>
      </w:r>
      <w:r w:rsidR="0099502E">
        <w:rPr>
          <w:lang w:eastAsia="en-AU"/>
        </w:rPr>
        <w:t>would</w:t>
      </w:r>
      <w:r>
        <w:rPr>
          <w:lang w:eastAsia="en-AU"/>
        </w:rPr>
        <w:t xml:space="preserve"> not necessarily involve </w:t>
      </w:r>
      <w:r w:rsidR="0099502E">
        <w:rPr>
          <w:lang w:eastAsia="en-AU"/>
        </w:rPr>
        <w:t>establishing a</w:t>
      </w:r>
      <w:r w:rsidR="000C63E2">
        <w:rPr>
          <w:lang w:eastAsia="en-AU"/>
        </w:rPr>
        <w:t xml:space="preserve"> </w:t>
      </w:r>
      <w:r w:rsidR="0099502E">
        <w:rPr>
          <w:lang w:eastAsia="en-AU"/>
        </w:rPr>
        <w:t xml:space="preserve">written </w:t>
      </w:r>
      <w:r w:rsidR="00624533">
        <w:rPr>
          <w:lang w:eastAsia="en-AU"/>
        </w:rPr>
        <w:t>application</w:t>
      </w:r>
      <w:r w:rsidR="0099502E">
        <w:rPr>
          <w:lang w:eastAsia="en-AU"/>
        </w:rPr>
        <w:t xml:space="preserve"> </w:t>
      </w:r>
      <w:r w:rsidR="0031388E">
        <w:rPr>
          <w:lang w:eastAsia="en-AU"/>
        </w:rPr>
        <w:t xml:space="preserve">or submission </w:t>
      </w:r>
      <w:r w:rsidR="0099502E">
        <w:rPr>
          <w:lang w:eastAsia="en-AU"/>
        </w:rPr>
        <w:t>process</w:t>
      </w:r>
      <w:r w:rsidR="0030535E">
        <w:rPr>
          <w:lang w:eastAsia="en-AU"/>
        </w:rPr>
        <w:t>.</w:t>
      </w:r>
      <w:r w:rsidR="0008428E">
        <w:rPr>
          <w:lang w:eastAsia="en-AU"/>
        </w:rPr>
        <w:t xml:space="preserve"> </w:t>
      </w:r>
      <w:r w:rsidR="00C01E3A">
        <w:rPr>
          <w:lang w:eastAsia="en-AU"/>
        </w:rPr>
        <w:t xml:space="preserve">Such a process may not be culturally appropriate and </w:t>
      </w:r>
      <w:r w:rsidR="00A816B3">
        <w:rPr>
          <w:lang w:eastAsia="en-AU"/>
        </w:rPr>
        <w:t>could</w:t>
      </w:r>
      <w:r w:rsidR="0061777F">
        <w:rPr>
          <w:lang w:eastAsia="en-AU"/>
        </w:rPr>
        <w:t xml:space="preserve"> be inaccessible to </w:t>
      </w:r>
      <w:r w:rsidR="00D0285C">
        <w:rPr>
          <w:lang w:eastAsia="en-AU"/>
        </w:rPr>
        <w:t xml:space="preserve">applicants from </w:t>
      </w:r>
      <w:r w:rsidR="001241FB">
        <w:rPr>
          <w:lang w:eastAsia="en-AU"/>
        </w:rPr>
        <w:t>areas</w:t>
      </w:r>
      <w:r w:rsidR="00D0285C">
        <w:rPr>
          <w:lang w:eastAsia="en-AU"/>
        </w:rPr>
        <w:t xml:space="preserve"> that have merit as potential sites for transition.</w:t>
      </w:r>
    </w:p>
    <w:p w14:paraId="60BD413D" w14:textId="2A8B25C9" w:rsidR="00E036B4" w:rsidRDefault="00E036B4" w:rsidP="009E3017">
      <w:pPr>
        <w:rPr>
          <w:lang w:eastAsia="en-AU"/>
        </w:rPr>
      </w:pPr>
      <w:r w:rsidRPr="00F97AB5">
        <w:rPr>
          <w:noProof/>
          <w:lang w:eastAsia="en-AU"/>
        </w:rPr>
        <w:drawing>
          <wp:inline distT="0" distB="0" distL="0" distR="0" wp14:anchorId="07027A36" wp14:editId="64C3C045">
            <wp:extent cx="5113655" cy="287655"/>
            <wp:effectExtent l="0" t="0" r="0" b="0"/>
            <wp:docPr id="52" name="Picture 52" descr="Recommenda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Recommendation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13655" cy="287655"/>
                    </a:xfrm>
                    <a:prstGeom prst="rect">
                      <a:avLst/>
                    </a:prstGeom>
                    <a:noFill/>
                    <a:ln>
                      <a:noFill/>
                    </a:ln>
                  </pic:spPr>
                </pic:pic>
              </a:graphicData>
            </a:graphic>
          </wp:inline>
        </w:drawing>
      </w:r>
      <w:r>
        <w:rPr>
          <w:noProof/>
          <w:lang w:eastAsia="en-AU"/>
        </w:rPr>
        <w:drawing>
          <wp:inline distT="0" distB="0" distL="0" distR="0" wp14:anchorId="37355E2C" wp14:editId="44B406C9">
            <wp:extent cx="356235" cy="308610"/>
            <wp:effectExtent l="0" t="0" r="5715" b="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6235" cy="308610"/>
                    </a:xfrm>
                    <a:prstGeom prst="rect">
                      <a:avLst/>
                    </a:prstGeom>
                    <a:noFill/>
                    <a:ln>
                      <a:noFill/>
                    </a:ln>
                  </pic:spPr>
                </pic:pic>
              </a:graphicData>
            </a:graphic>
          </wp:inline>
        </w:drawing>
      </w:r>
    </w:p>
    <w:p w14:paraId="412F2E36" w14:textId="77777777" w:rsidR="00E036B4" w:rsidRPr="00980674" w:rsidRDefault="00E036B4" w:rsidP="00E036B4">
      <w:pPr>
        <w:pStyle w:val="Listnumbered"/>
        <w:numPr>
          <w:ilvl w:val="0"/>
          <w:numId w:val="0"/>
        </w:numPr>
        <w:rPr>
          <w:lang w:eastAsia="en-AU"/>
        </w:rPr>
      </w:pPr>
      <w:r w:rsidRPr="00980674">
        <w:rPr>
          <w:lang w:eastAsia="en-AU"/>
        </w:rPr>
        <w:t>The partners should improve the rigour of the selection process for the P2CC program through:</w:t>
      </w:r>
    </w:p>
    <w:p w14:paraId="4A0C9ECD" w14:textId="77777777" w:rsidR="00E036B4" w:rsidRPr="003B0E68" w:rsidRDefault="00E036B4" w:rsidP="00E036B4">
      <w:pPr>
        <w:pStyle w:val="Bullet"/>
      </w:pPr>
      <w:r w:rsidRPr="003B0E68">
        <w:t>Proactive planning of the transition pipeline</w:t>
      </w:r>
    </w:p>
    <w:p w14:paraId="61350413" w14:textId="77777777" w:rsidR="00E036B4" w:rsidRPr="003B0E68" w:rsidRDefault="00E036B4" w:rsidP="00E036B4">
      <w:pPr>
        <w:pStyle w:val="Bullet"/>
      </w:pPr>
      <w:r>
        <w:t>E</w:t>
      </w:r>
      <w:r w:rsidRPr="003B0E68">
        <w:t>asily accessible application guidelines and assessment criteria</w:t>
      </w:r>
    </w:p>
    <w:p w14:paraId="49EA326E" w14:textId="77777777" w:rsidR="00E036B4" w:rsidRDefault="00E036B4" w:rsidP="00E036B4">
      <w:pPr>
        <w:pStyle w:val="Bullet"/>
      </w:pPr>
      <w:r w:rsidRPr="003B0E68">
        <w:t>A transparent business case process with approval by the lead governance body</w:t>
      </w:r>
    </w:p>
    <w:p w14:paraId="389D8485" w14:textId="77777777" w:rsidR="00E036B4" w:rsidRDefault="00E036B4" w:rsidP="00E036B4">
      <w:pPr>
        <w:pStyle w:val="Bullet"/>
      </w:pPr>
      <w:r>
        <w:t>Clear communication of the relationship between NTAHF’s decision to support a transition and the subsequent Australian Government decision to provide transition funding</w:t>
      </w:r>
    </w:p>
    <w:p w14:paraId="0DF1C500" w14:textId="77777777" w:rsidR="00E036B4" w:rsidRDefault="00E036B4" w:rsidP="00E036B4">
      <w:pPr>
        <w:pStyle w:val="Bullet"/>
      </w:pPr>
      <w:r>
        <w:t>Clarification of the relationship between the P2CC program and the Local Decision Making process (potentially through discussion with CM&amp;C)</w:t>
      </w:r>
    </w:p>
    <w:p w14:paraId="0F1F4CF2" w14:textId="77777777" w:rsidR="00E036B4" w:rsidRDefault="00E036B4" w:rsidP="00E036B4">
      <w:pPr>
        <w:pStyle w:val="Bullet"/>
      </w:pPr>
      <w:r>
        <w:t>Ensuring as much as possible of the Australian Government’s required information for making funding decisions is captured in the business case.</w:t>
      </w:r>
    </w:p>
    <w:p w14:paraId="3ED79F61" w14:textId="77777777" w:rsidR="00E036B4" w:rsidRPr="00DA4788" w:rsidRDefault="00E036B4" w:rsidP="00E036B4">
      <w:r>
        <w:t>Improving the selection process in this way could enable the partners to calibrate the number of transitions pursued at any one time based on the level of funding, effort, and time each requires (rather than specifying a set number).</w:t>
      </w:r>
    </w:p>
    <w:p w14:paraId="640DCCC1" w14:textId="29DA15EE" w:rsidR="00E036B4" w:rsidRDefault="00E036B4" w:rsidP="009E3017">
      <w:pPr>
        <w:rPr>
          <w:lang w:eastAsia="en-AU"/>
        </w:rPr>
      </w:pPr>
      <w:r>
        <w:rPr>
          <w:noProof/>
        </w:rPr>
        <w:drawing>
          <wp:inline distT="0" distB="0" distL="0" distR="0" wp14:anchorId="2E880BAD" wp14:editId="3434B8E0">
            <wp:extent cx="5593080" cy="166370"/>
            <wp:effectExtent l="0" t="0" r="7620" b="508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3080" cy="166370"/>
                    </a:xfrm>
                    <a:prstGeom prst="rect">
                      <a:avLst/>
                    </a:prstGeom>
                    <a:noFill/>
                    <a:ln>
                      <a:noFill/>
                    </a:ln>
                  </pic:spPr>
                </pic:pic>
              </a:graphicData>
            </a:graphic>
          </wp:inline>
        </w:drawing>
      </w:r>
    </w:p>
    <w:p w14:paraId="5A4BF45C" w14:textId="77777777" w:rsidR="00720B9B" w:rsidRDefault="00720B9B">
      <w:pPr>
        <w:spacing w:after="160" w:line="259" w:lineRule="auto"/>
        <w:rPr>
          <w:b/>
          <w:bCs/>
          <w:color w:val="00264D" w:themeColor="background2"/>
          <w:sz w:val="20"/>
          <w:szCs w:val="24"/>
        </w:rPr>
      </w:pPr>
      <w:r>
        <w:rPr>
          <w:b/>
          <w:bCs/>
          <w:color w:val="00264D" w:themeColor="background2"/>
          <w:sz w:val="20"/>
          <w:szCs w:val="24"/>
        </w:rPr>
        <w:br w:type="page"/>
      </w:r>
    </w:p>
    <w:p w14:paraId="102F6CCB" w14:textId="7B612EC3" w:rsidR="00E3488D" w:rsidRPr="00063132" w:rsidRDefault="000817B2" w:rsidP="00063132">
      <w:pPr>
        <w:rPr>
          <w:b/>
          <w:bCs/>
          <w:color w:val="00264D" w:themeColor="background2"/>
          <w:sz w:val="20"/>
          <w:szCs w:val="24"/>
        </w:rPr>
      </w:pPr>
      <w:r w:rsidRPr="00063132">
        <w:rPr>
          <w:b/>
          <w:bCs/>
          <w:color w:val="00264D" w:themeColor="background2"/>
          <w:sz w:val="20"/>
          <w:szCs w:val="24"/>
        </w:rPr>
        <w:lastRenderedPageBreak/>
        <w:t xml:space="preserve">Consultation principles </w:t>
      </w:r>
      <w:r w:rsidR="000E4FCB" w:rsidRPr="00063132">
        <w:rPr>
          <w:b/>
          <w:bCs/>
          <w:color w:val="00264D" w:themeColor="background2"/>
          <w:sz w:val="20"/>
          <w:szCs w:val="24"/>
        </w:rPr>
        <w:t xml:space="preserve">and processes </w:t>
      </w:r>
      <w:r w:rsidRPr="00063132">
        <w:rPr>
          <w:b/>
          <w:bCs/>
          <w:color w:val="00264D" w:themeColor="background2"/>
          <w:sz w:val="20"/>
          <w:szCs w:val="24"/>
        </w:rPr>
        <w:t>should be agreed</w:t>
      </w:r>
    </w:p>
    <w:p w14:paraId="13A2FB22" w14:textId="252E920C" w:rsidR="007F5707" w:rsidRDefault="007F5707" w:rsidP="002948BF">
      <w:pPr>
        <w:pStyle w:val="Bullet"/>
        <w:numPr>
          <w:ilvl w:val="0"/>
          <w:numId w:val="0"/>
        </w:numPr>
      </w:pPr>
      <w:r>
        <w:t xml:space="preserve">The evaluation identified a range of </w:t>
      </w:r>
      <w:r w:rsidR="00D575C4">
        <w:t xml:space="preserve">issues with the </w:t>
      </w:r>
      <w:r w:rsidR="00270D46">
        <w:t xml:space="preserve">communication and </w:t>
      </w:r>
      <w:r w:rsidR="00D575C4">
        <w:t>consultation conducted through the P2CC program</w:t>
      </w:r>
      <w:r w:rsidR="00582145">
        <w:t xml:space="preserve"> (see Sections </w:t>
      </w:r>
      <w:r w:rsidR="00E00744">
        <w:fldChar w:fldCharType="begin"/>
      </w:r>
      <w:r w:rsidR="00E00744">
        <w:instrText xml:space="preserve"> REF _Ref103676139 \r \h </w:instrText>
      </w:r>
      <w:r w:rsidR="00E00744">
        <w:fldChar w:fldCharType="separate"/>
      </w:r>
      <w:r w:rsidR="00A439E2">
        <w:t>3.1</w:t>
      </w:r>
      <w:r w:rsidR="00E00744">
        <w:fldChar w:fldCharType="end"/>
      </w:r>
      <w:r w:rsidR="00582145">
        <w:t xml:space="preserve"> and </w:t>
      </w:r>
      <w:r w:rsidR="00582145">
        <w:fldChar w:fldCharType="begin"/>
      </w:r>
      <w:r w:rsidR="00582145">
        <w:instrText xml:space="preserve"> REF _Ref100261648 \r \h </w:instrText>
      </w:r>
      <w:r w:rsidR="00582145">
        <w:fldChar w:fldCharType="separate"/>
      </w:r>
      <w:r w:rsidR="00A439E2">
        <w:t>3.2.2</w:t>
      </w:r>
      <w:r w:rsidR="00582145">
        <w:fldChar w:fldCharType="end"/>
      </w:r>
      <w:r w:rsidR="00582145">
        <w:t>); for example:</w:t>
      </w:r>
    </w:p>
    <w:p w14:paraId="557C1D75" w14:textId="097E840E" w:rsidR="00CF3F9E" w:rsidRDefault="00CF3F9E" w:rsidP="00CF3F9E">
      <w:pPr>
        <w:pStyle w:val="Bullet"/>
      </w:pPr>
      <w:r>
        <w:t>Misunderstanding and confusion with communities as to what transition involves and the relationship of the P2CC program to related processes such as regionalisation</w:t>
      </w:r>
    </w:p>
    <w:p w14:paraId="7B3C1DDC" w14:textId="564954BF" w:rsidR="002B3EDF" w:rsidRDefault="002B3EDF" w:rsidP="002B3EDF">
      <w:pPr>
        <w:pStyle w:val="Bullet"/>
      </w:pPr>
      <w:r>
        <w:t>Underinvestment in understanding communities’ needs and preferences and identifying governance arrangements and transition pathways that will address them</w:t>
      </w:r>
    </w:p>
    <w:p w14:paraId="570996D5" w14:textId="4C8DF07B" w:rsidR="00F15D75" w:rsidRDefault="00F15D75" w:rsidP="002B3EDF">
      <w:pPr>
        <w:pStyle w:val="Bullet"/>
      </w:pPr>
      <w:r>
        <w:t>A lack of trust in</w:t>
      </w:r>
      <w:r w:rsidR="00270D46">
        <w:t xml:space="preserve"> community</w:t>
      </w:r>
      <w:r>
        <w:t xml:space="preserve"> consultation processes</w:t>
      </w:r>
      <w:r w:rsidR="00231D01">
        <w:t xml:space="preserve"> resulting in multiple parties conducting duplicative and incon</w:t>
      </w:r>
      <w:r w:rsidR="00B33CB7">
        <w:t>sistent processes</w:t>
      </w:r>
    </w:p>
    <w:p w14:paraId="1B943E1A" w14:textId="77777777" w:rsidR="00231D01" w:rsidRDefault="00231D01" w:rsidP="00231D01">
      <w:pPr>
        <w:pStyle w:val="Bullet"/>
      </w:pPr>
      <w:r>
        <w:t>The challenge of identifying who can speak for a community and understanding the hierarchies and connections within it.</w:t>
      </w:r>
    </w:p>
    <w:p w14:paraId="0A9BAAFF" w14:textId="39DBF901" w:rsidR="00A62808" w:rsidRDefault="00A805E7" w:rsidP="001A2DC2">
      <w:pPr>
        <w:rPr>
          <w:lang w:eastAsia="en-AU"/>
        </w:rPr>
      </w:pPr>
      <w:r>
        <w:rPr>
          <w:lang w:eastAsia="en-AU"/>
        </w:rPr>
        <w:t xml:space="preserve">Some ACCHO stakeholders </w:t>
      </w:r>
      <w:r w:rsidR="00CC7B93">
        <w:rPr>
          <w:lang w:eastAsia="en-AU"/>
        </w:rPr>
        <w:t xml:space="preserve">emphasised the importance of </w:t>
      </w:r>
      <w:r w:rsidR="00E306D2">
        <w:rPr>
          <w:lang w:eastAsia="en-AU"/>
        </w:rPr>
        <w:t>identifying an</w:t>
      </w:r>
      <w:r w:rsidR="00CC7B93">
        <w:rPr>
          <w:lang w:eastAsia="en-AU"/>
        </w:rPr>
        <w:t xml:space="preserve"> independent person or organisation who understands the community </w:t>
      </w:r>
      <w:r w:rsidR="00E306D2">
        <w:rPr>
          <w:lang w:eastAsia="en-AU"/>
        </w:rPr>
        <w:t>and can conduct consultation in a culturally safe way.</w:t>
      </w:r>
    </w:p>
    <w:p w14:paraId="46EC68D7" w14:textId="72FDD80D" w:rsidR="00E036B4" w:rsidRDefault="00E036B4" w:rsidP="001A2DC2">
      <w:pPr>
        <w:rPr>
          <w:lang w:eastAsia="en-AU"/>
        </w:rPr>
      </w:pPr>
      <w:r w:rsidRPr="00F97AB5">
        <w:rPr>
          <w:noProof/>
          <w:lang w:eastAsia="en-AU"/>
        </w:rPr>
        <w:drawing>
          <wp:inline distT="0" distB="0" distL="0" distR="0" wp14:anchorId="084CCC08" wp14:editId="10538488">
            <wp:extent cx="5113655" cy="287655"/>
            <wp:effectExtent l="0" t="0" r="0" b="0"/>
            <wp:docPr id="54" name="Picture 54" descr="Recommenda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Recommendation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13655" cy="287655"/>
                    </a:xfrm>
                    <a:prstGeom prst="rect">
                      <a:avLst/>
                    </a:prstGeom>
                    <a:noFill/>
                    <a:ln>
                      <a:noFill/>
                    </a:ln>
                  </pic:spPr>
                </pic:pic>
              </a:graphicData>
            </a:graphic>
          </wp:inline>
        </w:drawing>
      </w:r>
      <w:r w:rsidR="00122C45">
        <w:rPr>
          <w:noProof/>
          <w:lang w:eastAsia="en-AU"/>
        </w:rPr>
        <w:drawing>
          <wp:inline distT="0" distB="0" distL="0" distR="0" wp14:anchorId="264B2B80" wp14:editId="6F1001E9">
            <wp:extent cx="344170" cy="297180"/>
            <wp:effectExtent l="0" t="0" r="0" b="7620"/>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4170" cy="297180"/>
                    </a:xfrm>
                    <a:prstGeom prst="rect">
                      <a:avLst/>
                    </a:prstGeom>
                    <a:noFill/>
                    <a:ln>
                      <a:noFill/>
                    </a:ln>
                  </pic:spPr>
                </pic:pic>
              </a:graphicData>
            </a:graphic>
          </wp:inline>
        </w:drawing>
      </w:r>
    </w:p>
    <w:p w14:paraId="12758289" w14:textId="77777777" w:rsidR="00122C45" w:rsidRDefault="00122C45" w:rsidP="00122C45">
      <w:pPr>
        <w:pStyle w:val="Listnumbered"/>
        <w:numPr>
          <w:ilvl w:val="0"/>
          <w:numId w:val="0"/>
        </w:numPr>
        <w:rPr>
          <w:lang w:eastAsia="en-AU"/>
        </w:rPr>
      </w:pPr>
      <w:r>
        <w:rPr>
          <w:lang w:eastAsia="en-AU"/>
        </w:rPr>
        <w:t>The partners should agree on principles and processes that will guide consultation for the P2CC program to ensure:</w:t>
      </w:r>
    </w:p>
    <w:p w14:paraId="411D8175" w14:textId="77777777" w:rsidR="00122C45" w:rsidRPr="003B0E68" w:rsidRDefault="00122C45" w:rsidP="00122C45">
      <w:pPr>
        <w:pStyle w:val="Bullet"/>
      </w:pPr>
      <w:r w:rsidRPr="003B0E68">
        <w:t>Consistent understanding on the part of partners, communities and other stakeholders about the form and extent of consultation that will occur as a precursor to each transition milestone</w:t>
      </w:r>
    </w:p>
    <w:p w14:paraId="23FC4E7B" w14:textId="77777777" w:rsidR="00122C45" w:rsidRPr="003B0E68" w:rsidRDefault="00122C45" w:rsidP="00122C45">
      <w:pPr>
        <w:pStyle w:val="Bullet"/>
      </w:pPr>
      <w:r w:rsidRPr="003B0E68">
        <w:t>A feedback loop through which communities are informed of the outcomes of consultation and given the opportunity to respond</w:t>
      </w:r>
    </w:p>
    <w:p w14:paraId="215B8A85" w14:textId="77777777" w:rsidR="00122C45" w:rsidRPr="00DA4788" w:rsidRDefault="00122C45" w:rsidP="00122C45">
      <w:r w:rsidRPr="003B0E68">
        <w:t xml:space="preserve">Engagement of individuals </w:t>
      </w:r>
      <w:r>
        <w:t xml:space="preserve">or organisations </w:t>
      </w:r>
      <w:r w:rsidRPr="003B0E68">
        <w:t>with appropriate skills, position, and authority to conduct consultation processes.</w:t>
      </w:r>
    </w:p>
    <w:p w14:paraId="54F80D42" w14:textId="0D4C1569" w:rsidR="00E036B4" w:rsidRDefault="00122C45" w:rsidP="001A2DC2">
      <w:pPr>
        <w:rPr>
          <w:lang w:eastAsia="en-AU"/>
        </w:rPr>
      </w:pPr>
      <w:r>
        <w:rPr>
          <w:noProof/>
        </w:rPr>
        <w:drawing>
          <wp:inline distT="0" distB="0" distL="0" distR="0" wp14:anchorId="3ADE0A54" wp14:editId="733F004B">
            <wp:extent cx="5593080" cy="166370"/>
            <wp:effectExtent l="0" t="0" r="7620" b="5080"/>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3080" cy="166370"/>
                    </a:xfrm>
                    <a:prstGeom prst="rect">
                      <a:avLst/>
                    </a:prstGeom>
                    <a:noFill/>
                    <a:ln>
                      <a:noFill/>
                    </a:ln>
                  </pic:spPr>
                </pic:pic>
              </a:graphicData>
            </a:graphic>
          </wp:inline>
        </w:drawing>
      </w:r>
    </w:p>
    <w:p w14:paraId="6E9DF6FF" w14:textId="40184536" w:rsidR="00E3488D" w:rsidRPr="00063132" w:rsidRDefault="00E3488D" w:rsidP="00063132">
      <w:pPr>
        <w:rPr>
          <w:b/>
          <w:bCs/>
          <w:color w:val="00264D" w:themeColor="background2"/>
          <w:sz w:val="20"/>
          <w:szCs w:val="24"/>
        </w:rPr>
      </w:pPr>
      <w:r w:rsidRPr="00063132">
        <w:rPr>
          <w:b/>
          <w:bCs/>
          <w:color w:val="00264D" w:themeColor="background2"/>
          <w:sz w:val="20"/>
          <w:szCs w:val="24"/>
        </w:rPr>
        <w:t xml:space="preserve">A </w:t>
      </w:r>
      <w:r w:rsidR="00994C6C" w:rsidRPr="00063132">
        <w:rPr>
          <w:b/>
          <w:bCs/>
          <w:color w:val="00264D" w:themeColor="background2"/>
          <w:sz w:val="20"/>
          <w:szCs w:val="24"/>
        </w:rPr>
        <w:t>process</w:t>
      </w:r>
      <w:r w:rsidR="003A7BD4" w:rsidRPr="00063132">
        <w:rPr>
          <w:b/>
          <w:bCs/>
          <w:color w:val="00264D" w:themeColor="background2"/>
          <w:sz w:val="20"/>
          <w:szCs w:val="24"/>
        </w:rPr>
        <w:t xml:space="preserve"> </w:t>
      </w:r>
      <w:r w:rsidRPr="00063132">
        <w:rPr>
          <w:b/>
          <w:bCs/>
          <w:color w:val="00264D" w:themeColor="background2"/>
          <w:sz w:val="20"/>
          <w:szCs w:val="24"/>
        </w:rPr>
        <w:t>should be established</w:t>
      </w:r>
      <w:r w:rsidR="003A7BD4" w:rsidRPr="00063132">
        <w:rPr>
          <w:b/>
          <w:bCs/>
          <w:color w:val="00264D" w:themeColor="background2"/>
          <w:sz w:val="20"/>
          <w:szCs w:val="24"/>
        </w:rPr>
        <w:t xml:space="preserve"> </w:t>
      </w:r>
      <w:r w:rsidR="00DA7D62" w:rsidRPr="00063132">
        <w:rPr>
          <w:b/>
          <w:bCs/>
          <w:color w:val="00264D" w:themeColor="background2"/>
          <w:sz w:val="20"/>
          <w:szCs w:val="24"/>
        </w:rPr>
        <w:t>for undertaking an upfront comprehensive assessment of the costs of transitioning a primary health care service</w:t>
      </w:r>
    </w:p>
    <w:p w14:paraId="39370B4D" w14:textId="1AA525E3" w:rsidR="0088752D" w:rsidRDefault="00410917" w:rsidP="009E6103">
      <w:r>
        <w:t>The funding arrangements for transitions are seen as a major barrier to progress (see Section</w:t>
      </w:r>
      <w:r w:rsidR="00643CA9">
        <w:t xml:space="preserve"> </w:t>
      </w:r>
      <w:r w:rsidR="00643CA9">
        <w:fldChar w:fldCharType="begin"/>
      </w:r>
      <w:r w:rsidR="00643CA9">
        <w:instrText xml:space="preserve"> REF _Ref103676139 \r \h </w:instrText>
      </w:r>
      <w:r w:rsidR="00643CA9">
        <w:fldChar w:fldCharType="separate"/>
      </w:r>
      <w:r w:rsidR="00A439E2">
        <w:t>3.1</w:t>
      </w:r>
      <w:r w:rsidR="00643CA9">
        <w:fldChar w:fldCharType="end"/>
      </w:r>
      <w:r w:rsidR="00B20090">
        <w:t>),</w:t>
      </w:r>
      <w:r>
        <w:t xml:space="preserve"> for example:</w:t>
      </w:r>
    </w:p>
    <w:p w14:paraId="58B5AA3B" w14:textId="7298F20B" w:rsidR="009E6103" w:rsidRDefault="001B60F9" w:rsidP="009B015C">
      <w:pPr>
        <w:pStyle w:val="Bullet"/>
      </w:pPr>
      <w:r>
        <w:t xml:space="preserve">ACCHO stakeholders expressed frustration </w:t>
      </w:r>
      <w:r w:rsidR="000425D8">
        <w:t>at</w:t>
      </w:r>
      <w:r>
        <w:t xml:space="preserve"> </w:t>
      </w:r>
      <w:r w:rsidR="000425D8">
        <w:t>funding</w:t>
      </w:r>
      <w:r>
        <w:t xml:space="preserve"> </w:t>
      </w:r>
      <w:r w:rsidR="000425D8">
        <w:t>not</w:t>
      </w:r>
      <w:r>
        <w:t xml:space="preserve"> being adequately estimated</w:t>
      </w:r>
      <w:r w:rsidR="000425D8">
        <w:t xml:space="preserve"> </w:t>
      </w:r>
      <w:r w:rsidR="002D06F8">
        <w:t xml:space="preserve">for transition costs, ongoing operational and capital costs, </w:t>
      </w:r>
      <w:r w:rsidR="001479BB">
        <w:t xml:space="preserve">or </w:t>
      </w:r>
      <w:r w:rsidR="00C354F4">
        <w:t>the needs of individual ACCHOs (e.g. funding</w:t>
      </w:r>
      <w:r w:rsidR="00F972B7">
        <w:t xml:space="preserve"> to </w:t>
      </w:r>
      <w:r w:rsidR="00CA042A">
        <w:t>establish capability for new ACCHOs</w:t>
      </w:r>
      <w:r w:rsidR="00C354F4">
        <w:t>)</w:t>
      </w:r>
      <w:r w:rsidR="00DD063B">
        <w:t>.</w:t>
      </w:r>
    </w:p>
    <w:p w14:paraId="49BC71F3" w14:textId="735121E1" w:rsidR="00C86652" w:rsidRPr="00C13777" w:rsidRDefault="00C86652" w:rsidP="009B015C">
      <w:pPr>
        <w:pStyle w:val="Bullet"/>
      </w:pPr>
      <w:r>
        <w:rPr>
          <w:lang w:val="en-US"/>
        </w:rPr>
        <w:t>Stakeholders generally viewed the Australian Government Department of Health’s requirement for transitions to be cost neutral in terms of the funding provided through the IAHP as unrealistic</w:t>
      </w:r>
      <w:r w:rsidR="00C13777">
        <w:rPr>
          <w:lang w:val="en-US"/>
        </w:rPr>
        <w:t xml:space="preserve"> </w:t>
      </w:r>
      <w:r>
        <w:rPr>
          <w:lang w:val="en-US"/>
        </w:rPr>
        <w:t xml:space="preserve">due to the </w:t>
      </w:r>
      <w:r w:rsidR="00A55AAE">
        <w:rPr>
          <w:lang w:val="en-US"/>
        </w:rPr>
        <w:t>NTG</w:t>
      </w:r>
      <w:r>
        <w:rPr>
          <w:lang w:val="en-US"/>
        </w:rPr>
        <w:t>’s economies of scale relative to ACCHOs</w:t>
      </w:r>
      <w:r w:rsidR="00DD063B">
        <w:rPr>
          <w:lang w:val="en-US"/>
        </w:rPr>
        <w:t>.</w:t>
      </w:r>
    </w:p>
    <w:p w14:paraId="16F14586" w14:textId="1D33D535" w:rsidR="0097605C" w:rsidRPr="0097605C" w:rsidRDefault="0097605C" w:rsidP="0097605C">
      <w:pPr>
        <w:pStyle w:val="Bullet"/>
      </w:pPr>
      <w:r w:rsidRPr="0097605C">
        <w:t xml:space="preserve">MBS income </w:t>
      </w:r>
      <w:r w:rsidR="00325640">
        <w:t>(if it can be generated)</w:t>
      </w:r>
      <w:r w:rsidRPr="0097605C">
        <w:t xml:space="preserve"> is seen as essential to support </w:t>
      </w:r>
      <w:r w:rsidR="00930585">
        <w:t xml:space="preserve">service continuity </w:t>
      </w:r>
      <w:r w:rsidR="00325640">
        <w:t xml:space="preserve">over </w:t>
      </w:r>
      <w:r w:rsidRPr="0097605C">
        <w:t>the transition</w:t>
      </w:r>
      <w:r w:rsidR="00325640">
        <w:t xml:space="preserve"> phase</w:t>
      </w:r>
      <w:r w:rsidR="00DD063B">
        <w:t>.</w:t>
      </w:r>
    </w:p>
    <w:p w14:paraId="765BC079" w14:textId="467F813A" w:rsidR="00282D72" w:rsidRDefault="00282D72" w:rsidP="009B015C">
      <w:pPr>
        <w:pStyle w:val="Bullet"/>
      </w:pPr>
      <w:r>
        <w:t xml:space="preserve">As noted above, ACCHO stakeholders raised the issue of </w:t>
      </w:r>
      <w:r w:rsidR="00A55AAE">
        <w:t>NTG</w:t>
      </w:r>
      <w:r>
        <w:t xml:space="preserve"> personnel such as transition managers not being consistently resourced and vacancies not being quickly filled, leading to </w:t>
      </w:r>
      <w:r w:rsidR="00AD3CA5">
        <w:t xml:space="preserve">transition </w:t>
      </w:r>
      <w:r>
        <w:t>delays.</w:t>
      </w:r>
    </w:p>
    <w:p w14:paraId="3C14FD22" w14:textId="4733AD63" w:rsidR="000A65C6" w:rsidRPr="009E6103" w:rsidRDefault="003477C9" w:rsidP="00B271D9">
      <w:pPr>
        <w:pStyle w:val="Bullet"/>
        <w:numPr>
          <w:ilvl w:val="0"/>
          <w:numId w:val="0"/>
        </w:numPr>
      </w:pPr>
      <w:r>
        <w:t xml:space="preserve">Establishing a </w:t>
      </w:r>
      <w:r w:rsidR="000E0F16">
        <w:t>process</w:t>
      </w:r>
      <w:r w:rsidRPr="003477C9">
        <w:t xml:space="preserve"> for undertaking an upfront comprehensive assessment of the costs of a transition </w:t>
      </w:r>
      <w:r w:rsidR="00120331">
        <w:t>would</w:t>
      </w:r>
      <w:r w:rsidR="00D701E2">
        <w:t xml:space="preserve"> help to align </w:t>
      </w:r>
      <w:r w:rsidR="006C6B68">
        <w:t xml:space="preserve">stakeholders’ expectations regarding funding, </w:t>
      </w:r>
      <w:r w:rsidR="004E2126">
        <w:t>t</w:t>
      </w:r>
      <w:r w:rsidR="006C6B68">
        <w:t>hereby reducing ambiguity and disagreement.</w:t>
      </w:r>
      <w:r w:rsidR="0075509F">
        <w:t xml:space="preserve"> </w:t>
      </w:r>
      <w:r w:rsidR="00CF2670">
        <w:t>The</w:t>
      </w:r>
      <w:r w:rsidR="006C6B68">
        <w:t xml:space="preserve"> </w:t>
      </w:r>
      <w:r w:rsidR="000E0F16">
        <w:t>process</w:t>
      </w:r>
      <w:r w:rsidR="00CF2670">
        <w:t xml:space="preserve"> </w:t>
      </w:r>
      <w:r w:rsidR="00B271D9">
        <w:t xml:space="preserve">should </w:t>
      </w:r>
      <w:r w:rsidR="006C6B68">
        <w:t xml:space="preserve">not be so </w:t>
      </w:r>
      <w:r w:rsidR="0075509F">
        <w:t xml:space="preserve">prescriptive as to prevent </w:t>
      </w:r>
      <w:r w:rsidR="00DA4CD4">
        <w:t>ACCHOs and other stakeholders involved in transitions from</w:t>
      </w:r>
      <w:r w:rsidR="0075509F">
        <w:t xml:space="preserve"> exercising </w:t>
      </w:r>
      <w:r w:rsidR="0086619F">
        <w:t>discretion to resolve issues.</w:t>
      </w:r>
      <w:r w:rsidR="0075509F">
        <w:t xml:space="preserve"> </w:t>
      </w:r>
    </w:p>
    <w:p w14:paraId="62F67404" w14:textId="62D636E3" w:rsidR="002E6E81" w:rsidRDefault="00122C45" w:rsidP="002E6E81">
      <w:r w:rsidRPr="00F97AB5">
        <w:rPr>
          <w:noProof/>
          <w:lang w:eastAsia="en-AU"/>
        </w:rPr>
        <w:lastRenderedPageBreak/>
        <w:drawing>
          <wp:inline distT="0" distB="0" distL="0" distR="0" wp14:anchorId="6BF770FA" wp14:editId="15688624">
            <wp:extent cx="5113655" cy="287655"/>
            <wp:effectExtent l="0" t="0" r="0" b="0"/>
            <wp:docPr id="57" name="Picture 57" descr="Recommenda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Recommendation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13655" cy="287655"/>
                    </a:xfrm>
                    <a:prstGeom prst="rect">
                      <a:avLst/>
                    </a:prstGeom>
                    <a:noFill/>
                    <a:ln>
                      <a:noFill/>
                    </a:ln>
                  </pic:spPr>
                </pic:pic>
              </a:graphicData>
            </a:graphic>
          </wp:inline>
        </w:drawing>
      </w:r>
      <w:r>
        <w:rPr>
          <w:noProof/>
        </w:rPr>
        <w:drawing>
          <wp:inline distT="0" distB="0" distL="0" distR="0" wp14:anchorId="2915ED26" wp14:editId="1703CB9D">
            <wp:extent cx="356235" cy="308610"/>
            <wp:effectExtent l="0" t="0" r="5715" b="0"/>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6235" cy="308610"/>
                    </a:xfrm>
                    <a:prstGeom prst="rect">
                      <a:avLst/>
                    </a:prstGeom>
                    <a:noFill/>
                    <a:ln>
                      <a:noFill/>
                    </a:ln>
                  </pic:spPr>
                </pic:pic>
              </a:graphicData>
            </a:graphic>
          </wp:inline>
        </w:drawing>
      </w:r>
    </w:p>
    <w:p w14:paraId="3CF9C9F0" w14:textId="77777777" w:rsidR="00122C45" w:rsidRPr="007A5245" w:rsidRDefault="00122C45" w:rsidP="00122C45">
      <w:pPr>
        <w:pStyle w:val="Listnumbered"/>
        <w:numPr>
          <w:ilvl w:val="0"/>
          <w:numId w:val="0"/>
        </w:numPr>
        <w:rPr>
          <w:lang w:eastAsia="en-AU"/>
        </w:rPr>
      </w:pPr>
      <w:r w:rsidRPr="007A5245">
        <w:rPr>
          <w:lang w:eastAsia="en-AU"/>
        </w:rPr>
        <w:t xml:space="preserve">The partners should establish a </w:t>
      </w:r>
      <w:r>
        <w:rPr>
          <w:lang w:eastAsia="en-AU"/>
        </w:rPr>
        <w:t xml:space="preserve">process for undertaking an upfront comprehensive assessment of the costs of transitioning a primary health care service </w:t>
      </w:r>
      <w:r w:rsidRPr="007A5245">
        <w:rPr>
          <w:lang w:eastAsia="en-AU"/>
        </w:rPr>
        <w:t>for the P2CC program that:</w:t>
      </w:r>
    </w:p>
    <w:p w14:paraId="55C4CEFB" w14:textId="77777777" w:rsidR="00122C45" w:rsidRPr="002D066C" w:rsidRDefault="00122C45" w:rsidP="00122C45">
      <w:pPr>
        <w:pStyle w:val="Bullet"/>
      </w:pPr>
      <w:r w:rsidRPr="002D066C">
        <w:t>Reflects the stage of development of the organisation taking on the service</w:t>
      </w:r>
    </w:p>
    <w:p w14:paraId="7A45685E" w14:textId="77777777" w:rsidR="00122C45" w:rsidRPr="003B0E68" w:rsidRDefault="00122C45" w:rsidP="00122C45">
      <w:pPr>
        <w:pStyle w:val="Bullet"/>
      </w:pPr>
      <w:r w:rsidRPr="003B0E68">
        <w:t>Articulates all categories of costs of the transition and ongoing operations (including capital) and provides guidelines for how they will be funded</w:t>
      </w:r>
    </w:p>
    <w:p w14:paraId="53C1E1A6" w14:textId="77777777" w:rsidR="00122C45" w:rsidRDefault="00122C45" w:rsidP="00122C45">
      <w:pPr>
        <w:pStyle w:val="Bullet"/>
      </w:pPr>
      <w:r w:rsidRPr="003B0E68">
        <w:t>Can be tailored to</w:t>
      </w:r>
      <w:r>
        <w:t xml:space="preserve"> each ACCHO’s</w:t>
      </w:r>
      <w:r w:rsidRPr="003B0E68">
        <w:t xml:space="preserve"> circumstances, strengths and needs </w:t>
      </w:r>
      <w:r>
        <w:t>(e.g. governance training for boards)</w:t>
      </w:r>
    </w:p>
    <w:p w14:paraId="4FFA6EC0" w14:textId="77777777" w:rsidR="00122C45" w:rsidRPr="003B0E68" w:rsidRDefault="00122C45" w:rsidP="00122C45">
      <w:pPr>
        <w:pStyle w:val="Bullet"/>
      </w:pPr>
      <w:r>
        <w:t>Reflects that government has greater economies of scale than ACCHOs in the provision of primary health care services</w:t>
      </w:r>
    </w:p>
    <w:p w14:paraId="5577A699" w14:textId="77777777" w:rsidR="00122C45" w:rsidRDefault="00122C45" w:rsidP="00122C45">
      <w:pPr>
        <w:pStyle w:val="Bullet"/>
      </w:pPr>
      <w:r w:rsidRPr="003B0E68">
        <w:t>Enables appropriate resourcing of transition including through transition manager</w:t>
      </w:r>
      <w:r>
        <w:t>s and other</w:t>
      </w:r>
      <w:r w:rsidRPr="003B0E68">
        <w:t xml:space="preserve"> roles with</w:t>
      </w:r>
      <w:r>
        <w:t>in</w:t>
      </w:r>
      <w:r w:rsidRPr="003B0E68">
        <w:t xml:space="preserve"> the Australian Government, </w:t>
      </w:r>
      <w:r>
        <w:t>NTG</w:t>
      </w:r>
      <w:r w:rsidRPr="003B0E68">
        <w:t xml:space="preserve"> and ACCHO</w:t>
      </w:r>
    </w:p>
    <w:p w14:paraId="6A3F162B" w14:textId="77777777" w:rsidR="00122C45" w:rsidRDefault="00122C45" w:rsidP="00122C45">
      <w:pPr>
        <w:pStyle w:val="Bullet"/>
      </w:pPr>
      <w:r w:rsidRPr="003B0E68">
        <w:t>Balances expectations for reporting and accountability with flexibility for individuals involved in transitions to solve problems and achieve outcomes</w:t>
      </w:r>
      <w:r>
        <w:t>.</w:t>
      </w:r>
    </w:p>
    <w:p w14:paraId="1142609E" w14:textId="77777777" w:rsidR="00122C45" w:rsidRPr="00DA4788" w:rsidRDefault="00122C45" w:rsidP="00122C45">
      <w:r>
        <w:t>The upfront comprehensive assessment would occur as early as possible, ideally as part of the business case.</w:t>
      </w:r>
    </w:p>
    <w:p w14:paraId="10754795" w14:textId="7956047E" w:rsidR="00122C45" w:rsidRDefault="00122C45" w:rsidP="002E6E81">
      <w:r>
        <w:rPr>
          <w:noProof/>
        </w:rPr>
        <w:drawing>
          <wp:inline distT="0" distB="0" distL="0" distR="0" wp14:anchorId="73F75752" wp14:editId="72DDE73D">
            <wp:extent cx="5593080" cy="166370"/>
            <wp:effectExtent l="0" t="0" r="7620" b="508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3080" cy="166370"/>
                    </a:xfrm>
                    <a:prstGeom prst="rect">
                      <a:avLst/>
                    </a:prstGeom>
                    <a:noFill/>
                    <a:ln>
                      <a:noFill/>
                    </a:ln>
                  </pic:spPr>
                </pic:pic>
              </a:graphicData>
            </a:graphic>
          </wp:inline>
        </w:drawing>
      </w:r>
    </w:p>
    <w:p w14:paraId="3F067DC2" w14:textId="1B75BD54" w:rsidR="00122C45" w:rsidRDefault="00122C45" w:rsidP="00063132">
      <w:pPr>
        <w:rPr>
          <w:b/>
          <w:bCs/>
          <w:color w:val="00264D" w:themeColor="background2"/>
          <w:sz w:val="20"/>
          <w:szCs w:val="24"/>
        </w:rPr>
      </w:pPr>
      <w:r w:rsidRPr="00F97AB5">
        <w:rPr>
          <w:noProof/>
          <w:lang w:eastAsia="en-AU"/>
        </w:rPr>
        <w:drawing>
          <wp:inline distT="0" distB="0" distL="0" distR="0" wp14:anchorId="7DB61F8E" wp14:editId="2A920E30">
            <wp:extent cx="5113655" cy="287655"/>
            <wp:effectExtent l="0" t="0" r="0" b="0"/>
            <wp:docPr id="61" name="Picture 61" descr="Recommenda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Recommendation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13655" cy="287655"/>
                    </a:xfrm>
                    <a:prstGeom prst="rect">
                      <a:avLst/>
                    </a:prstGeom>
                    <a:noFill/>
                    <a:ln>
                      <a:noFill/>
                    </a:ln>
                  </pic:spPr>
                </pic:pic>
              </a:graphicData>
            </a:graphic>
          </wp:inline>
        </w:drawing>
      </w:r>
      <w:r>
        <w:rPr>
          <w:b/>
          <w:bCs/>
          <w:noProof/>
          <w:color w:val="00264D" w:themeColor="background2"/>
          <w:sz w:val="20"/>
          <w:szCs w:val="24"/>
        </w:rPr>
        <w:drawing>
          <wp:inline distT="0" distB="0" distL="0" distR="0" wp14:anchorId="4893A9EE" wp14:editId="07A6F0E6">
            <wp:extent cx="332740" cy="273050"/>
            <wp:effectExtent l="0" t="0" r="0" b="0"/>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2740" cy="273050"/>
                    </a:xfrm>
                    <a:prstGeom prst="rect">
                      <a:avLst/>
                    </a:prstGeom>
                    <a:noFill/>
                    <a:ln>
                      <a:noFill/>
                    </a:ln>
                  </pic:spPr>
                </pic:pic>
              </a:graphicData>
            </a:graphic>
          </wp:inline>
        </w:drawing>
      </w:r>
    </w:p>
    <w:p w14:paraId="1F025B1C" w14:textId="77777777" w:rsidR="00122C45" w:rsidRPr="00DA4788" w:rsidRDefault="00122C45" w:rsidP="00122C45">
      <w:r>
        <w:t>The Australian Government Department of Health should explore possible alternative entry points into the IAHP funding model for primary health care services transitioning to community control.</w:t>
      </w:r>
    </w:p>
    <w:p w14:paraId="3B247CF4" w14:textId="231B15F5" w:rsidR="00122C45" w:rsidRDefault="00122C45" w:rsidP="00063132">
      <w:pPr>
        <w:rPr>
          <w:b/>
          <w:bCs/>
          <w:color w:val="00264D" w:themeColor="background2"/>
          <w:sz w:val="20"/>
          <w:szCs w:val="24"/>
        </w:rPr>
      </w:pPr>
      <w:r>
        <w:rPr>
          <w:noProof/>
        </w:rPr>
        <w:drawing>
          <wp:inline distT="0" distB="0" distL="0" distR="0" wp14:anchorId="612620FB" wp14:editId="0ECC3A3E">
            <wp:extent cx="5593080" cy="166370"/>
            <wp:effectExtent l="0" t="0" r="7620" b="508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3080" cy="166370"/>
                    </a:xfrm>
                    <a:prstGeom prst="rect">
                      <a:avLst/>
                    </a:prstGeom>
                    <a:noFill/>
                    <a:ln>
                      <a:noFill/>
                    </a:ln>
                  </pic:spPr>
                </pic:pic>
              </a:graphicData>
            </a:graphic>
          </wp:inline>
        </w:drawing>
      </w:r>
    </w:p>
    <w:p w14:paraId="5F62EAC7" w14:textId="01DA6A58" w:rsidR="00E3488D" w:rsidRPr="00063132" w:rsidRDefault="00E3488D" w:rsidP="00063132">
      <w:pPr>
        <w:rPr>
          <w:b/>
          <w:bCs/>
          <w:color w:val="00264D" w:themeColor="background2"/>
          <w:sz w:val="20"/>
          <w:szCs w:val="24"/>
        </w:rPr>
      </w:pPr>
      <w:r w:rsidRPr="00063132">
        <w:rPr>
          <w:b/>
          <w:bCs/>
          <w:color w:val="00264D" w:themeColor="background2"/>
          <w:sz w:val="20"/>
          <w:szCs w:val="24"/>
        </w:rPr>
        <w:t>Key program documents should be updated</w:t>
      </w:r>
    </w:p>
    <w:p w14:paraId="5B454F0B" w14:textId="5F11C2EB" w:rsidR="0092261B" w:rsidRDefault="0092261B" w:rsidP="0092261B">
      <w:pPr>
        <w:rPr>
          <w:lang w:eastAsia="en-AU"/>
        </w:rPr>
      </w:pPr>
      <w:r>
        <w:rPr>
          <w:lang w:eastAsia="en-AU"/>
        </w:rPr>
        <w:t xml:space="preserve">The P2CC </w:t>
      </w:r>
      <w:r w:rsidR="00184B5C">
        <w:rPr>
          <w:lang w:eastAsia="en-AU"/>
        </w:rPr>
        <w:t xml:space="preserve">program </w:t>
      </w:r>
      <w:r>
        <w:rPr>
          <w:lang w:eastAsia="en-AU"/>
        </w:rPr>
        <w:t xml:space="preserve">document, while foundational, is not widely referenced and was viewed by many stakeholders as outdated and in need of refreshing (see Section </w:t>
      </w:r>
      <w:r>
        <w:rPr>
          <w:lang w:eastAsia="en-AU"/>
        </w:rPr>
        <w:fldChar w:fldCharType="begin"/>
      </w:r>
      <w:r>
        <w:rPr>
          <w:lang w:eastAsia="en-AU"/>
        </w:rPr>
        <w:instrText xml:space="preserve"> REF _Ref100266077 \r \h </w:instrText>
      </w:r>
      <w:r>
        <w:rPr>
          <w:lang w:eastAsia="en-AU"/>
        </w:rPr>
      </w:r>
      <w:r>
        <w:rPr>
          <w:lang w:eastAsia="en-AU"/>
        </w:rPr>
        <w:fldChar w:fldCharType="separate"/>
      </w:r>
      <w:r w:rsidR="00A439E2">
        <w:rPr>
          <w:lang w:eastAsia="en-AU"/>
        </w:rPr>
        <w:t>3.2.3</w:t>
      </w:r>
      <w:r>
        <w:rPr>
          <w:lang w:eastAsia="en-AU"/>
        </w:rPr>
        <w:fldChar w:fldCharType="end"/>
      </w:r>
      <w:r>
        <w:rPr>
          <w:lang w:eastAsia="en-AU"/>
        </w:rPr>
        <w:t xml:space="preserve">). </w:t>
      </w:r>
      <w:r w:rsidR="00CF4575">
        <w:rPr>
          <w:lang w:eastAsia="en-AU"/>
        </w:rPr>
        <w:t>Updating the document would provide an opportunity to address several issues:</w:t>
      </w:r>
    </w:p>
    <w:p w14:paraId="3F9A8772" w14:textId="7566E06D" w:rsidR="00E80589" w:rsidRDefault="00AE4F45" w:rsidP="00CF4575">
      <w:pPr>
        <w:pStyle w:val="Bullet"/>
      </w:pPr>
      <w:r>
        <w:t>Despite t</w:t>
      </w:r>
      <w:r w:rsidR="00E80589">
        <w:t>he P2CC</w:t>
      </w:r>
      <w:r w:rsidR="00184B5C">
        <w:t xml:space="preserve"> program </w:t>
      </w:r>
      <w:r w:rsidR="00E80589">
        <w:t>document outlin</w:t>
      </w:r>
      <w:r>
        <w:t>ing</w:t>
      </w:r>
      <w:r w:rsidR="00E80589">
        <w:t xml:space="preserve"> nine different service models along a continuum of community control and recognis</w:t>
      </w:r>
      <w:r>
        <w:t>ing</w:t>
      </w:r>
      <w:r w:rsidR="00E80589">
        <w:t xml:space="preserve"> </w:t>
      </w:r>
      <w:r w:rsidR="00DF5958">
        <w:t xml:space="preserve">that </w:t>
      </w:r>
      <w:r w:rsidR="00E80589">
        <w:t>the “continuum is not sequential”</w:t>
      </w:r>
      <w:r>
        <w:t xml:space="preserve">, </w:t>
      </w:r>
      <w:r w:rsidR="003642CB">
        <w:t xml:space="preserve">there is </w:t>
      </w:r>
      <w:r w:rsidR="00E80589">
        <w:t xml:space="preserve">misunderstanding and disagreement within communities about what </w:t>
      </w:r>
      <w:r w:rsidR="00290AB1">
        <w:t>transition entails</w:t>
      </w:r>
      <w:r>
        <w:t xml:space="preserve">, with some </w:t>
      </w:r>
      <w:r w:rsidR="00706D23">
        <w:t>view</w:t>
      </w:r>
      <w:r w:rsidR="007947C3">
        <w:t>ing</w:t>
      </w:r>
      <w:r w:rsidR="00706D23">
        <w:t xml:space="preserve"> it in “all or nothing</w:t>
      </w:r>
      <w:r w:rsidR="00AE219A">
        <w:t>”</w:t>
      </w:r>
      <w:r w:rsidR="00706D23">
        <w:t xml:space="preserve"> terms </w:t>
      </w:r>
      <w:r w:rsidR="00E80589">
        <w:t xml:space="preserve">(see Section </w:t>
      </w:r>
      <w:r w:rsidR="00E80589">
        <w:fldChar w:fldCharType="begin"/>
      </w:r>
      <w:r w:rsidR="00E80589">
        <w:instrText xml:space="preserve"> REF _Ref100247064 \r \h </w:instrText>
      </w:r>
      <w:r w:rsidR="00E80589">
        <w:fldChar w:fldCharType="separate"/>
      </w:r>
      <w:r w:rsidR="00A439E2">
        <w:t>2.2</w:t>
      </w:r>
      <w:r w:rsidR="00E80589">
        <w:fldChar w:fldCharType="end"/>
      </w:r>
      <w:r w:rsidR="00E80589">
        <w:t xml:space="preserve"> and </w:t>
      </w:r>
      <w:r w:rsidR="00E80589">
        <w:fldChar w:fldCharType="begin"/>
      </w:r>
      <w:r w:rsidR="00E80589">
        <w:instrText xml:space="preserve"> REF _Ref100247358 \r \h </w:instrText>
      </w:r>
      <w:r w:rsidR="00E80589">
        <w:fldChar w:fldCharType="separate"/>
      </w:r>
      <w:r w:rsidR="00A439E2">
        <w:t>Appendix A</w:t>
      </w:r>
      <w:r w:rsidR="00E80589">
        <w:fldChar w:fldCharType="end"/>
      </w:r>
      <w:r w:rsidR="00E80589">
        <w:t>)</w:t>
      </w:r>
      <w:r w:rsidR="00DD063B">
        <w:t>.</w:t>
      </w:r>
    </w:p>
    <w:p w14:paraId="24035B58" w14:textId="473E24A5" w:rsidR="00AE4F45" w:rsidRDefault="009F56B3" w:rsidP="00CF4575">
      <w:pPr>
        <w:pStyle w:val="Bullet"/>
      </w:pPr>
      <w:r>
        <w:t>There is no acknowledgement in the P2CC</w:t>
      </w:r>
      <w:r w:rsidR="004F3CE1">
        <w:t xml:space="preserve"> </w:t>
      </w:r>
      <w:r w:rsidR="00184B5C">
        <w:t xml:space="preserve">program </w:t>
      </w:r>
      <w:r w:rsidR="009D2E8B">
        <w:t xml:space="preserve">document </w:t>
      </w:r>
      <w:r w:rsidR="004F3CE1">
        <w:t xml:space="preserve">of the </w:t>
      </w:r>
      <w:r w:rsidR="009D2E8B">
        <w:t xml:space="preserve">different </w:t>
      </w:r>
      <w:r w:rsidR="00C46F05">
        <w:t xml:space="preserve">options for </w:t>
      </w:r>
      <w:r w:rsidR="008815AF">
        <w:t xml:space="preserve">staging </w:t>
      </w:r>
      <w:r w:rsidR="00C46F05">
        <w:t xml:space="preserve">transitions </w:t>
      </w:r>
      <w:r w:rsidR="009D2E8B">
        <w:t xml:space="preserve">and the </w:t>
      </w:r>
      <w:r w:rsidR="004F3CE1">
        <w:t xml:space="preserve">differences in timeframes and resources </w:t>
      </w:r>
      <w:r w:rsidR="008815AF">
        <w:t xml:space="preserve">required </w:t>
      </w:r>
      <w:r w:rsidR="001B4128">
        <w:t>t</w:t>
      </w:r>
      <w:r w:rsidR="006476CE">
        <w:t>o execute different pathways</w:t>
      </w:r>
      <w:r w:rsidR="00DD063B">
        <w:t>.</w:t>
      </w:r>
    </w:p>
    <w:p w14:paraId="4322AB83" w14:textId="179E4A66" w:rsidR="00AE219A" w:rsidRPr="00AE4F45" w:rsidRDefault="00AE4F45" w:rsidP="00A1447B">
      <w:pPr>
        <w:pStyle w:val="Bullet"/>
      </w:pPr>
      <w:r>
        <w:t>As noted above, t</w:t>
      </w:r>
      <w:r w:rsidRPr="00892275">
        <w:t xml:space="preserve">he roles and responsibilities of the Australian and </w:t>
      </w:r>
      <w:r w:rsidR="00A55AAE">
        <w:t>NTG</w:t>
      </w:r>
      <w:r w:rsidRPr="00892275">
        <w:t>s after transition funding is awarded are not articulated in P2CC program document</w:t>
      </w:r>
      <w:r>
        <w:t>.</w:t>
      </w:r>
    </w:p>
    <w:p w14:paraId="1FA0DF5D" w14:textId="661F4DB6" w:rsidR="003709EC" w:rsidRDefault="006476CE" w:rsidP="007146C2">
      <w:pPr>
        <w:rPr>
          <w:lang w:eastAsia="en-AU"/>
        </w:rPr>
      </w:pPr>
      <w:r>
        <w:rPr>
          <w:lang w:eastAsia="en-AU"/>
        </w:rPr>
        <w:t xml:space="preserve">Communication of the complex concepts contained in the P2CC </w:t>
      </w:r>
      <w:r w:rsidR="00184B5C">
        <w:rPr>
          <w:lang w:eastAsia="en-AU"/>
        </w:rPr>
        <w:t xml:space="preserve">program </w:t>
      </w:r>
      <w:r>
        <w:rPr>
          <w:lang w:eastAsia="en-AU"/>
        </w:rPr>
        <w:t xml:space="preserve">document would be facilitated through the development of </w:t>
      </w:r>
      <w:r w:rsidR="000E5E9F">
        <w:rPr>
          <w:lang w:eastAsia="en-AU"/>
        </w:rPr>
        <w:t>a visual, plain English version specifically targeted at community stakeholders.</w:t>
      </w:r>
    </w:p>
    <w:p w14:paraId="59F5222C" w14:textId="2C0CFAE9" w:rsidR="00122C45" w:rsidRDefault="00122C45" w:rsidP="007146C2">
      <w:pPr>
        <w:rPr>
          <w:lang w:eastAsia="en-AU"/>
        </w:rPr>
      </w:pPr>
      <w:r w:rsidRPr="00F97AB5">
        <w:rPr>
          <w:noProof/>
          <w:lang w:eastAsia="en-AU"/>
        </w:rPr>
        <w:drawing>
          <wp:inline distT="0" distB="0" distL="0" distR="0" wp14:anchorId="3E6762B1" wp14:editId="47E9B371">
            <wp:extent cx="5113655" cy="287655"/>
            <wp:effectExtent l="0" t="0" r="0" b="0"/>
            <wp:docPr id="27840" name="Picture 27840" descr="Recommenda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0" name="Picture 27840" descr="Recommendation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13655" cy="287655"/>
                    </a:xfrm>
                    <a:prstGeom prst="rect">
                      <a:avLst/>
                    </a:prstGeom>
                    <a:noFill/>
                    <a:ln>
                      <a:noFill/>
                    </a:ln>
                  </pic:spPr>
                </pic:pic>
              </a:graphicData>
            </a:graphic>
          </wp:inline>
        </w:drawing>
      </w:r>
      <w:r>
        <w:rPr>
          <w:noProof/>
          <w:lang w:eastAsia="en-AU"/>
        </w:rPr>
        <w:drawing>
          <wp:inline distT="0" distB="0" distL="0" distR="0" wp14:anchorId="34891C19" wp14:editId="2A745723">
            <wp:extent cx="356235" cy="308610"/>
            <wp:effectExtent l="0" t="0" r="5715" b="0"/>
            <wp:docPr id="27841" name="Picture 278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1" name="Picture 27841">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6235" cy="308610"/>
                    </a:xfrm>
                    <a:prstGeom prst="rect">
                      <a:avLst/>
                    </a:prstGeom>
                    <a:noFill/>
                    <a:ln>
                      <a:noFill/>
                    </a:ln>
                  </pic:spPr>
                </pic:pic>
              </a:graphicData>
            </a:graphic>
          </wp:inline>
        </w:drawing>
      </w:r>
    </w:p>
    <w:p w14:paraId="6516CCCB" w14:textId="77777777" w:rsidR="00122C45" w:rsidRPr="003B0E68" w:rsidRDefault="00122C45" w:rsidP="00122C45">
      <w:pPr>
        <w:pStyle w:val="Listnumbered"/>
        <w:numPr>
          <w:ilvl w:val="0"/>
          <w:numId w:val="0"/>
        </w:numPr>
        <w:ind w:left="397" w:hanging="397"/>
        <w:rPr>
          <w:lang w:eastAsia="en-AU"/>
        </w:rPr>
      </w:pPr>
      <w:r w:rsidRPr="003B0E68">
        <w:rPr>
          <w:lang w:eastAsia="en-AU"/>
        </w:rPr>
        <w:t>The partners should update key program documents to ensure they:</w:t>
      </w:r>
    </w:p>
    <w:p w14:paraId="42F03B84" w14:textId="77777777" w:rsidR="00CE0E72" w:rsidRDefault="00122C45" w:rsidP="008E7D8F">
      <w:pPr>
        <w:pStyle w:val="Bullet"/>
      </w:pPr>
      <w:r>
        <w:t>Clearly communicate that community governance develops along a continuum (i.e. that there are various levels of community participation rather than a yes/no dichotomy) and that transitions may be staged over time rather than occurring at a single point in time</w:t>
      </w:r>
    </w:p>
    <w:p w14:paraId="6C472CBF" w14:textId="7474E132" w:rsidR="00122C45" w:rsidRDefault="00122C45" w:rsidP="008E7D8F">
      <w:pPr>
        <w:pStyle w:val="Bullet"/>
      </w:pPr>
      <w:r>
        <w:lastRenderedPageBreak/>
        <w:t>Emphasise that continued service delivery partnership between NT Health and ACCHOs will be essential, whatever the staging of the transition or the governance arrangements selected</w:t>
      </w:r>
    </w:p>
    <w:p w14:paraId="018C9C7E" w14:textId="77777777" w:rsidR="00122C45" w:rsidRDefault="00122C45" w:rsidP="00122C45">
      <w:pPr>
        <w:pStyle w:val="Bullet"/>
      </w:pPr>
      <w:r>
        <w:t>Articulate who is responsible and/or involved at each point of the transition and include guidelines for when it will occur (including in regard to evaluation)</w:t>
      </w:r>
    </w:p>
    <w:p w14:paraId="0A5C400E" w14:textId="77777777" w:rsidR="00122C45" w:rsidRPr="00DA4788" w:rsidRDefault="00122C45" w:rsidP="00122C45">
      <w:r>
        <w:t>Are accompanied by visual, plain English versions suitable for community stakeholders.</w:t>
      </w:r>
    </w:p>
    <w:p w14:paraId="6EDFBC1A" w14:textId="523E882A" w:rsidR="00122C45" w:rsidRDefault="00122C45" w:rsidP="007146C2">
      <w:pPr>
        <w:rPr>
          <w:lang w:eastAsia="en-AU"/>
        </w:rPr>
      </w:pPr>
      <w:r>
        <w:rPr>
          <w:noProof/>
        </w:rPr>
        <w:drawing>
          <wp:inline distT="0" distB="0" distL="0" distR="0" wp14:anchorId="43FA9707" wp14:editId="7F80BF95">
            <wp:extent cx="5593080" cy="166370"/>
            <wp:effectExtent l="0" t="0" r="7620" b="5080"/>
            <wp:docPr id="27842" name="Picture 278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3080" cy="166370"/>
                    </a:xfrm>
                    <a:prstGeom prst="rect">
                      <a:avLst/>
                    </a:prstGeom>
                    <a:noFill/>
                    <a:ln>
                      <a:noFill/>
                    </a:ln>
                  </pic:spPr>
                </pic:pic>
              </a:graphicData>
            </a:graphic>
          </wp:inline>
        </w:drawing>
      </w:r>
    </w:p>
    <w:p w14:paraId="3CB3C634" w14:textId="3FF9F605" w:rsidR="00AF2AFD" w:rsidRDefault="005A5CAB" w:rsidP="005A5CAB">
      <w:pPr>
        <w:pStyle w:val="Heading2"/>
      </w:pPr>
      <w:bookmarkStart w:id="37" w:name="_Ref100245046"/>
      <w:bookmarkStart w:id="38" w:name="_Toc106294803"/>
      <w:r>
        <w:t xml:space="preserve">The transition process </w:t>
      </w:r>
      <w:r w:rsidR="00B20009">
        <w:t>and supports should be improved</w:t>
      </w:r>
      <w:bookmarkEnd w:id="37"/>
      <w:bookmarkEnd w:id="38"/>
    </w:p>
    <w:p w14:paraId="17F6DA82" w14:textId="79A6AE91" w:rsidR="00BA02B9" w:rsidRDefault="002306B3" w:rsidP="00BA02B9">
      <w:pPr>
        <w:rPr>
          <w:lang w:eastAsia="en-AU"/>
        </w:rPr>
      </w:pPr>
      <w:r>
        <w:rPr>
          <w:lang w:eastAsia="en-AU"/>
        </w:rPr>
        <w:t>The transition process and supports could be improved through:</w:t>
      </w:r>
    </w:p>
    <w:p w14:paraId="03EA8BD6" w14:textId="6DE23D7E" w:rsidR="002306B3" w:rsidRDefault="00506428" w:rsidP="002306B3">
      <w:pPr>
        <w:pStyle w:val="Bullet"/>
      </w:pPr>
      <w:r>
        <w:t>Bringing best practice implementation discipline</w:t>
      </w:r>
      <w:r w:rsidR="004B1B51">
        <w:t>, templates and tools</w:t>
      </w:r>
      <w:r>
        <w:t xml:space="preserve"> to every transition</w:t>
      </w:r>
    </w:p>
    <w:p w14:paraId="50157E83" w14:textId="4ADF70B7" w:rsidR="00F86A60" w:rsidRDefault="00A10ED5" w:rsidP="002306B3">
      <w:pPr>
        <w:pStyle w:val="Bullet"/>
      </w:pPr>
      <w:r>
        <w:t>Maintaining</w:t>
      </w:r>
      <w:r w:rsidR="00A31B5B">
        <w:t xml:space="preserve"> appropriate</w:t>
      </w:r>
      <w:r>
        <w:t xml:space="preserve"> engagement and sharing of client health information between ACCHOs and other health service providers</w:t>
      </w:r>
    </w:p>
    <w:p w14:paraId="02284DD5" w14:textId="337B12F2" w:rsidR="00506428" w:rsidRDefault="00F86A60" w:rsidP="002306B3">
      <w:pPr>
        <w:pStyle w:val="Bullet"/>
      </w:pPr>
      <w:r>
        <w:t>Providing ACCHOs with access to external corporate functions</w:t>
      </w:r>
    </w:p>
    <w:p w14:paraId="781E581E" w14:textId="266616ED" w:rsidR="00F86A60" w:rsidRPr="00FE1593" w:rsidRDefault="00FE1593" w:rsidP="002306B3">
      <w:pPr>
        <w:pStyle w:val="Bullet"/>
      </w:pPr>
      <w:r w:rsidRPr="00FE1593">
        <w:t>Managing systemic workforce challenges in partnership.</w:t>
      </w:r>
    </w:p>
    <w:p w14:paraId="6EEC9D14" w14:textId="657F2270" w:rsidR="00FC26B3" w:rsidRDefault="005F6496" w:rsidP="005F6496">
      <w:pPr>
        <w:pStyle w:val="Bullet"/>
        <w:numPr>
          <w:ilvl w:val="0"/>
          <w:numId w:val="0"/>
        </w:numPr>
      </w:pPr>
      <w:r>
        <w:t>Each of these improvements is discussed in turn below.</w:t>
      </w:r>
    </w:p>
    <w:p w14:paraId="6BD47270" w14:textId="45418367" w:rsidR="00140372" w:rsidRPr="00063132" w:rsidRDefault="004A1EED" w:rsidP="00063132">
      <w:pPr>
        <w:rPr>
          <w:b/>
          <w:bCs/>
          <w:color w:val="00264D" w:themeColor="background2"/>
          <w:sz w:val="20"/>
          <w:szCs w:val="24"/>
        </w:rPr>
      </w:pPr>
      <w:r w:rsidRPr="00063132">
        <w:rPr>
          <w:b/>
          <w:bCs/>
          <w:color w:val="00264D" w:themeColor="background2"/>
          <w:sz w:val="20"/>
          <w:szCs w:val="24"/>
        </w:rPr>
        <w:t>Best practice implementation discipline</w:t>
      </w:r>
      <w:r w:rsidR="004B1B51" w:rsidRPr="00063132">
        <w:rPr>
          <w:b/>
          <w:bCs/>
          <w:color w:val="00264D" w:themeColor="background2"/>
          <w:sz w:val="20"/>
          <w:szCs w:val="24"/>
        </w:rPr>
        <w:t xml:space="preserve">, templates and </w:t>
      </w:r>
      <w:r w:rsidR="00202E23" w:rsidRPr="00063132">
        <w:rPr>
          <w:b/>
          <w:bCs/>
          <w:color w:val="00264D" w:themeColor="background2"/>
          <w:sz w:val="20"/>
          <w:szCs w:val="24"/>
        </w:rPr>
        <w:t>tools</w:t>
      </w:r>
      <w:r w:rsidRPr="00063132">
        <w:rPr>
          <w:b/>
          <w:bCs/>
          <w:color w:val="00264D" w:themeColor="background2"/>
          <w:sz w:val="20"/>
          <w:szCs w:val="24"/>
        </w:rPr>
        <w:t xml:space="preserve"> should be brought to every transition</w:t>
      </w:r>
    </w:p>
    <w:p w14:paraId="52A08B34" w14:textId="3874A4C6" w:rsidR="00203118" w:rsidRDefault="00625648" w:rsidP="00753EF7">
      <w:r>
        <w:rPr>
          <w:lang w:eastAsia="en-AU"/>
        </w:rPr>
        <w:t>ACCHO stakeholders consistently reported</w:t>
      </w:r>
      <w:r w:rsidR="00203118">
        <w:rPr>
          <w:lang w:eastAsia="en-AU"/>
        </w:rPr>
        <w:t xml:space="preserve"> they felt like they were starting from scratch with each transition</w:t>
      </w:r>
      <w:r w:rsidR="000B1E60">
        <w:rPr>
          <w:lang w:eastAsia="en-AU"/>
        </w:rPr>
        <w:t>. This was attributed to</w:t>
      </w:r>
      <w:r w:rsidR="00F83DC7">
        <w:rPr>
          <w:lang w:eastAsia="en-AU"/>
        </w:rPr>
        <w:t xml:space="preserve"> long transition timeframes</w:t>
      </w:r>
      <w:r w:rsidR="00F83DC7">
        <w:t>, high staff turnover, limited handovers</w:t>
      </w:r>
      <w:r w:rsidR="001A0F21">
        <w:t xml:space="preserve">, </w:t>
      </w:r>
      <w:r w:rsidR="00F83DC7">
        <w:t>patchy record keeping</w:t>
      </w:r>
      <w:r w:rsidR="001A0F21">
        <w:t>, and a lack of supporting documents such as project management tools</w:t>
      </w:r>
      <w:r w:rsidR="00F83DC7">
        <w:t xml:space="preserve"> </w:t>
      </w:r>
      <w:r w:rsidR="00AB69D2">
        <w:t xml:space="preserve">(see Section </w:t>
      </w:r>
      <w:r w:rsidR="00AB69D2">
        <w:fldChar w:fldCharType="begin"/>
      </w:r>
      <w:r w:rsidR="00AB69D2">
        <w:instrText xml:space="preserve"> REF _Ref100299114 \r \h </w:instrText>
      </w:r>
      <w:r w:rsidR="00AB69D2">
        <w:fldChar w:fldCharType="separate"/>
      </w:r>
      <w:r w:rsidR="00A439E2">
        <w:t>3.2.4</w:t>
      </w:r>
      <w:r w:rsidR="00AB69D2">
        <w:fldChar w:fldCharType="end"/>
      </w:r>
      <w:r w:rsidR="00AB69D2">
        <w:t>)</w:t>
      </w:r>
      <w:r w:rsidR="001A0F21">
        <w:t xml:space="preserve">. </w:t>
      </w:r>
      <w:r w:rsidR="00753EF7">
        <w:t>There has also been l</w:t>
      </w:r>
      <w:r w:rsidR="004B1B51">
        <w:t xml:space="preserve">imited evaluation of transitions (see Section </w:t>
      </w:r>
      <w:r w:rsidR="004B1B51">
        <w:fldChar w:fldCharType="begin"/>
      </w:r>
      <w:r w:rsidR="004B1B51">
        <w:instrText xml:space="preserve"> REF _Ref100146941 \r \h </w:instrText>
      </w:r>
      <w:r w:rsidR="004B1B51">
        <w:fldChar w:fldCharType="separate"/>
      </w:r>
      <w:r w:rsidR="00A439E2">
        <w:t>3.2.5</w:t>
      </w:r>
      <w:r w:rsidR="004B1B51">
        <w:fldChar w:fldCharType="end"/>
      </w:r>
      <w:r w:rsidR="004B1B51">
        <w:t>)</w:t>
      </w:r>
      <w:r w:rsidR="00753EF7">
        <w:t>.</w:t>
      </w:r>
    </w:p>
    <w:p w14:paraId="7BC077BA" w14:textId="3B0528EA" w:rsidR="004B1B51" w:rsidRDefault="003736F9" w:rsidP="00A61714">
      <w:pPr>
        <w:pStyle w:val="Bullet"/>
        <w:numPr>
          <w:ilvl w:val="0"/>
          <w:numId w:val="0"/>
        </w:numPr>
      </w:pPr>
      <w:r>
        <w:t xml:space="preserve">There are exceptions to this. </w:t>
      </w:r>
      <w:r w:rsidR="00A61714">
        <w:t xml:space="preserve">For example, </w:t>
      </w:r>
      <w:proofErr w:type="spellStart"/>
      <w:r w:rsidR="004D2E74">
        <w:t>Miwatj</w:t>
      </w:r>
      <w:proofErr w:type="spellEnd"/>
      <w:r w:rsidR="004D2E74">
        <w:t xml:space="preserve"> developed several documents outlining lessons learned from previous transitions to inform future transitions, and </w:t>
      </w:r>
      <w:r w:rsidR="00A61714">
        <w:t xml:space="preserve">the </w:t>
      </w:r>
      <w:r w:rsidR="00A55AAE">
        <w:t>NTG</w:t>
      </w:r>
      <w:r w:rsidR="00A61714" w:rsidRPr="00A61714">
        <w:t xml:space="preserve"> commissioned an evaluation of </w:t>
      </w:r>
      <w:proofErr w:type="spellStart"/>
      <w:r w:rsidR="00A61714" w:rsidRPr="00A61714">
        <w:t>Miwatj’s</w:t>
      </w:r>
      <w:proofErr w:type="spellEnd"/>
      <w:r w:rsidR="00A61714" w:rsidRPr="00A61714">
        <w:t xml:space="preserve"> Milingimbi clinic in 2020 (</w:t>
      </w:r>
      <w:r w:rsidR="00A61714">
        <w:t>four years after its transition</w:t>
      </w:r>
      <w:r w:rsidR="00A61714" w:rsidRPr="00A61714">
        <w:t>)</w:t>
      </w:r>
      <w:r w:rsidR="00452BC1">
        <w:t>.</w:t>
      </w:r>
    </w:p>
    <w:p w14:paraId="716C4047" w14:textId="7B94AEE5" w:rsidR="00E82DA6" w:rsidRDefault="00452BC1" w:rsidP="00A61714">
      <w:pPr>
        <w:pStyle w:val="Bullet"/>
        <w:numPr>
          <w:ilvl w:val="0"/>
          <w:numId w:val="0"/>
        </w:numPr>
      </w:pPr>
      <w:r>
        <w:t xml:space="preserve">However, in general, </w:t>
      </w:r>
      <w:r w:rsidR="004D2E74">
        <w:t xml:space="preserve">these issues have resulted in </w:t>
      </w:r>
      <w:r w:rsidR="0021079B">
        <w:t>large variation</w:t>
      </w:r>
      <w:r w:rsidR="00BA69FA">
        <w:t>s</w:t>
      </w:r>
      <w:r w:rsidR="0021079B">
        <w:t xml:space="preserve"> in implementation approaches across transition</w:t>
      </w:r>
      <w:r w:rsidR="00DB4686">
        <w:t>s</w:t>
      </w:r>
      <w:r w:rsidR="00E82DA6">
        <w:t xml:space="preserve">, and the </w:t>
      </w:r>
      <w:r w:rsidR="00447D1A">
        <w:t>effectiveness</w:t>
      </w:r>
      <w:r w:rsidR="00E82DA6">
        <w:t xml:space="preserve"> of transitions being influenced by the individuals involved</w:t>
      </w:r>
      <w:r w:rsidR="0021079B">
        <w:t xml:space="preserve">. </w:t>
      </w:r>
      <w:r w:rsidR="00E82DA6">
        <w:t>This is a key contributor to the widespread implementation challenges referenced throughout this document.</w:t>
      </w:r>
    </w:p>
    <w:p w14:paraId="37C2C61B" w14:textId="714FA402" w:rsidR="008D33FF" w:rsidRDefault="004E5D00" w:rsidP="00FC26B3">
      <w:pPr>
        <w:rPr>
          <w:lang w:eastAsia="en-AU"/>
        </w:rPr>
      </w:pPr>
      <w:r>
        <w:rPr>
          <w:lang w:eastAsia="en-AU"/>
        </w:rPr>
        <w:t xml:space="preserve">In addressing this issue, it would be important </w:t>
      </w:r>
      <w:r w:rsidR="00CF769B">
        <w:rPr>
          <w:lang w:eastAsia="en-AU"/>
        </w:rPr>
        <w:t xml:space="preserve">not to </w:t>
      </w:r>
      <w:r w:rsidR="005477EE">
        <w:rPr>
          <w:lang w:eastAsia="en-AU"/>
        </w:rPr>
        <w:t>restrict ACCHO’s control of transition processes or impose onerous reporting requirements o</w:t>
      </w:r>
      <w:r w:rsidR="00B96AA9">
        <w:rPr>
          <w:lang w:eastAsia="en-AU"/>
        </w:rPr>
        <w:t>r</w:t>
      </w:r>
      <w:r w:rsidR="005477EE">
        <w:rPr>
          <w:lang w:eastAsia="en-AU"/>
        </w:rPr>
        <w:t xml:space="preserve"> bureaucratic processes.</w:t>
      </w:r>
      <w:r w:rsidR="006F2F7B">
        <w:rPr>
          <w:lang w:eastAsia="en-AU"/>
        </w:rPr>
        <w:t xml:space="preserve"> </w:t>
      </w:r>
      <w:r w:rsidR="00E44945">
        <w:rPr>
          <w:lang w:eastAsia="en-AU"/>
        </w:rPr>
        <w:t>Transition documents will likely need to be tailored; for example, based on the maturity of the ACCHO and its transition aspirations.</w:t>
      </w:r>
    </w:p>
    <w:p w14:paraId="51B31BFE" w14:textId="44C427A8" w:rsidR="002A67EC" w:rsidRPr="002526EF" w:rsidRDefault="002A67EC" w:rsidP="002526EF">
      <w:pPr>
        <w:pStyle w:val="Bullet"/>
        <w:numPr>
          <w:ilvl w:val="0"/>
          <w:numId w:val="0"/>
        </w:numPr>
      </w:pPr>
      <w:r>
        <w:t>Given the importance of developing both corporate and clinical capability, an assessment tool may be valuable</w:t>
      </w:r>
      <w:r w:rsidR="002526EF">
        <w:t xml:space="preserve">, but this would need to be carefully designed and communicated to ensure it is not perceived as a reflection of excessive risk intolerance on the part of government, as occurred with the competence and capability framework (see Section </w:t>
      </w:r>
      <w:r w:rsidR="002526EF">
        <w:fldChar w:fldCharType="begin"/>
      </w:r>
      <w:r w:rsidR="002526EF">
        <w:instrText xml:space="preserve"> REF _Ref100247064 \r \h </w:instrText>
      </w:r>
      <w:r w:rsidR="002526EF">
        <w:fldChar w:fldCharType="separate"/>
      </w:r>
      <w:r w:rsidR="00A439E2">
        <w:t>2.2</w:t>
      </w:r>
      <w:r w:rsidR="002526EF">
        <w:fldChar w:fldCharType="end"/>
      </w:r>
      <w:r w:rsidR="002526EF">
        <w:t xml:space="preserve"> and </w:t>
      </w:r>
      <w:r w:rsidR="002526EF">
        <w:fldChar w:fldCharType="begin"/>
      </w:r>
      <w:r w:rsidR="002526EF">
        <w:instrText xml:space="preserve"> REF _Ref100247358 \r \h </w:instrText>
      </w:r>
      <w:r w:rsidR="002526EF">
        <w:fldChar w:fldCharType="separate"/>
      </w:r>
      <w:r w:rsidR="00A439E2">
        <w:t>Appendix A</w:t>
      </w:r>
      <w:r w:rsidR="002526EF">
        <w:fldChar w:fldCharType="end"/>
      </w:r>
      <w:r w:rsidR="002526EF">
        <w:t>).</w:t>
      </w:r>
    </w:p>
    <w:p w14:paraId="576A627D" w14:textId="30940C63" w:rsidR="00DC17BA" w:rsidRDefault="00122C45" w:rsidP="002526EF">
      <w:pPr>
        <w:pStyle w:val="Bullet"/>
        <w:numPr>
          <w:ilvl w:val="0"/>
          <w:numId w:val="0"/>
        </w:numPr>
      </w:pPr>
      <w:r w:rsidRPr="00F97AB5">
        <w:rPr>
          <w:noProof/>
        </w:rPr>
        <w:drawing>
          <wp:inline distT="0" distB="0" distL="0" distR="0" wp14:anchorId="3AABF207" wp14:editId="035D9419">
            <wp:extent cx="5113655" cy="287655"/>
            <wp:effectExtent l="0" t="0" r="0" b="0"/>
            <wp:docPr id="27855" name="Picture 27855" descr="Recommendatio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5" name="Picture 27855" descr="Recommendation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13655" cy="287655"/>
                    </a:xfrm>
                    <a:prstGeom prst="rect">
                      <a:avLst/>
                    </a:prstGeom>
                    <a:noFill/>
                    <a:ln>
                      <a:noFill/>
                    </a:ln>
                  </pic:spPr>
                </pic:pic>
              </a:graphicData>
            </a:graphic>
          </wp:inline>
        </w:drawing>
      </w:r>
      <w:r>
        <w:rPr>
          <w:noProof/>
        </w:rPr>
        <w:drawing>
          <wp:inline distT="0" distB="0" distL="0" distR="0" wp14:anchorId="60129FE5" wp14:editId="4C3F9A4D">
            <wp:extent cx="368300" cy="308610"/>
            <wp:effectExtent l="0" t="0" r="0" b="0"/>
            <wp:docPr id="27844" name="Picture 278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4" name="Picture 27844">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300" cy="308610"/>
                    </a:xfrm>
                    <a:prstGeom prst="rect">
                      <a:avLst/>
                    </a:prstGeom>
                    <a:noFill/>
                    <a:ln>
                      <a:noFill/>
                    </a:ln>
                  </pic:spPr>
                </pic:pic>
              </a:graphicData>
            </a:graphic>
          </wp:inline>
        </w:drawing>
      </w:r>
    </w:p>
    <w:p w14:paraId="33A20DEA" w14:textId="77777777" w:rsidR="00122C45" w:rsidRPr="00DA4788" w:rsidRDefault="00122C45" w:rsidP="00122C45">
      <w:r>
        <w:t>The partners should ensure a comprehensive implementation plan is in place for all transitions. This implementation plan would define governance, activities, timeframes, milestones, roles and responsibilities, risks and mitigation strategies, and arrangements for monitoring and communicating progress. The plan would be a living document that is updated over time as events and challenges inevitably necessitate adaptations.</w:t>
      </w:r>
    </w:p>
    <w:p w14:paraId="20D201F6" w14:textId="315EBE8B" w:rsidR="00122C45" w:rsidRDefault="00122C45" w:rsidP="002526EF">
      <w:pPr>
        <w:pStyle w:val="Bullet"/>
        <w:numPr>
          <w:ilvl w:val="0"/>
          <w:numId w:val="0"/>
        </w:numPr>
      </w:pPr>
      <w:r>
        <w:rPr>
          <w:noProof/>
        </w:rPr>
        <w:drawing>
          <wp:inline distT="0" distB="0" distL="0" distR="0" wp14:anchorId="1AC09ACA" wp14:editId="69FEE503">
            <wp:extent cx="5593080" cy="166370"/>
            <wp:effectExtent l="0" t="0" r="7620" b="5080"/>
            <wp:docPr id="27845" name="Picture 278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3080" cy="166370"/>
                    </a:xfrm>
                    <a:prstGeom prst="rect">
                      <a:avLst/>
                    </a:prstGeom>
                    <a:noFill/>
                    <a:ln>
                      <a:noFill/>
                    </a:ln>
                  </pic:spPr>
                </pic:pic>
              </a:graphicData>
            </a:graphic>
          </wp:inline>
        </w:drawing>
      </w:r>
    </w:p>
    <w:p w14:paraId="7B2B360F" w14:textId="77777777" w:rsidR="00122C45" w:rsidRDefault="00122C45" w:rsidP="00063132">
      <w:pPr>
        <w:rPr>
          <w:b/>
          <w:bCs/>
          <w:color w:val="00264D" w:themeColor="background2"/>
          <w:sz w:val="20"/>
          <w:szCs w:val="24"/>
        </w:rPr>
      </w:pPr>
    </w:p>
    <w:p w14:paraId="153D4ACD" w14:textId="2351B741" w:rsidR="00122C45" w:rsidRDefault="00122C45" w:rsidP="00063132">
      <w:pPr>
        <w:rPr>
          <w:b/>
          <w:bCs/>
          <w:color w:val="00264D" w:themeColor="background2"/>
          <w:sz w:val="20"/>
          <w:szCs w:val="24"/>
        </w:rPr>
      </w:pPr>
      <w:r w:rsidRPr="00F97AB5">
        <w:rPr>
          <w:noProof/>
          <w:lang w:eastAsia="en-AU"/>
        </w:rPr>
        <w:lastRenderedPageBreak/>
        <w:drawing>
          <wp:inline distT="0" distB="0" distL="0" distR="0" wp14:anchorId="11BC30DF" wp14:editId="6D04396B">
            <wp:extent cx="5113655" cy="287655"/>
            <wp:effectExtent l="0" t="0" r="0" b="0"/>
            <wp:docPr id="27846" name="Picture 27846" descr="Recommenda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6" name="Picture 27846" descr="Recommendation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13655" cy="287655"/>
                    </a:xfrm>
                    <a:prstGeom prst="rect">
                      <a:avLst/>
                    </a:prstGeom>
                    <a:noFill/>
                    <a:ln>
                      <a:noFill/>
                    </a:ln>
                  </pic:spPr>
                </pic:pic>
              </a:graphicData>
            </a:graphic>
          </wp:inline>
        </w:drawing>
      </w:r>
      <w:r>
        <w:rPr>
          <w:b/>
          <w:bCs/>
          <w:noProof/>
          <w:color w:val="00264D" w:themeColor="background2"/>
          <w:sz w:val="20"/>
          <w:szCs w:val="24"/>
        </w:rPr>
        <w:drawing>
          <wp:inline distT="0" distB="0" distL="0" distR="0" wp14:anchorId="3C66B2DA" wp14:editId="4DA8F836">
            <wp:extent cx="356235" cy="297180"/>
            <wp:effectExtent l="0" t="0" r="5715" b="7620"/>
            <wp:docPr id="27847" name="Picture 278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7" name="Picture 27847">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6235" cy="297180"/>
                    </a:xfrm>
                    <a:prstGeom prst="rect">
                      <a:avLst/>
                    </a:prstGeom>
                    <a:noFill/>
                    <a:ln>
                      <a:noFill/>
                    </a:ln>
                  </pic:spPr>
                </pic:pic>
              </a:graphicData>
            </a:graphic>
          </wp:inline>
        </w:drawing>
      </w:r>
    </w:p>
    <w:p w14:paraId="4B5ADDDA" w14:textId="77777777" w:rsidR="00122C45" w:rsidRPr="00DA4788" w:rsidRDefault="00122C45" w:rsidP="00122C45">
      <w:r w:rsidRPr="00980674">
        <w:rPr>
          <w:lang w:eastAsia="en-AU"/>
        </w:rPr>
        <w:t>The partners should promote sharing of transition templates and tools for</w:t>
      </w:r>
      <w:r>
        <w:rPr>
          <w:lang w:eastAsia="en-AU"/>
        </w:rPr>
        <w:t xml:space="preserve"> project </w:t>
      </w:r>
      <w:r w:rsidRPr="00F27893">
        <w:t>management</w:t>
      </w:r>
      <w:r>
        <w:t>, m</w:t>
      </w:r>
      <w:r w:rsidRPr="00F27893">
        <w:t>onitoring and evaluation</w:t>
      </w:r>
      <w:r>
        <w:t>, and a</w:t>
      </w:r>
      <w:r w:rsidRPr="00F27893">
        <w:t>ssessment of corporate and clinical capacity.</w:t>
      </w:r>
      <w:r>
        <w:t xml:space="preserve"> </w:t>
      </w:r>
      <w:r w:rsidRPr="00980674">
        <w:rPr>
          <w:lang w:eastAsia="en-AU"/>
        </w:rPr>
        <w:t xml:space="preserve">Mechanisms to achieve these could include a standardised toolkit </w:t>
      </w:r>
      <w:r>
        <w:rPr>
          <w:lang w:eastAsia="en-AU"/>
        </w:rPr>
        <w:t xml:space="preserve">(in an online location accessible to all relevant parties) </w:t>
      </w:r>
      <w:r w:rsidRPr="00980674">
        <w:rPr>
          <w:lang w:eastAsia="en-AU"/>
        </w:rPr>
        <w:t xml:space="preserve">and a community of practice. </w:t>
      </w:r>
      <w:r>
        <w:rPr>
          <w:lang w:eastAsia="en-AU"/>
        </w:rPr>
        <w:t>These resources could be adapted to each transition. Their u</w:t>
      </w:r>
      <w:r w:rsidRPr="00980674">
        <w:rPr>
          <w:lang w:eastAsia="en-AU"/>
        </w:rPr>
        <w:t>se would be optional</w:t>
      </w:r>
      <w:r>
        <w:rPr>
          <w:lang w:eastAsia="en-AU"/>
        </w:rPr>
        <w:t>.</w:t>
      </w:r>
    </w:p>
    <w:p w14:paraId="10F00558" w14:textId="5BDFC05A" w:rsidR="00122C45" w:rsidRDefault="00122C45" w:rsidP="00063132">
      <w:pPr>
        <w:rPr>
          <w:b/>
          <w:bCs/>
          <w:color w:val="00264D" w:themeColor="background2"/>
          <w:sz w:val="20"/>
          <w:szCs w:val="24"/>
        </w:rPr>
      </w:pPr>
      <w:r>
        <w:rPr>
          <w:noProof/>
        </w:rPr>
        <w:drawing>
          <wp:inline distT="0" distB="0" distL="0" distR="0" wp14:anchorId="31E3188F" wp14:editId="7031F3F2">
            <wp:extent cx="5593080" cy="166370"/>
            <wp:effectExtent l="0" t="0" r="7620" b="5080"/>
            <wp:docPr id="27848" name="Picture 278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3080" cy="166370"/>
                    </a:xfrm>
                    <a:prstGeom prst="rect">
                      <a:avLst/>
                    </a:prstGeom>
                    <a:noFill/>
                    <a:ln>
                      <a:noFill/>
                    </a:ln>
                  </pic:spPr>
                </pic:pic>
              </a:graphicData>
            </a:graphic>
          </wp:inline>
        </w:drawing>
      </w:r>
    </w:p>
    <w:p w14:paraId="08206314" w14:textId="43C5C5AD" w:rsidR="009861EE" w:rsidRPr="00063132" w:rsidRDefault="00446676" w:rsidP="00063132">
      <w:pPr>
        <w:rPr>
          <w:b/>
          <w:bCs/>
          <w:color w:val="00264D" w:themeColor="background2"/>
          <w:sz w:val="20"/>
          <w:szCs w:val="24"/>
        </w:rPr>
      </w:pPr>
      <w:r w:rsidRPr="00063132">
        <w:rPr>
          <w:b/>
          <w:bCs/>
          <w:color w:val="00264D" w:themeColor="background2"/>
          <w:sz w:val="20"/>
          <w:szCs w:val="24"/>
        </w:rPr>
        <w:t>Appropriate e</w:t>
      </w:r>
      <w:r w:rsidR="00F51D9B" w:rsidRPr="00063132">
        <w:rPr>
          <w:b/>
          <w:bCs/>
          <w:color w:val="00264D" w:themeColor="background2"/>
          <w:sz w:val="20"/>
          <w:szCs w:val="24"/>
        </w:rPr>
        <w:t xml:space="preserve">ngagement and sharing of client health information between ACCHOs and other health </w:t>
      </w:r>
      <w:r w:rsidR="00A10ED5" w:rsidRPr="00063132">
        <w:rPr>
          <w:b/>
          <w:bCs/>
          <w:color w:val="00264D" w:themeColor="background2"/>
          <w:sz w:val="20"/>
          <w:szCs w:val="24"/>
        </w:rPr>
        <w:t>service providers should be maintained</w:t>
      </w:r>
    </w:p>
    <w:p w14:paraId="312A41C5" w14:textId="66AC8437" w:rsidR="00567E04" w:rsidRDefault="009575CE" w:rsidP="0027699A">
      <w:pPr>
        <w:rPr>
          <w:lang w:eastAsia="en-AU"/>
        </w:rPr>
      </w:pPr>
      <w:r>
        <w:rPr>
          <w:lang w:eastAsia="en-AU"/>
        </w:rPr>
        <w:t>The</w:t>
      </w:r>
      <w:r w:rsidR="00C5100A">
        <w:rPr>
          <w:lang w:eastAsia="en-AU"/>
        </w:rPr>
        <w:t xml:space="preserve"> period</w:t>
      </w:r>
      <w:r w:rsidR="00567E04">
        <w:rPr>
          <w:lang w:eastAsia="en-AU"/>
        </w:rPr>
        <w:t xml:space="preserve"> in which </w:t>
      </w:r>
      <w:r>
        <w:rPr>
          <w:lang w:eastAsia="en-AU"/>
        </w:rPr>
        <w:t>health services</w:t>
      </w:r>
      <w:r w:rsidR="00567E04">
        <w:rPr>
          <w:lang w:eastAsia="en-AU"/>
        </w:rPr>
        <w:t xml:space="preserve"> are</w:t>
      </w:r>
      <w:r>
        <w:rPr>
          <w:lang w:eastAsia="en-AU"/>
        </w:rPr>
        <w:t xml:space="preserve"> </w:t>
      </w:r>
      <w:r w:rsidR="00567E04">
        <w:rPr>
          <w:lang w:eastAsia="en-AU"/>
        </w:rPr>
        <w:t xml:space="preserve">transitioning </w:t>
      </w:r>
      <w:r>
        <w:rPr>
          <w:lang w:eastAsia="en-AU"/>
        </w:rPr>
        <w:t xml:space="preserve">from the </w:t>
      </w:r>
      <w:r w:rsidR="00A55AAE">
        <w:rPr>
          <w:lang w:eastAsia="en-AU"/>
        </w:rPr>
        <w:t>NTG</w:t>
      </w:r>
      <w:r>
        <w:rPr>
          <w:lang w:eastAsia="en-AU"/>
        </w:rPr>
        <w:t xml:space="preserve"> to community control </w:t>
      </w:r>
      <w:r w:rsidR="00C5100A">
        <w:rPr>
          <w:lang w:eastAsia="en-AU"/>
        </w:rPr>
        <w:t xml:space="preserve">is </w:t>
      </w:r>
      <w:r w:rsidR="00567E04">
        <w:rPr>
          <w:lang w:eastAsia="en-AU"/>
        </w:rPr>
        <w:t xml:space="preserve">high risk for continuity of care. </w:t>
      </w:r>
      <w:r w:rsidR="00997F41">
        <w:rPr>
          <w:lang w:eastAsia="en-AU"/>
        </w:rPr>
        <w:t xml:space="preserve">Mitigating this risk requires several elements, including an effective handover from the </w:t>
      </w:r>
      <w:r w:rsidR="00A55AAE">
        <w:rPr>
          <w:lang w:eastAsia="en-AU"/>
        </w:rPr>
        <w:t>NTG</w:t>
      </w:r>
      <w:r w:rsidR="00997F41">
        <w:rPr>
          <w:lang w:eastAsia="en-AU"/>
        </w:rPr>
        <w:t xml:space="preserve"> to the ACCHO</w:t>
      </w:r>
      <w:r w:rsidR="0010492E">
        <w:rPr>
          <w:lang w:eastAsia="en-AU"/>
        </w:rPr>
        <w:t xml:space="preserve">, </w:t>
      </w:r>
      <w:r w:rsidR="00032315">
        <w:rPr>
          <w:lang w:eastAsia="en-AU"/>
        </w:rPr>
        <w:t>maintaining</w:t>
      </w:r>
      <w:r w:rsidR="0010492E">
        <w:rPr>
          <w:lang w:eastAsia="en-AU"/>
        </w:rPr>
        <w:t xml:space="preserve"> the ACCHO’s engagement with secondary and tertiary providers</w:t>
      </w:r>
      <w:r w:rsidR="00032315">
        <w:rPr>
          <w:lang w:eastAsia="en-AU"/>
        </w:rPr>
        <w:t xml:space="preserve">, and ensuring the ACCHO’s access to patient </w:t>
      </w:r>
      <w:r w:rsidR="003A4BA6">
        <w:rPr>
          <w:lang w:eastAsia="en-AU"/>
        </w:rPr>
        <w:t>records.</w:t>
      </w:r>
    </w:p>
    <w:p w14:paraId="10C32E43" w14:textId="09AC111F" w:rsidR="002E6E81" w:rsidRDefault="00470B0F" w:rsidP="0027699A">
      <w:pPr>
        <w:rPr>
          <w:lang w:eastAsia="en-AU"/>
        </w:rPr>
      </w:pPr>
      <w:r>
        <w:rPr>
          <w:lang w:eastAsia="en-AU"/>
        </w:rPr>
        <w:t>Ensuring access to patient records is a particular challenge</w:t>
      </w:r>
      <w:r w:rsidR="000F19AA">
        <w:rPr>
          <w:lang w:eastAsia="en-AU"/>
        </w:rPr>
        <w:t xml:space="preserve"> given ACCHO’s reported issues </w:t>
      </w:r>
      <w:r w:rsidR="00D118ED">
        <w:rPr>
          <w:lang w:eastAsia="en-AU"/>
        </w:rPr>
        <w:t xml:space="preserve">and delays with transitioning </w:t>
      </w:r>
      <w:r w:rsidR="008C5D81">
        <w:rPr>
          <w:lang w:eastAsia="en-AU"/>
        </w:rPr>
        <w:t xml:space="preserve">health services to new IT systems. </w:t>
      </w:r>
      <w:r w:rsidR="00E77E95">
        <w:rPr>
          <w:lang w:eastAsia="en-AU"/>
        </w:rPr>
        <w:t xml:space="preserve">To manage this challenge, ACCHOs should be given access to </w:t>
      </w:r>
      <w:r w:rsidR="00A55AAE">
        <w:rPr>
          <w:lang w:eastAsia="en-AU"/>
        </w:rPr>
        <w:t>NTG</w:t>
      </w:r>
      <w:r w:rsidR="00E77E95">
        <w:rPr>
          <w:lang w:eastAsia="en-AU"/>
        </w:rPr>
        <w:t xml:space="preserve"> </w:t>
      </w:r>
      <w:r w:rsidR="000A6B49">
        <w:rPr>
          <w:lang w:eastAsia="en-AU"/>
        </w:rPr>
        <w:t xml:space="preserve">client health information </w:t>
      </w:r>
      <w:r w:rsidR="00E77E95">
        <w:rPr>
          <w:lang w:eastAsia="en-AU"/>
        </w:rPr>
        <w:t>systems</w:t>
      </w:r>
      <w:r w:rsidR="008C52FB">
        <w:rPr>
          <w:lang w:eastAsia="en-AU"/>
        </w:rPr>
        <w:t xml:space="preserve"> until their new IT systems are in place and stable and </w:t>
      </w:r>
      <w:r w:rsidR="004A11C7">
        <w:rPr>
          <w:lang w:eastAsia="en-AU"/>
        </w:rPr>
        <w:t>patient records have been transferred.</w:t>
      </w:r>
      <w:r w:rsidR="0033191B">
        <w:rPr>
          <w:lang w:eastAsia="en-AU"/>
        </w:rPr>
        <w:t xml:space="preserve"> </w:t>
      </w:r>
      <w:r w:rsidR="005A706F">
        <w:rPr>
          <w:lang w:eastAsia="en-AU"/>
        </w:rPr>
        <w:t xml:space="preserve">In the case of at least one ACCHO, </w:t>
      </w:r>
      <w:r w:rsidR="00D93DC7">
        <w:rPr>
          <w:lang w:eastAsia="en-AU"/>
        </w:rPr>
        <w:t xml:space="preserve">it was reported that </w:t>
      </w:r>
      <w:r w:rsidR="00A55AAE">
        <w:rPr>
          <w:lang w:eastAsia="en-AU"/>
        </w:rPr>
        <w:t>NTG</w:t>
      </w:r>
      <w:r w:rsidR="00D93DC7">
        <w:rPr>
          <w:lang w:eastAsia="en-AU"/>
        </w:rPr>
        <w:t xml:space="preserve"> staff provided mixed messages about where this was possible.</w:t>
      </w:r>
    </w:p>
    <w:p w14:paraId="2919794D" w14:textId="7779DC9D" w:rsidR="00122C45" w:rsidRDefault="00122C45" w:rsidP="0027699A">
      <w:pPr>
        <w:rPr>
          <w:lang w:eastAsia="en-AU"/>
        </w:rPr>
      </w:pPr>
      <w:r w:rsidRPr="00F97AB5">
        <w:rPr>
          <w:noProof/>
          <w:lang w:eastAsia="en-AU"/>
        </w:rPr>
        <w:drawing>
          <wp:inline distT="0" distB="0" distL="0" distR="0" wp14:anchorId="09F9D557" wp14:editId="18815480">
            <wp:extent cx="5113655" cy="287655"/>
            <wp:effectExtent l="0" t="0" r="0" b="0"/>
            <wp:docPr id="27849" name="Picture 27849" descr="Recommendatio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9" name="Picture 27849" descr="Recommendation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13655" cy="287655"/>
                    </a:xfrm>
                    <a:prstGeom prst="rect">
                      <a:avLst/>
                    </a:prstGeom>
                    <a:noFill/>
                    <a:ln>
                      <a:noFill/>
                    </a:ln>
                  </pic:spPr>
                </pic:pic>
              </a:graphicData>
            </a:graphic>
          </wp:inline>
        </w:drawing>
      </w:r>
      <w:r>
        <w:rPr>
          <w:noProof/>
          <w:lang w:eastAsia="en-AU"/>
        </w:rPr>
        <w:drawing>
          <wp:inline distT="0" distB="0" distL="0" distR="0" wp14:anchorId="31F675B3" wp14:editId="3F0F6BD7">
            <wp:extent cx="356235" cy="308610"/>
            <wp:effectExtent l="0" t="0" r="5715" b="0"/>
            <wp:docPr id="27851" name="Picture 278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1" name="Picture 27851">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6235" cy="308610"/>
                    </a:xfrm>
                    <a:prstGeom prst="rect">
                      <a:avLst/>
                    </a:prstGeom>
                    <a:noFill/>
                    <a:ln>
                      <a:noFill/>
                    </a:ln>
                  </pic:spPr>
                </pic:pic>
              </a:graphicData>
            </a:graphic>
          </wp:inline>
        </w:drawing>
      </w:r>
    </w:p>
    <w:p w14:paraId="7056E8D4" w14:textId="77777777" w:rsidR="00122C45" w:rsidRDefault="00122C45" w:rsidP="00122C45">
      <w:r>
        <w:t>The partners should facilitate a</w:t>
      </w:r>
      <w:r w:rsidRPr="004A11C7">
        <w:t>ppropriate engagement and sharing of client health</w:t>
      </w:r>
      <w:r>
        <w:t xml:space="preserve"> information between ACCHOs and </w:t>
      </w:r>
      <w:r w:rsidRPr="004A11C7">
        <w:t>other health service providers</w:t>
      </w:r>
      <w:r>
        <w:t xml:space="preserve"> by:</w:t>
      </w:r>
    </w:p>
    <w:p w14:paraId="512EF218" w14:textId="77777777" w:rsidR="00122C45" w:rsidRDefault="00122C45" w:rsidP="00122C45">
      <w:pPr>
        <w:pStyle w:val="Bullet"/>
      </w:pPr>
      <w:r>
        <w:t>Ensuring an effective handover from NTG to the ACCHO</w:t>
      </w:r>
    </w:p>
    <w:p w14:paraId="110A5DE9" w14:textId="77777777" w:rsidR="00122C45" w:rsidRDefault="00122C45" w:rsidP="00122C45">
      <w:pPr>
        <w:pStyle w:val="Bullet"/>
      </w:pPr>
      <w:r>
        <w:t>Promoting engagement between ACCHOs and secondary and tertiary providers</w:t>
      </w:r>
    </w:p>
    <w:p w14:paraId="55C1694B" w14:textId="77777777" w:rsidR="00122C45" w:rsidRDefault="00122C45" w:rsidP="00122C45">
      <w:pPr>
        <w:pStyle w:val="Bullet"/>
      </w:pPr>
      <w:r>
        <w:t>Giving ACCHO’s access to NTG client health information systems until their new IT systems are in place and stable and patient records have been transferred</w:t>
      </w:r>
    </w:p>
    <w:p w14:paraId="77F13E2E" w14:textId="77777777" w:rsidR="00122C45" w:rsidRPr="00DA4788" w:rsidRDefault="00122C45" w:rsidP="00122C45">
      <w:r>
        <w:t>Ensuring program documents and implementation plans set clear expectations about what information will be shared, with whom and when.</w:t>
      </w:r>
    </w:p>
    <w:p w14:paraId="69F56D6B" w14:textId="17BB338E" w:rsidR="00122C45" w:rsidRDefault="00122C45" w:rsidP="0027699A">
      <w:pPr>
        <w:rPr>
          <w:lang w:eastAsia="en-AU"/>
        </w:rPr>
      </w:pPr>
      <w:r>
        <w:rPr>
          <w:noProof/>
        </w:rPr>
        <w:drawing>
          <wp:inline distT="0" distB="0" distL="0" distR="0" wp14:anchorId="03B57C72" wp14:editId="6473DB2F">
            <wp:extent cx="5593080" cy="166370"/>
            <wp:effectExtent l="0" t="0" r="7620" b="5080"/>
            <wp:docPr id="27852" name="Picture 278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3080" cy="166370"/>
                    </a:xfrm>
                    <a:prstGeom prst="rect">
                      <a:avLst/>
                    </a:prstGeom>
                    <a:noFill/>
                    <a:ln>
                      <a:noFill/>
                    </a:ln>
                  </pic:spPr>
                </pic:pic>
              </a:graphicData>
            </a:graphic>
          </wp:inline>
        </w:drawing>
      </w:r>
    </w:p>
    <w:p w14:paraId="49E9B0AB" w14:textId="07B8D517" w:rsidR="00346730" w:rsidRPr="00063132" w:rsidRDefault="00FE1593" w:rsidP="00063132">
      <w:pPr>
        <w:rPr>
          <w:b/>
          <w:bCs/>
          <w:color w:val="00264D" w:themeColor="background2"/>
          <w:sz w:val="20"/>
          <w:szCs w:val="24"/>
        </w:rPr>
      </w:pPr>
      <w:r w:rsidRPr="00063132">
        <w:rPr>
          <w:b/>
          <w:bCs/>
          <w:color w:val="00264D" w:themeColor="background2"/>
          <w:sz w:val="20"/>
          <w:szCs w:val="24"/>
        </w:rPr>
        <w:t xml:space="preserve">Some </w:t>
      </w:r>
      <w:r w:rsidR="00346730" w:rsidRPr="00063132">
        <w:rPr>
          <w:b/>
          <w:bCs/>
          <w:color w:val="00264D" w:themeColor="background2"/>
          <w:sz w:val="20"/>
          <w:szCs w:val="24"/>
        </w:rPr>
        <w:t xml:space="preserve">ACCHOs </w:t>
      </w:r>
      <w:r w:rsidRPr="00063132">
        <w:rPr>
          <w:b/>
          <w:bCs/>
          <w:color w:val="00264D" w:themeColor="background2"/>
          <w:sz w:val="20"/>
          <w:szCs w:val="24"/>
        </w:rPr>
        <w:t>w</w:t>
      </w:r>
      <w:r w:rsidR="00346730" w:rsidRPr="00063132">
        <w:rPr>
          <w:b/>
          <w:bCs/>
          <w:color w:val="00264D" w:themeColor="background2"/>
          <w:sz w:val="20"/>
          <w:szCs w:val="24"/>
        </w:rPr>
        <w:t>ould benefit from access to external corporate functions</w:t>
      </w:r>
    </w:p>
    <w:p w14:paraId="71C056B3" w14:textId="77777777" w:rsidR="00B326E4" w:rsidRDefault="006D4E3E" w:rsidP="004B6E0E">
      <w:pPr>
        <w:rPr>
          <w:lang w:eastAsia="en-AU"/>
        </w:rPr>
      </w:pPr>
      <w:r>
        <w:rPr>
          <w:lang w:eastAsia="en-AU"/>
        </w:rPr>
        <w:t xml:space="preserve">Several ACCHO and government stakeholders suggested </w:t>
      </w:r>
      <w:r w:rsidR="00E21B47">
        <w:rPr>
          <w:lang w:eastAsia="en-AU"/>
        </w:rPr>
        <w:t xml:space="preserve">establishing </w:t>
      </w:r>
      <w:r w:rsidR="003D4735">
        <w:rPr>
          <w:lang w:eastAsia="en-AU"/>
        </w:rPr>
        <w:t>an organisation to provide ACCHOs</w:t>
      </w:r>
      <w:r w:rsidR="006C744B">
        <w:rPr>
          <w:lang w:eastAsia="en-AU"/>
        </w:rPr>
        <w:t>, particularly those that are smaller and/or establishing,</w:t>
      </w:r>
      <w:r w:rsidR="003D4735">
        <w:rPr>
          <w:lang w:eastAsia="en-AU"/>
        </w:rPr>
        <w:t xml:space="preserve"> with shared corporate services (e.g.</w:t>
      </w:r>
      <w:r w:rsidR="00B02EC5">
        <w:rPr>
          <w:lang w:eastAsia="en-AU"/>
        </w:rPr>
        <w:t xml:space="preserve"> IT, HR, finance).</w:t>
      </w:r>
      <w:r w:rsidR="00CD2848">
        <w:rPr>
          <w:lang w:eastAsia="en-AU"/>
        </w:rPr>
        <w:t xml:space="preserve"> This idea </w:t>
      </w:r>
      <w:r w:rsidR="001A5635">
        <w:rPr>
          <w:lang w:eastAsia="en-AU"/>
        </w:rPr>
        <w:t>of shared corporate services</w:t>
      </w:r>
      <w:r w:rsidR="00CD2848">
        <w:rPr>
          <w:lang w:eastAsia="en-AU"/>
        </w:rPr>
        <w:t xml:space="preserve"> has a </w:t>
      </w:r>
      <w:r w:rsidR="001B354A">
        <w:rPr>
          <w:lang w:eastAsia="en-AU"/>
        </w:rPr>
        <w:t>long</w:t>
      </w:r>
      <w:r w:rsidR="00AD11BB">
        <w:rPr>
          <w:lang w:eastAsia="en-AU"/>
        </w:rPr>
        <w:t xml:space="preserve"> history in the NT</w:t>
      </w:r>
      <w:r w:rsidR="001B354A">
        <w:rPr>
          <w:lang w:eastAsia="en-AU"/>
        </w:rPr>
        <w:t>; for example,</w:t>
      </w:r>
      <w:r w:rsidR="00DD2BF1">
        <w:rPr>
          <w:lang w:eastAsia="en-AU"/>
        </w:rPr>
        <w:t xml:space="preserve"> </w:t>
      </w:r>
      <w:r w:rsidR="00DF4560">
        <w:rPr>
          <w:lang w:eastAsia="en-AU"/>
        </w:rPr>
        <w:t xml:space="preserve">“Hub Services” (shared services </w:t>
      </w:r>
      <w:r w:rsidR="006416E3">
        <w:rPr>
          <w:lang w:eastAsia="en-AU"/>
        </w:rPr>
        <w:t xml:space="preserve">for </w:t>
      </w:r>
      <w:r w:rsidR="001B354A">
        <w:rPr>
          <w:lang w:eastAsia="en-AU"/>
        </w:rPr>
        <w:t xml:space="preserve">clinics </w:t>
      </w:r>
      <w:r w:rsidR="00751FBF">
        <w:rPr>
          <w:lang w:eastAsia="en-AU"/>
        </w:rPr>
        <w:t xml:space="preserve">in a given region) were </w:t>
      </w:r>
      <w:r w:rsidR="00CB7B3E">
        <w:rPr>
          <w:lang w:eastAsia="en-AU"/>
        </w:rPr>
        <w:t>part</w:t>
      </w:r>
      <w:r w:rsidR="00751FBF">
        <w:rPr>
          <w:lang w:eastAsia="en-AU"/>
        </w:rPr>
        <w:t xml:space="preserve"> of the </w:t>
      </w:r>
      <w:r w:rsidR="007260A1">
        <w:rPr>
          <w:lang w:eastAsia="en-AU"/>
        </w:rPr>
        <w:t>regionalisation reforms</w:t>
      </w:r>
      <w:r w:rsidR="00E104F0">
        <w:rPr>
          <w:lang w:eastAsia="en-AU"/>
        </w:rPr>
        <w:t xml:space="preserve"> but were not progressed due to </w:t>
      </w:r>
      <w:r w:rsidR="00886272">
        <w:rPr>
          <w:lang w:eastAsia="en-AU"/>
        </w:rPr>
        <w:t>a lack of consensus within NTAHF.</w:t>
      </w:r>
      <w:r w:rsidR="00C80707">
        <w:rPr>
          <w:rStyle w:val="FootnoteReference"/>
          <w:lang w:eastAsia="en-AU"/>
        </w:rPr>
        <w:footnoteReference w:id="26"/>
      </w:r>
      <w:r w:rsidR="006C744B">
        <w:rPr>
          <w:lang w:eastAsia="en-AU"/>
        </w:rPr>
        <w:t xml:space="preserve"> </w:t>
      </w:r>
      <w:r w:rsidR="00FB7433">
        <w:rPr>
          <w:lang w:eastAsia="en-AU"/>
        </w:rPr>
        <w:t>The i</w:t>
      </w:r>
      <w:r w:rsidR="0063679C">
        <w:rPr>
          <w:lang w:eastAsia="en-AU"/>
        </w:rPr>
        <w:t>dea has also been considered by NTAHF more recently</w:t>
      </w:r>
      <w:r w:rsidR="002A0E71">
        <w:rPr>
          <w:lang w:eastAsia="en-AU"/>
        </w:rPr>
        <w:t>, meeting a similar lack of consensus.</w:t>
      </w:r>
      <w:r w:rsidR="00B326E4">
        <w:rPr>
          <w:lang w:eastAsia="en-AU"/>
        </w:rPr>
        <w:t xml:space="preserve"> This suggests there may be value in further exploring the idea to definitively demonstrate its feasibility or lack thereof. </w:t>
      </w:r>
    </w:p>
    <w:p w14:paraId="3D7A4CFB" w14:textId="035C8AD5" w:rsidR="00F957D0" w:rsidRDefault="0002720D" w:rsidP="004B6E0E">
      <w:pPr>
        <w:rPr>
          <w:lang w:eastAsia="en-AU"/>
        </w:rPr>
      </w:pPr>
      <w:r>
        <w:rPr>
          <w:lang w:eastAsia="en-AU"/>
        </w:rPr>
        <w:t>While stakeholders raised the idea of establishing a standalone</w:t>
      </w:r>
      <w:r w:rsidR="0068214B">
        <w:rPr>
          <w:lang w:eastAsia="en-AU"/>
        </w:rPr>
        <w:t xml:space="preserve"> organisation</w:t>
      </w:r>
      <w:r>
        <w:rPr>
          <w:lang w:eastAsia="en-AU"/>
        </w:rPr>
        <w:t xml:space="preserve">, </w:t>
      </w:r>
      <w:r w:rsidR="0068214B">
        <w:rPr>
          <w:lang w:eastAsia="en-AU"/>
        </w:rPr>
        <w:t>there are other</w:t>
      </w:r>
      <w:r>
        <w:rPr>
          <w:lang w:eastAsia="en-AU"/>
        </w:rPr>
        <w:t xml:space="preserve"> possible </w:t>
      </w:r>
      <w:r w:rsidR="0068214B">
        <w:rPr>
          <w:lang w:eastAsia="en-AU"/>
        </w:rPr>
        <w:t xml:space="preserve">approaches; for example, establishing </w:t>
      </w:r>
      <w:r w:rsidR="00855683">
        <w:rPr>
          <w:lang w:eastAsia="en-AU"/>
        </w:rPr>
        <w:t>a shared services</w:t>
      </w:r>
      <w:r w:rsidR="0068214B">
        <w:rPr>
          <w:lang w:eastAsia="en-AU"/>
        </w:rPr>
        <w:t xml:space="preserve"> </w:t>
      </w:r>
      <w:r w:rsidR="00855683">
        <w:rPr>
          <w:lang w:eastAsia="en-AU"/>
        </w:rPr>
        <w:t>arrangement</w:t>
      </w:r>
      <w:r w:rsidR="0068214B">
        <w:rPr>
          <w:lang w:eastAsia="en-AU"/>
        </w:rPr>
        <w:t xml:space="preserve"> between </w:t>
      </w:r>
      <w:r w:rsidR="00855683">
        <w:rPr>
          <w:lang w:eastAsia="en-AU"/>
        </w:rPr>
        <w:t>two ACCHOs</w:t>
      </w:r>
      <w:r w:rsidR="00953DEC">
        <w:rPr>
          <w:lang w:eastAsia="en-AU"/>
        </w:rPr>
        <w:t xml:space="preserve"> </w:t>
      </w:r>
      <w:r w:rsidR="00A62EB5">
        <w:rPr>
          <w:lang w:eastAsia="en-AU"/>
        </w:rPr>
        <w:t xml:space="preserve">(one smaller </w:t>
      </w:r>
      <w:r w:rsidR="00326DD6">
        <w:rPr>
          <w:lang w:eastAsia="en-AU"/>
        </w:rPr>
        <w:t xml:space="preserve">and/or establishing and the other larger and/or established) </w:t>
      </w:r>
      <w:r w:rsidR="00A62EB5">
        <w:rPr>
          <w:lang w:eastAsia="en-AU"/>
        </w:rPr>
        <w:t>when the need is identified.</w:t>
      </w:r>
    </w:p>
    <w:p w14:paraId="1046C581" w14:textId="77777777" w:rsidR="00F957D0" w:rsidRDefault="00F957D0">
      <w:pPr>
        <w:spacing w:after="160" w:line="259" w:lineRule="auto"/>
        <w:rPr>
          <w:lang w:eastAsia="en-AU"/>
        </w:rPr>
      </w:pPr>
      <w:r>
        <w:rPr>
          <w:lang w:eastAsia="en-AU"/>
        </w:rPr>
        <w:br w:type="page"/>
      </w:r>
    </w:p>
    <w:p w14:paraId="12D9C480" w14:textId="5D2D4539" w:rsidR="00122C45" w:rsidRDefault="00122C45" w:rsidP="004B6E0E">
      <w:pPr>
        <w:rPr>
          <w:lang w:eastAsia="en-AU"/>
        </w:rPr>
      </w:pPr>
      <w:r w:rsidRPr="00F97AB5">
        <w:rPr>
          <w:noProof/>
          <w:lang w:eastAsia="en-AU"/>
        </w:rPr>
        <w:lastRenderedPageBreak/>
        <w:drawing>
          <wp:inline distT="0" distB="0" distL="0" distR="0" wp14:anchorId="03542189" wp14:editId="3C4A7E9A">
            <wp:extent cx="5113655" cy="287655"/>
            <wp:effectExtent l="0" t="0" r="0" b="0"/>
            <wp:docPr id="27843" name="Picture 27843" descr="Recommendatio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3" name="Picture 27843" descr="Recommendation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13655" cy="287655"/>
                    </a:xfrm>
                    <a:prstGeom prst="rect">
                      <a:avLst/>
                    </a:prstGeom>
                    <a:noFill/>
                    <a:ln>
                      <a:noFill/>
                    </a:ln>
                  </pic:spPr>
                </pic:pic>
              </a:graphicData>
            </a:graphic>
          </wp:inline>
        </w:drawing>
      </w:r>
      <w:r>
        <w:rPr>
          <w:noProof/>
          <w:lang w:eastAsia="en-AU"/>
        </w:rPr>
        <w:drawing>
          <wp:inline distT="0" distB="0" distL="0" distR="0" wp14:anchorId="7624C1EA" wp14:editId="6647190A">
            <wp:extent cx="344170" cy="308610"/>
            <wp:effectExtent l="0" t="0" r="0" b="0"/>
            <wp:docPr id="27853" name="Picture 278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3" name="Picture 27853">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4170" cy="308610"/>
                    </a:xfrm>
                    <a:prstGeom prst="rect">
                      <a:avLst/>
                    </a:prstGeom>
                    <a:noFill/>
                    <a:ln>
                      <a:noFill/>
                    </a:ln>
                  </pic:spPr>
                </pic:pic>
              </a:graphicData>
            </a:graphic>
          </wp:inline>
        </w:drawing>
      </w:r>
    </w:p>
    <w:p w14:paraId="34D3CA9B" w14:textId="77777777" w:rsidR="00122C45" w:rsidRPr="00DA4788" w:rsidRDefault="00122C45" w:rsidP="00122C45">
      <w:r>
        <w:t>The partners should further explore the concept of enabling ACCHOs in the NT to access corporate functions externally. As a first step, they could conduct a study to explore different options for shared services and assess their benefits, costs, risks and overall feasibility.</w:t>
      </w:r>
    </w:p>
    <w:p w14:paraId="2CC572A0" w14:textId="0E81D606" w:rsidR="00122C45" w:rsidRPr="004B6E0E" w:rsidRDefault="00122C45" w:rsidP="004B6E0E">
      <w:pPr>
        <w:rPr>
          <w:lang w:eastAsia="en-AU"/>
        </w:rPr>
      </w:pPr>
      <w:r>
        <w:rPr>
          <w:noProof/>
        </w:rPr>
        <w:drawing>
          <wp:inline distT="0" distB="0" distL="0" distR="0" wp14:anchorId="25FC5137" wp14:editId="5BC464D3">
            <wp:extent cx="5593080" cy="166370"/>
            <wp:effectExtent l="0" t="0" r="7620" b="5080"/>
            <wp:docPr id="27856" name="Picture 278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3080" cy="166370"/>
                    </a:xfrm>
                    <a:prstGeom prst="rect">
                      <a:avLst/>
                    </a:prstGeom>
                    <a:noFill/>
                    <a:ln>
                      <a:noFill/>
                    </a:ln>
                  </pic:spPr>
                </pic:pic>
              </a:graphicData>
            </a:graphic>
          </wp:inline>
        </w:drawing>
      </w:r>
    </w:p>
    <w:p w14:paraId="1D76EC7F" w14:textId="2777327D" w:rsidR="00140372" w:rsidRPr="00063132" w:rsidRDefault="00FE1593" w:rsidP="00063132">
      <w:pPr>
        <w:rPr>
          <w:b/>
          <w:bCs/>
          <w:color w:val="00264D" w:themeColor="background2"/>
          <w:sz w:val="20"/>
          <w:szCs w:val="24"/>
        </w:rPr>
      </w:pPr>
      <w:r w:rsidRPr="00063132">
        <w:rPr>
          <w:b/>
          <w:bCs/>
          <w:color w:val="00264D" w:themeColor="background2"/>
          <w:sz w:val="20"/>
          <w:szCs w:val="24"/>
        </w:rPr>
        <w:t>Systemic workforce challenges should be managed in partnership</w:t>
      </w:r>
    </w:p>
    <w:p w14:paraId="4BE8983A" w14:textId="53F26A05" w:rsidR="002E6E81" w:rsidRDefault="002E6E81" w:rsidP="002E6E81">
      <w:pPr>
        <w:rPr>
          <w:lang w:eastAsia="en-AU"/>
        </w:rPr>
      </w:pPr>
      <w:r>
        <w:rPr>
          <w:lang w:eastAsia="en-AU"/>
        </w:rPr>
        <w:t xml:space="preserve">Transitioning, attracting and retaining staff </w:t>
      </w:r>
      <w:r w:rsidR="001C26B6">
        <w:rPr>
          <w:lang w:eastAsia="en-AU"/>
        </w:rPr>
        <w:t xml:space="preserve">were </w:t>
      </w:r>
      <w:r>
        <w:rPr>
          <w:lang w:eastAsia="en-AU"/>
        </w:rPr>
        <w:t>viewed as critical challenges. Stakeholders identified a lack of:</w:t>
      </w:r>
    </w:p>
    <w:p w14:paraId="3524CA07" w14:textId="77777777" w:rsidR="002E6E81" w:rsidRDefault="002E6E81" w:rsidP="002E6E81">
      <w:pPr>
        <w:pStyle w:val="Bullet"/>
      </w:pPr>
      <w:r>
        <w:t>Guidance or support for managing these challenges</w:t>
      </w:r>
    </w:p>
    <w:p w14:paraId="5F674A07" w14:textId="77777777" w:rsidR="002E6E81" w:rsidRDefault="002E6E81" w:rsidP="002E6E81">
      <w:pPr>
        <w:pStyle w:val="Bullet"/>
      </w:pPr>
      <w:r>
        <w:t>Communication with staff</w:t>
      </w:r>
    </w:p>
    <w:p w14:paraId="188FE66E" w14:textId="77777777" w:rsidR="002E6E81" w:rsidRDefault="002E6E81" w:rsidP="002E6E81">
      <w:pPr>
        <w:pStyle w:val="Bullet"/>
      </w:pPr>
      <w:r>
        <w:t>Change management processes</w:t>
      </w:r>
    </w:p>
    <w:p w14:paraId="6387D569" w14:textId="77777777" w:rsidR="002E6E81" w:rsidRDefault="002E6E81" w:rsidP="002E6E81">
      <w:pPr>
        <w:pStyle w:val="Bullet"/>
      </w:pPr>
      <w:r>
        <w:t>Workforce planning (including in regard to staff entitlements) and skills mapping.</w:t>
      </w:r>
    </w:p>
    <w:p w14:paraId="6D1319F9" w14:textId="23F27357" w:rsidR="002E6E81" w:rsidRDefault="002E6E81" w:rsidP="002E6E81">
      <w:pPr>
        <w:pStyle w:val="Bullet"/>
        <w:numPr>
          <w:ilvl w:val="0"/>
          <w:numId w:val="0"/>
        </w:numPr>
      </w:pPr>
      <w:r>
        <w:t xml:space="preserve">This has contributed to severe workforce pressures. </w:t>
      </w:r>
    </w:p>
    <w:p w14:paraId="10D856D4" w14:textId="77777777" w:rsidR="002E6E81" w:rsidRDefault="002E6E81" w:rsidP="002E6E81">
      <w:pPr>
        <w:pStyle w:val="Bullet"/>
        <w:numPr>
          <w:ilvl w:val="0"/>
          <w:numId w:val="0"/>
        </w:numPr>
      </w:pPr>
      <w:r>
        <w:t>ACCHO stakeholders identified actions that could be taken at a local level to address workforce challenges; for example, employing local staff as soon as possible, maintaining strong community relationships, and tailoring employment conditions to Aboriginal employees. However, it was also recognised by a range of stakeholders that workforce challenges are systemic across the NT health system (and the NT generally) and have also been exacerbated by COVID. This highlights a need for all stakeholders to work in partnership to address workforce challenges at both the local and systemic levels.</w:t>
      </w:r>
    </w:p>
    <w:p w14:paraId="0849CCB0" w14:textId="48FB15B2" w:rsidR="00BD37ED" w:rsidRDefault="00122C45" w:rsidP="002E6E81">
      <w:pPr>
        <w:pStyle w:val="Bullet"/>
        <w:numPr>
          <w:ilvl w:val="0"/>
          <w:numId w:val="0"/>
        </w:numPr>
      </w:pPr>
      <w:r w:rsidRPr="00F97AB5">
        <w:rPr>
          <w:noProof/>
        </w:rPr>
        <w:drawing>
          <wp:inline distT="0" distB="0" distL="0" distR="0" wp14:anchorId="53C90C85" wp14:editId="7D6E09EF">
            <wp:extent cx="5113655" cy="287655"/>
            <wp:effectExtent l="0" t="0" r="0" b="0"/>
            <wp:docPr id="27857" name="Picture 27857" descr="Recommendatio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7" name="Picture 27857" descr="Recommendation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13655" cy="287655"/>
                    </a:xfrm>
                    <a:prstGeom prst="rect">
                      <a:avLst/>
                    </a:prstGeom>
                    <a:noFill/>
                    <a:ln>
                      <a:noFill/>
                    </a:ln>
                  </pic:spPr>
                </pic:pic>
              </a:graphicData>
            </a:graphic>
          </wp:inline>
        </w:drawing>
      </w:r>
      <w:r w:rsidR="00093E11">
        <w:rPr>
          <w:noProof/>
        </w:rPr>
        <w:drawing>
          <wp:inline distT="0" distB="0" distL="0" distR="0" wp14:anchorId="637C3A29" wp14:editId="5C35CCEF">
            <wp:extent cx="356235" cy="297180"/>
            <wp:effectExtent l="0" t="0" r="5715" b="7620"/>
            <wp:docPr id="27859" name="Picture 278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9" name="Picture 27859">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6235" cy="297180"/>
                    </a:xfrm>
                    <a:prstGeom prst="rect">
                      <a:avLst/>
                    </a:prstGeom>
                    <a:noFill/>
                    <a:ln>
                      <a:noFill/>
                    </a:ln>
                  </pic:spPr>
                </pic:pic>
              </a:graphicData>
            </a:graphic>
          </wp:inline>
        </w:drawing>
      </w:r>
    </w:p>
    <w:p w14:paraId="2EC075F6" w14:textId="7276A905" w:rsidR="00122C45" w:rsidRDefault="00122C45" w:rsidP="00122C45">
      <w:r>
        <w:t>The partners should work in partnership with ACCHOs to manage systemic workforce challenges that threaten the ongoing sustainability of transitioned services, including by maximising employment opportunities for local staff arising out of transitions.</w:t>
      </w:r>
    </w:p>
    <w:p w14:paraId="4D3F1F53" w14:textId="54CD74BF" w:rsidR="00122C45" w:rsidRPr="00DA4788" w:rsidRDefault="00122C45" w:rsidP="00122C45">
      <w:r>
        <w:rPr>
          <w:noProof/>
        </w:rPr>
        <w:drawing>
          <wp:inline distT="0" distB="0" distL="0" distR="0" wp14:anchorId="1593BEFC" wp14:editId="6012772D">
            <wp:extent cx="5593080" cy="166370"/>
            <wp:effectExtent l="0" t="0" r="7620" b="5080"/>
            <wp:docPr id="27858" name="Picture 278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3080" cy="166370"/>
                    </a:xfrm>
                    <a:prstGeom prst="rect">
                      <a:avLst/>
                    </a:prstGeom>
                    <a:noFill/>
                    <a:ln>
                      <a:noFill/>
                    </a:ln>
                  </pic:spPr>
                </pic:pic>
              </a:graphicData>
            </a:graphic>
          </wp:inline>
        </w:drawing>
      </w:r>
    </w:p>
    <w:p w14:paraId="4AA81F2A" w14:textId="77777777" w:rsidR="00122C45" w:rsidRDefault="00122C45" w:rsidP="002E6E81">
      <w:pPr>
        <w:pStyle w:val="Bullet"/>
        <w:numPr>
          <w:ilvl w:val="0"/>
          <w:numId w:val="0"/>
        </w:numPr>
      </w:pPr>
    </w:p>
    <w:p w14:paraId="1873B795" w14:textId="7E8F8C53" w:rsidR="00C215DC" w:rsidRDefault="00C215DC" w:rsidP="00C215DC">
      <w:pPr>
        <w:pStyle w:val="xAppendixLevel1"/>
      </w:pPr>
      <w:bookmarkStart w:id="39" w:name="_Ref100247358"/>
      <w:bookmarkStart w:id="40" w:name="_Toc106294804"/>
      <w:r>
        <w:lastRenderedPageBreak/>
        <w:t>Overview of the history of the P2CC program</w:t>
      </w:r>
      <w:bookmarkEnd w:id="39"/>
      <w:bookmarkEnd w:id="40"/>
    </w:p>
    <w:p w14:paraId="2880B513" w14:textId="4CBF44A1" w:rsidR="001E3F40" w:rsidRDefault="00F356CC" w:rsidP="001E3F40">
      <w:pPr>
        <w:rPr>
          <w:lang w:eastAsia="en-AU"/>
        </w:rPr>
      </w:pPr>
      <w:r>
        <w:rPr>
          <w:lang w:eastAsia="en-AU"/>
        </w:rPr>
        <w:t>An overview of key events in the history of the P2CC program is provided below. This is primarily based on:</w:t>
      </w:r>
    </w:p>
    <w:p w14:paraId="722E979D" w14:textId="18717AEF" w:rsidR="00F356CC" w:rsidRPr="00F356CC" w:rsidRDefault="00F356CC" w:rsidP="00F356CC">
      <w:pPr>
        <w:pStyle w:val="Bullet"/>
      </w:pPr>
      <w:r w:rsidRPr="00DC7CE0">
        <w:t xml:space="preserve">J Dwyer </w:t>
      </w:r>
      <w:r w:rsidRPr="00F356CC">
        <w:t xml:space="preserve">et al., The Road Is Made by Walking: Towards a better primary health care system for Australia’s First Peoples, 2015, </w:t>
      </w:r>
      <w:hyperlink r:id="rId40" w:history="1">
        <w:r w:rsidRPr="00F356CC">
          <w:rPr>
            <w:rStyle w:val="Hyperlink"/>
          </w:rPr>
          <w:t>https://www.lowitja.org.au/content/Document/Lowitja-Publishing/FAR-Report.pdf</w:t>
        </w:r>
      </w:hyperlink>
    </w:p>
    <w:p w14:paraId="1725FF9B" w14:textId="5485F3E5" w:rsidR="00F356CC" w:rsidRPr="00F356CC" w:rsidRDefault="00F356CC" w:rsidP="00F356CC">
      <w:pPr>
        <w:pStyle w:val="Bullet"/>
      </w:pPr>
      <w:r w:rsidRPr="00F356CC">
        <w:t xml:space="preserve">D Matheson, N Hardie-Boys et al., Evaluation of the Child Health Check Initiative and the Expanding Health Service Delivery Initiative: Final Report, 2011, </w:t>
      </w:r>
      <w:hyperlink r:id="rId41" w:history="1">
        <w:r w:rsidRPr="00F356CC">
          <w:rPr>
            <w:rStyle w:val="Hyperlink"/>
          </w:rPr>
          <w:t>https://core.ac.uk/download/pdf/30680988.pdf</w:t>
        </w:r>
      </w:hyperlink>
    </w:p>
    <w:p w14:paraId="42BC3CED" w14:textId="77777777" w:rsidR="00C215DC" w:rsidRPr="00063132" w:rsidRDefault="00C215DC" w:rsidP="00063132">
      <w:pPr>
        <w:rPr>
          <w:b/>
          <w:bCs/>
          <w:color w:val="00264D" w:themeColor="background2"/>
          <w:sz w:val="20"/>
          <w:szCs w:val="24"/>
        </w:rPr>
      </w:pPr>
      <w:r w:rsidRPr="00063132">
        <w:rPr>
          <w:b/>
          <w:bCs/>
          <w:color w:val="00264D" w:themeColor="background2"/>
          <w:sz w:val="20"/>
          <w:szCs w:val="24"/>
        </w:rPr>
        <w:t>Establishment of NTAHF (1998)</w:t>
      </w:r>
    </w:p>
    <w:p w14:paraId="4A7A3972" w14:textId="675EA6C6" w:rsidR="00C215DC" w:rsidRDefault="00C215DC" w:rsidP="00C215DC">
      <w:r>
        <w:t xml:space="preserve">NTAHF, a formal partnership comprising senior representatives from the Australian Government Department of Health, the </w:t>
      </w:r>
      <w:r w:rsidR="00A55AAE">
        <w:t>NTG</w:t>
      </w:r>
      <w:r>
        <w:t xml:space="preserve"> Department of Health (NT Health), the Aboriginal Medical Services Alliance (AMSANT) and ATSIC, was established under the NT Framework Agreement on Aboriginal and Torres Strait Islander Health. The Framework Agreement was resigned in 2001 and later extended to 2003. A new Framework Agreement, which excluded ATSIC due to its abolishment in 2005, was signed in 2007 and remained in force until another new Framework Agreement was signed in 2015. NTAHF was subsequently expanded to include the Australian Government Department of the Prime Minister and Cabinet, subsequently the National Indigenous Australians Agency (NIAA), and the NT PHN.</w:t>
      </w:r>
      <w:r>
        <w:rPr>
          <w:rStyle w:val="FootnoteReference"/>
        </w:rPr>
        <w:footnoteReference w:id="27"/>
      </w:r>
    </w:p>
    <w:p w14:paraId="4DFAB317" w14:textId="77777777" w:rsidR="00C215DC" w:rsidRPr="00063132" w:rsidRDefault="00C215DC" w:rsidP="00063132">
      <w:pPr>
        <w:rPr>
          <w:b/>
          <w:bCs/>
          <w:color w:val="00264D" w:themeColor="background2"/>
          <w:sz w:val="20"/>
          <w:szCs w:val="24"/>
        </w:rPr>
      </w:pPr>
      <w:r w:rsidRPr="00063132">
        <w:rPr>
          <w:b/>
          <w:bCs/>
          <w:color w:val="00264D" w:themeColor="background2"/>
          <w:sz w:val="20"/>
          <w:szCs w:val="24"/>
        </w:rPr>
        <w:t>Increased funding for primary health care reform and expansion (2007-2009)</w:t>
      </w:r>
    </w:p>
    <w:p w14:paraId="25B549AE" w14:textId="6D7A75A5" w:rsidR="00C215DC" w:rsidRDefault="00C215DC" w:rsidP="00C215DC">
      <w:r>
        <w:t xml:space="preserve">The </w:t>
      </w:r>
      <w:r w:rsidR="00443B59">
        <w:t>Northern Territory Emergency Response (NTER)</w:t>
      </w:r>
      <w:r w:rsidR="007F4F3A">
        <w:t>,</w:t>
      </w:r>
      <w:r>
        <w:t xml:space="preserve"> declared by the Australian Government in 2007, and the Closing the Gap initiative, adopted by the Australian Government in 2008, led to additional funding for primary health care in the NT. The Australian Government committed $99.7 million over two years from July 2008 to expand and improve health service delivery in remote NT through the Expanded Health Service Delivery Initiative (EHSDI)</w:t>
      </w:r>
      <w:r w:rsidR="00F174EE">
        <w:t xml:space="preserve">, with measures funded </w:t>
      </w:r>
      <w:r>
        <w:t>through the EHSDI includ</w:t>
      </w:r>
      <w:r w:rsidR="00F174EE">
        <w:t>ing</w:t>
      </w:r>
      <w:r>
        <w:t xml:space="preserve"> the regionalisation of primary health care services and their transition to community control (among others). The Closing the Gap in the NT National Partnership Agreement of July 2009 provided $</w:t>
      </w:r>
      <w:r w:rsidR="009910FC">
        <w:t xml:space="preserve">713.5 million for the health portfolio over ten years, including </w:t>
      </w:r>
      <w:r>
        <w:t xml:space="preserve">to extend the EHSDI </w:t>
      </w:r>
      <w:r w:rsidR="009910FC">
        <w:t>as well as for the Stronger Futures program</w:t>
      </w:r>
      <w:r w:rsidR="004C2541">
        <w:t xml:space="preserve"> (which included funding </w:t>
      </w:r>
      <w:r w:rsidR="00BA33AF">
        <w:t>to support transition).</w:t>
      </w:r>
      <w:r w:rsidR="00962FF3">
        <w:rPr>
          <w:rStyle w:val="FootnoteReference"/>
        </w:rPr>
        <w:footnoteReference w:id="28"/>
      </w:r>
    </w:p>
    <w:p w14:paraId="36D86743" w14:textId="77777777" w:rsidR="00C215DC" w:rsidRPr="00063132" w:rsidRDefault="00C215DC" w:rsidP="00063132">
      <w:pPr>
        <w:rPr>
          <w:b/>
          <w:bCs/>
          <w:color w:val="00264D" w:themeColor="background2"/>
          <w:sz w:val="20"/>
          <w:szCs w:val="24"/>
        </w:rPr>
      </w:pPr>
      <w:r w:rsidRPr="00063132">
        <w:rPr>
          <w:b/>
          <w:bCs/>
          <w:color w:val="00264D" w:themeColor="background2"/>
          <w:sz w:val="20"/>
          <w:szCs w:val="24"/>
        </w:rPr>
        <w:t>Establishment of Primary Health Reform Group and Reform and Development Unit (2008-2009)</w:t>
      </w:r>
    </w:p>
    <w:p w14:paraId="26FE4105" w14:textId="24AC2DDF" w:rsidR="00C215DC" w:rsidRDefault="00C215DC" w:rsidP="00C215DC">
      <w:r>
        <w:t>NTAHF established two main bodies to drive implementation of regionalisation (including P2CC): PHRG and RADU.</w:t>
      </w:r>
    </w:p>
    <w:p w14:paraId="031121D4" w14:textId="0E003B72" w:rsidR="00C215DC" w:rsidRDefault="00C215DC" w:rsidP="00C215DC">
      <w:pPr>
        <w:pStyle w:val="Bullet"/>
        <w:numPr>
          <w:ilvl w:val="0"/>
          <w:numId w:val="0"/>
        </w:numPr>
      </w:pPr>
      <w:r>
        <w:t>PHRG was established in 2008 as a subcommittee of NTAHF to lead implementation of NTAHF</w:t>
      </w:r>
      <w:r w:rsidR="009470B4">
        <w:t>’s</w:t>
      </w:r>
      <w:r>
        <w:t xml:space="preserve"> reform agenda and manage implementation of the EHSDI.</w:t>
      </w:r>
      <w:r w:rsidR="00DB30D5">
        <w:rPr>
          <w:rStyle w:val="FootnoteReference"/>
        </w:rPr>
        <w:footnoteReference w:id="29"/>
      </w:r>
    </w:p>
    <w:p w14:paraId="434B80A8" w14:textId="77777777" w:rsidR="00C215DC" w:rsidRDefault="00C215DC" w:rsidP="00C215DC">
      <w:pPr>
        <w:pStyle w:val="Bullet"/>
        <w:numPr>
          <w:ilvl w:val="0"/>
          <w:numId w:val="0"/>
        </w:numPr>
      </w:pPr>
      <w:r>
        <w:t>RADU was established in 2009 to communicate with the regions and support their engagement with the regionalisation agenda. It sat within AMSANT, which was funded through EHSDI for its establishment, and reported to the PHRG.</w:t>
      </w:r>
      <w:r>
        <w:rPr>
          <w:rStyle w:val="FootnoteReference"/>
        </w:rPr>
        <w:footnoteReference w:id="30"/>
      </w:r>
      <w:r>
        <w:t xml:space="preserve"> It comprised 11 staff: a manager, five regionalisation coordinators, a </w:t>
      </w:r>
      <w:r>
        <w:lastRenderedPageBreak/>
        <w:t xml:space="preserve">regionalisation support officer, a communications </w:t>
      </w:r>
      <w:r w:rsidRPr="001E76B1">
        <w:t>officer, a public health/policy consultant, and an officer (plus a trainee) to provide logistical support.</w:t>
      </w:r>
      <w:r w:rsidRPr="001E76B1">
        <w:rPr>
          <w:rStyle w:val="FootnoteReference"/>
        </w:rPr>
        <w:footnoteReference w:id="31"/>
      </w:r>
      <w:r>
        <w:t xml:space="preserve"> Its key roles included:</w:t>
      </w:r>
    </w:p>
    <w:p w14:paraId="4293812E" w14:textId="77777777" w:rsidR="00C215DC" w:rsidRDefault="00C215DC" w:rsidP="00C215DC">
      <w:pPr>
        <w:pStyle w:val="Bullet"/>
      </w:pPr>
      <w:r>
        <w:t>Negotiating the boundaries of HSDAs</w:t>
      </w:r>
    </w:p>
    <w:p w14:paraId="2FCF8B84" w14:textId="77777777" w:rsidR="00C215DC" w:rsidRDefault="00C215DC" w:rsidP="00C215DC">
      <w:pPr>
        <w:pStyle w:val="Bullet"/>
      </w:pPr>
      <w:r>
        <w:t>Identifying the strengths, values, preferences and objectives of HSDA residents through community consultation</w:t>
      </w:r>
    </w:p>
    <w:p w14:paraId="48281D92" w14:textId="77777777" w:rsidR="00C215DC" w:rsidRDefault="00C215DC" w:rsidP="00C215DC">
      <w:pPr>
        <w:pStyle w:val="Bullet"/>
      </w:pPr>
      <w:r>
        <w:t>Assisting communities to establish governance and leadership arrangements in the form of Regional Steering Committees</w:t>
      </w:r>
    </w:p>
    <w:p w14:paraId="460342FB" w14:textId="77777777" w:rsidR="00C215DC" w:rsidRDefault="00C215DC" w:rsidP="00C215DC">
      <w:pPr>
        <w:pStyle w:val="Bullet"/>
      </w:pPr>
      <w:r>
        <w:t>Developing templates and tools to assist regional steering committees and health service providers to engage with the agreed regionalisation process</w:t>
      </w:r>
    </w:p>
    <w:p w14:paraId="062D61F7" w14:textId="4159F606" w:rsidR="00C215DC" w:rsidRDefault="00C215DC" w:rsidP="00C215DC">
      <w:pPr>
        <w:pStyle w:val="Bullet"/>
      </w:pPr>
      <w:r>
        <w:t xml:space="preserve">Building the </w:t>
      </w:r>
      <w:r w:rsidRPr="001D04DA">
        <w:t xml:space="preserve">corporate, clinical and community competencies and capabilities </w:t>
      </w:r>
      <w:r>
        <w:t xml:space="preserve">of </w:t>
      </w:r>
      <w:r w:rsidR="00564DE2">
        <w:t>r</w:t>
      </w:r>
      <w:r>
        <w:t>egional</w:t>
      </w:r>
      <w:r w:rsidR="00564DE2">
        <w:t xml:space="preserve"> s</w:t>
      </w:r>
      <w:r>
        <w:t xml:space="preserve">teering </w:t>
      </w:r>
      <w:r w:rsidR="00564DE2">
        <w:t>c</w:t>
      </w:r>
      <w:r>
        <w:t>ommittees and health service providers</w:t>
      </w:r>
    </w:p>
    <w:p w14:paraId="1613FED9" w14:textId="63AE2E88" w:rsidR="00C215DC" w:rsidRDefault="00C215DC" w:rsidP="00C215DC">
      <w:pPr>
        <w:pStyle w:val="Bullet"/>
      </w:pPr>
      <w:r>
        <w:t>Supporting the development of health plans for each HSDA, including a service plan, a transition plan and a longer-term strategic plan</w:t>
      </w:r>
    </w:p>
    <w:p w14:paraId="18249490" w14:textId="77777777" w:rsidR="00C215DC" w:rsidRDefault="00C215DC" w:rsidP="00C215DC">
      <w:pPr>
        <w:pStyle w:val="Bullet"/>
      </w:pPr>
      <w:r>
        <w:t>Undertaking risk analysis and management.</w:t>
      </w:r>
    </w:p>
    <w:p w14:paraId="735DE56D" w14:textId="4940EF69" w:rsidR="00C215DC" w:rsidRDefault="00C215DC" w:rsidP="00DB30D5">
      <w:pPr>
        <w:pStyle w:val="Bullet"/>
        <w:numPr>
          <w:ilvl w:val="0"/>
          <w:numId w:val="0"/>
        </w:numPr>
      </w:pPr>
      <w:r>
        <w:t>Local units were established in the Barkly and East Arnhem regions in 2009 and 2011 respectively, playing a similar</w:t>
      </w:r>
      <w:r w:rsidR="008E5FB1">
        <w:t xml:space="preserve"> role</w:t>
      </w:r>
      <w:r>
        <w:t xml:space="preserve"> to the RADU but specifically for those regions.</w:t>
      </w:r>
      <w:r w:rsidR="00DB30D5">
        <w:t xml:space="preserve"> </w:t>
      </w:r>
      <w:r>
        <w:t xml:space="preserve">RADU also presented (in its briefing paper titled </w:t>
      </w:r>
      <w:r>
        <w:rPr>
          <w:i/>
          <w:iCs/>
        </w:rPr>
        <w:t>On the Same Track</w:t>
      </w:r>
      <w:r>
        <w:t>) a community engagement framework for Aboriginal health, including guiding principles and directions.</w:t>
      </w:r>
      <w:r w:rsidRPr="001E76B1">
        <w:rPr>
          <w:rStyle w:val="FootnoteReference"/>
        </w:rPr>
        <w:footnoteReference w:id="32"/>
      </w:r>
    </w:p>
    <w:p w14:paraId="7437775D" w14:textId="33402896" w:rsidR="00C215DC" w:rsidRPr="00063132" w:rsidRDefault="00C215DC" w:rsidP="00063132">
      <w:pPr>
        <w:rPr>
          <w:b/>
          <w:bCs/>
          <w:color w:val="00264D" w:themeColor="background2"/>
          <w:sz w:val="20"/>
          <w:szCs w:val="24"/>
        </w:rPr>
      </w:pPr>
      <w:r w:rsidRPr="00063132">
        <w:rPr>
          <w:b/>
          <w:bCs/>
          <w:color w:val="00264D" w:themeColor="background2"/>
          <w:sz w:val="20"/>
          <w:szCs w:val="24"/>
        </w:rPr>
        <w:t>Establishment of the P2CC agenda (2005-2010)</w:t>
      </w:r>
    </w:p>
    <w:p w14:paraId="0EEB12DD" w14:textId="0CA1DE1B" w:rsidR="00C215DC" w:rsidRDefault="00C215DC" w:rsidP="00C215DC">
      <w:pPr>
        <w:rPr>
          <w:lang w:eastAsia="en-AU"/>
        </w:rPr>
      </w:pPr>
      <w:r>
        <w:rPr>
          <w:lang w:eastAsia="en-AU"/>
        </w:rPr>
        <w:t xml:space="preserve">Work toward the P2CC agenda commenced in 2005. The P2CC </w:t>
      </w:r>
      <w:r w:rsidR="006157C1">
        <w:rPr>
          <w:lang w:eastAsia="en-AU"/>
        </w:rPr>
        <w:t xml:space="preserve">program </w:t>
      </w:r>
      <w:r>
        <w:rPr>
          <w:lang w:eastAsia="en-AU"/>
        </w:rPr>
        <w:t>document was endorsed by NTAHF in 2008 and formally launched in 2009. It outlined NTAHF’s collective understanding of community control and potential ways it could be achieved. It also provided an indicative five-year implementation timeframe.</w:t>
      </w:r>
      <w:r>
        <w:rPr>
          <w:rStyle w:val="FootnoteReference"/>
        </w:rPr>
        <w:footnoteReference w:id="33"/>
      </w:r>
    </w:p>
    <w:p w14:paraId="6B3F674C" w14:textId="3F61C541" w:rsidR="00C215DC" w:rsidRDefault="00C215DC" w:rsidP="00C215DC">
      <w:r>
        <w:t xml:space="preserve">The </w:t>
      </w:r>
      <w:r w:rsidRPr="00ED4F69">
        <w:rPr>
          <w:i/>
          <w:iCs/>
        </w:rPr>
        <w:t>NT Regionalisation of Aboriginal Primary Health Care Guidelines</w:t>
      </w:r>
      <w:r>
        <w:t>, a foundational implementation document for the P2CC agenda and the regionalisation process, was developed by the PHRG in 2009-2010 and endorsed by NTAHF in 2010. It outlines the regionalisation reforms and describes a four stage process (of development, consolidation, implementation and evaluation) to establish a regional Aboriginal community controlled primary health care service. Only the development stage was described in detail; guidelines for the consolidation stage were developed but never endorsed. Tools for regional steering committees (e.g. consultation report templates) were also included.</w:t>
      </w:r>
      <w:r>
        <w:rPr>
          <w:rStyle w:val="FootnoteReference"/>
        </w:rPr>
        <w:footnoteReference w:id="34"/>
      </w:r>
    </w:p>
    <w:p w14:paraId="7A6AC598" w14:textId="77777777" w:rsidR="00C215DC" w:rsidRPr="00063132" w:rsidRDefault="00C215DC" w:rsidP="00063132">
      <w:pPr>
        <w:rPr>
          <w:b/>
          <w:bCs/>
          <w:color w:val="00264D" w:themeColor="background2"/>
          <w:sz w:val="20"/>
          <w:szCs w:val="24"/>
        </w:rPr>
      </w:pPr>
      <w:r w:rsidRPr="00063132">
        <w:rPr>
          <w:b/>
          <w:bCs/>
          <w:color w:val="00264D" w:themeColor="background2"/>
          <w:sz w:val="20"/>
          <w:szCs w:val="24"/>
        </w:rPr>
        <w:t>Setbacks and challenges in regionalisation process (2009-2011)</w:t>
      </w:r>
    </w:p>
    <w:p w14:paraId="6D2B4324" w14:textId="77777777" w:rsidR="00C215DC" w:rsidRDefault="00C215DC" w:rsidP="00C215DC">
      <w:pPr>
        <w:rPr>
          <w:lang w:eastAsia="en-AU"/>
        </w:rPr>
      </w:pPr>
      <w:r>
        <w:rPr>
          <w:lang w:eastAsia="en-AU"/>
        </w:rPr>
        <w:t>From the outset, the regionalisation process experienced setbacks and challenges:</w:t>
      </w:r>
    </w:p>
    <w:p w14:paraId="2FBB9DB6" w14:textId="5D8FA32B" w:rsidR="00C215DC" w:rsidRDefault="00C215DC" w:rsidP="00C215DC">
      <w:pPr>
        <w:pStyle w:val="Bullet"/>
      </w:pPr>
      <w:r>
        <w:t>A funds pooling arrangement, as had existed under the Coordinated Care Trials, was not designed, planned or ultimately established</w:t>
      </w:r>
      <w:r w:rsidR="00D0585E">
        <w:t>.</w:t>
      </w:r>
    </w:p>
    <w:p w14:paraId="4B9E1CAB" w14:textId="77777777" w:rsidR="00C215DC" w:rsidRDefault="00C215DC" w:rsidP="00C215DC">
      <w:pPr>
        <w:pStyle w:val="Bullet"/>
      </w:pPr>
      <w:r>
        <w:t>A joint survey of capital assets to be transferred as part of transition was not conducted (with the NT and Australian Governments reportedly conducting separate surveys which were not widely shared).</w:t>
      </w:r>
    </w:p>
    <w:p w14:paraId="0BBEA5E4" w14:textId="24D92263" w:rsidR="00C215DC" w:rsidRDefault="00C215DC" w:rsidP="00C215DC">
      <w:pPr>
        <w:pStyle w:val="Bullet"/>
      </w:pPr>
      <w:r>
        <w:lastRenderedPageBreak/>
        <w:t>NTAHF was not well placed to perform the role</w:t>
      </w:r>
      <w:r w:rsidR="008B6530">
        <w:t xml:space="preserve"> of</w:t>
      </w:r>
      <w:r>
        <w:t xml:space="preserve"> implementing regionalisation. “The task was enormous, funding unprecedented and the timeframe tight. Pressure on NTAHF, the partners and key decision makers became intense. Problems and differences emerged.”</w:t>
      </w:r>
      <w:r w:rsidR="00384544">
        <w:rPr>
          <w:rStyle w:val="FootnoteReference"/>
        </w:rPr>
        <w:footnoteReference w:id="35"/>
      </w:r>
    </w:p>
    <w:p w14:paraId="2BEEC02B" w14:textId="77777777" w:rsidR="00C215DC" w:rsidRDefault="00C215DC" w:rsidP="00C215DC">
      <w:pPr>
        <w:pStyle w:val="Bullet"/>
      </w:pPr>
      <w:r>
        <w:t>There was misunderstanding and disagreement within communities as to what regionalisation and the P2CC program proposed (e.g. confusion about the existence of a continuum of community control as opposed to a yes/no dichotomy).</w:t>
      </w:r>
    </w:p>
    <w:p w14:paraId="014F0F23" w14:textId="77777777" w:rsidR="00C215DC" w:rsidRDefault="00C215DC" w:rsidP="00C215DC">
      <w:pPr>
        <w:pStyle w:val="Bullet"/>
      </w:pPr>
      <w:r>
        <w:t>Cumulative negative experiences corroded the goodwill of key Aboriginal community members (e.g. leaders who advocated for reforms were blamed and criticised when they did not materialise).</w:t>
      </w:r>
    </w:p>
    <w:p w14:paraId="51045934" w14:textId="77777777" w:rsidR="00C215DC" w:rsidRPr="0087389E" w:rsidRDefault="00C215DC" w:rsidP="00C215DC">
      <w:pPr>
        <w:pStyle w:val="Bullet"/>
      </w:pPr>
      <w:r>
        <w:t>The regionalisation guidelines articulated an extensive role for community members in regional steering committees but payment for this investment was ruled out.</w:t>
      </w:r>
    </w:p>
    <w:p w14:paraId="2EDEEF2B" w14:textId="77777777" w:rsidR="00C215DC" w:rsidRDefault="00C215DC" w:rsidP="00C215DC">
      <w:pPr>
        <w:pStyle w:val="Bullet"/>
      </w:pPr>
      <w:r>
        <w:t>HSDA boundaries and service providers roles within them proved difficult to resolve.</w:t>
      </w:r>
    </w:p>
    <w:p w14:paraId="398A0A4E" w14:textId="77777777" w:rsidR="00C215DC" w:rsidRDefault="00C215DC" w:rsidP="00C215DC">
      <w:pPr>
        <w:pStyle w:val="Bullet"/>
      </w:pPr>
      <w:r>
        <w:t>There was perception within Aboriginal communities that the progress of reform was too slow.</w:t>
      </w:r>
      <w:r>
        <w:rPr>
          <w:rStyle w:val="FootnoteReference"/>
        </w:rPr>
        <w:footnoteReference w:id="36"/>
      </w:r>
    </w:p>
    <w:p w14:paraId="7FBA2953" w14:textId="77777777" w:rsidR="00C215DC" w:rsidRPr="00063132" w:rsidRDefault="00C215DC" w:rsidP="00063132">
      <w:pPr>
        <w:rPr>
          <w:b/>
          <w:bCs/>
          <w:color w:val="00264D" w:themeColor="background2"/>
          <w:sz w:val="20"/>
          <w:szCs w:val="24"/>
        </w:rPr>
      </w:pPr>
      <w:r w:rsidRPr="00063132">
        <w:rPr>
          <w:b/>
          <w:bCs/>
          <w:color w:val="00264D" w:themeColor="background2"/>
          <w:sz w:val="20"/>
          <w:szCs w:val="24"/>
        </w:rPr>
        <w:t>Evaluation of the EHSDI (2009-2011)</w:t>
      </w:r>
    </w:p>
    <w:p w14:paraId="23D050F0" w14:textId="77777777" w:rsidR="00C215DC" w:rsidRDefault="00C215DC" w:rsidP="00C215DC">
      <w:pPr>
        <w:rPr>
          <w:lang w:eastAsia="en-AU"/>
        </w:rPr>
      </w:pPr>
      <w:r>
        <w:rPr>
          <w:lang w:eastAsia="en-AU"/>
        </w:rPr>
        <w:t>Evaluation was built into the EHSDI from the beginning. The final evaluation report, released in 2011, was positive about NTAHF’s achievements and supportive of a continuing partnership structure; however, it identified a number of issues, including but not limited to:</w:t>
      </w:r>
    </w:p>
    <w:p w14:paraId="09BDBD5D" w14:textId="77777777" w:rsidR="00C215DC" w:rsidRDefault="00C215DC" w:rsidP="00C215DC">
      <w:pPr>
        <w:pStyle w:val="Bullet"/>
      </w:pPr>
      <w:r>
        <w:t>The size and complexity of the task relative to the available timeframe and resources (e.g. initial under-scoping and under-resourcing meant implementation policy work fell to the PHRG, whose members were already fully employed and becoming overloaded)</w:t>
      </w:r>
    </w:p>
    <w:p w14:paraId="4F1658C6" w14:textId="77777777" w:rsidR="00C215DC" w:rsidRDefault="00C215DC" w:rsidP="00C215DC">
      <w:pPr>
        <w:pStyle w:val="Bullet"/>
      </w:pPr>
      <w:r>
        <w:t>Unclear roles and responsibilities on the part of NTAHF and among its partners</w:t>
      </w:r>
    </w:p>
    <w:p w14:paraId="2758826B" w14:textId="77777777" w:rsidR="00C215DC" w:rsidRPr="00951BBC" w:rsidRDefault="00C215DC" w:rsidP="00C215DC">
      <w:pPr>
        <w:pStyle w:val="Bullet"/>
      </w:pPr>
      <w:r>
        <w:t>Inability of NTAHF to resolve emerging disagreements among partners</w:t>
      </w:r>
    </w:p>
    <w:p w14:paraId="098FF839" w14:textId="77777777" w:rsidR="00C215DC" w:rsidRDefault="00C215DC" w:rsidP="00C215DC">
      <w:pPr>
        <w:pStyle w:val="Bullet"/>
      </w:pPr>
      <w:r>
        <w:t>The absence of unified, committed leadership in NTAHF</w:t>
      </w:r>
    </w:p>
    <w:p w14:paraId="733262C5" w14:textId="77777777" w:rsidR="00C215DC" w:rsidRDefault="00C215DC" w:rsidP="00C215DC">
      <w:pPr>
        <w:pStyle w:val="Bullet"/>
      </w:pPr>
      <w:r>
        <w:t>Emerging ambivalence about regionalisation.</w:t>
      </w:r>
      <w:r>
        <w:rPr>
          <w:rStyle w:val="FootnoteReference"/>
        </w:rPr>
        <w:footnoteReference w:id="37"/>
      </w:r>
    </w:p>
    <w:p w14:paraId="6F040504" w14:textId="77777777" w:rsidR="00C215DC" w:rsidRPr="00063132" w:rsidRDefault="00C215DC" w:rsidP="00063132">
      <w:pPr>
        <w:rPr>
          <w:b/>
          <w:bCs/>
          <w:color w:val="00264D" w:themeColor="background2"/>
          <w:sz w:val="20"/>
        </w:rPr>
      </w:pPr>
      <w:r w:rsidRPr="00063132">
        <w:rPr>
          <w:b/>
          <w:bCs/>
          <w:color w:val="00264D" w:themeColor="background2"/>
          <w:sz w:val="20"/>
        </w:rPr>
        <w:t>Development of competence and capability framework (2011)</w:t>
      </w:r>
    </w:p>
    <w:p w14:paraId="08416890" w14:textId="41523082" w:rsidR="00C215DC" w:rsidRDefault="00C215DC" w:rsidP="00C215DC">
      <w:r>
        <w:rPr>
          <w:lang w:eastAsia="en-AU"/>
        </w:rPr>
        <w:t>A framework to assess the competence and capability of community governance structures was developed in 2011-2012. However, people who engaged with the assessment process experienced it “</w:t>
      </w:r>
      <w:r>
        <w:t>not as a supportive step towards community control but, rather, as a process designed to demonstrate local inadequacies and thereby impede progress.”</w:t>
      </w:r>
      <w:r w:rsidR="00384544">
        <w:rPr>
          <w:rStyle w:val="FootnoteReference"/>
        </w:rPr>
        <w:footnoteReference w:id="38"/>
      </w:r>
      <w:r>
        <w:t xml:space="preserve"> Some viewed it as a manifestation of excessive risk </w:t>
      </w:r>
      <w:r w:rsidR="00E323BD">
        <w:t>in</w:t>
      </w:r>
      <w:r>
        <w:t>tolerance on the part of both the NT and Australian Governments. The framework was subsequently reshaped and renamed (as the Regional Readiness Assessment Tool).</w:t>
      </w:r>
      <w:r>
        <w:rPr>
          <w:rStyle w:val="FootnoteReference"/>
        </w:rPr>
        <w:footnoteReference w:id="39"/>
      </w:r>
    </w:p>
    <w:p w14:paraId="50550466" w14:textId="77777777" w:rsidR="00C215DC" w:rsidRPr="00063132" w:rsidRDefault="00C215DC" w:rsidP="00063132">
      <w:pPr>
        <w:rPr>
          <w:b/>
          <w:bCs/>
          <w:color w:val="00264D" w:themeColor="background2"/>
          <w:sz w:val="20"/>
          <w:szCs w:val="24"/>
        </w:rPr>
      </w:pPr>
      <w:r w:rsidRPr="00063132">
        <w:rPr>
          <w:b/>
          <w:bCs/>
          <w:color w:val="00264D" w:themeColor="background2"/>
          <w:sz w:val="20"/>
          <w:szCs w:val="24"/>
        </w:rPr>
        <w:t>Period of reduced NTAHF activity (2011-2013)</w:t>
      </w:r>
    </w:p>
    <w:p w14:paraId="68969DB6" w14:textId="77777777" w:rsidR="00C215DC" w:rsidRDefault="00C215DC" w:rsidP="00C215DC">
      <w:pPr>
        <w:pStyle w:val="Bullet"/>
        <w:numPr>
          <w:ilvl w:val="0"/>
          <w:numId w:val="0"/>
        </w:numPr>
      </w:pPr>
      <w:r>
        <w:t>The final evaluation report recommended regionalisation continue under the auspices of NTAHF but with a new plan and scope, additional resources, and stronger governance and leadership. NTAHF agreed to form a working party to develop a response to the evaluation, but this appears not to have been done.</w:t>
      </w:r>
    </w:p>
    <w:p w14:paraId="752D3517" w14:textId="77777777" w:rsidR="00C215DC" w:rsidRDefault="00C215DC" w:rsidP="00C215DC">
      <w:pPr>
        <w:pStyle w:val="Bullet"/>
        <w:numPr>
          <w:ilvl w:val="0"/>
          <w:numId w:val="0"/>
        </w:numPr>
      </w:pPr>
      <w:r>
        <w:t xml:space="preserve">There are no minutes of NTAHF meetings between mid-2011 and mid-2012. PHRG’s ceased to meet following a meeting in early 2011. There was also a reported souring of essential relationships between the </w:t>
      </w:r>
      <w:r>
        <w:lastRenderedPageBreak/>
        <w:t>parties, compounded by loss of corporate memory as key people who had been integral to the regionalisation reform agenda moved on.</w:t>
      </w:r>
    </w:p>
    <w:p w14:paraId="625ABBB9" w14:textId="77777777" w:rsidR="00C215DC" w:rsidRDefault="00C215DC" w:rsidP="00C215DC">
      <w:pPr>
        <w:pStyle w:val="Bullet"/>
        <w:numPr>
          <w:ilvl w:val="0"/>
          <w:numId w:val="0"/>
        </w:numPr>
      </w:pPr>
      <w:r>
        <w:t xml:space="preserve">The Australian Government responded by creating an alternative decision-making body comprising the most senior representatives from each partner. The Senior Officers Group (SOG), originally proposed in late 2011, was intended to take over NTAHF’s role in regionalisation (though its formal relationship with NTAHF was ambiguous). The SOG met at least five times but ceased to meet at all within months of its establishment. Following its last meeting in early 2012, several planned meetings were postponed. </w:t>
      </w:r>
    </w:p>
    <w:p w14:paraId="4DE09886" w14:textId="37E34176" w:rsidR="00C215DC" w:rsidRDefault="00C215DC" w:rsidP="00C215DC">
      <w:pPr>
        <w:pStyle w:val="Bullet"/>
        <w:numPr>
          <w:ilvl w:val="0"/>
          <w:numId w:val="0"/>
        </w:numPr>
      </w:pPr>
      <w:r>
        <w:t>By mid-2012, RADU was reduced to a single officer working in Central Australia and NTAHF entered a period of inactivity. The evaluation of the EHSDI identified a number of challenges in RADU’s role; for example:</w:t>
      </w:r>
    </w:p>
    <w:p w14:paraId="3C48313C" w14:textId="77777777" w:rsidR="00C215DC" w:rsidRPr="00643CA9" w:rsidRDefault="00C215DC" w:rsidP="00643CA9">
      <w:pPr>
        <w:pStyle w:val="Bullet"/>
      </w:pPr>
      <w:r w:rsidRPr="00643CA9">
        <w:t>There was a tension between AMSANT’s role as the advocate for the community controlled sector and its responsibilities through RADU for implementation of regionalisation. Some stakeholders were unclear on whether RADU’s role was as an advocate for ACCHOs or an independent facilitator. At times, RADU’s role brought AMSANT into conflict with its members.</w:t>
      </w:r>
    </w:p>
    <w:p w14:paraId="38959B7F" w14:textId="123ED766" w:rsidR="00C215DC" w:rsidRPr="00643CA9" w:rsidRDefault="00C215DC" w:rsidP="00643CA9">
      <w:pPr>
        <w:pStyle w:val="Bullet"/>
      </w:pPr>
      <w:r w:rsidRPr="00643CA9">
        <w:t>There were concerns on the part of AMSANT that RADU’s role, which had focused on the governance aspects of regionalisation, had expanded to include regional health planning, leading to resourcing challenges. Related to this, there was a perception that RADU lacked resources and capacity in some areas required for its role.</w:t>
      </w:r>
    </w:p>
    <w:p w14:paraId="5E7B22AA" w14:textId="77777777" w:rsidR="00C215DC" w:rsidRDefault="00C215DC" w:rsidP="00C215DC">
      <w:pPr>
        <w:pStyle w:val="Bullet"/>
        <w:numPr>
          <w:ilvl w:val="0"/>
          <w:numId w:val="0"/>
        </w:numPr>
      </w:pPr>
      <w:r>
        <w:t xml:space="preserve">However, the reduction in resourcing for RADU may have reflected a broader loss of momentum that was occurring at this time. </w:t>
      </w:r>
    </w:p>
    <w:p w14:paraId="34EDB132" w14:textId="26DA6140" w:rsidR="00C215DC" w:rsidRDefault="00C215DC" w:rsidP="00C215DC">
      <w:pPr>
        <w:pStyle w:val="Bullet"/>
        <w:numPr>
          <w:ilvl w:val="0"/>
          <w:numId w:val="0"/>
        </w:numPr>
      </w:pPr>
      <w:r>
        <w:t xml:space="preserve">In 2012, a change of government in the NT led to financial restrictions, including freezing of staff numbers and limiting of travel, and a major restructure of the NT Department of Health. In 2013, a change of government at the </w:t>
      </w:r>
      <w:r w:rsidR="008B3770">
        <w:t>Commonwealth</w:t>
      </w:r>
      <w:r>
        <w:t xml:space="preserve"> level brought financial stringency, scrutiny of Indigenous affairs, and machinery of government changes. At around this time, high-profile challenges experienced by ACCHOs, including three in the NT, negatively affected perceptions of the viability of community control. There was </w:t>
      </w:r>
      <w:r w:rsidR="00BC0AFD">
        <w:t xml:space="preserve">insufficient </w:t>
      </w:r>
      <w:r w:rsidR="00A55AAE">
        <w:t>NTG</w:t>
      </w:r>
      <w:r>
        <w:t xml:space="preserve"> authorisation and support (e.g. Cabinet-level engagement at the </w:t>
      </w:r>
      <w:r w:rsidR="00EF3CA9">
        <w:t>Commonwealth</w:t>
      </w:r>
      <w:r>
        <w:t xml:space="preserve"> level) to enable the parties to maintain the agreed course of action amidst these events.</w:t>
      </w:r>
      <w:r w:rsidR="003D1F8C">
        <w:rPr>
          <w:rStyle w:val="FootnoteReference"/>
        </w:rPr>
        <w:footnoteReference w:id="40"/>
      </w:r>
    </w:p>
    <w:p w14:paraId="785CBBAE" w14:textId="474F0A41" w:rsidR="005B7222" w:rsidRPr="00063132" w:rsidRDefault="005B7222" w:rsidP="00063132">
      <w:pPr>
        <w:rPr>
          <w:b/>
          <w:bCs/>
          <w:color w:val="00264D" w:themeColor="background2"/>
          <w:sz w:val="20"/>
          <w:szCs w:val="24"/>
        </w:rPr>
      </w:pPr>
      <w:r w:rsidRPr="00063132">
        <w:rPr>
          <w:b/>
          <w:bCs/>
          <w:color w:val="00264D" w:themeColor="background2"/>
          <w:sz w:val="20"/>
          <w:szCs w:val="24"/>
        </w:rPr>
        <w:t>Transfer of Yirrkala Clinic (2012)</w:t>
      </w:r>
    </w:p>
    <w:p w14:paraId="2D266A5E" w14:textId="727C4570" w:rsidR="003B3975" w:rsidRDefault="003B3975" w:rsidP="00C215DC">
      <w:pPr>
        <w:pStyle w:val="Bullet"/>
        <w:numPr>
          <w:ilvl w:val="0"/>
          <w:numId w:val="0"/>
        </w:numPr>
      </w:pPr>
      <w:r>
        <w:t xml:space="preserve">Agreement to transfer Yirrkala Clinic from NT Health to </w:t>
      </w:r>
      <w:proofErr w:type="spellStart"/>
      <w:r>
        <w:t>Miwatj</w:t>
      </w:r>
      <w:proofErr w:type="spellEnd"/>
      <w:r>
        <w:t xml:space="preserve"> </w:t>
      </w:r>
      <w:r w:rsidR="008058D5">
        <w:t>was</w:t>
      </w:r>
      <w:r>
        <w:t xml:space="preserve"> reached in December 2011. </w:t>
      </w:r>
      <w:proofErr w:type="spellStart"/>
      <w:r>
        <w:t>Miwatj</w:t>
      </w:r>
      <w:proofErr w:type="spellEnd"/>
      <w:r>
        <w:t xml:space="preserve"> </w:t>
      </w:r>
      <w:r w:rsidR="008058D5">
        <w:t>took</w:t>
      </w:r>
      <w:r>
        <w:t xml:space="preserve"> over day-to-day management of the clinic in July 2012. The transfer of operating funds </w:t>
      </w:r>
      <w:r w:rsidR="008058D5">
        <w:t>was</w:t>
      </w:r>
      <w:r>
        <w:t xml:space="preserve"> delayed due to concern about allocation of overhead costs and debate over whether to allocate Australian Government funding directly or via NT Health. The </w:t>
      </w:r>
      <w:r w:rsidR="00D3149D">
        <w:t>c</w:t>
      </w:r>
      <w:r>
        <w:t xml:space="preserve">ompetence and </w:t>
      </w:r>
      <w:r w:rsidR="00D3149D">
        <w:t>c</w:t>
      </w:r>
      <w:r>
        <w:t xml:space="preserve">apability </w:t>
      </w:r>
      <w:r w:rsidR="00D3149D">
        <w:t>f</w:t>
      </w:r>
      <w:r>
        <w:t xml:space="preserve">ramework </w:t>
      </w:r>
      <w:r w:rsidR="00D3149D">
        <w:t xml:space="preserve">(referenced above as being developed in 2011) </w:t>
      </w:r>
      <w:r w:rsidR="008058D5">
        <w:t>was</w:t>
      </w:r>
      <w:r>
        <w:t xml:space="preserve"> applied as a condition of approval to transfer and show</w:t>
      </w:r>
      <w:r w:rsidR="008058D5">
        <w:t>ed</w:t>
      </w:r>
      <w:r>
        <w:t xml:space="preserve"> good results.</w:t>
      </w:r>
      <w:r w:rsidR="003D1F8C">
        <w:rPr>
          <w:rStyle w:val="FootnoteReference"/>
        </w:rPr>
        <w:footnoteReference w:id="41"/>
      </w:r>
    </w:p>
    <w:p w14:paraId="1DB3920C" w14:textId="77777777" w:rsidR="00C215DC" w:rsidRPr="00063132" w:rsidRDefault="00C215DC" w:rsidP="00063132">
      <w:pPr>
        <w:rPr>
          <w:b/>
          <w:bCs/>
        </w:rPr>
      </w:pPr>
      <w:r w:rsidRPr="00063132">
        <w:rPr>
          <w:b/>
          <w:bCs/>
          <w:color w:val="00264D" w:themeColor="background2"/>
          <w:sz w:val="20"/>
          <w:szCs w:val="24"/>
        </w:rPr>
        <w:t>Halting of regionalisation process (2014)</w:t>
      </w:r>
    </w:p>
    <w:p w14:paraId="0CF6A9C2" w14:textId="5C3F5182" w:rsidR="00C215DC" w:rsidRDefault="00C215DC" w:rsidP="00C215DC">
      <w:pPr>
        <w:pStyle w:val="Bullet"/>
        <w:numPr>
          <w:ilvl w:val="0"/>
          <w:numId w:val="0"/>
        </w:numPr>
      </w:pPr>
      <w:r>
        <w:t>The regionalisation process was halted in 2014, with no funding allocated to it in the 2014-15 Australian Government budget. By this point, only three HSDAs (Barkly, East Arnhem and Red Lily) had submitted Final Regionalisation Proposals, only one of which had been provisionally endorsed by NTAHF.</w:t>
      </w:r>
      <w:r>
        <w:rPr>
          <w:rStyle w:val="FootnoteReference"/>
        </w:rPr>
        <w:footnoteReference w:id="42"/>
      </w:r>
    </w:p>
    <w:p w14:paraId="00D03A84" w14:textId="51BB4F09" w:rsidR="00637ACE" w:rsidRPr="00063132" w:rsidRDefault="00637ACE" w:rsidP="00063132">
      <w:pPr>
        <w:rPr>
          <w:b/>
          <w:bCs/>
          <w:color w:val="00264D" w:themeColor="background2"/>
          <w:sz w:val="20"/>
          <w:szCs w:val="24"/>
        </w:rPr>
      </w:pPr>
      <w:r w:rsidRPr="00063132">
        <w:rPr>
          <w:b/>
          <w:bCs/>
          <w:color w:val="00264D" w:themeColor="background2"/>
          <w:sz w:val="20"/>
          <w:szCs w:val="24"/>
        </w:rPr>
        <w:t>Establishment of IAHP (2014)</w:t>
      </w:r>
    </w:p>
    <w:p w14:paraId="7ECD2D39" w14:textId="14F846CE" w:rsidR="00637ACE" w:rsidRPr="0087389E" w:rsidRDefault="00637ACE" w:rsidP="00C215DC">
      <w:pPr>
        <w:pStyle w:val="Bullet"/>
        <w:numPr>
          <w:ilvl w:val="0"/>
          <w:numId w:val="0"/>
        </w:numPr>
      </w:pPr>
      <w:r>
        <w:lastRenderedPageBreak/>
        <w:t>At this same time, the Australian Government established the IAHP, which aims to increase Aboriginal and Torres Strait Islander people’s access to safe and effective essential health services. Funding for the P2CC program originally provided through the NTER and the Stronger Futures program were rolled into the IAHP.</w:t>
      </w:r>
      <w:r w:rsidR="003D1F8C">
        <w:rPr>
          <w:rStyle w:val="FootnoteReference"/>
        </w:rPr>
        <w:footnoteReference w:id="43"/>
      </w:r>
    </w:p>
    <w:p w14:paraId="6DDB3152" w14:textId="3C8ED05C" w:rsidR="00C215DC" w:rsidRPr="00063132" w:rsidRDefault="00763D4B" w:rsidP="00063132">
      <w:pPr>
        <w:rPr>
          <w:b/>
          <w:bCs/>
          <w:color w:val="00264D" w:themeColor="background2"/>
          <w:sz w:val="20"/>
          <w:szCs w:val="24"/>
        </w:rPr>
      </w:pPr>
      <w:r w:rsidRPr="00063132">
        <w:rPr>
          <w:b/>
          <w:bCs/>
          <w:color w:val="00264D" w:themeColor="background2"/>
          <w:sz w:val="20"/>
          <w:szCs w:val="24"/>
        </w:rPr>
        <w:t>Additional transitions</w:t>
      </w:r>
      <w:r w:rsidR="00C215DC" w:rsidRPr="00063132">
        <w:rPr>
          <w:b/>
          <w:bCs/>
          <w:color w:val="00264D" w:themeColor="background2"/>
          <w:sz w:val="20"/>
          <w:szCs w:val="24"/>
        </w:rPr>
        <w:t xml:space="preserve"> (</w:t>
      </w:r>
      <w:r w:rsidR="00637ACE" w:rsidRPr="00063132">
        <w:rPr>
          <w:b/>
          <w:bCs/>
          <w:color w:val="00264D" w:themeColor="background2"/>
          <w:sz w:val="20"/>
          <w:szCs w:val="24"/>
        </w:rPr>
        <w:t>2016</w:t>
      </w:r>
      <w:r w:rsidR="00C215DC" w:rsidRPr="00063132">
        <w:rPr>
          <w:b/>
          <w:bCs/>
          <w:color w:val="00264D" w:themeColor="background2"/>
          <w:sz w:val="20"/>
          <w:szCs w:val="24"/>
        </w:rPr>
        <w:t>-present)</w:t>
      </w:r>
    </w:p>
    <w:p w14:paraId="08E63B57" w14:textId="156AC555" w:rsidR="00C215DC" w:rsidRDefault="00DC7740" w:rsidP="00C215DC">
      <w:r>
        <w:t xml:space="preserve">Five additional transitions </w:t>
      </w:r>
      <w:r w:rsidR="008058D5">
        <w:t>were</w:t>
      </w:r>
      <w:r>
        <w:t xml:space="preserve"> achieved from 2016 to 2021: three to </w:t>
      </w:r>
      <w:proofErr w:type="spellStart"/>
      <w:r>
        <w:t>Miwatj</w:t>
      </w:r>
      <w:proofErr w:type="spellEnd"/>
      <w:r>
        <w:t xml:space="preserve">, one to </w:t>
      </w:r>
      <w:proofErr w:type="spellStart"/>
      <w:r>
        <w:t>Mala’la</w:t>
      </w:r>
      <w:proofErr w:type="spellEnd"/>
      <w:r>
        <w:t xml:space="preserve">  and one to Red Lily. Additional transitions are underway or upcoming at Red Lily and Congress.</w:t>
      </w:r>
    </w:p>
    <w:p w14:paraId="29B09B44" w14:textId="6F867CBB" w:rsidR="007C5DFC" w:rsidRDefault="006B5194" w:rsidP="007C5DFC">
      <w:pPr>
        <w:pStyle w:val="xAppendixLevel1"/>
      </w:pPr>
      <w:bookmarkStart w:id="43" w:name="_Ref100252243"/>
      <w:bookmarkStart w:id="44" w:name="_Toc106294805"/>
      <w:r>
        <w:lastRenderedPageBreak/>
        <w:t>Lessons learned from other jurisdictions</w:t>
      </w:r>
      <w:bookmarkEnd w:id="43"/>
      <w:bookmarkEnd w:id="44"/>
      <w:r>
        <w:t xml:space="preserve"> </w:t>
      </w:r>
    </w:p>
    <w:p w14:paraId="56D601EF" w14:textId="77777777" w:rsidR="00E62565" w:rsidRDefault="008E3B6E" w:rsidP="008E3B6E">
      <w:pPr>
        <w:rPr>
          <w:lang w:eastAsia="en-AU"/>
        </w:rPr>
      </w:pPr>
      <w:r w:rsidRPr="008E3B6E">
        <w:rPr>
          <w:lang w:eastAsia="en-AU"/>
        </w:rPr>
        <w:t xml:space="preserve">The literature reviewed in this document highlighted that despite there being a steady increase in the discourse around First Nations community controlled primary health care models over the last 20 years, there have been few robust evaluations of transitions to community control. </w:t>
      </w:r>
    </w:p>
    <w:p w14:paraId="4EDB3E35" w14:textId="49016D96" w:rsidR="008E3B6E" w:rsidRPr="008E3B6E" w:rsidRDefault="008E3B6E" w:rsidP="008E3B6E">
      <w:pPr>
        <w:rPr>
          <w:lang w:eastAsia="en-AU"/>
        </w:rPr>
      </w:pPr>
      <w:r w:rsidRPr="008E3B6E">
        <w:rPr>
          <w:lang w:eastAsia="en-AU"/>
        </w:rPr>
        <w:t xml:space="preserve">Below summarises high-level themes from several evaluations and reviews of transitions that have taken place in other jurisdictions in Australia and overseas. Overall, the literature reveals that transitioning primary health care to First Nations community control is a long and challenging journey requiring dedicated resources and sufficient time to be successful. </w:t>
      </w:r>
    </w:p>
    <w:p w14:paraId="112E4549" w14:textId="09B62516" w:rsidR="008E3B6E" w:rsidRPr="00063132" w:rsidRDefault="008E3B6E" w:rsidP="00063132">
      <w:pPr>
        <w:rPr>
          <w:b/>
          <w:bCs/>
          <w:color w:val="00264D" w:themeColor="background2"/>
          <w:sz w:val="20"/>
          <w:szCs w:val="24"/>
        </w:rPr>
      </w:pPr>
      <w:r w:rsidRPr="00063132">
        <w:rPr>
          <w:b/>
          <w:bCs/>
          <w:color w:val="00264D" w:themeColor="background2"/>
          <w:sz w:val="20"/>
          <w:szCs w:val="24"/>
        </w:rPr>
        <w:t>Transitioning to community control can take a long time</w:t>
      </w:r>
    </w:p>
    <w:p w14:paraId="5E1A5328" w14:textId="6C96E56F" w:rsidR="0095609F" w:rsidRDefault="008E3B6E" w:rsidP="008E3B6E">
      <w:pPr>
        <w:rPr>
          <w:lang w:eastAsia="en-AU"/>
        </w:rPr>
      </w:pPr>
      <w:r w:rsidRPr="008E3B6E">
        <w:rPr>
          <w:lang w:eastAsia="en-AU"/>
        </w:rPr>
        <w:t xml:space="preserve">Successfully achieving community control of primary health services is a lengthy and complicated process, in some cases taking up to 30 years. While the transitions for some services have only taken five years, transitions of other services and entire regions to community control can take much longer. For example, it took 28 years to successfully transition the </w:t>
      </w:r>
      <w:proofErr w:type="spellStart"/>
      <w:r w:rsidRPr="008E3B6E">
        <w:rPr>
          <w:lang w:eastAsia="en-AU"/>
        </w:rPr>
        <w:t>Gurriny</w:t>
      </w:r>
      <w:proofErr w:type="spellEnd"/>
      <w:r w:rsidRPr="008E3B6E">
        <w:rPr>
          <w:lang w:eastAsia="en-AU"/>
        </w:rPr>
        <w:t xml:space="preserve"> </w:t>
      </w:r>
      <w:proofErr w:type="spellStart"/>
      <w:r w:rsidRPr="008E3B6E">
        <w:rPr>
          <w:lang w:eastAsia="en-AU"/>
        </w:rPr>
        <w:t>Yealamucka</w:t>
      </w:r>
      <w:proofErr w:type="spellEnd"/>
      <w:r w:rsidRPr="008E3B6E">
        <w:rPr>
          <w:lang w:eastAsia="en-AU"/>
        </w:rPr>
        <w:t xml:space="preserve"> Health Service (</w:t>
      </w:r>
      <w:proofErr w:type="spellStart"/>
      <w:r w:rsidRPr="008E3B6E">
        <w:rPr>
          <w:lang w:eastAsia="en-AU"/>
        </w:rPr>
        <w:t>Gurriny</w:t>
      </w:r>
      <w:proofErr w:type="spellEnd"/>
      <w:r w:rsidRPr="008E3B6E">
        <w:rPr>
          <w:lang w:eastAsia="en-AU"/>
        </w:rPr>
        <w:t>) to community control in Yarrabah in Queensland</w:t>
      </w:r>
      <w:r w:rsidR="00EF50B2">
        <w:rPr>
          <w:lang w:eastAsia="en-AU"/>
        </w:rPr>
        <w:t>.</w:t>
      </w:r>
      <w:r w:rsidR="00EF50B2">
        <w:rPr>
          <w:rStyle w:val="FootnoteReference"/>
          <w:lang w:eastAsia="en-AU"/>
        </w:rPr>
        <w:footnoteReference w:id="44"/>
      </w:r>
      <w:r w:rsidRPr="008E3B6E">
        <w:rPr>
          <w:lang w:eastAsia="en-AU"/>
        </w:rPr>
        <w:t xml:space="preserve">This was due to the sustained effort required to demonstrate capability to the community and government and build organisational capacity over time. By 2014, 20 years after the establishment of </w:t>
      </w:r>
      <w:proofErr w:type="spellStart"/>
      <w:r w:rsidRPr="008E3B6E">
        <w:rPr>
          <w:lang w:eastAsia="en-AU"/>
        </w:rPr>
        <w:t>Apunipima</w:t>
      </w:r>
      <w:proofErr w:type="spellEnd"/>
      <w:r w:rsidRPr="008E3B6E">
        <w:rPr>
          <w:lang w:eastAsia="en-AU"/>
        </w:rPr>
        <w:t xml:space="preserve"> health service in Cape York, the transition to community control of the whole of Cape York’s primary health care services had not been fully realised</w:t>
      </w:r>
      <w:r w:rsidR="00EF50B2">
        <w:rPr>
          <w:lang w:eastAsia="en-AU"/>
        </w:rPr>
        <w:t>.</w:t>
      </w:r>
      <w:r w:rsidR="00EF50B2">
        <w:rPr>
          <w:rStyle w:val="FootnoteReference"/>
          <w:lang w:eastAsia="en-AU"/>
        </w:rPr>
        <w:footnoteReference w:id="45"/>
      </w:r>
      <w:r w:rsidRPr="008E3B6E">
        <w:rPr>
          <w:lang w:eastAsia="en-AU"/>
        </w:rPr>
        <w:t xml:space="preserve">  </w:t>
      </w:r>
    </w:p>
    <w:p w14:paraId="4BEE6459" w14:textId="73ECB63A" w:rsidR="008E3B6E" w:rsidRPr="008E3B6E" w:rsidRDefault="008E3B6E" w:rsidP="008E3B6E">
      <w:pPr>
        <w:rPr>
          <w:lang w:eastAsia="en-AU"/>
        </w:rPr>
      </w:pPr>
      <w:r w:rsidRPr="008E3B6E">
        <w:rPr>
          <w:lang w:eastAsia="en-AU"/>
        </w:rPr>
        <w:t>In Canada, it took over 20 years to see 89% of eligible communities in the country engaged in the planning or management of transitions to community controlled health services</w:t>
      </w:r>
      <w:r w:rsidR="006457DA">
        <w:rPr>
          <w:lang w:eastAsia="en-AU"/>
        </w:rPr>
        <w:t>.</w:t>
      </w:r>
      <w:r w:rsidR="006457DA">
        <w:rPr>
          <w:rStyle w:val="FootnoteReference"/>
          <w:lang w:eastAsia="en-AU"/>
        </w:rPr>
        <w:footnoteReference w:id="46"/>
      </w:r>
      <w:r w:rsidR="006457DA">
        <w:rPr>
          <w:lang w:eastAsia="en-AU"/>
        </w:rPr>
        <w:t xml:space="preserve"> </w:t>
      </w:r>
      <w:proofErr w:type="spellStart"/>
      <w:r w:rsidRPr="008E3B6E">
        <w:rPr>
          <w:lang w:eastAsia="en-AU"/>
        </w:rPr>
        <w:t>Jongen</w:t>
      </w:r>
      <w:proofErr w:type="spellEnd"/>
      <w:r w:rsidRPr="008E3B6E">
        <w:rPr>
          <w:lang w:eastAsia="en-AU"/>
        </w:rPr>
        <w:t xml:space="preserve"> et al. (2020) stressed the importance of having realistic expectations for how long the transition process can take. Lavoie et al. (2016) commented on the fact that efforts in Australia to transfer to community control are generally conducted under a short time frame which is often not realistic and risks creating feelings of failure.</w:t>
      </w:r>
    </w:p>
    <w:p w14:paraId="718A5006" w14:textId="2BB97890" w:rsidR="008E3B6E" w:rsidRPr="00EC7F0A" w:rsidRDefault="008E3B6E" w:rsidP="00EC7F0A">
      <w:pPr>
        <w:rPr>
          <w:b/>
          <w:bCs/>
          <w:color w:val="00264D" w:themeColor="background2"/>
          <w:sz w:val="20"/>
          <w:szCs w:val="24"/>
        </w:rPr>
      </w:pPr>
      <w:r w:rsidRPr="00EC7F0A">
        <w:rPr>
          <w:b/>
          <w:bCs/>
          <w:color w:val="00264D" w:themeColor="background2"/>
          <w:sz w:val="20"/>
          <w:szCs w:val="24"/>
        </w:rPr>
        <w:t>Trust is an essential ingredient to successful community control</w:t>
      </w:r>
    </w:p>
    <w:p w14:paraId="7EE6CF4C" w14:textId="584F3C77" w:rsidR="0095609F" w:rsidRDefault="008E3B6E" w:rsidP="008E3B6E">
      <w:pPr>
        <w:rPr>
          <w:lang w:eastAsia="en-AU"/>
        </w:rPr>
      </w:pPr>
      <w:r w:rsidRPr="008E3B6E">
        <w:rPr>
          <w:lang w:eastAsia="en-AU"/>
        </w:rPr>
        <w:t xml:space="preserve">In the case of the transition of community control in Cape York through </w:t>
      </w:r>
      <w:proofErr w:type="spellStart"/>
      <w:r w:rsidRPr="008E3B6E">
        <w:rPr>
          <w:lang w:eastAsia="en-AU"/>
        </w:rPr>
        <w:t>Apunipma</w:t>
      </w:r>
      <w:proofErr w:type="spellEnd"/>
      <w:r w:rsidRPr="008E3B6E">
        <w:rPr>
          <w:lang w:eastAsia="en-AU"/>
        </w:rPr>
        <w:t xml:space="preserve">, there were concerns as to whether the Cape communities and </w:t>
      </w:r>
      <w:proofErr w:type="spellStart"/>
      <w:r w:rsidRPr="008E3B6E">
        <w:rPr>
          <w:lang w:eastAsia="en-AU"/>
        </w:rPr>
        <w:t>Apunipima</w:t>
      </w:r>
      <w:proofErr w:type="spellEnd"/>
      <w:r w:rsidRPr="008E3B6E">
        <w:rPr>
          <w:lang w:eastAsia="en-AU"/>
        </w:rPr>
        <w:t xml:space="preserve"> were capable of delivering the necessary health services to a high quality. Dwyer et al. (2015) found that many local people believed hostility to Aboriginal community control, combined with systemic racism, was a major barrier to successful transition, creating deep reluctance to hand over control to an Aboriginal organisation. Government doubts about the capacity and governance of Aboriginal organisations created more barriers and led to increasing levels of micro-management and uncertainty around job security and salaries.</w:t>
      </w:r>
      <w:r w:rsidR="00D5395E">
        <w:rPr>
          <w:rStyle w:val="FootnoteReference"/>
          <w:lang w:eastAsia="en-AU"/>
        </w:rPr>
        <w:footnoteReference w:id="47"/>
      </w:r>
      <w:r w:rsidRPr="008E3B6E">
        <w:rPr>
          <w:lang w:eastAsia="en-AU"/>
        </w:rPr>
        <w:t xml:space="preserve"> </w:t>
      </w:r>
    </w:p>
    <w:p w14:paraId="138C9628" w14:textId="72CF7765" w:rsidR="008E3B6E" w:rsidRPr="008E3B6E" w:rsidRDefault="008E3B6E" w:rsidP="008E3B6E">
      <w:pPr>
        <w:rPr>
          <w:lang w:eastAsia="en-AU"/>
        </w:rPr>
      </w:pPr>
      <w:r w:rsidRPr="008E3B6E">
        <w:rPr>
          <w:lang w:eastAsia="en-AU"/>
        </w:rPr>
        <w:t xml:space="preserve">In contrast, trust was established in Yarrabah around 10 years before the transition through strategically growing the capability of </w:t>
      </w:r>
      <w:proofErr w:type="spellStart"/>
      <w:r w:rsidRPr="008E3B6E">
        <w:rPr>
          <w:lang w:eastAsia="en-AU"/>
        </w:rPr>
        <w:t>Gurriny</w:t>
      </w:r>
      <w:proofErr w:type="spellEnd"/>
      <w:r w:rsidRPr="008E3B6E">
        <w:rPr>
          <w:lang w:eastAsia="en-AU"/>
        </w:rPr>
        <w:t xml:space="preserve"> staff. Yarrabah leaders developed a social and emotional wellbeing program (the Family Wellbeing Program) before the official transition period, which was used to build the skills of the </w:t>
      </w:r>
      <w:proofErr w:type="spellStart"/>
      <w:r w:rsidRPr="008E3B6E">
        <w:rPr>
          <w:lang w:eastAsia="en-AU"/>
        </w:rPr>
        <w:t>Gurriny</w:t>
      </w:r>
      <w:proofErr w:type="spellEnd"/>
      <w:r w:rsidRPr="008E3B6E">
        <w:rPr>
          <w:lang w:eastAsia="en-AU"/>
        </w:rPr>
        <w:t xml:space="preserve"> workforce. Evaluations demonstrated that the Family Wellbeing program was successful, which built government and community trust and helped to secure future funding for the transition</w:t>
      </w:r>
      <w:r w:rsidR="002A7726">
        <w:rPr>
          <w:lang w:eastAsia="en-AU"/>
        </w:rPr>
        <w:t>.</w:t>
      </w:r>
    </w:p>
    <w:p w14:paraId="764A90BD" w14:textId="59B31F48" w:rsidR="008E3B6E" w:rsidRPr="00EC7F0A" w:rsidRDefault="008E3B6E" w:rsidP="00EC7F0A">
      <w:pPr>
        <w:rPr>
          <w:b/>
          <w:bCs/>
          <w:color w:val="00264D" w:themeColor="background2"/>
          <w:sz w:val="20"/>
          <w:szCs w:val="24"/>
        </w:rPr>
      </w:pPr>
      <w:r w:rsidRPr="00EC7F0A">
        <w:rPr>
          <w:b/>
          <w:bCs/>
          <w:color w:val="00264D" w:themeColor="background2"/>
          <w:sz w:val="20"/>
          <w:szCs w:val="24"/>
        </w:rPr>
        <w:t>Ongoing engagement with the community requires sustained effort</w:t>
      </w:r>
    </w:p>
    <w:p w14:paraId="0BDF85A9" w14:textId="6FB449C4" w:rsidR="0095609F" w:rsidRDefault="008E3B6E" w:rsidP="008E3B6E">
      <w:pPr>
        <w:rPr>
          <w:lang w:eastAsia="en-AU"/>
        </w:rPr>
      </w:pPr>
      <w:r w:rsidRPr="008E3B6E">
        <w:rPr>
          <w:lang w:eastAsia="en-AU"/>
        </w:rPr>
        <w:t xml:space="preserve">A critical component of the transition to community control is continual communication and engagement with community members. In the case of </w:t>
      </w:r>
      <w:proofErr w:type="spellStart"/>
      <w:r w:rsidRPr="008E3B6E">
        <w:rPr>
          <w:lang w:eastAsia="en-AU"/>
        </w:rPr>
        <w:t>Gurriny</w:t>
      </w:r>
      <w:proofErr w:type="spellEnd"/>
      <w:r w:rsidRPr="008E3B6E">
        <w:rPr>
          <w:lang w:eastAsia="en-AU"/>
        </w:rPr>
        <w:t xml:space="preserve">, community support for the transition was a key enabler of success and was obtained through continuous and inclusive engagement with the Yarrabah community </w:t>
      </w:r>
      <w:r w:rsidRPr="008E3B6E">
        <w:rPr>
          <w:lang w:eastAsia="en-AU"/>
        </w:rPr>
        <w:lastRenderedPageBreak/>
        <w:t>including though meetings, events and social media</w:t>
      </w:r>
      <w:r w:rsidR="00E277D6">
        <w:rPr>
          <w:lang w:eastAsia="en-AU"/>
        </w:rPr>
        <w:t>.</w:t>
      </w:r>
      <w:r w:rsidR="00E277D6">
        <w:rPr>
          <w:rStyle w:val="FootnoteReference"/>
          <w:lang w:eastAsia="en-AU"/>
        </w:rPr>
        <w:footnoteReference w:id="48"/>
      </w:r>
      <w:r w:rsidR="00E277D6">
        <w:rPr>
          <w:lang w:eastAsia="en-AU"/>
        </w:rPr>
        <w:t xml:space="preserve"> </w:t>
      </w:r>
      <w:r w:rsidRPr="008E3B6E">
        <w:rPr>
          <w:lang w:eastAsia="en-AU"/>
        </w:rPr>
        <w:t>An overarching finding for the Indigenous Coordinated Care Trials was that community engagement and the delivery of culturally appropriate services facilitated exposure to health assessment and a broader consideration of health issues.</w:t>
      </w:r>
      <w:r w:rsidR="00DB56E2">
        <w:rPr>
          <w:rStyle w:val="FootnoteReference"/>
          <w:lang w:eastAsia="en-AU"/>
        </w:rPr>
        <w:footnoteReference w:id="49"/>
      </w:r>
      <w:r w:rsidRPr="008E3B6E">
        <w:rPr>
          <w:lang w:eastAsia="en-AU"/>
        </w:rPr>
        <w:t xml:space="preserve"> </w:t>
      </w:r>
    </w:p>
    <w:p w14:paraId="13693E9F" w14:textId="3616BCCE" w:rsidR="008E3B6E" w:rsidRDefault="008E3B6E" w:rsidP="008E3B6E">
      <w:pPr>
        <w:rPr>
          <w:lang w:eastAsia="en-AU"/>
        </w:rPr>
      </w:pPr>
      <w:r w:rsidRPr="008E3B6E">
        <w:rPr>
          <w:lang w:eastAsia="en-AU"/>
        </w:rPr>
        <w:t xml:space="preserve">Improvements in community involvement over the course of the trials were associated with increased </w:t>
      </w:r>
      <w:proofErr w:type="spellStart"/>
      <w:r w:rsidRPr="008E3B6E">
        <w:rPr>
          <w:lang w:eastAsia="en-AU"/>
        </w:rPr>
        <w:t>self determination</w:t>
      </w:r>
      <w:proofErr w:type="spellEnd"/>
      <w:r w:rsidRPr="008E3B6E">
        <w:rPr>
          <w:lang w:eastAsia="en-AU"/>
        </w:rPr>
        <w:t>; health outcomes were diminished when communication with the community did not occur. In the case of the South West Aboriginal Medical Service Aboriginal Corporation (SWAMSAC) Coordinated Care Trial, there was a disconnect between the Board’s perception of community engagement (as highly positive) and the community not feeling involved enough (particularly those who were located far away from the trial site)</w:t>
      </w:r>
      <w:r w:rsidR="004A745F">
        <w:rPr>
          <w:rStyle w:val="FootnoteReference"/>
          <w:lang w:eastAsia="en-AU"/>
        </w:rPr>
        <w:footnoteReference w:id="50"/>
      </w:r>
      <w:r w:rsidR="004A745F">
        <w:rPr>
          <w:lang w:eastAsia="en-AU"/>
        </w:rPr>
        <w:t xml:space="preserve">. </w:t>
      </w:r>
      <w:r w:rsidRPr="008E3B6E">
        <w:rPr>
          <w:lang w:eastAsia="en-AU"/>
        </w:rPr>
        <w:t>Increased community involvement by the end of the trial however improved community access to SWAMSAC</w:t>
      </w:r>
      <w:r w:rsidR="00BE064E">
        <w:rPr>
          <w:lang w:eastAsia="en-AU"/>
        </w:rPr>
        <w:t>.</w:t>
      </w:r>
      <w:r w:rsidR="00BE064E">
        <w:rPr>
          <w:rStyle w:val="FootnoteReference"/>
          <w:lang w:eastAsia="en-AU"/>
        </w:rPr>
        <w:footnoteReference w:id="51"/>
      </w:r>
    </w:p>
    <w:p w14:paraId="0FD44F09" w14:textId="45D44485" w:rsidR="00D20139" w:rsidRPr="00EC7F0A" w:rsidRDefault="00D20139" w:rsidP="00EC7F0A">
      <w:pPr>
        <w:rPr>
          <w:b/>
          <w:bCs/>
          <w:color w:val="00264D" w:themeColor="background2"/>
          <w:sz w:val="20"/>
          <w:szCs w:val="24"/>
        </w:rPr>
      </w:pPr>
      <w:r w:rsidRPr="00EC7F0A">
        <w:rPr>
          <w:b/>
          <w:bCs/>
          <w:color w:val="00264D" w:themeColor="background2"/>
          <w:sz w:val="20"/>
          <w:szCs w:val="24"/>
        </w:rPr>
        <w:t>Strong organisational leadership and governance are critical enablers of community control</w:t>
      </w:r>
    </w:p>
    <w:p w14:paraId="2E39E734" w14:textId="7AED1ECD" w:rsidR="0095609F" w:rsidRDefault="00D20139" w:rsidP="00D20139">
      <w:pPr>
        <w:rPr>
          <w:lang w:eastAsia="en-AU"/>
        </w:rPr>
      </w:pPr>
      <w:r w:rsidRPr="00D20139">
        <w:rPr>
          <w:lang w:eastAsia="en-AU"/>
        </w:rPr>
        <w:t xml:space="preserve">One of the most important and distinguishing features of ACCHOs in Australia is the establishment of a legal entity including an elected health Board that is accountable to the community. Unlike in Canada where the management and delivery of services is often transferred to pre-existing governance structures, shifting to community control in Australia often requires a new Board to be established (if there isn’t already a Board representing the region). This comes with its own challenges including ensuring the Board has representative language groups for health services spanning vast regions. In the case of the </w:t>
      </w:r>
      <w:proofErr w:type="spellStart"/>
      <w:r w:rsidRPr="00D20139">
        <w:rPr>
          <w:lang w:eastAsia="en-AU"/>
        </w:rPr>
        <w:t>Gurriny</w:t>
      </w:r>
      <w:proofErr w:type="spellEnd"/>
      <w:r w:rsidRPr="00D20139">
        <w:rPr>
          <w:lang w:eastAsia="en-AU"/>
        </w:rPr>
        <w:t xml:space="preserve"> transformation, </w:t>
      </w:r>
      <w:proofErr w:type="spellStart"/>
      <w:r w:rsidRPr="00D20139">
        <w:rPr>
          <w:lang w:eastAsia="en-AU"/>
        </w:rPr>
        <w:t>Jongen</w:t>
      </w:r>
      <w:proofErr w:type="spellEnd"/>
      <w:r w:rsidRPr="00D20139">
        <w:rPr>
          <w:lang w:eastAsia="en-AU"/>
        </w:rPr>
        <w:t xml:space="preserve"> et al. (2020) highlighted that support was provided to help the Board develop the required skills in areas such as risk management, business planning and financial expertise ‘to meet the western managerial style of accountability expected by government’.</w:t>
      </w:r>
    </w:p>
    <w:p w14:paraId="1FF824DF" w14:textId="65E096D2" w:rsidR="00D20139" w:rsidRPr="00D20139" w:rsidRDefault="00D20139" w:rsidP="00D20139">
      <w:pPr>
        <w:rPr>
          <w:lang w:eastAsia="en-AU"/>
        </w:rPr>
      </w:pPr>
      <w:proofErr w:type="spellStart"/>
      <w:r w:rsidRPr="00D20139">
        <w:rPr>
          <w:lang w:eastAsia="en-AU"/>
        </w:rPr>
        <w:t>Dywer</w:t>
      </w:r>
      <w:proofErr w:type="spellEnd"/>
      <w:r w:rsidRPr="00D20139">
        <w:rPr>
          <w:lang w:eastAsia="en-AU"/>
        </w:rPr>
        <w:t xml:space="preserve"> et al. (2015) reported that high profile governance failures in Aboriginal organisations in the mid 2000’s raised concern about the governance capability of the community control model including around accountability of funding arrangements. Upskilling board directors with management and leadership is a positive way to ensure that the Board has the right skills to drive the performance of the health service. This was also a key finding of the National Evaluation of the Second Round of Coordinated Care Trials which stressed that education on governance and management approaches was a key enabler for the trials</w:t>
      </w:r>
      <w:r w:rsidR="00623139">
        <w:rPr>
          <w:lang w:eastAsia="en-AU"/>
        </w:rPr>
        <w:t>.</w:t>
      </w:r>
      <w:r w:rsidR="00814AAA">
        <w:rPr>
          <w:rStyle w:val="FootnoteReference"/>
          <w:lang w:eastAsia="en-AU"/>
        </w:rPr>
        <w:footnoteReference w:id="52"/>
      </w:r>
      <w:r w:rsidRPr="00D20139">
        <w:rPr>
          <w:lang w:eastAsia="en-AU"/>
        </w:rPr>
        <w:t xml:space="preserve"> </w:t>
      </w:r>
    </w:p>
    <w:p w14:paraId="25133167" w14:textId="176994A6" w:rsidR="00D20139" w:rsidRPr="00EC7F0A" w:rsidRDefault="00D20139" w:rsidP="00EC7F0A">
      <w:pPr>
        <w:rPr>
          <w:b/>
          <w:bCs/>
          <w:color w:val="00264D" w:themeColor="background2"/>
          <w:sz w:val="20"/>
          <w:szCs w:val="24"/>
        </w:rPr>
      </w:pPr>
      <w:r w:rsidRPr="00EC7F0A">
        <w:rPr>
          <w:b/>
          <w:bCs/>
          <w:color w:val="00264D" w:themeColor="background2"/>
          <w:sz w:val="20"/>
          <w:szCs w:val="24"/>
        </w:rPr>
        <w:t>It is important there is accountability on both sides</w:t>
      </w:r>
    </w:p>
    <w:p w14:paraId="081C686F" w14:textId="7406E554" w:rsidR="00734748" w:rsidRDefault="00D20139" w:rsidP="00D20139">
      <w:pPr>
        <w:rPr>
          <w:lang w:eastAsia="en-AU"/>
        </w:rPr>
      </w:pPr>
      <w:r w:rsidRPr="00D20139">
        <w:rPr>
          <w:lang w:eastAsia="en-AU"/>
        </w:rPr>
        <w:t xml:space="preserve">The issue of accountability is often raised as a key challenge in the transition of a health service to community control. Lavoie et al. (2016) commented on the challenge presented by the complex mix of funding and regulatory roles between different levels of government in Australia and the tripartite arrangements between the </w:t>
      </w:r>
      <w:r w:rsidR="00F82C19">
        <w:rPr>
          <w:lang w:eastAsia="en-AU"/>
        </w:rPr>
        <w:t>Australian Government</w:t>
      </w:r>
      <w:r w:rsidRPr="00D20139">
        <w:rPr>
          <w:lang w:eastAsia="en-AU"/>
        </w:rPr>
        <w:t>, state and the community that are needed to support pathways to community control. Although these agreements are essential to build the foundation of community control, Lavoie et al. (2016) highlighted that issues can arise from no single government holding clear accountability for Aboriginal and Torres Strait Islander health in Australia.</w:t>
      </w:r>
    </w:p>
    <w:p w14:paraId="743784C9" w14:textId="4E91ECB1" w:rsidR="00734748" w:rsidRDefault="00D20139" w:rsidP="00D20139">
      <w:pPr>
        <w:rPr>
          <w:lang w:eastAsia="en-AU"/>
        </w:rPr>
      </w:pPr>
      <w:r w:rsidRPr="00D20139">
        <w:rPr>
          <w:lang w:eastAsia="en-AU"/>
        </w:rPr>
        <w:t xml:space="preserve">While it is important the health service is accountable to the government and the community, it is essential the government is also accountable to the health service and the community. The mixture of short term and long term funding contracts and complicated funding pools can cause challenges around accountability. While significant funding has been available for many transitions, in some transitions it has </w:t>
      </w:r>
      <w:r w:rsidRPr="00D20139">
        <w:rPr>
          <w:lang w:eastAsia="en-AU"/>
        </w:rPr>
        <w:lastRenderedPageBreak/>
        <w:t>been found that the ‘need for adequate resourcing of the change process was insufficiently recognised and accommodated’</w:t>
      </w:r>
      <w:r w:rsidR="00C13039">
        <w:rPr>
          <w:lang w:eastAsia="en-AU"/>
        </w:rPr>
        <w:t>.</w:t>
      </w:r>
      <w:r w:rsidR="00DB56E2">
        <w:rPr>
          <w:rStyle w:val="FootnoteReference"/>
          <w:lang w:eastAsia="en-AU"/>
        </w:rPr>
        <w:footnoteReference w:id="53"/>
      </w:r>
    </w:p>
    <w:p w14:paraId="0DAB4081" w14:textId="75C3A617" w:rsidR="00D20139" w:rsidRPr="00D20139" w:rsidRDefault="00D20139" w:rsidP="00D20139">
      <w:pPr>
        <w:rPr>
          <w:lang w:eastAsia="en-AU"/>
        </w:rPr>
      </w:pPr>
      <w:r w:rsidRPr="00D20139">
        <w:rPr>
          <w:lang w:eastAsia="en-AU"/>
        </w:rPr>
        <w:t>There is also often low understanding of the size and cost of the reform process by both the government a</w:t>
      </w:r>
      <w:r w:rsidR="00734748">
        <w:rPr>
          <w:lang w:eastAsia="en-AU"/>
        </w:rPr>
        <w:t>n</w:t>
      </w:r>
      <w:r w:rsidRPr="00D20139">
        <w:rPr>
          <w:lang w:eastAsia="en-AU"/>
        </w:rPr>
        <w:t>d the health service at the outset, particularly when transition timelines are lengthy.</w:t>
      </w:r>
      <w:r w:rsidR="00C843DB">
        <w:rPr>
          <w:rStyle w:val="FootnoteReference"/>
          <w:lang w:eastAsia="en-AU"/>
        </w:rPr>
        <w:footnoteReference w:id="54"/>
      </w:r>
      <w:r w:rsidRPr="00D20139">
        <w:rPr>
          <w:lang w:eastAsia="en-AU"/>
        </w:rPr>
        <w:t xml:space="preserve"> </w:t>
      </w:r>
      <w:r w:rsidR="00C843DB">
        <w:rPr>
          <w:rStyle w:val="FootnoteReference"/>
          <w:lang w:eastAsia="en-AU"/>
        </w:rPr>
        <w:footnoteReference w:id="55"/>
      </w:r>
      <w:r w:rsidRPr="00D20139">
        <w:rPr>
          <w:lang w:eastAsia="en-AU"/>
        </w:rPr>
        <w:t xml:space="preserve"> Onerous reporting requirements and the administrative burden that comes with funding agreements has been raised as a key issue in both Australia and Canada.</w:t>
      </w:r>
      <w:r w:rsidR="00DB56E2">
        <w:rPr>
          <w:rStyle w:val="FootnoteReference"/>
          <w:lang w:eastAsia="en-AU"/>
        </w:rPr>
        <w:footnoteReference w:id="56"/>
      </w:r>
      <w:r w:rsidRPr="00D20139">
        <w:rPr>
          <w:lang w:eastAsia="en-AU"/>
        </w:rPr>
        <w:t xml:space="preserve"> Clear roles and responsibilities and clear requirements at the beginning of the transition are important.</w:t>
      </w:r>
      <w:r w:rsidR="00DB56E2">
        <w:rPr>
          <w:rStyle w:val="FootnoteReference"/>
          <w:lang w:eastAsia="en-AU"/>
        </w:rPr>
        <w:footnoteReference w:id="57"/>
      </w:r>
      <w:r w:rsidRPr="00D20139">
        <w:rPr>
          <w:lang w:eastAsia="en-AU"/>
        </w:rPr>
        <w:t xml:space="preserve">  </w:t>
      </w:r>
    </w:p>
    <w:p w14:paraId="1DEA9F53" w14:textId="4D7B91EE" w:rsidR="00D20139" w:rsidRPr="00EC7F0A" w:rsidRDefault="00D20139" w:rsidP="00EC7F0A">
      <w:pPr>
        <w:rPr>
          <w:b/>
          <w:bCs/>
          <w:color w:val="00264D" w:themeColor="background2"/>
          <w:sz w:val="20"/>
          <w:szCs w:val="24"/>
        </w:rPr>
      </w:pPr>
      <w:r w:rsidRPr="00EC7F0A">
        <w:rPr>
          <w:b/>
          <w:bCs/>
          <w:color w:val="00264D" w:themeColor="background2"/>
          <w:sz w:val="20"/>
          <w:szCs w:val="24"/>
        </w:rPr>
        <w:t>Service delivery at least needs to be maintained</w:t>
      </w:r>
    </w:p>
    <w:p w14:paraId="1AD2AF32" w14:textId="6A69AD40" w:rsidR="008E3B6E" w:rsidRPr="008E3B6E" w:rsidRDefault="00D20139" w:rsidP="008E3B6E">
      <w:pPr>
        <w:rPr>
          <w:lang w:eastAsia="en-AU"/>
        </w:rPr>
      </w:pPr>
      <w:r w:rsidRPr="00D20139">
        <w:rPr>
          <w:lang w:eastAsia="en-AU"/>
        </w:rPr>
        <w:t>Many studies have shown that greater levels of community involvement and increased cultural safety in the delivery of primary health care improve health outcomes for the community</w:t>
      </w:r>
      <w:r w:rsidR="00213AC6">
        <w:rPr>
          <w:lang w:eastAsia="en-AU"/>
        </w:rPr>
        <w:t>.</w:t>
      </w:r>
      <w:r w:rsidR="00213AC6">
        <w:rPr>
          <w:rStyle w:val="FootnoteReference"/>
          <w:lang w:eastAsia="en-AU"/>
        </w:rPr>
        <w:footnoteReference w:id="58"/>
      </w:r>
      <w:r w:rsidR="00213AC6">
        <w:rPr>
          <w:lang w:eastAsia="en-AU"/>
        </w:rPr>
        <w:t xml:space="preserve"> </w:t>
      </w:r>
      <w:r w:rsidRPr="00D20139">
        <w:rPr>
          <w:lang w:eastAsia="en-AU"/>
        </w:rPr>
        <w:t xml:space="preserve">The maintenance of service delivery throughout the transition to greater community control is critically important at least in the short term, with improvements to health outcomes able to be developed over the long term. One of the key success factors of the </w:t>
      </w:r>
      <w:proofErr w:type="spellStart"/>
      <w:r w:rsidRPr="00D20139">
        <w:rPr>
          <w:lang w:eastAsia="en-AU"/>
        </w:rPr>
        <w:t>Gurriny</w:t>
      </w:r>
      <w:proofErr w:type="spellEnd"/>
      <w:r w:rsidRPr="00D20139">
        <w:rPr>
          <w:lang w:eastAsia="en-AU"/>
        </w:rPr>
        <w:t xml:space="preserve"> transition was that despite workforce supply challenges, </w:t>
      </w:r>
      <w:proofErr w:type="spellStart"/>
      <w:r w:rsidRPr="00D20139">
        <w:rPr>
          <w:lang w:eastAsia="en-AU"/>
        </w:rPr>
        <w:t>Gurriny</w:t>
      </w:r>
      <w:proofErr w:type="spellEnd"/>
      <w:r w:rsidRPr="00D20139">
        <w:rPr>
          <w:lang w:eastAsia="en-AU"/>
        </w:rPr>
        <w:t xml:space="preserve"> was able to hire enough staff to provide continuous services during the transition. Help from external consultants to design service delivery models and a clear health plan developed by </w:t>
      </w:r>
      <w:proofErr w:type="spellStart"/>
      <w:r w:rsidRPr="00D20139">
        <w:rPr>
          <w:lang w:eastAsia="en-AU"/>
        </w:rPr>
        <w:t>Gurriny</w:t>
      </w:r>
      <w:proofErr w:type="spellEnd"/>
      <w:r w:rsidRPr="00D20139">
        <w:rPr>
          <w:lang w:eastAsia="en-AU"/>
        </w:rPr>
        <w:t xml:space="preserve"> and the existing government run health service were essential components to enabling continuous service provision. Since the transition, considerable outcomes have been achieved, including increased staff numbers, a sustained local Aboriginal workforce and improved performance in chronic illness management.</w:t>
      </w:r>
    </w:p>
    <w:p w14:paraId="6A3DA5B5" w14:textId="7FDB721D" w:rsidR="006B5194" w:rsidRDefault="006B5194" w:rsidP="006B5194">
      <w:pPr>
        <w:pStyle w:val="xAppendixLevel1"/>
      </w:pPr>
      <w:bookmarkStart w:id="45" w:name="_Ref100320415"/>
      <w:bookmarkStart w:id="46" w:name="_Toc106294806"/>
      <w:r>
        <w:lastRenderedPageBreak/>
        <w:t>Good practice</w:t>
      </w:r>
      <w:bookmarkEnd w:id="45"/>
      <w:bookmarkEnd w:id="46"/>
    </w:p>
    <w:p w14:paraId="2EC10BAD" w14:textId="409FE2B7" w:rsidR="00F90B0A" w:rsidRPr="00EC7F0A" w:rsidRDefault="001129E0" w:rsidP="00EC7F0A">
      <w:pPr>
        <w:rPr>
          <w:b/>
          <w:bCs/>
          <w:color w:val="00264D" w:themeColor="background2"/>
          <w:sz w:val="20"/>
          <w:szCs w:val="24"/>
        </w:rPr>
      </w:pPr>
      <w:r w:rsidRPr="00EC7F0A">
        <w:rPr>
          <w:b/>
          <w:bCs/>
          <w:color w:val="00264D" w:themeColor="background2"/>
          <w:sz w:val="20"/>
          <w:szCs w:val="24"/>
        </w:rPr>
        <w:t>Nous’ team was supported by an Expert Advisory Group with outstanding expertise and history in Aboriginal health and the transition to community control</w:t>
      </w:r>
    </w:p>
    <w:p w14:paraId="31C4CADE" w14:textId="7D5B3304" w:rsidR="001129E0" w:rsidRPr="001129E0" w:rsidRDefault="001129E0" w:rsidP="001129E0">
      <w:pPr>
        <w:rPr>
          <w:lang w:eastAsia="en-AU"/>
        </w:rPr>
      </w:pPr>
      <w:r w:rsidRPr="001129E0">
        <w:rPr>
          <w:lang w:eastAsia="en-AU"/>
        </w:rPr>
        <w:t>The Expert Advisory Group include</w:t>
      </w:r>
      <w:r>
        <w:rPr>
          <w:lang w:eastAsia="en-AU"/>
        </w:rPr>
        <w:t>d</w:t>
      </w:r>
      <w:r w:rsidRPr="001129E0">
        <w:rPr>
          <w:lang w:eastAsia="en-AU"/>
        </w:rPr>
        <w:t>:</w:t>
      </w:r>
    </w:p>
    <w:p w14:paraId="65A769DB" w14:textId="133F356F" w:rsidR="001129E0" w:rsidRPr="001129E0" w:rsidRDefault="001129E0" w:rsidP="001129E0">
      <w:pPr>
        <w:pStyle w:val="Bullet"/>
      </w:pPr>
      <w:r w:rsidRPr="001129E0">
        <w:rPr>
          <w:rFonts w:asciiTheme="majorHAnsi" w:eastAsia="Segoe UI" w:hAnsiTheme="majorHAnsi" w:cstheme="majorHAnsi"/>
        </w:rPr>
        <w:t xml:space="preserve">Robert Griew (Chair), </w:t>
      </w:r>
      <w:r w:rsidRPr="001129E0">
        <w:rPr>
          <w:rFonts w:eastAsia="Segoe UI"/>
        </w:rPr>
        <w:t xml:space="preserve">former Nous Principal, former Secretary of the NT Department of Health and Community Services and former First Assistant Secretary of the Office of Aboriginal and Torres Strait Islander Health in the </w:t>
      </w:r>
      <w:r w:rsidR="00F82C19">
        <w:rPr>
          <w:rFonts w:eastAsia="Segoe UI"/>
        </w:rPr>
        <w:t>Australian Government</w:t>
      </w:r>
      <w:r w:rsidRPr="001129E0">
        <w:rPr>
          <w:rFonts w:eastAsia="Segoe UI"/>
        </w:rPr>
        <w:t xml:space="preserve"> Department of Health</w:t>
      </w:r>
    </w:p>
    <w:p w14:paraId="6294F423" w14:textId="2C3C100B" w:rsidR="001129E0" w:rsidRPr="001129E0" w:rsidRDefault="001129E0" w:rsidP="001129E0">
      <w:pPr>
        <w:pStyle w:val="Bullet"/>
      </w:pPr>
      <w:r w:rsidRPr="001129E0">
        <w:rPr>
          <w:rFonts w:asciiTheme="majorHAnsi" w:eastAsia="Segoe UI" w:hAnsiTheme="majorHAnsi" w:cstheme="majorHAnsi"/>
        </w:rPr>
        <w:t xml:space="preserve">Trish Angus PSM, </w:t>
      </w:r>
      <w:r w:rsidRPr="001129E0">
        <w:rPr>
          <w:rFonts w:eastAsia="Segoe UI"/>
        </w:rPr>
        <w:t xml:space="preserve">former head of Aboriginal housing, former head of Aboriginal health and current non-executive director of </w:t>
      </w:r>
      <w:proofErr w:type="spellStart"/>
      <w:r w:rsidRPr="001129E0">
        <w:rPr>
          <w:rFonts w:eastAsia="Segoe UI"/>
        </w:rPr>
        <w:t>CareFlight</w:t>
      </w:r>
      <w:proofErr w:type="spellEnd"/>
      <w:r w:rsidRPr="001129E0">
        <w:rPr>
          <w:rFonts w:eastAsia="Segoe UI"/>
        </w:rPr>
        <w:t>, Venture Housing, Tourism NT and Voyages Indigenous Tourism Australia Board</w:t>
      </w:r>
    </w:p>
    <w:p w14:paraId="0766CD0B" w14:textId="17403A69" w:rsidR="001129E0" w:rsidRPr="001129E0" w:rsidRDefault="001129E0" w:rsidP="001129E0">
      <w:pPr>
        <w:pStyle w:val="Bullet"/>
      </w:pPr>
      <w:r w:rsidRPr="001129E0">
        <w:rPr>
          <w:rFonts w:asciiTheme="majorHAnsi" w:eastAsia="Segoe UI" w:hAnsiTheme="majorHAnsi" w:cstheme="majorHAnsi"/>
        </w:rPr>
        <w:t>Dr Shane Houston,</w:t>
      </w:r>
      <w:r w:rsidRPr="001129E0">
        <w:rPr>
          <w:rFonts w:eastAsia="Segoe UI"/>
        </w:rPr>
        <w:t xml:space="preserve"> director of Cultural Fusion consultancy, former Deputy Vice Chancellor (Indigenous) at the University of Sydney, former head of Aboriginal health in both the NT Department of Health and Community Services and in the WA Health Department and of the National Aboriginal and Islander Health Organisation (predecessor to the NACCHO)</w:t>
      </w:r>
    </w:p>
    <w:p w14:paraId="0DD4C8CF" w14:textId="77777777" w:rsidR="001129E0" w:rsidRPr="001129E0" w:rsidRDefault="001129E0" w:rsidP="001129E0">
      <w:pPr>
        <w:pStyle w:val="Bullet"/>
      </w:pPr>
      <w:r w:rsidRPr="001129E0">
        <w:rPr>
          <w:rFonts w:asciiTheme="majorHAnsi" w:eastAsia="Segoe UI" w:hAnsiTheme="majorHAnsi" w:cstheme="majorHAnsi"/>
        </w:rPr>
        <w:t xml:space="preserve">Professor Sandra </w:t>
      </w:r>
      <w:proofErr w:type="spellStart"/>
      <w:r w:rsidRPr="001129E0">
        <w:rPr>
          <w:rFonts w:asciiTheme="majorHAnsi" w:eastAsia="Segoe UI" w:hAnsiTheme="majorHAnsi" w:cstheme="majorHAnsi"/>
        </w:rPr>
        <w:t>Eades</w:t>
      </w:r>
      <w:proofErr w:type="spellEnd"/>
      <w:r w:rsidRPr="001129E0">
        <w:rPr>
          <w:rFonts w:asciiTheme="majorHAnsi" w:eastAsia="Segoe UI" w:hAnsiTheme="majorHAnsi" w:cstheme="majorHAnsi"/>
        </w:rPr>
        <w:t>,</w:t>
      </w:r>
      <w:r w:rsidRPr="001129E0">
        <w:rPr>
          <w:rFonts w:eastAsia="Segoe UI"/>
        </w:rPr>
        <w:t xml:space="preserve"> Dean of Medicine at Curtin University, former Professor of Indigenous health at the University of Melbourne, at the University of Sydney, at the Baker Heart and Diabetes Institute, at the Sax Institute and at the Telethon Institute for Child Health Research. Sandra is also a current board member of Derbarl Yerrigan Aboriginal Medical Service in Perth WA, where she was also a general practitioner in the 1990s.</w:t>
      </w:r>
    </w:p>
    <w:p w14:paraId="37286E50" w14:textId="06621F66" w:rsidR="001129E0" w:rsidRPr="001129E0" w:rsidRDefault="001129E0" w:rsidP="001129E0">
      <w:pPr>
        <w:rPr>
          <w:lang w:eastAsia="en-AU"/>
        </w:rPr>
      </w:pPr>
      <w:r w:rsidRPr="001129E0">
        <w:rPr>
          <w:lang w:eastAsia="en-AU"/>
        </w:rPr>
        <w:t xml:space="preserve">This group had input into Nous’ evaluation plan and project plan. They </w:t>
      </w:r>
      <w:r>
        <w:rPr>
          <w:lang w:eastAsia="en-AU"/>
        </w:rPr>
        <w:t>met</w:t>
      </w:r>
      <w:r w:rsidRPr="001129E0">
        <w:rPr>
          <w:lang w:eastAsia="en-AU"/>
        </w:rPr>
        <w:t xml:space="preserve"> with the Nous team to further how the key evaluation questions </w:t>
      </w:r>
      <w:r w:rsidR="00F90B0A">
        <w:rPr>
          <w:lang w:eastAsia="en-AU"/>
        </w:rPr>
        <w:t xml:space="preserve">would be addressed </w:t>
      </w:r>
      <w:r w:rsidRPr="001129E0">
        <w:rPr>
          <w:lang w:eastAsia="en-AU"/>
        </w:rPr>
        <w:t>through consultation, research and analysis throughout the project. They also provide</w:t>
      </w:r>
      <w:r w:rsidR="00F90B0A">
        <w:rPr>
          <w:lang w:eastAsia="en-AU"/>
        </w:rPr>
        <w:t>d</w:t>
      </w:r>
      <w:r w:rsidRPr="001129E0">
        <w:rPr>
          <w:lang w:eastAsia="en-AU"/>
        </w:rPr>
        <w:t xml:space="preserve"> feedback on project deliverables and support</w:t>
      </w:r>
      <w:r w:rsidR="00F90B0A">
        <w:rPr>
          <w:lang w:eastAsia="en-AU"/>
        </w:rPr>
        <w:t>ed</w:t>
      </w:r>
      <w:r w:rsidRPr="001129E0">
        <w:rPr>
          <w:lang w:eastAsia="en-AU"/>
        </w:rPr>
        <w:t xml:space="preserve"> the Nous team to develop findings and recommendations.</w:t>
      </w:r>
    </w:p>
    <w:p w14:paraId="679310C9" w14:textId="3A75D787" w:rsidR="008B7ED6" w:rsidRPr="00EC7F0A" w:rsidRDefault="008B7ED6" w:rsidP="00EC7F0A">
      <w:pPr>
        <w:rPr>
          <w:b/>
          <w:bCs/>
          <w:color w:val="00264D" w:themeColor="background2"/>
          <w:sz w:val="20"/>
          <w:szCs w:val="24"/>
        </w:rPr>
      </w:pPr>
      <w:r w:rsidRPr="00EC7F0A">
        <w:rPr>
          <w:b/>
          <w:bCs/>
          <w:color w:val="00264D" w:themeColor="background2"/>
          <w:sz w:val="20"/>
          <w:szCs w:val="24"/>
        </w:rPr>
        <w:t>The Expert Advisory Group considered indicators of good practice at each stage of the transition process</w:t>
      </w:r>
    </w:p>
    <w:p w14:paraId="0FF7EEED" w14:textId="77777777" w:rsidR="008B7ED6" w:rsidRPr="008B7ED6" w:rsidRDefault="008B7ED6" w:rsidP="008B7ED6">
      <w:r w:rsidRPr="008B7ED6">
        <w:t>To develop the indicators of good practice, the Expert Advisory Group considered:</w:t>
      </w:r>
    </w:p>
    <w:p w14:paraId="3595AFE6" w14:textId="77777777" w:rsidR="008B7ED6" w:rsidRPr="008B7ED6" w:rsidRDefault="008B7ED6" w:rsidP="008B7ED6">
      <w:pPr>
        <w:pStyle w:val="Bullet"/>
      </w:pPr>
      <w:r w:rsidRPr="008B7ED6">
        <w:rPr>
          <w:rFonts w:eastAsia="Segoe UI"/>
        </w:rPr>
        <w:t>The key evaluation questions</w:t>
      </w:r>
    </w:p>
    <w:p w14:paraId="4A89CE11" w14:textId="77777777" w:rsidR="008B7ED6" w:rsidRPr="008B7ED6" w:rsidRDefault="008B7ED6" w:rsidP="008B7ED6">
      <w:pPr>
        <w:pStyle w:val="Bullet"/>
      </w:pPr>
      <w:r w:rsidRPr="008B7ED6">
        <w:rPr>
          <w:rFonts w:eastAsia="Segoe UI"/>
        </w:rPr>
        <w:t>The P2CC program documentation provided to Nous</w:t>
      </w:r>
    </w:p>
    <w:p w14:paraId="23B32EE8" w14:textId="77777777" w:rsidR="008B7ED6" w:rsidRPr="008B7ED6" w:rsidRDefault="008B7ED6" w:rsidP="008B7ED6">
      <w:pPr>
        <w:pStyle w:val="Bullet"/>
      </w:pPr>
      <w:r w:rsidRPr="008B7ED6">
        <w:rPr>
          <w:rFonts w:eastAsia="Segoe UI"/>
        </w:rPr>
        <w:t>Work that was going on in the period the P2CC program was being developed, including:</w:t>
      </w:r>
    </w:p>
    <w:p w14:paraId="2C1B2DC2" w14:textId="77777777" w:rsidR="008B7ED6" w:rsidRPr="008B7ED6" w:rsidRDefault="008B7ED6" w:rsidP="008B7ED6">
      <w:pPr>
        <w:pStyle w:val="Bullet"/>
        <w:numPr>
          <w:ilvl w:val="1"/>
          <w:numId w:val="2"/>
        </w:numPr>
      </w:pPr>
      <w:r w:rsidRPr="008B7ED6">
        <w:rPr>
          <w:rFonts w:eastAsia="Segoe UI"/>
        </w:rPr>
        <w:t>Work on the notion of universal core services</w:t>
      </w:r>
    </w:p>
    <w:p w14:paraId="29B73D26" w14:textId="77777777" w:rsidR="008B7ED6" w:rsidRPr="008B7ED6" w:rsidRDefault="008B7ED6" w:rsidP="008B7ED6">
      <w:pPr>
        <w:pStyle w:val="Bullet"/>
        <w:numPr>
          <w:ilvl w:val="1"/>
          <w:numId w:val="2"/>
        </w:numPr>
      </w:pPr>
      <w:r w:rsidRPr="008B7ED6">
        <w:rPr>
          <w:rFonts w:eastAsia="Segoe UI"/>
        </w:rPr>
        <w:t>The NT Preventable Chronic Diseases Strategy of the late 1990s</w:t>
      </w:r>
    </w:p>
    <w:p w14:paraId="75B1B431" w14:textId="77777777" w:rsidR="008B7ED6" w:rsidRPr="008B7ED6" w:rsidRDefault="008B7ED6" w:rsidP="008B7ED6">
      <w:pPr>
        <w:pStyle w:val="Bullet"/>
        <w:numPr>
          <w:ilvl w:val="1"/>
          <w:numId w:val="2"/>
        </w:numPr>
      </w:pPr>
      <w:r w:rsidRPr="008B7ED6">
        <w:rPr>
          <w:rFonts w:eastAsia="Segoe UI"/>
        </w:rPr>
        <w:t>The ABCD project led out of the Menzies School of Health Research.</w:t>
      </w:r>
    </w:p>
    <w:p w14:paraId="3D5AB064" w14:textId="77777777" w:rsidR="008B7ED6" w:rsidRPr="008B7ED6" w:rsidRDefault="008B7ED6" w:rsidP="008B7ED6">
      <w:r w:rsidRPr="008B7ED6">
        <w:t>This sheds light on how the parties who worked together to create the P2CC program envisaged it would achieve better health services for Aboriginal communities in the NT. As such, the indicators also reflect the intended process for transition.</w:t>
      </w:r>
    </w:p>
    <w:p w14:paraId="5B2DB814" w14:textId="6FBB6252" w:rsidR="008B7ED6" w:rsidRPr="008B7ED6" w:rsidRDefault="008B7ED6" w:rsidP="008B7ED6">
      <w:r w:rsidRPr="008B7ED6">
        <w:t xml:space="preserve">The indicators the Expert Advisory Group developed are presented in </w:t>
      </w:r>
      <w:r w:rsidR="0043746D">
        <w:rPr>
          <w:highlight w:val="yellow"/>
        </w:rPr>
        <w:fldChar w:fldCharType="begin"/>
      </w:r>
      <w:r w:rsidR="0043746D">
        <w:instrText xml:space="preserve"> REF _Ref100316703 \h </w:instrText>
      </w:r>
      <w:r w:rsidR="0043746D">
        <w:rPr>
          <w:highlight w:val="yellow"/>
        </w:rPr>
      </w:r>
      <w:r w:rsidR="0043746D">
        <w:rPr>
          <w:highlight w:val="yellow"/>
        </w:rPr>
        <w:fldChar w:fldCharType="separate"/>
      </w:r>
      <w:r w:rsidR="00A439E2">
        <w:t xml:space="preserve">Table </w:t>
      </w:r>
      <w:r w:rsidR="00A439E2">
        <w:rPr>
          <w:noProof/>
        </w:rPr>
        <w:t>4</w:t>
      </w:r>
      <w:r w:rsidR="0043746D">
        <w:rPr>
          <w:highlight w:val="yellow"/>
        </w:rPr>
        <w:fldChar w:fldCharType="end"/>
      </w:r>
      <w:r w:rsidRPr="008B7ED6">
        <w:t xml:space="preserve">. They are grouped against the four stages of the transition and against three mutually-reinforcing categories: (1) building community control, (2) regionalisation, and (3) building capability of comprehensive primary healthcare. </w:t>
      </w:r>
    </w:p>
    <w:p w14:paraId="03FBC99C" w14:textId="2253F1FE" w:rsidR="008B7ED6" w:rsidRPr="008B7ED6" w:rsidRDefault="008B7ED6" w:rsidP="008B7ED6">
      <w:r w:rsidRPr="008B7ED6">
        <w:t xml:space="preserve">The indicators of good practice </w:t>
      </w:r>
      <w:r w:rsidR="001D4F4B">
        <w:t>were</w:t>
      </w:r>
      <w:r w:rsidRPr="008B7ED6">
        <w:t xml:space="preserve"> intended as a starting point to inform how the key evaluation questions </w:t>
      </w:r>
      <w:r w:rsidR="001D4F4B">
        <w:t>would be</w:t>
      </w:r>
      <w:r w:rsidRPr="008B7ED6">
        <w:t xml:space="preserve"> addressed over the course of the evaluation.</w:t>
      </w:r>
    </w:p>
    <w:p w14:paraId="2A4829BF" w14:textId="1FA0C894" w:rsidR="001129E0" w:rsidRPr="008D6558" w:rsidRDefault="001D4F4B" w:rsidP="008B7ED6">
      <w:pPr>
        <w:rPr>
          <w:lang w:eastAsia="en-AU"/>
        </w:rPr>
      </w:pPr>
      <w:r>
        <w:t>However, they would also provide a starting point for ongoing monitoring and evaluation of the program.</w:t>
      </w:r>
    </w:p>
    <w:p w14:paraId="610BB1A7" w14:textId="7CACA6FC" w:rsidR="001D4F4B" w:rsidRDefault="001D4F4B" w:rsidP="008B7ED6">
      <w:r>
        <w:br w:type="page"/>
      </w:r>
    </w:p>
    <w:p w14:paraId="5A0EEE51" w14:textId="76D6CAE4" w:rsidR="0043746D" w:rsidRDefault="0043746D" w:rsidP="0043746D">
      <w:pPr>
        <w:pStyle w:val="Caption"/>
      </w:pPr>
      <w:bookmarkStart w:id="47" w:name="_Ref100316703"/>
      <w:r>
        <w:lastRenderedPageBreak/>
        <w:t xml:space="preserve">Table </w:t>
      </w:r>
      <w:r>
        <w:fldChar w:fldCharType="begin"/>
      </w:r>
      <w:r>
        <w:instrText xml:space="preserve"> SEQ Table \* ARABIC </w:instrText>
      </w:r>
      <w:r>
        <w:fldChar w:fldCharType="separate"/>
      </w:r>
      <w:r w:rsidR="00A439E2">
        <w:rPr>
          <w:noProof/>
        </w:rPr>
        <w:t>4</w:t>
      </w:r>
      <w:r>
        <w:fldChar w:fldCharType="end"/>
      </w:r>
      <w:bookmarkEnd w:id="47"/>
      <w:r>
        <w:t xml:space="preserve"> | Indicators of good practice</w:t>
      </w:r>
    </w:p>
    <w:tbl>
      <w:tblPr>
        <w:tblStyle w:val="NOUS"/>
        <w:tblW w:w="5000" w:type="pct"/>
        <w:tblLook w:val="0420" w:firstRow="1" w:lastRow="0" w:firstColumn="0" w:lastColumn="0" w:noHBand="0" w:noVBand="1"/>
      </w:tblPr>
      <w:tblGrid>
        <w:gridCol w:w="1716"/>
        <w:gridCol w:w="1706"/>
        <w:gridCol w:w="1796"/>
        <w:gridCol w:w="1886"/>
        <w:gridCol w:w="1826"/>
      </w:tblGrid>
      <w:tr w:rsidR="0032213E" w:rsidRPr="0032213E" w14:paraId="3B840771" w14:textId="77777777" w:rsidTr="004C0480">
        <w:trPr>
          <w:cnfStyle w:val="100000000000" w:firstRow="1" w:lastRow="0" w:firstColumn="0" w:lastColumn="0" w:oddVBand="0" w:evenVBand="0" w:oddHBand="0" w:evenHBand="0" w:firstRowFirstColumn="0" w:firstRowLastColumn="0" w:lastRowFirstColumn="0" w:lastRowLastColumn="0"/>
          <w:trHeight w:val="510"/>
        </w:trPr>
        <w:tc>
          <w:tcPr>
            <w:tcW w:w="1714" w:type="dxa"/>
            <w:hideMark/>
          </w:tcPr>
          <w:p w14:paraId="72FE56B3" w14:textId="77777777" w:rsidR="0032213E" w:rsidRPr="004C0480" w:rsidRDefault="0032213E" w:rsidP="0043746D">
            <w:pPr>
              <w:pStyle w:val="TableNheader"/>
              <w:keepNext w:val="0"/>
              <w:rPr>
                <w:b w:val="0"/>
                <w:bCs/>
              </w:rPr>
            </w:pPr>
            <w:r w:rsidRPr="004C0480">
              <w:rPr>
                <w:b w:val="0"/>
                <w:bCs/>
              </w:rPr>
              <w:t>Category</w:t>
            </w:r>
          </w:p>
        </w:tc>
        <w:tc>
          <w:tcPr>
            <w:tcW w:w="1704" w:type="dxa"/>
            <w:hideMark/>
          </w:tcPr>
          <w:p w14:paraId="2250FC07" w14:textId="77777777" w:rsidR="0032213E" w:rsidRPr="004C0480" w:rsidRDefault="0032213E" w:rsidP="0043746D">
            <w:pPr>
              <w:pStyle w:val="TableNheader"/>
              <w:keepNext w:val="0"/>
              <w:rPr>
                <w:b w:val="0"/>
                <w:bCs/>
              </w:rPr>
            </w:pPr>
            <w:r w:rsidRPr="004C0480">
              <w:rPr>
                <w:b w:val="0"/>
                <w:bCs/>
              </w:rPr>
              <w:t>Development</w:t>
            </w:r>
          </w:p>
        </w:tc>
        <w:tc>
          <w:tcPr>
            <w:tcW w:w="1794" w:type="dxa"/>
            <w:hideMark/>
          </w:tcPr>
          <w:p w14:paraId="17E15AB5" w14:textId="77777777" w:rsidR="0032213E" w:rsidRPr="004C0480" w:rsidRDefault="0032213E" w:rsidP="0043746D">
            <w:pPr>
              <w:pStyle w:val="TableNheader"/>
              <w:keepNext w:val="0"/>
              <w:rPr>
                <w:b w:val="0"/>
                <w:bCs/>
              </w:rPr>
            </w:pPr>
            <w:r w:rsidRPr="004C0480">
              <w:rPr>
                <w:b w:val="0"/>
                <w:bCs/>
              </w:rPr>
              <w:t>Consolidation</w:t>
            </w:r>
          </w:p>
        </w:tc>
        <w:tc>
          <w:tcPr>
            <w:tcW w:w="1884" w:type="dxa"/>
            <w:hideMark/>
          </w:tcPr>
          <w:p w14:paraId="3B619424" w14:textId="77777777" w:rsidR="0032213E" w:rsidRPr="004C0480" w:rsidRDefault="0032213E" w:rsidP="0043746D">
            <w:pPr>
              <w:pStyle w:val="TableNheader"/>
              <w:keepNext w:val="0"/>
              <w:rPr>
                <w:b w:val="0"/>
                <w:bCs/>
              </w:rPr>
            </w:pPr>
            <w:r w:rsidRPr="004C0480">
              <w:rPr>
                <w:b w:val="0"/>
                <w:bCs/>
              </w:rPr>
              <w:t>Implementation</w:t>
            </w:r>
          </w:p>
        </w:tc>
        <w:tc>
          <w:tcPr>
            <w:tcW w:w="1824" w:type="dxa"/>
            <w:hideMark/>
          </w:tcPr>
          <w:p w14:paraId="297D005F" w14:textId="77777777" w:rsidR="0032213E" w:rsidRPr="004C0480" w:rsidRDefault="0032213E" w:rsidP="0043746D">
            <w:pPr>
              <w:pStyle w:val="TableNheader"/>
              <w:keepNext w:val="0"/>
              <w:rPr>
                <w:b w:val="0"/>
                <w:bCs/>
              </w:rPr>
            </w:pPr>
            <w:r w:rsidRPr="004C0480">
              <w:rPr>
                <w:b w:val="0"/>
                <w:bCs/>
              </w:rPr>
              <w:t>Evaluation</w:t>
            </w:r>
          </w:p>
        </w:tc>
      </w:tr>
      <w:tr w:rsidR="0032213E" w:rsidRPr="0032213E" w14:paraId="34D1F5E8" w14:textId="77777777" w:rsidTr="004C0480">
        <w:trPr>
          <w:trHeight w:val="510"/>
        </w:trPr>
        <w:tc>
          <w:tcPr>
            <w:tcW w:w="1714" w:type="dxa"/>
            <w:hideMark/>
          </w:tcPr>
          <w:p w14:paraId="531E461A" w14:textId="77777777" w:rsidR="0032213E" w:rsidRPr="0032213E" w:rsidRDefault="0032213E" w:rsidP="0043746D">
            <w:pPr>
              <w:pStyle w:val="TableNText"/>
              <w:keepNext w:val="0"/>
            </w:pPr>
            <w:r w:rsidRPr="0032213E">
              <w:t>Building community control</w:t>
            </w:r>
          </w:p>
        </w:tc>
        <w:tc>
          <w:tcPr>
            <w:tcW w:w="1704" w:type="dxa"/>
            <w:hideMark/>
          </w:tcPr>
          <w:p w14:paraId="4B743B4C" w14:textId="77777777" w:rsidR="0032213E" w:rsidRPr="0032213E" w:rsidRDefault="0032213E" w:rsidP="0043746D">
            <w:pPr>
              <w:pStyle w:val="TableNText"/>
              <w:keepNext w:val="0"/>
            </w:pPr>
            <w:r w:rsidRPr="0032213E">
              <w:t>-Provide and improve information for the community members.</w:t>
            </w:r>
          </w:p>
          <w:p w14:paraId="4513A302" w14:textId="77777777" w:rsidR="0032213E" w:rsidRPr="0032213E" w:rsidRDefault="0032213E" w:rsidP="0043746D">
            <w:pPr>
              <w:pStyle w:val="TableNText"/>
              <w:keepNext w:val="0"/>
            </w:pPr>
            <w:r w:rsidRPr="0032213E">
              <w:t>-Elicit community preferences for service models.</w:t>
            </w:r>
          </w:p>
          <w:p w14:paraId="1D6159BF" w14:textId="77777777" w:rsidR="0032213E" w:rsidRPr="0032213E" w:rsidRDefault="0032213E" w:rsidP="0043746D">
            <w:pPr>
              <w:pStyle w:val="TableNText"/>
              <w:keepNext w:val="0"/>
            </w:pPr>
            <w:r w:rsidRPr="0032213E">
              <w:t>-Evaluate options.</w:t>
            </w:r>
          </w:p>
          <w:p w14:paraId="3ABCBBF2" w14:textId="77777777" w:rsidR="0032213E" w:rsidRPr="0032213E" w:rsidRDefault="0032213E" w:rsidP="0043746D">
            <w:pPr>
              <w:pStyle w:val="TableNText"/>
              <w:keepNext w:val="0"/>
            </w:pPr>
            <w:r w:rsidRPr="0032213E">
              <w:t>-Chose a service model.</w:t>
            </w:r>
          </w:p>
        </w:tc>
        <w:tc>
          <w:tcPr>
            <w:tcW w:w="1794" w:type="dxa"/>
            <w:hideMark/>
          </w:tcPr>
          <w:p w14:paraId="7582F84B" w14:textId="77777777" w:rsidR="0032213E" w:rsidRPr="0032213E" w:rsidRDefault="0032213E" w:rsidP="0043746D">
            <w:pPr>
              <w:pStyle w:val="TableNText"/>
              <w:keepNext w:val="0"/>
            </w:pPr>
            <w:r w:rsidRPr="0032213E">
              <w:t>-Build community capability through:</w:t>
            </w:r>
          </w:p>
          <w:p w14:paraId="3C7C5D17" w14:textId="77777777" w:rsidR="0032213E" w:rsidRPr="0032213E" w:rsidRDefault="0032213E" w:rsidP="0043746D">
            <w:pPr>
              <w:pStyle w:val="TableNText"/>
              <w:keepNext w:val="0"/>
            </w:pPr>
            <w:r w:rsidRPr="0032213E">
              <w:t>- A leadership group that is consolidated into an elected health board with accountability to the community or region.</w:t>
            </w:r>
          </w:p>
          <w:p w14:paraId="0A0C2156" w14:textId="77777777" w:rsidR="0032213E" w:rsidRPr="0032213E" w:rsidRDefault="0032213E" w:rsidP="0043746D">
            <w:pPr>
              <w:pStyle w:val="TableNText"/>
              <w:keepNext w:val="0"/>
            </w:pPr>
            <w:r w:rsidRPr="0032213E">
              <w:t>-A health plan that is created with support of community leadership.</w:t>
            </w:r>
          </w:p>
          <w:p w14:paraId="0E679BE3" w14:textId="77777777" w:rsidR="0032213E" w:rsidRPr="0032213E" w:rsidRDefault="0032213E" w:rsidP="0043746D">
            <w:pPr>
              <w:pStyle w:val="TableNText"/>
              <w:keepNext w:val="0"/>
            </w:pPr>
            <w:r w:rsidRPr="0032213E">
              <w:t>-The establishment of networks and functioning partnerships with stakeholders.</w:t>
            </w:r>
          </w:p>
          <w:p w14:paraId="37D41D6B" w14:textId="77777777" w:rsidR="0032213E" w:rsidRPr="0032213E" w:rsidRDefault="0032213E" w:rsidP="0043746D">
            <w:pPr>
              <w:pStyle w:val="TableNText"/>
              <w:keepNext w:val="0"/>
            </w:pPr>
            <w:r w:rsidRPr="0032213E">
              <w:t xml:space="preserve">-The development of the legal entity's capability to affect </w:t>
            </w:r>
            <w:r w:rsidRPr="0032213E">
              <w:rPr>
                <w:rFonts w:eastAsia="Calibri"/>
              </w:rPr>
              <w:t> </w:t>
            </w:r>
            <w:r w:rsidRPr="0032213E">
              <w:t>strategic management and implement a framework to support the service model.</w:t>
            </w:r>
          </w:p>
          <w:p w14:paraId="5F79766C" w14:textId="77777777" w:rsidR="0032213E" w:rsidRPr="0032213E" w:rsidRDefault="0032213E" w:rsidP="0043746D">
            <w:pPr>
              <w:pStyle w:val="TableNText"/>
              <w:keepNext w:val="0"/>
            </w:pPr>
            <w:r w:rsidRPr="0032213E">
              <w:t>-The agreement of an evaluation strategy to form the basis of the evaluation stage.</w:t>
            </w:r>
          </w:p>
        </w:tc>
        <w:tc>
          <w:tcPr>
            <w:tcW w:w="1884" w:type="dxa"/>
            <w:hideMark/>
          </w:tcPr>
          <w:p w14:paraId="51C1044B" w14:textId="77777777" w:rsidR="0032213E" w:rsidRPr="0032213E" w:rsidRDefault="0032213E" w:rsidP="0043746D">
            <w:pPr>
              <w:pStyle w:val="TableNText"/>
              <w:keepNext w:val="0"/>
            </w:pPr>
            <w:r w:rsidRPr="0032213E">
              <w:t>-Monitor changes to ensure the implemented reform meets all appropriate milestones.</w:t>
            </w:r>
          </w:p>
          <w:p w14:paraId="74CEA322" w14:textId="77777777" w:rsidR="0032213E" w:rsidRPr="0032213E" w:rsidRDefault="0032213E" w:rsidP="0043746D">
            <w:pPr>
              <w:pStyle w:val="TableNText"/>
              <w:keepNext w:val="0"/>
            </w:pPr>
            <w:r w:rsidRPr="0032213E">
              <w:t>-Service managers have taken on responsibilities under the service plan and will have sound business plans in place and tied to operational decision making.</w:t>
            </w:r>
          </w:p>
          <w:p w14:paraId="36555327" w14:textId="77777777" w:rsidR="0032213E" w:rsidRPr="0032213E" w:rsidRDefault="0032213E" w:rsidP="0043746D">
            <w:pPr>
              <w:pStyle w:val="TableNText"/>
              <w:keepNext w:val="0"/>
            </w:pPr>
            <w:r w:rsidRPr="0032213E">
              <w:t>-Partners maintain effort in support of health outcomes and ensure services meet the requirements of the health plan.</w:t>
            </w:r>
          </w:p>
          <w:p w14:paraId="0263C621" w14:textId="77777777" w:rsidR="0032213E" w:rsidRPr="0032213E" w:rsidRDefault="0032213E" w:rsidP="0043746D">
            <w:pPr>
              <w:pStyle w:val="TableNText"/>
              <w:keepNext w:val="0"/>
            </w:pPr>
            <w:r w:rsidRPr="0032213E">
              <w:t>-Confidence of the community, funders and stakeholders is maintained.</w:t>
            </w:r>
          </w:p>
          <w:p w14:paraId="48B493FD" w14:textId="77777777" w:rsidR="0032213E" w:rsidRPr="0032213E" w:rsidRDefault="0032213E" w:rsidP="0043746D">
            <w:pPr>
              <w:pStyle w:val="TableNText"/>
              <w:keepNext w:val="0"/>
            </w:pPr>
            <w:r w:rsidRPr="0032213E">
              <w:t>-Communities have mechanisms in place to address concerns and celebrate success.</w:t>
            </w:r>
          </w:p>
          <w:p w14:paraId="529E2D00" w14:textId="77777777" w:rsidR="0032213E" w:rsidRPr="0032213E" w:rsidRDefault="0032213E" w:rsidP="0043746D">
            <w:pPr>
              <w:pStyle w:val="TableNText"/>
              <w:keepNext w:val="0"/>
            </w:pPr>
            <w:r w:rsidRPr="0032213E">
              <w:t>-Data is collected and analysed to support strategic and operational needs.</w:t>
            </w:r>
          </w:p>
        </w:tc>
        <w:tc>
          <w:tcPr>
            <w:tcW w:w="1824" w:type="dxa"/>
            <w:hideMark/>
          </w:tcPr>
          <w:p w14:paraId="19312C8C" w14:textId="77777777" w:rsidR="0032213E" w:rsidRPr="0032213E" w:rsidRDefault="0032213E" w:rsidP="0043746D">
            <w:pPr>
              <w:pStyle w:val="TableNText"/>
              <w:keepNext w:val="0"/>
            </w:pPr>
            <w:r w:rsidRPr="0032213E">
              <w:t>-Create a judgement regarding the effectiveness and efficiency of the service.</w:t>
            </w:r>
          </w:p>
          <w:p w14:paraId="0E86BEA5" w14:textId="77777777" w:rsidR="0032213E" w:rsidRPr="0032213E" w:rsidRDefault="0032213E" w:rsidP="0043746D">
            <w:pPr>
              <w:pStyle w:val="TableNText"/>
              <w:keepNext w:val="0"/>
            </w:pPr>
            <w:r w:rsidRPr="0032213E">
              <w:t>- Key stakeholders are engaged as part of the evaluation, giving structure to some of the questions asked by the evaluation.</w:t>
            </w:r>
          </w:p>
          <w:p w14:paraId="624C73DD" w14:textId="77777777" w:rsidR="0032213E" w:rsidRPr="0032213E" w:rsidRDefault="0032213E" w:rsidP="0043746D">
            <w:pPr>
              <w:pStyle w:val="TableNText"/>
              <w:keepNext w:val="0"/>
            </w:pPr>
            <w:r w:rsidRPr="0032213E">
              <w:t>-Set clear business and implementation objectives to be evaluated along with the main service components to establish a logical format.</w:t>
            </w:r>
          </w:p>
          <w:p w14:paraId="2A05E0C5" w14:textId="77777777" w:rsidR="0032213E" w:rsidRPr="0032213E" w:rsidRDefault="0032213E" w:rsidP="0043746D">
            <w:pPr>
              <w:pStyle w:val="TableNText"/>
              <w:keepNext w:val="0"/>
            </w:pPr>
            <w:r w:rsidRPr="0032213E">
              <w:t>-Use an Evaluation Report to provide a basis to enhance strategic, business or other operational and corporate decisions.</w:t>
            </w:r>
          </w:p>
          <w:p w14:paraId="3E8CA63B" w14:textId="77777777" w:rsidR="0032213E" w:rsidRPr="0032213E" w:rsidRDefault="0032213E" w:rsidP="0043746D">
            <w:pPr>
              <w:pStyle w:val="TableNText"/>
              <w:keepNext w:val="0"/>
            </w:pPr>
            <w:r w:rsidRPr="0032213E">
              <w:t>-Other indicators of governance strength and function could also be useful here.</w:t>
            </w:r>
          </w:p>
        </w:tc>
      </w:tr>
      <w:tr w:rsidR="0032213E" w:rsidRPr="0032213E" w14:paraId="689F1667" w14:textId="77777777" w:rsidTr="004C0480">
        <w:trPr>
          <w:trHeight w:val="510"/>
        </w:trPr>
        <w:tc>
          <w:tcPr>
            <w:tcW w:w="1714" w:type="dxa"/>
            <w:hideMark/>
          </w:tcPr>
          <w:p w14:paraId="75D3A244" w14:textId="77777777" w:rsidR="0032213E" w:rsidRPr="0032213E" w:rsidRDefault="0032213E" w:rsidP="0043746D">
            <w:pPr>
              <w:pStyle w:val="TableNText"/>
              <w:keepNext w:val="0"/>
            </w:pPr>
            <w:r w:rsidRPr="0032213E">
              <w:t>Regionalisation</w:t>
            </w:r>
          </w:p>
        </w:tc>
        <w:tc>
          <w:tcPr>
            <w:tcW w:w="1704" w:type="dxa"/>
            <w:hideMark/>
          </w:tcPr>
          <w:p w14:paraId="5304F480" w14:textId="77777777" w:rsidR="0032213E" w:rsidRPr="0032213E" w:rsidRDefault="0032213E" w:rsidP="0043746D">
            <w:pPr>
              <w:pStyle w:val="TableNText"/>
              <w:keepNext w:val="0"/>
            </w:pPr>
            <w:r w:rsidRPr="0032213E">
              <w:t>-Have a proposed governance model based on community preferences.</w:t>
            </w:r>
          </w:p>
          <w:p w14:paraId="0024BEA0" w14:textId="77777777" w:rsidR="0032213E" w:rsidRPr="0032213E" w:rsidRDefault="0032213E" w:rsidP="0043746D">
            <w:pPr>
              <w:pStyle w:val="TableNText"/>
              <w:keepNext w:val="0"/>
            </w:pPr>
            <w:r w:rsidRPr="0032213E">
              <w:t>-Have a plan for implementing said governance model.</w:t>
            </w:r>
          </w:p>
          <w:p w14:paraId="1CB1B7B9" w14:textId="77777777" w:rsidR="0032213E" w:rsidRPr="0032213E" w:rsidRDefault="0032213E" w:rsidP="0043746D">
            <w:pPr>
              <w:pStyle w:val="TableNText"/>
              <w:keepNext w:val="0"/>
            </w:pPr>
            <w:r w:rsidRPr="0032213E">
              <w:t>-Have a plan for improved coordination and integration of existing services.</w:t>
            </w:r>
          </w:p>
          <w:p w14:paraId="68E20581" w14:textId="77777777" w:rsidR="0032213E" w:rsidRPr="0032213E" w:rsidRDefault="0032213E" w:rsidP="0043746D">
            <w:pPr>
              <w:pStyle w:val="TableNText"/>
              <w:keepNext w:val="0"/>
            </w:pPr>
            <w:r w:rsidRPr="0032213E">
              <w:t>-Have government endorsement of plans.</w:t>
            </w:r>
          </w:p>
        </w:tc>
        <w:tc>
          <w:tcPr>
            <w:tcW w:w="1794" w:type="dxa"/>
            <w:hideMark/>
          </w:tcPr>
          <w:p w14:paraId="41FA1129" w14:textId="77777777" w:rsidR="0032213E" w:rsidRPr="0032213E" w:rsidRDefault="0032213E" w:rsidP="0043746D">
            <w:pPr>
              <w:pStyle w:val="TableNText"/>
              <w:keepNext w:val="0"/>
            </w:pPr>
            <w:r w:rsidRPr="0032213E">
              <w:t>-Establish either the Regional Advisory group or Health Board and a governance training plan will be implemented.</w:t>
            </w:r>
          </w:p>
          <w:p w14:paraId="31712FEE" w14:textId="77777777" w:rsidR="0032213E" w:rsidRPr="0032213E" w:rsidRDefault="0032213E" w:rsidP="0043746D">
            <w:pPr>
              <w:pStyle w:val="TableNText"/>
              <w:keepNext w:val="0"/>
            </w:pPr>
            <w:r w:rsidRPr="0032213E">
              <w:t>-Establish a legal entity meeting requirements of competency and capability.</w:t>
            </w:r>
          </w:p>
          <w:p w14:paraId="5E4895BA" w14:textId="77777777" w:rsidR="0032213E" w:rsidRPr="0032213E" w:rsidRDefault="0032213E" w:rsidP="0043746D">
            <w:pPr>
              <w:pStyle w:val="TableNText"/>
              <w:keepNext w:val="0"/>
            </w:pPr>
            <w:r w:rsidRPr="0032213E">
              <w:t>-Develop a plan to transition existing services.</w:t>
            </w:r>
          </w:p>
          <w:p w14:paraId="21A4D95D" w14:textId="77777777" w:rsidR="0032213E" w:rsidRPr="0032213E" w:rsidRDefault="0032213E" w:rsidP="0043746D">
            <w:pPr>
              <w:pStyle w:val="TableNText"/>
              <w:keepNext w:val="0"/>
            </w:pPr>
            <w:r w:rsidRPr="0032213E">
              <w:t>-Have government endorsement of plans.</w:t>
            </w:r>
          </w:p>
        </w:tc>
        <w:tc>
          <w:tcPr>
            <w:tcW w:w="1884" w:type="dxa"/>
            <w:hideMark/>
          </w:tcPr>
          <w:p w14:paraId="4C3381A0" w14:textId="77777777" w:rsidR="0032213E" w:rsidRPr="0032213E" w:rsidRDefault="0032213E" w:rsidP="0043746D">
            <w:pPr>
              <w:pStyle w:val="TableNText"/>
              <w:keepNext w:val="0"/>
            </w:pPr>
            <w:r w:rsidRPr="0032213E">
              <w:t>-Existing services transition to the new regional service provider.</w:t>
            </w:r>
          </w:p>
          <w:p w14:paraId="6F00C3D8" w14:textId="77777777" w:rsidR="0032213E" w:rsidRPr="0032213E" w:rsidRDefault="0032213E" w:rsidP="0043746D">
            <w:pPr>
              <w:pStyle w:val="TableNText"/>
              <w:keepNext w:val="0"/>
            </w:pPr>
            <w:r w:rsidRPr="0032213E">
              <w:t>-Implementation and ongoing management of regional health system reform.</w:t>
            </w:r>
          </w:p>
        </w:tc>
        <w:tc>
          <w:tcPr>
            <w:tcW w:w="1824" w:type="dxa"/>
            <w:hideMark/>
          </w:tcPr>
          <w:p w14:paraId="0B6624D1" w14:textId="7AF19825" w:rsidR="0032213E" w:rsidRPr="0032213E" w:rsidRDefault="0032213E" w:rsidP="0043746D">
            <w:pPr>
              <w:pStyle w:val="TableNText"/>
              <w:keepNext w:val="0"/>
            </w:pPr>
            <w:r w:rsidRPr="0032213E">
              <w:t>-Ongoing monitoring of progress towards regionalisation and also the effectiveness of the current service model inform improvements within the HSDA.</w:t>
            </w:r>
          </w:p>
        </w:tc>
      </w:tr>
      <w:tr w:rsidR="0043746D" w:rsidRPr="0043746D" w14:paraId="64FA2721" w14:textId="77777777" w:rsidTr="004C0480">
        <w:trPr>
          <w:trHeight w:val="510"/>
        </w:trPr>
        <w:tc>
          <w:tcPr>
            <w:tcW w:w="1714" w:type="dxa"/>
            <w:hideMark/>
          </w:tcPr>
          <w:p w14:paraId="2E66261D" w14:textId="77777777" w:rsidR="0043746D" w:rsidRPr="0043746D" w:rsidRDefault="0043746D" w:rsidP="0043746D">
            <w:pPr>
              <w:pStyle w:val="TableNText"/>
              <w:keepNext w:val="0"/>
            </w:pPr>
            <w:r w:rsidRPr="0043746D">
              <w:lastRenderedPageBreak/>
              <w:t>Building capability of comprehensive primary healthcare</w:t>
            </w:r>
          </w:p>
        </w:tc>
        <w:tc>
          <w:tcPr>
            <w:tcW w:w="1704" w:type="dxa"/>
            <w:hideMark/>
          </w:tcPr>
          <w:p w14:paraId="1FD10446" w14:textId="77777777" w:rsidR="0043746D" w:rsidRPr="0043746D" w:rsidRDefault="0043746D" w:rsidP="0043746D">
            <w:pPr>
              <w:pStyle w:val="TableNText"/>
              <w:keepNext w:val="0"/>
            </w:pPr>
            <w:r w:rsidRPr="0043746D">
              <w:t>-Assess key performance indicators for comprehensive healthcare against current standard of care within the community.</w:t>
            </w:r>
          </w:p>
          <w:p w14:paraId="309DADD3" w14:textId="77777777" w:rsidR="0043746D" w:rsidRPr="0043746D" w:rsidRDefault="0043746D" w:rsidP="0043746D">
            <w:pPr>
              <w:pStyle w:val="TableNText"/>
              <w:keepNext w:val="0"/>
            </w:pPr>
            <w:r w:rsidRPr="0043746D">
              <w:t xml:space="preserve">-Establish networks between key local families, business and health providers. </w:t>
            </w:r>
          </w:p>
          <w:p w14:paraId="2C223A91" w14:textId="77777777" w:rsidR="0043746D" w:rsidRPr="0043746D" w:rsidRDefault="0043746D" w:rsidP="0043746D">
            <w:pPr>
              <w:pStyle w:val="TableNText"/>
              <w:keepNext w:val="0"/>
            </w:pPr>
            <w:r w:rsidRPr="0043746D">
              <w:t>-Identify specific health areas of concern, such as substance use, maternal and childhood health, age and disability care and mental, social and emotional health.</w:t>
            </w:r>
          </w:p>
          <w:p w14:paraId="382D8805" w14:textId="77777777" w:rsidR="0043746D" w:rsidRPr="0043746D" w:rsidRDefault="0043746D" w:rsidP="0043746D">
            <w:pPr>
              <w:pStyle w:val="TableNText"/>
              <w:keepNext w:val="0"/>
            </w:pPr>
            <w:r w:rsidRPr="0043746D">
              <w:t>-Baseline health (&amp; related) service scope in communities, to ensure transition is not set up to fail and development strategies are in place, where needed as part of plan.</w:t>
            </w:r>
          </w:p>
          <w:p w14:paraId="45C7FC43" w14:textId="77777777" w:rsidR="0043746D" w:rsidRPr="0043746D" w:rsidRDefault="0043746D" w:rsidP="0043746D">
            <w:pPr>
              <w:pStyle w:val="TableNText"/>
              <w:keepNext w:val="0"/>
            </w:pPr>
            <w:r w:rsidRPr="0043746D">
              <w:t>-Develop education plan to improve health literacy in relation to areas of concern.</w:t>
            </w:r>
          </w:p>
        </w:tc>
        <w:tc>
          <w:tcPr>
            <w:tcW w:w="1794" w:type="dxa"/>
            <w:hideMark/>
          </w:tcPr>
          <w:p w14:paraId="24256504" w14:textId="77777777" w:rsidR="0043746D" w:rsidRPr="0043746D" w:rsidRDefault="0043746D" w:rsidP="0043746D">
            <w:pPr>
              <w:pStyle w:val="TableNText"/>
              <w:keepNext w:val="0"/>
            </w:pPr>
            <w:r w:rsidRPr="0043746D">
              <w:t>-Develop cultural safety policies for clinical situations from consultation with community leadership including cultural orientation for non-Indigenous service providers.</w:t>
            </w:r>
          </w:p>
          <w:p w14:paraId="49A119A7" w14:textId="77777777" w:rsidR="0043746D" w:rsidRPr="0043746D" w:rsidRDefault="0043746D" w:rsidP="0043746D">
            <w:pPr>
              <w:pStyle w:val="TableNText"/>
              <w:keepNext w:val="0"/>
            </w:pPr>
            <w:r w:rsidRPr="0043746D">
              <w:t xml:space="preserve">-Recruit a qualified Health Services Development Officer or Health Services Manager. </w:t>
            </w:r>
          </w:p>
          <w:p w14:paraId="4461F548" w14:textId="77777777" w:rsidR="0043746D" w:rsidRPr="0043746D" w:rsidRDefault="0043746D" w:rsidP="0043746D">
            <w:pPr>
              <w:pStyle w:val="TableNText"/>
              <w:keepNext w:val="0"/>
            </w:pPr>
            <w:r w:rsidRPr="0043746D">
              <w:t>-Develop plan for strategic and financial management and governance of healthcare services in relation to service model.</w:t>
            </w:r>
          </w:p>
          <w:p w14:paraId="7D0BAE48" w14:textId="77777777" w:rsidR="0043746D" w:rsidRPr="0043746D" w:rsidRDefault="0043746D" w:rsidP="0043746D">
            <w:pPr>
              <w:pStyle w:val="TableNText"/>
              <w:keepNext w:val="0"/>
            </w:pPr>
            <w:r w:rsidRPr="0043746D">
              <w:t>-Employ local Aboriginal people to help manage language barriers.</w:t>
            </w:r>
          </w:p>
        </w:tc>
        <w:tc>
          <w:tcPr>
            <w:tcW w:w="1884" w:type="dxa"/>
            <w:hideMark/>
          </w:tcPr>
          <w:p w14:paraId="442A0C46" w14:textId="2166C5D2" w:rsidR="0043746D" w:rsidRPr="0043746D" w:rsidRDefault="0043746D" w:rsidP="0043746D">
            <w:pPr>
              <w:pStyle w:val="TableNText"/>
              <w:keepNext w:val="0"/>
            </w:pPr>
            <w:r w:rsidRPr="0043746D">
              <w:t xml:space="preserve">-Recruit further health staff and train those and existing staff to provide core </w:t>
            </w:r>
            <w:r w:rsidR="00F552E5">
              <w:t>primary health care</w:t>
            </w:r>
            <w:r w:rsidR="00F552E5" w:rsidRPr="0043746D">
              <w:t xml:space="preserve"> </w:t>
            </w:r>
            <w:r w:rsidRPr="0043746D">
              <w:t>scope and standards of care.</w:t>
            </w:r>
          </w:p>
          <w:p w14:paraId="1C25A6AF" w14:textId="77777777" w:rsidR="0043746D" w:rsidRPr="0043746D" w:rsidRDefault="0043746D" w:rsidP="0043746D">
            <w:pPr>
              <w:pStyle w:val="TableNText"/>
              <w:keepNext w:val="0"/>
            </w:pPr>
            <w:r w:rsidRPr="0043746D">
              <w:t>- Ensure avenues for community members to address and advocate for health issues on individual and local levels, along with mechanisms for community feedback.</w:t>
            </w:r>
          </w:p>
          <w:p w14:paraId="6B784576" w14:textId="77777777" w:rsidR="0043746D" w:rsidRPr="0043746D" w:rsidRDefault="0043746D" w:rsidP="0043746D">
            <w:pPr>
              <w:pStyle w:val="TableNText"/>
              <w:keepNext w:val="0"/>
            </w:pPr>
            <w:r w:rsidRPr="0043746D">
              <w:t>-Ensure avenues to access secondary health services (pharmacy, visiting specialists, diagnostic specialist and pathologists, oral health, etc.)</w:t>
            </w:r>
          </w:p>
          <w:p w14:paraId="000DC16C" w14:textId="77777777" w:rsidR="0043746D" w:rsidRPr="0043746D" w:rsidRDefault="0043746D" w:rsidP="0043746D">
            <w:pPr>
              <w:pStyle w:val="TableNText"/>
              <w:keepNext w:val="0"/>
            </w:pPr>
            <w:r w:rsidRPr="0043746D">
              <w:t>-Standardise regulations for healthcare, particularly in relation to areas of concern within the community, to support preventative healthcare.</w:t>
            </w:r>
          </w:p>
        </w:tc>
        <w:tc>
          <w:tcPr>
            <w:tcW w:w="1824" w:type="dxa"/>
            <w:hideMark/>
          </w:tcPr>
          <w:p w14:paraId="2AC201F6" w14:textId="77777777" w:rsidR="0043746D" w:rsidRPr="0043746D" w:rsidRDefault="0043746D" w:rsidP="0043746D">
            <w:pPr>
              <w:pStyle w:val="TableNText"/>
              <w:keepNext w:val="0"/>
            </w:pPr>
            <w:r w:rsidRPr="0043746D">
              <w:t xml:space="preserve">-Review healthcare provided against key areas of concern to ensure community needs are met. </w:t>
            </w:r>
          </w:p>
          <w:p w14:paraId="6FD1F6E8" w14:textId="77777777" w:rsidR="0043746D" w:rsidRPr="0043746D" w:rsidRDefault="0043746D" w:rsidP="0043746D">
            <w:pPr>
              <w:pStyle w:val="TableNText"/>
              <w:keepNext w:val="0"/>
            </w:pPr>
            <w:r w:rsidRPr="0043746D">
              <w:t>-Ongoing quality control for provided healthcare.</w:t>
            </w:r>
          </w:p>
        </w:tc>
      </w:tr>
    </w:tbl>
    <w:p w14:paraId="068F1DD1" w14:textId="77777777" w:rsidR="001D4F4B" w:rsidRPr="001129E0" w:rsidRDefault="001D4F4B" w:rsidP="008B7ED6"/>
    <w:p w14:paraId="266996F1" w14:textId="20EA1DFA" w:rsidR="00916E0E" w:rsidRDefault="00B57501" w:rsidP="00F50A23">
      <w:pPr>
        <w:pStyle w:val="xAppendixLevel1"/>
        <w:jc w:val="left"/>
      </w:pPr>
      <w:bookmarkStart w:id="48" w:name="_Ref100258720"/>
      <w:bookmarkStart w:id="49" w:name="_Toc106294807"/>
      <w:r>
        <w:lastRenderedPageBreak/>
        <w:t xml:space="preserve">Summary of intended P2CC </w:t>
      </w:r>
      <w:r w:rsidR="006157C1">
        <w:t xml:space="preserve">program </w:t>
      </w:r>
      <w:r>
        <w:t>process</w:t>
      </w:r>
      <w:bookmarkEnd w:id="48"/>
      <w:bookmarkEnd w:id="49"/>
    </w:p>
    <w:p w14:paraId="566760D9" w14:textId="0BC5FFEF" w:rsidR="005A1404" w:rsidRPr="00AD676F" w:rsidRDefault="00027B53" w:rsidP="00AD676F">
      <w:pPr>
        <w:rPr>
          <w:lang w:eastAsia="en-AU"/>
        </w:rPr>
      </w:pPr>
      <w:r w:rsidRPr="00C903FF">
        <w:rPr>
          <w:noProof/>
        </w:rPr>
        <w:drawing>
          <wp:inline distT="0" distB="0" distL="0" distR="0" wp14:anchorId="45F82D25" wp14:editId="31E5395A">
            <wp:extent cx="6511113" cy="7778337"/>
            <wp:effectExtent l="0" t="0" r="4445" b="0"/>
            <wp:docPr id="22" name="Picture 22" descr="The intended process map for P2CC includes the different stages, pre-transition, development , consolidation, implementation and evaluation with timeframe of how long each stage should take. Listed under the last 4 stages, include key steps and the steps to be done during that stag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e intended process map for P2CC includes the different stages, pre-transition, development , consolidation, implementation and evaluation with timeframe of how long each stage should take. Listed under the last 4 stages, include key steps and the steps to be done during that stage. ">
                      <a:extLst>
                        <a:ext uri="{C183D7F6-B498-43B3-948B-1728B52AA6E4}">
                          <adec:decorative xmlns:adec="http://schemas.microsoft.com/office/drawing/2017/decorative" val="0"/>
                        </a:ext>
                      </a:extLst>
                    </pic:cNvPr>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3644"/>
                    <a:stretch/>
                  </pic:blipFill>
                  <pic:spPr bwMode="auto">
                    <a:xfrm>
                      <a:off x="0" y="0"/>
                      <a:ext cx="6530286" cy="7801242"/>
                    </a:xfrm>
                    <a:prstGeom prst="rect">
                      <a:avLst/>
                    </a:prstGeom>
                    <a:noFill/>
                    <a:ln>
                      <a:noFill/>
                    </a:ln>
                    <a:extLst>
                      <a:ext uri="{53640926-AAD7-44D8-BBD7-CCE9431645EC}">
                        <a14:shadowObscured xmlns:a14="http://schemas.microsoft.com/office/drawing/2010/main"/>
                      </a:ext>
                    </a:extLst>
                  </pic:spPr>
                </pic:pic>
              </a:graphicData>
            </a:graphic>
          </wp:inline>
        </w:drawing>
      </w:r>
    </w:p>
    <w:sectPr w:rsidR="005A1404" w:rsidRPr="00AD676F" w:rsidSect="0073030E">
      <w:footerReference w:type="default" r:id="rId43"/>
      <w:pgSz w:w="11907" w:h="16839" w:code="9"/>
      <w:pgMar w:top="1418" w:right="1418" w:bottom="1701" w:left="1559"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E6A78" w14:textId="77777777" w:rsidR="00C501C4" w:rsidRDefault="00C501C4" w:rsidP="00302076">
      <w:pPr>
        <w:spacing w:after="0"/>
      </w:pPr>
      <w:r>
        <w:separator/>
      </w:r>
    </w:p>
  </w:endnote>
  <w:endnote w:type="continuationSeparator" w:id="0">
    <w:p w14:paraId="37C762EA" w14:textId="77777777" w:rsidR="00C501C4" w:rsidRDefault="00C501C4" w:rsidP="00302076">
      <w:pPr>
        <w:spacing w:after="0"/>
      </w:pPr>
      <w:r>
        <w:continuationSeparator/>
      </w:r>
    </w:p>
  </w:endnote>
  <w:endnote w:type="continuationNotice" w:id="1">
    <w:p w14:paraId="3285698B" w14:textId="77777777" w:rsidR="00C501C4" w:rsidRDefault="00C501C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ource Sans Pro">
    <w:altName w:val="Source Sans Pro"/>
    <w:charset w:val="00"/>
    <w:family w:val="swiss"/>
    <w:pitch w:val="variable"/>
    <w:sig w:usb0="600002F7" w:usb1="02000001" w:usb2="00000000" w:usb3="00000000" w:csb0="0000019F" w:csb1="00000000"/>
  </w:font>
  <w:font w:name="Segoe UI Semilight">
    <w:panose1 w:val="020B04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8EA92" w14:textId="77777777" w:rsidR="00B21A05" w:rsidRDefault="00B21A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82FDE" w14:textId="3B712009" w:rsidR="000C6018" w:rsidRPr="00FD4AB1" w:rsidRDefault="000C6018" w:rsidP="00FD4AB1">
    <w:pPr>
      <w:pStyle w:val="Footer"/>
      <w:rPr>
        <w:rFonts w:ascii="Segoe UI Semibold" w:hAnsi="Segoe UI Semibold" w:cs="Segoe UI"/>
        <w:b/>
      </w:rPr>
    </w:pPr>
    <w:r>
      <w:rPr>
        <w:color w:val="808080" w:themeColor="background1" w:themeShade="80"/>
        <w:szCs w:val="15"/>
        <w:lang w:eastAsia="en-AU"/>
      </w:rPr>
      <w:t xml:space="preserve">Nous Group | </w:t>
    </w:r>
    <w:sdt>
      <w:sdtPr>
        <w:rPr>
          <w:color w:val="808080" w:themeColor="background1" w:themeShade="80"/>
          <w:szCs w:val="15"/>
          <w:lang w:eastAsia="en-AU"/>
        </w:rPr>
        <w:alias w:val="Title"/>
        <w:id w:val="-1274856872"/>
        <w:dataBinding w:prefixMappings="xmlns:ns0='http://purl.org/dc/elements/1.1/' xmlns:ns1='http://schemas.openxmlformats.org/package/2006/metadata/core-properties' " w:xpath="/ns1:coreProperties[1]/ns0:title[1]" w:storeItemID="{6C3C8BC8-F283-45AE-878A-BAB7291924A1}"/>
        <w:text/>
      </w:sdtPr>
      <w:sdtEndPr/>
      <w:sdtContent>
        <w:r>
          <w:rPr>
            <w:color w:val="808080" w:themeColor="background1" w:themeShade="80"/>
            <w:szCs w:val="15"/>
            <w:lang w:eastAsia="en-AU"/>
          </w:rPr>
          <w:t>Evaluation of the Pathways to Community Control program</w:t>
        </w:r>
      </w:sdtContent>
    </w:sdt>
    <w:r>
      <w:rPr>
        <w:color w:val="808080" w:themeColor="background1" w:themeShade="80"/>
        <w:szCs w:val="15"/>
        <w:lang w:eastAsia="en-AU"/>
      </w:rPr>
      <w:t xml:space="preserve"> | </w:t>
    </w:r>
    <w:sdt>
      <w:sdtPr>
        <w:rPr>
          <w:color w:val="808080" w:themeColor="background1" w:themeShade="80"/>
          <w:szCs w:val="15"/>
          <w:lang w:eastAsia="en-AU"/>
        </w:rPr>
        <w:alias w:val="Publish Date"/>
        <w:id w:val="-1714653380"/>
        <w:dataBinding w:prefixMappings="xmlns:ns0='http://schemas.microsoft.com/office/2006/coverPageProps' " w:xpath="/ns0:CoverPageProperties[1]/ns0:PublishDate[1]" w:storeItemID="{55AF091B-3C7A-41E3-B477-F2FDAA23CFDA}"/>
        <w:date w:fullDate="2022-04-08T00:00:00Z">
          <w:dateFormat w:val="d MMMM yyyy"/>
          <w:lid w:val="en-AU"/>
          <w:storeMappedDataAs w:val="dateTime"/>
          <w:calendar w:val="gregorian"/>
        </w:date>
      </w:sdtPr>
      <w:sdtEndPr/>
      <w:sdtContent>
        <w:r>
          <w:rPr>
            <w:color w:val="808080" w:themeColor="background1" w:themeShade="80"/>
            <w:szCs w:val="15"/>
            <w:lang w:eastAsia="en-AU"/>
          </w:rPr>
          <w:t>8 April 2022</w:t>
        </w:r>
      </w:sdtContent>
    </w:sdt>
    <w:r w:rsidRPr="00FD4AB1">
      <w:rPr>
        <w:rFonts w:ascii="Segoe UI Semibold" w:hAnsi="Segoe UI Semibold" w:cs="Segoe UI"/>
        <w:color w:val="A5A5A5"/>
      </w:rPr>
      <w:ptab w:relativeTo="margin" w:alignment="right" w:leader="none"/>
    </w:r>
    <w:r w:rsidRPr="00FD4AB1">
      <w:rPr>
        <w:rFonts w:cs="Segoe UI"/>
        <w:color w:val="A5A5A5"/>
      </w:rPr>
      <w:t xml:space="preserve">| </w:t>
    </w:r>
    <w:r w:rsidRPr="003B464C">
      <w:rPr>
        <w:rFonts w:cs="Segoe UI"/>
        <w:b/>
        <w:color w:val="A5A5A5"/>
        <w:sz w:val="16"/>
        <w:szCs w:val="16"/>
      </w:rPr>
      <w:fldChar w:fldCharType="begin"/>
    </w:r>
    <w:r w:rsidRPr="003B464C">
      <w:rPr>
        <w:rFonts w:cs="Segoe UI"/>
        <w:color w:val="A5A5A5"/>
        <w:sz w:val="16"/>
        <w:szCs w:val="16"/>
      </w:rPr>
      <w:instrText xml:space="preserve"> PAGE  \* roman  \* MERGEFORMAT </w:instrText>
    </w:r>
    <w:r w:rsidRPr="003B464C">
      <w:rPr>
        <w:rFonts w:cs="Segoe UI"/>
        <w:b/>
        <w:color w:val="A5A5A5"/>
        <w:sz w:val="16"/>
        <w:szCs w:val="16"/>
      </w:rPr>
      <w:fldChar w:fldCharType="separate"/>
    </w:r>
    <w:r w:rsidRPr="00F75386">
      <w:rPr>
        <w:rFonts w:cs="Segoe UI"/>
        <w:b/>
        <w:noProof/>
        <w:color w:val="A5A5A5"/>
        <w:sz w:val="16"/>
        <w:szCs w:val="16"/>
      </w:rPr>
      <w:t>i</w:t>
    </w:r>
    <w:r w:rsidRPr="003B464C">
      <w:rPr>
        <w:rFonts w:cs="Segoe UI"/>
        <w:b/>
        <w:color w:val="A5A5A5"/>
        <w:sz w:val="16"/>
        <w:szCs w:val="16"/>
      </w:rPr>
      <w:fldChar w:fldCharType="end"/>
    </w:r>
    <w:r w:rsidRPr="003B464C">
      <w:rPr>
        <w:rFonts w:cs="Segoe UI"/>
        <w:color w:val="A5A5A5"/>
        <w:sz w:val="16"/>
        <w:szCs w:val="16"/>
      </w:rPr>
      <w:t xml:space="preserve"> </w:t>
    </w:r>
    <w:r w:rsidRPr="00FD4AB1">
      <w:rPr>
        <w:rFonts w:cs="Segoe UI"/>
        <w:color w:val="A5A5A5"/>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DAD9F" w14:textId="77777777" w:rsidR="000C6018" w:rsidRDefault="000C6018">
    <w:pPr>
      <w:pStyle w:val="Footer"/>
    </w:pPr>
    <w:r>
      <w:rPr>
        <w:rFonts w:ascii="Segoe UI Semibold" w:hAnsi="Segoe UI Semibold" w:cs="Segoe UI"/>
        <w:noProof/>
        <w:color w:val="A5A5A5"/>
        <w:lang w:eastAsia="en-AU"/>
      </w:rPr>
      <w:drawing>
        <wp:anchor distT="0" distB="0" distL="114300" distR="114300" simplePos="0" relativeHeight="251658242" behindDoc="0" locked="0" layoutInCell="1" allowOverlap="1" wp14:anchorId="1AD7729E" wp14:editId="20FE97FF">
          <wp:simplePos x="0" y="0"/>
          <wp:positionH relativeFrom="page">
            <wp:posOffset>6313403</wp:posOffset>
          </wp:positionH>
          <wp:positionV relativeFrom="page">
            <wp:posOffset>10115186</wp:posOffset>
          </wp:positionV>
          <wp:extent cx="842400" cy="23024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42400" cy="23024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780E2" w14:textId="1D3840D1" w:rsidR="000C6018" w:rsidRPr="00FD4AB1" w:rsidRDefault="000C6018" w:rsidP="00FD4AB1">
    <w:pPr>
      <w:pStyle w:val="Footer"/>
      <w:rPr>
        <w:rFonts w:ascii="Segoe UI Semibold" w:hAnsi="Segoe UI Semibold" w:cs="Segoe UI"/>
        <w:b/>
      </w:rPr>
    </w:pPr>
    <w:r>
      <w:rPr>
        <w:color w:val="808080" w:themeColor="background1" w:themeShade="80"/>
        <w:szCs w:val="15"/>
        <w:lang w:eastAsia="en-AU"/>
      </w:rPr>
      <w:t xml:space="preserve">Nous Group | </w:t>
    </w:r>
    <w:sdt>
      <w:sdtPr>
        <w:rPr>
          <w:color w:val="808080" w:themeColor="background1" w:themeShade="80"/>
          <w:szCs w:val="15"/>
          <w:lang w:eastAsia="en-AU"/>
        </w:rPr>
        <w:alias w:val="Title"/>
        <w:id w:val="1089580792"/>
        <w:dataBinding w:prefixMappings="xmlns:ns0='http://purl.org/dc/elements/1.1/' xmlns:ns1='http://schemas.openxmlformats.org/package/2006/metadata/core-properties' " w:xpath="/ns1:coreProperties[1]/ns0:title[1]" w:storeItemID="{6C3C8BC8-F283-45AE-878A-BAB7291924A1}"/>
        <w:text/>
      </w:sdtPr>
      <w:sdtEndPr/>
      <w:sdtContent>
        <w:r>
          <w:rPr>
            <w:color w:val="808080" w:themeColor="background1" w:themeShade="80"/>
            <w:szCs w:val="15"/>
            <w:lang w:eastAsia="en-AU"/>
          </w:rPr>
          <w:t>Evaluation of the Pathways to Community Control program</w:t>
        </w:r>
      </w:sdtContent>
    </w:sdt>
    <w:r>
      <w:rPr>
        <w:color w:val="808080" w:themeColor="background1" w:themeShade="80"/>
        <w:szCs w:val="15"/>
        <w:lang w:eastAsia="en-AU"/>
      </w:rPr>
      <w:t xml:space="preserve"> | </w:t>
    </w:r>
    <w:sdt>
      <w:sdtPr>
        <w:rPr>
          <w:color w:val="808080" w:themeColor="background1" w:themeShade="80"/>
          <w:szCs w:val="15"/>
          <w:lang w:eastAsia="en-AU"/>
        </w:rPr>
        <w:alias w:val="Publish Date"/>
        <w:id w:val="-1085840653"/>
        <w:dataBinding w:prefixMappings="xmlns:ns0='http://schemas.microsoft.com/office/2006/coverPageProps' " w:xpath="/ns0:CoverPageProperties[1]/ns0:PublishDate[1]" w:storeItemID="{55AF091B-3C7A-41E3-B477-F2FDAA23CFDA}"/>
        <w:date w:fullDate="2022-04-08T00:00:00Z">
          <w:dateFormat w:val="d MMMM yyyy"/>
          <w:lid w:val="en-AU"/>
          <w:storeMappedDataAs w:val="dateTime"/>
          <w:calendar w:val="gregorian"/>
        </w:date>
      </w:sdtPr>
      <w:sdtEndPr/>
      <w:sdtContent>
        <w:r>
          <w:rPr>
            <w:color w:val="808080" w:themeColor="background1" w:themeShade="80"/>
            <w:szCs w:val="15"/>
            <w:lang w:eastAsia="en-AU"/>
          </w:rPr>
          <w:t>8 April 2022</w:t>
        </w:r>
      </w:sdtContent>
    </w:sdt>
    <w:r w:rsidRPr="00FD4AB1">
      <w:rPr>
        <w:rFonts w:ascii="Segoe UI Semibold" w:hAnsi="Segoe UI Semibold" w:cs="Segoe UI"/>
        <w:color w:val="A5A5A5"/>
      </w:rPr>
      <w:ptab w:relativeTo="margin" w:alignment="right" w:leader="none"/>
    </w:r>
    <w:r w:rsidRPr="00FD4AB1">
      <w:rPr>
        <w:rFonts w:cs="Segoe UI"/>
        <w:color w:val="A5A5A5"/>
      </w:rPr>
      <w:t xml:space="preserve">| </w:t>
    </w:r>
    <w:r w:rsidRPr="007401D3">
      <w:rPr>
        <w:rFonts w:cs="Segoe UI"/>
        <w:color w:val="A5A5A5"/>
        <w:sz w:val="16"/>
        <w:szCs w:val="16"/>
      </w:rPr>
      <w:fldChar w:fldCharType="begin"/>
    </w:r>
    <w:r w:rsidRPr="007401D3">
      <w:rPr>
        <w:rFonts w:cs="Segoe UI"/>
        <w:color w:val="A5A5A5"/>
        <w:sz w:val="16"/>
        <w:szCs w:val="16"/>
      </w:rPr>
      <w:instrText xml:space="preserve"> PAGE  \* roman  \* MERGEFORMAT </w:instrText>
    </w:r>
    <w:r w:rsidRPr="007401D3">
      <w:rPr>
        <w:rFonts w:cs="Segoe UI"/>
        <w:color w:val="A5A5A5"/>
        <w:sz w:val="16"/>
        <w:szCs w:val="16"/>
      </w:rPr>
      <w:fldChar w:fldCharType="separate"/>
    </w:r>
    <w:r w:rsidRPr="007401D3">
      <w:rPr>
        <w:rFonts w:cs="Segoe UI"/>
        <w:noProof/>
        <w:color w:val="A5A5A5"/>
        <w:sz w:val="16"/>
        <w:szCs w:val="16"/>
      </w:rPr>
      <w:t>ii</w:t>
    </w:r>
    <w:r w:rsidRPr="007401D3">
      <w:rPr>
        <w:rFonts w:cs="Segoe UI"/>
        <w:color w:val="A5A5A5"/>
        <w:sz w:val="16"/>
        <w:szCs w:val="16"/>
      </w:rPr>
      <w:fldChar w:fldCharType="end"/>
    </w:r>
    <w:r w:rsidRPr="003B464C">
      <w:rPr>
        <w:rFonts w:cs="Segoe UI"/>
        <w:color w:val="A5A5A5"/>
        <w:sz w:val="16"/>
        <w:szCs w:val="16"/>
      </w:rPr>
      <w:t xml:space="preserve"> </w:t>
    </w:r>
    <w:r w:rsidRPr="00FD4AB1">
      <w:rPr>
        <w:rFonts w:cs="Segoe UI"/>
        <w:color w:val="A5A5A5"/>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1CC38" w14:textId="1F5AD7A1" w:rsidR="000C6018" w:rsidRPr="007401D3" w:rsidRDefault="000C6018" w:rsidP="00FD4AB1">
    <w:pPr>
      <w:pStyle w:val="Footer"/>
      <w:rPr>
        <w:rFonts w:cs="Segoe UI"/>
        <w:b/>
      </w:rPr>
    </w:pPr>
    <w:r w:rsidRPr="007401D3">
      <w:rPr>
        <w:rFonts w:cs="Segoe UI"/>
        <w:color w:val="808080" w:themeColor="background1" w:themeShade="80"/>
        <w:szCs w:val="15"/>
        <w:lang w:eastAsia="en-AU"/>
      </w:rPr>
      <w:t xml:space="preserve">Nous Group | </w:t>
    </w:r>
    <w:sdt>
      <w:sdtPr>
        <w:rPr>
          <w:rFonts w:cs="Segoe UI"/>
          <w:color w:val="808080" w:themeColor="background1" w:themeShade="80"/>
          <w:szCs w:val="15"/>
          <w:lang w:eastAsia="en-AU"/>
        </w:rPr>
        <w:alias w:val="Title"/>
        <w:id w:val="-1627392194"/>
        <w:dataBinding w:prefixMappings="xmlns:ns0='http://purl.org/dc/elements/1.1/' xmlns:ns1='http://schemas.openxmlformats.org/package/2006/metadata/core-properties' " w:xpath="/ns1:coreProperties[1]/ns0:title[1]" w:storeItemID="{6C3C8BC8-F283-45AE-878A-BAB7291924A1}"/>
        <w:text/>
      </w:sdtPr>
      <w:sdtEndPr/>
      <w:sdtContent>
        <w:r>
          <w:rPr>
            <w:rFonts w:cs="Segoe UI"/>
            <w:color w:val="808080" w:themeColor="background1" w:themeShade="80"/>
            <w:szCs w:val="15"/>
            <w:lang w:eastAsia="en-AU"/>
          </w:rPr>
          <w:t>Evaluation of the Pathways to Community Control program</w:t>
        </w:r>
      </w:sdtContent>
    </w:sdt>
    <w:r w:rsidRPr="007401D3">
      <w:rPr>
        <w:rFonts w:cs="Segoe UI"/>
        <w:color w:val="808080" w:themeColor="background1" w:themeShade="80"/>
        <w:szCs w:val="15"/>
        <w:lang w:eastAsia="en-AU"/>
      </w:rPr>
      <w:t xml:space="preserve"> | </w:t>
    </w:r>
    <w:sdt>
      <w:sdtPr>
        <w:rPr>
          <w:rFonts w:cs="Segoe UI"/>
          <w:color w:val="808080" w:themeColor="background1" w:themeShade="80"/>
          <w:szCs w:val="15"/>
          <w:lang w:eastAsia="en-AU"/>
        </w:rPr>
        <w:alias w:val="Publish Date"/>
        <w:id w:val="1825305696"/>
        <w:dataBinding w:prefixMappings="xmlns:ns0='http://schemas.microsoft.com/office/2006/coverPageProps' " w:xpath="/ns0:CoverPageProperties[1]/ns0:PublishDate[1]" w:storeItemID="{55AF091B-3C7A-41E3-B477-F2FDAA23CFDA}"/>
        <w:date w:fullDate="2022-04-08T00:00:00Z">
          <w:dateFormat w:val="d MMMM yyyy"/>
          <w:lid w:val="en-AU"/>
          <w:storeMappedDataAs w:val="dateTime"/>
          <w:calendar w:val="gregorian"/>
        </w:date>
      </w:sdtPr>
      <w:sdtEndPr/>
      <w:sdtContent>
        <w:r>
          <w:rPr>
            <w:rFonts w:cs="Segoe UI"/>
            <w:color w:val="808080" w:themeColor="background1" w:themeShade="80"/>
            <w:szCs w:val="15"/>
            <w:lang w:eastAsia="en-AU"/>
          </w:rPr>
          <w:t>8 April 2022</w:t>
        </w:r>
      </w:sdtContent>
    </w:sdt>
    <w:r w:rsidRPr="007401D3">
      <w:rPr>
        <w:rFonts w:cs="Segoe UI"/>
        <w:color w:val="A5A5A5"/>
      </w:rPr>
      <w:ptab w:relativeTo="margin" w:alignment="right" w:leader="none"/>
    </w:r>
    <w:r w:rsidRPr="007401D3">
      <w:rPr>
        <w:rFonts w:cs="Segoe UI"/>
        <w:color w:val="A5A5A5"/>
      </w:rPr>
      <w:t>|</w:t>
    </w:r>
    <w:r w:rsidRPr="007401D3">
      <w:rPr>
        <w:rFonts w:cs="Segoe UI"/>
        <w:color w:val="808080" w:themeColor="background1" w:themeShade="80"/>
      </w:rPr>
      <w:t xml:space="preserve"> </w:t>
    </w:r>
    <w:r w:rsidRPr="007401D3">
      <w:rPr>
        <w:rFonts w:cs="Segoe UI"/>
        <w:color w:val="808080" w:themeColor="background1" w:themeShade="80"/>
        <w:sz w:val="16"/>
        <w:szCs w:val="16"/>
      </w:rPr>
      <w:fldChar w:fldCharType="begin"/>
    </w:r>
    <w:r w:rsidRPr="007401D3">
      <w:rPr>
        <w:rFonts w:cs="Segoe UI"/>
        <w:color w:val="808080" w:themeColor="background1" w:themeShade="80"/>
        <w:sz w:val="16"/>
        <w:szCs w:val="16"/>
      </w:rPr>
      <w:instrText xml:space="preserve"> PAGE  \* Arabic  \* MERGEFORMAT </w:instrText>
    </w:r>
    <w:r w:rsidRPr="007401D3">
      <w:rPr>
        <w:rFonts w:cs="Segoe UI"/>
        <w:color w:val="808080" w:themeColor="background1" w:themeShade="80"/>
        <w:sz w:val="16"/>
        <w:szCs w:val="16"/>
      </w:rPr>
      <w:fldChar w:fldCharType="separate"/>
    </w:r>
    <w:r w:rsidRPr="007401D3">
      <w:rPr>
        <w:rFonts w:cs="Segoe UI"/>
        <w:noProof/>
        <w:color w:val="808080" w:themeColor="background1" w:themeShade="80"/>
        <w:sz w:val="16"/>
        <w:szCs w:val="16"/>
      </w:rPr>
      <w:t>1</w:t>
    </w:r>
    <w:r w:rsidRPr="007401D3">
      <w:rPr>
        <w:rFonts w:cs="Segoe UI"/>
        <w:color w:val="808080" w:themeColor="background1" w:themeShade="80"/>
        <w:sz w:val="16"/>
        <w:szCs w:val="16"/>
      </w:rPr>
      <w:fldChar w:fldCharType="end"/>
    </w:r>
    <w:r w:rsidRPr="007401D3">
      <w:rPr>
        <w:rFonts w:cs="Segoe UI"/>
        <w:b/>
        <w:color w:val="808080" w:themeColor="background1" w:themeShade="80"/>
      </w:rPr>
      <w:t xml:space="preserve"> </w:t>
    </w:r>
    <w:r w:rsidRPr="007401D3">
      <w:rPr>
        <w:rFonts w:cs="Segoe UI"/>
        <w:color w:val="A5A5A5"/>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0B939" w14:textId="77777777" w:rsidR="00C501C4" w:rsidRDefault="00C501C4" w:rsidP="00302076">
      <w:pPr>
        <w:spacing w:after="0"/>
      </w:pPr>
      <w:r>
        <w:separator/>
      </w:r>
    </w:p>
  </w:footnote>
  <w:footnote w:type="continuationSeparator" w:id="0">
    <w:p w14:paraId="7BE3CBA8" w14:textId="77777777" w:rsidR="00C501C4" w:rsidRDefault="00C501C4" w:rsidP="00302076">
      <w:pPr>
        <w:spacing w:after="0"/>
      </w:pPr>
      <w:r>
        <w:continuationSeparator/>
      </w:r>
    </w:p>
  </w:footnote>
  <w:footnote w:type="continuationNotice" w:id="1">
    <w:p w14:paraId="0A756A4F" w14:textId="77777777" w:rsidR="00C501C4" w:rsidRDefault="00C501C4">
      <w:pPr>
        <w:spacing w:after="0"/>
      </w:pPr>
    </w:p>
  </w:footnote>
  <w:footnote w:id="2">
    <w:p w14:paraId="195B8C55" w14:textId="32F2881A" w:rsidR="000C6018" w:rsidRDefault="000C6018" w:rsidP="000B4A69">
      <w:pPr>
        <w:pStyle w:val="Footer"/>
      </w:pPr>
      <w:r>
        <w:rPr>
          <w:rStyle w:val="FootnoteReference"/>
        </w:rPr>
        <w:footnoteRef/>
      </w:r>
      <w:r>
        <w:t xml:space="preserve"> Australia National Aboriginal Health Strategy Working Party, A national Aboriginal health strategy, 1989, </w:t>
      </w:r>
      <w:hyperlink r:id="rId1" w:history="1">
        <w:r w:rsidRPr="00811EFE">
          <w:rPr>
            <w:rStyle w:val="Hyperlink"/>
            <w:rFonts w:cs="Segoe UI"/>
            <w:szCs w:val="15"/>
          </w:rPr>
          <w:t>https://catalogue.nla.gov.au/Record/668993</w:t>
        </w:r>
      </w:hyperlink>
    </w:p>
  </w:footnote>
  <w:footnote w:id="3">
    <w:p w14:paraId="7F1EBDF8" w14:textId="43846AE3" w:rsidR="000C6018" w:rsidRPr="00D912D0" w:rsidRDefault="000C6018" w:rsidP="000B4A69">
      <w:pPr>
        <w:pStyle w:val="Footer"/>
        <w:rPr>
          <w:rFonts w:eastAsia="Times New Roman"/>
        </w:rPr>
      </w:pPr>
      <w:r w:rsidRPr="006868AC">
        <w:footnoteRef/>
      </w:r>
      <w:r>
        <w:t xml:space="preserve"> </w:t>
      </w:r>
      <w:r w:rsidRPr="00EB3F11">
        <w:rPr>
          <w:rFonts w:eastAsia="Times New Roman"/>
        </w:rPr>
        <w:t>Wo</w:t>
      </w:r>
      <w:r>
        <w:rPr>
          <w:rFonts w:eastAsia="Times New Roman"/>
        </w:rPr>
        <w:t xml:space="preserve">rld Health Organisation, Declaration of Alma-Ata, 1978, </w:t>
      </w:r>
      <w:hyperlink r:id="rId2" w:history="1">
        <w:r w:rsidRPr="00811EFE">
          <w:rPr>
            <w:rStyle w:val="Hyperlink"/>
            <w:rFonts w:cs="Segoe UI"/>
            <w:szCs w:val="15"/>
          </w:rPr>
          <w:t>https://www.who.int/teams/social-determinants-of-health/declaration-of-alma-ata</w:t>
        </w:r>
      </w:hyperlink>
    </w:p>
  </w:footnote>
  <w:footnote w:id="4">
    <w:p w14:paraId="2EAD280E" w14:textId="23BEF14A" w:rsidR="000C6018" w:rsidRPr="00811EFE" w:rsidRDefault="000C6018" w:rsidP="000B4A69">
      <w:pPr>
        <w:pStyle w:val="Footer"/>
        <w:rPr>
          <w:rStyle w:val="Hyperlink"/>
          <w:rFonts w:cs="Segoe UI"/>
          <w:szCs w:val="15"/>
        </w:rPr>
      </w:pPr>
      <w:r w:rsidRPr="006868AC">
        <w:footnoteRef/>
      </w:r>
      <w:r>
        <w:t xml:space="preserve"> World Health Organisation, The 1</w:t>
      </w:r>
      <w:r w:rsidRPr="006868AC">
        <w:t>st</w:t>
      </w:r>
      <w:r>
        <w:t xml:space="preserve"> International Conference on Health Promotion Ottawa, 1986, </w:t>
      </w:r>
      <w:hyperlink r:id="rId3" w:history="1">
        <w:r w:rsidRPr="00811EFE">
          <w:rPr>
            <w:rStyle w:val="Hyperlink"/>
            <w:rFonts w:cs="Segoe UI"/>
            <w:szCs w:val="15"/>
          </w:rPr>
          <w:t>https://www.who.int/teams/health-promotion/enhanced-wellbeing/first-global-conference</w:t>
        </w:r>
      </w:hyperlink>
    </w:p>
  </w:footnote>
  <w:footnote w:id="5">
    <w:p w14:paraId="53C53DE7" w14:textId="60004582" w:rsidR="000C6018" w:rsidRDefault="000C6018" w:rsidP="000B4A69">
      <w:pPr>
        <w:pStyle w:val="Footer"/>
      </w:pPr>
      <w:r w:rsidRPr="006868AC">
        <w:footnoteRef/>
      </w:r>
      <w:r>
        <w:t xml:space="preserve"> </w:t>
      </w:r>
      <w:r w:rsidRPr="006868AC">
        <w:t xml:space="preserve">R Wilkinson, M Marmot, “The Solid Facts”, </w:t>
      </w:r>
      <w:proofErr w:type="spellStart"/>
      <w:r w:rsidRPr="00FB3012">
        <w:rPr>
          <w:i/>
          <w:iCs/>
        </w:rPr>
        <w:t>Commision</w:t>
      </w:r>
      <w:proofErr w:type="spellEnd"/>
      <w:r w:rsidRPr="00FB3012">
        <w:rPr>
          <w:i/>
          <w:iCs/>
        </w:rPr>
        <w:t xml:space="preserve"> on</w:t>
      </w:r>
      <w:r>
        <w:t xml:space="preserve"> </w:t>
      </w:r>
      <w:r w:rsidRPr="006868AC">
        <w:rPr>
          <w:i/>
        </w:rPr>
        <w:t>Social Determinants of Health</w:t>
      </w:r>
      <w:r w:rsidRPr="006868AC">
        <w:t xml:space="preserve">, 2003, </w:t>
      </w:r>
      <w:hyperlink r:id="rId4" w:history="1">
        <w:r w:rsidRPr="00811EFE">
          <w:rPr>
            <w:rStyle w:val="Hyperlink"/>
            <w:rFonts w:cs="Segoe UI"/>
            <w:szCs w:val="15"/>
          </w:rPr>
          <w:t>https://www.euro.who.int/__data/assets/pdf_file/0005/98438/e81384.pdf</w:t>
        </w:r>
      </w:hyperlink>
      <w:r>
        <w:t>;</w:t>
      </w:r>
      <w:r w:rsidRPr="006868AC">
        <w:t xml:space="preserve"> World Health Organisation, “Closing the gap in a generation: health equity through action on the social determinants of health”, </w:t>
      </w:r>
      <w:r w:rsidRPr="006868AC">
        <w:rPr>
          <w:i/>
        </w:rPr>
        <w:t>Commission on Social Determinants of Health</w:t>
      </w:r>
      <w:r w:rsidRPr="006868AC">
        <w:t xml:space="preserve">, 2008, </w:t>
      </w:r>
      <w:hyperlink r:id="rId5" w:history="1">
        <w:r>
          <w:rPr>
            <w:rStyle w:val="Hyperlink"/>
            <w:rFonts w:cs="Segoe UI"/>
            <w:szCs w:val="15"/>
          </w:rPr>
          <w:t>http://apps.who.int/iris/bitstream/handle/10665/43943/9789241563703_eng.pdf;jsessionid=FBEA9902430B9739EF81F66EF9E2B568?sequence=1</w:t>
        </w:r>
      </w:hyperlink>
    </w:p>
  </w:footnote>
  <w:footnote w:id="6">
    <w:p w14:paraId="55DD7DF2" w14:textId="0A6105BA" w:rsidR="000C6018" w:rsidRDefault="000C6018" w:rsidP="000B4A69">
      <w:pPr>
        <w:pStyle w:val="Footer"/>
      </w:pPr>
      <w:r w:rsidRPr="006868AC">
        <w:footnoteRef/>
      </w:r>
      <w:r>
        <w:t xml:space="preserve"> National Aboriginal Community Controlled Health Organisation, Our Story, </w:t>
      </w:r>
      <w:hyperlink r:id="rId6" w:history="1">
        <w:r w:rsidRPr="00B17A59">
          <w:rPr>
            <w:rStyle w:val="Hyperlink"/>
          </w:rPr>
          <w:t>https://www.naccho.org.au/our-story</w:t>
        </w:r>
      </w:hyperlink>
      <w:r>
        <w:t xml:space="preserve">; Australian Indigenous Health Info Net, Community Controlled Health Sector, </w:t>
      </w:r>
      <w:hyperlink r:id="rId7" w:history="1">
        <w:r w:rsidRPr="00B17A59">
          <w:rPr>
            <w:rStyle w:val="Hyperlink"/>
          </w:rPr>
          <w:t>https://healthinfonet.ecu.edu.au/learn/health-system/community-controlled-health-sector/</w:t>
        </w:r>
      </w:hyperlink>
    </w:p>
  </w:footnote>
  <w:footnote w:id="7">
    <w:p w14:paraId="65B69CE5" w14:textId="47BCFF1C" w:rsidR="000C6018" w:rsidRPr="006868AC" w:rsidRDefault="000C6018" w:rsidP="004C242A">
      <w:pPr>
        <w:pStyle w:val="FootnoteText"/>
        <w:rPr>
          <w:sz w:val="15"/>
          <w:szCs w:val="22"/>
        </w:rPr>
      </w:pPr>
      <w:r w:rsidRPr="006868AC">
        <w:rPr>
          <w:sz w:val="15"/>
          <w:szCs w:val="22"/>
        </w:rPr>
        <w:footnoteRef/>
      </w:r>
      <w:r w:rsidRPr="006868AC">
        <w:rPr>
          <w:sz w:val="15"/>
          <w:szCs w:val="22"/>
        </w:rPr>
        <w:t xml:space="preserve"> </w:t>
      </w:r>
      <w:r>
        <w:rPr>
          <w:sz w:val="15"/>
          <w:szCs w:val="22"/>
        </w:rPr>
        <w:t xml:space="preserve">D Matheson, N Hardie-Boys et al., Evaluation of the Child Health Check Initiative and the Expanding Health Service Delivery Initiative: Final Report, 2011, </w:t>
      </w:r>
      <w:hyperlink r:id="rId8" w:history="1">
        <w:r w:rsidRPr="00B17A59">
          <w:rPr>
            <w:rStyle w:val="Hyperlink"/>
            <w:sz w:val="15"/>
            <w:szCs w:val="22"/>
          </w:rPr>
          <w:t>https://core.ac.uk/download/pdf/30680988.pdf</w:t>
        </w:r>
      </w:hyperlink>
    </w:p>
  </w:footnote>
  <w:footnote w:id="8">
    <w:p w14:paraId="5D04A172" w14:textId="511C5B95" w:rsidR="000C6018" w:rsidRPr="0065168F" w:rsidRDefault="000C6018" w:rsidP="000B4A69">
      <w:pPr>
        <w:pStyle w:val="Footer"/>
        <w:rPr>
          <w:szCs w:val="15"/>
        </w:rPr>
      </w:pPr>
      <w:r w:rsidRPr="0065168F">
        <w:rPr>
          <w:rStyle w:val="FootnoteReference"/>
          <w:szCs w:val="15"/>
        </w:rPr>
        <w:footnoteRef/>
      </w:r>
      <w:r w:rsidRPr="0065168F">
        <w:rPr>
          <w:szCs w:val="15"/>
        </w:rPr>
        <w:t xml:space="preserve"> </w:t>
      </w:r>
      <w:r w:rsidRPr="0065168F">
        <w:rPr>
          <w:szCs w:val="15"/>
          <w:shd w:val="clear" w:color="auto" w:fill="FFFFFF"/>
        </w:rPr>
        <w:t xml:space="preserve">T </w:t>
      </w:r>
      <w:proofErr w:type="spellStart"/>
      <w:r w:rsidRPr="0065168F">
        <w:rPr>
          <w:szCs w:val="15"/>
          <w:shd w:val="clear" w:color="auto" w:fill="FFFFFF"/>
        </w:rPr>
        <w:t>Weeramanthri</w:t>
      </w:r>
      <w:proofErr w:type="spellEnd"/>
      <w:r w:rsidRPr="0065168F">
        <w:rPr>
          <w:szCs w:val="15"/>
          <w:shd w:val="clear" w:color="auto" w:fill="FFFFFF"/>
        </w:rPr>
        <w:t xml:space="preserve"> et al., “The Northern Territory Preventable Chronic Disease Strategy - promoting an integrated and life course approach to chronic disease in Australia”, </w:t>
      </w:r>
      <w:r w:rsidRPr="0065168F">
        <w:rPr>
          <w:i/>
          <w:szCs w:val="15"/>
          <w:shd w:val="clear" w:color="auto" w:fill="FFFFFF"/>
        </w:rPr>
        <w:t>Australian Health Review</w:t>
      </w:r>
      <w:r w:rsidRPr="0065168F">
        <w:rPr>
          <w:szCs w:val="15"/>
          <w:shd w:val="clear" w:color="auto" w:fill="FFFFFF"/>
        </w:rPr>
        <w:t xml:space="preserve">, 2003, </w:t>
      </w:r>
      <w:hyperlink r:id="rId9" w:history="1">
        <w:r w:rsidRPr="0065168F">
          <w:rPr>
            <w:rStyle w:val="Hyperlink"/>
            <w:szCs w:val="15"/>
            <w:shd w:val="clear" w:color="auto" w:fill="FFFFFF"/>
          </w:rPr>
          <w:t>https://www.publish.csiro.au/ah/AH030031</w:t>
        </w:r>
      </w:hyperlink>
    </w:p>
  </w:footnote>
  <w:footnote w:id="9">
    <w:p w14:paraId="34EE33E5" w14:textId="3A11885B" w:rsidR="000C6018" w:rsidRPr="0065168F" w:rsidRDefault="000C6018" w:rsidP="000B4A69">
      <w:pPr>
        <w:pStyle w:val="Footer"/>
        <w:rPr>
          <w:szCs w:val="15"/>
        </w:rPr>
      </w:pPr>
      <w:r w:rsidRPr="0065168F">
        <w:rPr>
          <w:rStyle w:val="FootnoteReference"/>
          <w:szCs w:val="15"/>
        </w:rPr>
        <w:footnoteRef/>
      </w:r>
      <w:r w:rsidRPr="0065168F">
        <w:rPr>
          <w:szCs w:val="15"/>
        </w:rPr>
        <w:t xml:space="preserve"> R Bailie, M Dowden, Audit and Best Practice for Chronic Disease, 2010, </w:t>
      </w:r>
      <w:hyperlink r:id="rId10" w:history="1">
        <w:r w:rsidRPr="0065168F">
          <w:rPr>
            <w:rStyle w:val="Hyperlink"/>
            <w:szCs w:val="15"/>
          </w:rPr>
          <w:t>https://www.lowitja.org.au/page/research/research-categories/health-policy-and-systems/monitoring-and-evaluation/completed-projects/ABCD</w:t>
        </w:r>
      </w:hyperlink>
    </w:p>
  </w:footnote>
  <w:footnote w:id="10">
    <w:p w14:paraId="57FD8E83" w14:textId="6C24C6F1" w:rsidR="000C6018" w:rsidRPr="0065168F" w:rsidRDefault="000C6018" w:rsidP="00A35910">
      <w:pPr>
        <w:pStyle w:val="FootnoteText"/>
        <w:rPr>
          <w:sz w:val="15"/>
          <w:szCs w:val="15"/>
        </w:rPr>
      </w:pPr>
      <w:r w:rsidRPr="0065168F">
        <w:rPr>
          <w:rStyle w:val="FootnoteReference"/>
          <w:sz w:val="15"/>
          <w:szCs w:val="15"/>
        </w:rPr>
        <w:footnoteRef/>
      </w:r>
      <w:r w:rsidRPr="0065168F">
        <w:rPr>
          <w:sz w:val="15"/>
          <w:szCs w:val="15"/>
        </w:rPr>
        <w:t xml:space="preserve"> </w:t>
      </w:r>
      <w:r w:rsidRPr="00480D1C">
        <w:rPr>
          <w:sz w:val="15"/>
          <w:szCs w:val="15"/>
        </w:rPr>
        <w:t>NT Regionalisation of Aboriginal Primary Health Care Guidelines: Supporting a Pathway to Regional Aboriginal Community Control, 2011.</w:t>
      </w:r>
    </w:p>
  </w:footnote>
  <w:footnote w:id="11">
    <w:p w14:paraId="0C9F5E33" w14:textId="61E3B08C" w:rsidR="000C6018" w:rsidRPr="00744B15" w:rsidRDefault="000C6018" w:rsidP="000B1913">
      <w:pPr>
        <w:pStyle w:val="FootnoteText"/>
        <w:rPr>
          <w:sz w:val="15"/>
          <w:szCs w:val="15"/>
        </w:rPr>
      </w:pPr>
      <w:r w:rsidRPr="00023B79">
        <w:rPr>
          <w:rStyle w:val="FootnoteReference"/>
          <w:sz w:val="15"/>
          <w:szCs w:val="15"/>
        </w:rPr>
        <w:footnoteRef/>
      </w:r>
      <w:r>
        <w:rPr>
          <w:sz w:val="15"/>
          <w:szCs w:val="15"/>
        </w:rPr>
        <w:t xml:space="preserve"> J Dwyer et al., The Road is Made by Walking: Towards a better primary health care system for Australia’s First Peoples, 2015, </w:t>
      </w:r>
      <w:hyperlink r:id="rId11" w:history="1">
        <w:r w:rsidRPr="00B17A59">
          <w:rPr>
            <w:rStyle w:val="Hyperlink"/>
            <w:sz w:val="15"/>
            <w:szCs w:val="15"/>
          </w:rPr>
          <w:t>https://www.lowitja.org.au/content/Document/Lowitja-Publishing/FAR-Summary-Report.pdf</w:t>
        </w:r>
      </w:hyperlink>
    </w:p>
  </w:footnote>
  <w:footnote w:id="12">
    <w:p w14:paraId="401DE04A" w14:textId="59330DB1" w:rsidR="000C6018" w:rsidRPr="00906AD7" w:rsidRDefault="000C6018" w:rsidP="00DC7CE0">
      <w:pPr>
        <w:pStyle w:val="FootnoteText"/>
        <w:rPr>
          <w:sz w:val="15"/>
          <w:szCs w:val="15"/>
        </w:rPr>
      </w:pPr>
      <w:r w:rsidRPr="00023B79">
        <w:rPr>
          <w:rStyle w:val="FootnoteReference"/>
          <w:sz w:val="15"/>
          <w:szCs w:val="15"/>
        </w:rPr>
        <w:footnoteRef/>
      </w:r>
      <w:r w:rsidRPr="00DC7CE0">
        <w:rPr>
          <w:sz w:val="15"/>
          <w:szCs w:val="15"/>
        </w:rPr>
        <w:t>J Dwyer et al., The Road Is Made by Walking: Towards a better primary health care system for Australia’s First Peoples, 201</w:t>
      </w:r>
      <w:r>
        <w:rPr>
          <w:sz w:val="15"/>
          <w:szCs w:val="15"/>
        </w:rPr>
        <w:t>5</w:t>
      </w:r>
      <w:r w:rsidRPr="00DC7CE0">
        <w:rPr>
          <w:sz w:val="15"/>
          <w:szCs w:val="15"/>
        </w:rPr>
        <w:t xml:space="preserve">, </w:t>
      </w:r>
      <w:hyperlink r:id="rId12" w:history="1">
        <w:r w:rsidRPr="00DC7CE0">
          <w:rPr>
            <w:rStyle w:val="Hyperlink"/>
            <w:sz w:val="15"/>
            <w:szCs w:val="15"/>
          </w:rPr>
          <w:t>https://www.lowitja.org.au/content/Document/Lowitja-Publ</w:t>
        </w:r>
        <w:bookmarkStart w:id="10" w:name="_Hlt100219857"/>
        <w:bookmarkStart w:id="11" w:name="_Hlt100219858"/>
        <w:r w:rsidRPr="00DC7CE0">
          <w:rPr>
            <w:rStyle w:val="Hyperlink"/>
            <w:sz w:val="15"/>
            <w:szCs w:val="15"/>
          </w:rPr>
          <w:t>i</w:t>
        </w:r>
        <w:bookmarkEnd w:id="10"/>
        <w:bookmarkEnd w:id="11"/>
        <w:r w:rsidRPr="00DC7CE0">
          <w:rPr>
            <w:rStyle w:val="Hyperlink"/>
            <w:sz w:val="15"/>
            <w:szCs w:val="15"/>
          </w:rPr>
          <w:t>shing/FAR-Report.pdf</w:t>
        </w:r>
      </w:hyperlink>
      <w:r>
        <w:rPr>
          <w:sz w:val="15"/>
          <w:szCs w:val="15"/>
        </w:rPr>
        <w:t xml:space="preserve">; </w:t>
      </w:r>
      <w:r w:rsidRPr="00906AD7">
        <w:rPr>
          <w:sz w:val="15"/>
          <w:szCs w:val="15"/>
        </w:rPr>
        <w:t xml:space="preserve">D Matheson, N Hardie-Boys et al., Evaluation of the Child Health Check Initiative and the Expanding Health Service Delivery Initiative: Final Report, 2011, </w:t>
      </w:r>
      <w:hyperlink r:id="rId13" w:history="1">
        <w:r w:rsidRPr="00906AD7">
          <w:rPr>
            <w:rStyle w:val="Hyperlink"/>
            <w:sz w:val="15"/>
            <w:szCs w:val="15"/>
          </w:rPr>
          <w:t>https://core.ac.uk/download/pdf/30680988.pdf</w:t>
        </w:r>
      </w:hyperlink>
      <w:r>
        <w:rPr>
          <w:sz w:val="15"/>
          <w:szCs w:val="15"/>
        </w:rPr>
        <w:t>; Australian Government Department of Health, I</w:t>
      </w:r>
      <w:r w:rsidRPr="00C03E51">
        <w:rPr>
          <w:sz w:val="15"/>
          <w:szCs w:val="15"/>
        </w:rPr>
        <w:t>ndigenous Australians’ Health Programme</w:t>
      </w:r>
      <w:r>
        <w:rPr>
          <w:sz w:val="15"/>
          <w:szCs w:val="15"/>
        </w:rPr>
        <w:t xml:space="preserve">: </w:t>
      </w:r>
      <w:r w:rsidRPr="00C03E51">
        <w:rPr>
          <w:sz w:val="15"/>
          <w:szCs w:val="15"/>
        </w:rPr>
        <w:t>Northern Territory Pathways to Community Control</w:t>
      </w:r>
      <w:r>
        <w:rPr>
          <w:sz w:val="15"/>
          <w:szCs w:val="15"/>
        </w:rPr>
        <w:t xml:space="preserve"> </w:t>
      </w:r>
      <w:r w:rsidRPr="00C03E51">
        <w:rPr>
          <w:sz w:val="15"/>
          <w:szCs w:val="15"/>
        </w:rPr>
        <w:t>Grant Opportunity Guidelines</w:t>
      </w:r>
      <w:r>
        <w:rPr>
          <w:sz w:val="15"/>
          <w:szCs w:val="15"/>
        </w:rPr>
        <w:t>, 2021.</w:t>
      </w:r>
    </w:p>
  </w:footnote>
  <w:footnote w:id="13">
    <w:p w14:paraId="48B8E2C5" w14:textId="673286BB" w:rsidR="000C6018" w:rsidRPr="001B41B8" w:rsidRDefault="000C6018">
      <w:pPr>
        <w:pStyle w:val="FootnoteText"/>
        <w:rPr>
          <w:sz w:val="16"/>
          <w:szCs w:val="16"/>
        </w:rPr>
      </w:pPr>
      <w:r w:rsidRPr="00C10B2A">
        <w:rPr>
          <w:rStyle w:val="FootnoteReference"/>
          <w:sz w:val="16"/>
          <w:szCs w:val="16"/>
        </w:rPr>
        <w:footnoteRef/>
      </w:r>
      <w:r w:rsidRPr="00C10B2A">
        <w:rPr>
          <w:sz w:val="16"/>
          <w:szCs w:val="16"/>
        </w:rPr>
        <w:t xml:space="preserve"> The pre-transition stage includes all activities undertaken before the develo</w:t>
      </w:r>
      <w:r w:rsidRPr="008E570B">
        <w:rPr>
          <w:sz w:val="16"/>
          <w:szCs w:val="16"/>
        </w:rPr>
        <w:t>pment stage (</w:t>
      </w:r>
      <w:r w:rsidRPr="008E570B">
        <w:rPr>
          <w:sz w:val="16"/>
          <w:szCs w:val="16"/>
        </w:rPr>
        <w:fldChar w:fldCharType="begin"/>
      </w:r>
      <w:r w:rsidRPr="008E570B">
        <w:rPr>
          <w:sz w:val="16"/>
          <w:szCs w:val="16"/>
        </w:rPr>
        <w:instrText xml:space="preserve"> REF _Ref100258669 \h  \* MERGEFORMAT </w:instrText>
      </w:r>
      <w:r w:rsidRPr="008E570B">
        <w:rPr>
          <w:sz w:val="16"/>
          <w:szCs w:val="16"/>
        </w:rPr>
      </w:r>
      <w:r w:rsidRPr="008E570B">
        <w:rPr>
          <w:sz w:val="16"/>
          <w:szCs w:val="16"/>
        </w:rPr>
        <w:fldChar w:fldCharType="separate"/>
      </w:r>
      <w:r w:rsidR="00223EB9" w:rsidRPr="00A439E2">
        <w:rPr>
          <w:sz w:val="16"/>
          <w:szCs w:val="16"/>
        </w:rPr>
        <w:t>Figure 2</w:t>
      </w:r>
      <w:r w:rsidRPr="008E570B">
        <w:rPr>
          <w:sz w:val="16"/>
          <w:szCs w:val="16"/>
        </w:rPr>
        <w:fldChar w:fldCharType="end"/>
      </w:r>
      <w:r w:rsidRPr="008E570B">
        <w:rPr>
          <w:sz w:val="16"/>
          <w:szCs w:val="16"/>
        </w:rPr>
        <w:t>).</w:t>
      </w:r>
    </w:p>
  </w:footnote>
  <w:footnote w:id="14">
    <w:p w14:paraId="7BA143D7" w14:textId="77777777" w:rsidR="000C6018" w:rsidRPr="00976B43" w:rsidRDefault="000C6018" w:rsidP="00546221">
      <w:pPr>
        <w:pStyle w:val="FootnoteText"/>
        <w:rPr>
          <w:sz w:val="16"/>
          <w:szCs w:val="16"/>
        </w:rPr>
      </w:pPr>
      <w:r w:rsidRPr="00F44E5B">
        <w:rPr>
          <w:rStyle w:val="FootnoteReference"/>
          <w:sz w:val="16"/>
          <w:szCs w:val="16"/>
        </w:rPr>
        <w:footnoteRef/>
      </w:r>
      <w:r w:rsidRPr="00F44E5B">
        <w:rPr>
          <w:sz w:val="16"/>
          <w:szCs w:val="16"/>
        </w:rPr>
        <w:t xml:space="preserve"> </w:t>
      </w:r>
      <w:r w:rsidRPr="005C3F4F">
        <w:rPr>
          <w:sz w:val="16"/>
          <w:szCs w:val="16"/>
        </w:rPr>
        <w:t xml:space="preserve">For example, it took 28 years to successfully transition the </w:t>
      </w:r>
      <w:proofErr w:type="spellStart"/>
      <w:r w:rsidRPr="005C3F4F">
        <w:rPr>
          <w:sz w:val="16"/>
          <w:szCs w:val="16"/>
        </w:rPr>
        <w:t>Gurriny</w:t>
      </w:r>
      <w:proofErr w:type="spellEnd"/>
      <w:r w:rsidRPr="005C3F4F">
        <w:rPr>
          <w:sz w:val="16"/>
          <w:szCs w:val="16"/>
        </w:rPr>
        <w:t xml:space="preserve"> </w:t>
      </w:r>
      <w:proofErr w:type="spellStart"/>
      <w:r w:rsidRPr="005C3F4F">
        <w:rPr>
          <w:sz w:val="16"/>
          <w:szCs w:val="16"/>
        </w:rPr>
        <w:t>Yealamucka</w:t>
      </w:r>
      <w:proofErr w:type="spellEnd"/>
      <w:r w:rsidRPr="005C3F4F">
        <w:rPr>
          <w:sz w:val="16"/>
          <w:szCs w:val="16"/>
        </w:rPr>
        <w:t xml:space="preserve"> Health Service (</w:t>
      </w:r>
      <w:proofErr w:type="spellStart"/>
      <w:r w:rsidRPr="005C3F4F">
        <w:rPr>
          <w:sz w:val="16"/>
          <w:szCs w:val="16"/>
        </w:rPr>
        <w:t>Gurriny</w:t>
      </w:r>
      <w:proofErr w:type="spellEnd"/>
      <w:r w:rsidRPr="005C3F4F">
        <w:rPr>
          <w:sz w:val="16"/>
          <w:szCs w:val="16"/>
        </w:rPr>
        <w:t>) to community control in Yarrabah in Queensland</w:t>
      </w:r>
      <w:r>
        <w:rPr>
          <w:sz w:val="16"/>
          <w:szCs w:val="16"/>
        </w:rPr>
        <w:t xml:space="preserve">: </w:t>
      </w:r>
      <w:proofErr w:type="spellStart"/>
      <w:r w:rsidRPr="00F44E5B">
        <w:rPr>
          <w:sz w:val="16"/>
          <w:szCs w:val="16"/>
        </w:rPr>
        <w:t>Jongen</w:t>
      </w:r>
      <w:proofErr w:type="spellEnd"/>
      <w:r w:rsidRPr="00F44E5B">
        <w:rPr>
          <w:sz w:val="16"/>
          <w:szCs w:val="16"/>
        </w:rPr>
        <w:t xml:space="preserve">, C., Campbell, S., McCalman, J. et al., (2020), Transitioning to Aboriginal community control of primary health care: the process and strategies of one community-controlled health organisation in Queensland. BMC Fam </w:t>
      </w:r>
      <w:proofErr w:type="spellStart"/>
      <w:r w:rsidRPr="00F44E5B">
        <w:rPr>
          <w:sz w:val="16"/>
          <w:szCs w:val="16"/>
        </w:rPr>
        <w:t>Pract</w:t>
      </w:r>
      <w:proofErr w:type="spellEnd"/>
      <w:r w:rsidRPr="00F44E5B">
        <w:rPr>
          <w:sz w:val="16"/>
          <w:szCs w:val="16"/>
        </w:rPr>
        <w:t xml:space="preserve"> 21, 230, . https://doi.org/10.1186/s12875-020-01300-z, &lt;https://bmcprimcare.biomedcentral.com/track/pdf/10.1186/s12875-020-01300-z.pdf&gt;</w:t>
      </w:r>
    </w:p>
  </w:footnote>
  <w:footnote w:id="15">
    <w:p w14:paraId="1C050946" w14:textId="4319CC8F" w:rsidR="000C6018" w:rsidRPr="005E7CE4" w:rsidRDefault="000C6018" w:rsidP="005B0F92">
      <w:pPr>
        <w:pStyle w:val="FootnoteText"/>
        <w:rPr>
          <w:sz w:val="15"/>
          <w:szCs w:val="15"/>
        </w:rPr>
      </w:pPr>
      <w:r w:rsidRPr="005E7CE4">
        <w:rPr>
          <w:rStyle w:val="FootnoteReference"/>
          <w:sz w:val="15"/>
          <w:szCs w:val="15"/>
        </w:rPr>
        <w:footnoteRef/>
      </w:r>
      <w:r w:rsidRPr="005E7CE4">
        <w:rPr>
          <w:sz w:val="15"/>
          <w:szCs w:val="15"/>
        </w:rPr>
        <w:t xml:space="preserve"> </w:t>
      </w:r>
      <w:r w:rsidRPr="005E7CE4">
        <w:rPr>
          <w:sz w:val="15"/>
          <w:szCs w:val="15"/>
          <w:lang w:eastAsia="en-AU"/>
        </w:rPr>
        <w:t xml:space="preserve">Lavoie, 2016, Implementing Indigenous community control in health care: lessons from Canada, 2016, </w:t>
      </w:r>
      <w:r w:rsidRPr="005E7CE4">
        <w:rPr>
          <w:i/>
          <w:sz w:val="15"/>
          <w:szCs w:val="15"/>
          <w:lang w:eastAsia="en-AU"/>
        </w:rPr>
        <w:t xml:space="preserve">Australian Health Review, </w:t>
      </w:r>
      <w:r w:rsidRPr="005E7CE4">
        <w:rPr>
          <w:i/>
          <w:iCs/>
          <w:sz w:val="15"/>
          <w:szCs w:val="15"/>
          <w:lang w:eastAsia="en-AU"/>
        </w:rPr>
        <w:t>https://www.publish.csiro.au/ZO/pdf/AH14101</w:t>
      </w:r>
    </w:p>
  </w:footnote>
  <w:footnote w:id="16">
    <w:p w14:paraId="31B30356" w14:textId="00169C27" w:rsidR="000C6018" w:rsidRPr="00035B9D" w:rsidRDefault="000C6018">
      <w:pPr>
        <w:pStyle w:val="FootnoteText"/>
      </w:pPr>
      <w:r w:rsidRPr="00035B9D">
        <w:rPr>
          <w:rStyle w:val="FootnoteReference"/>
          <w:sz w:val="18"/>
          <w:szCs w:val="18"/>
        </w:rPr>
        <w:footnoteRef/>
      </w:r>
      <w:r w:rsidRPr="00035B9D">
        <w:rPr>
          <w:rStyle w:val="FootnoteReference"/>
          <w:sz w:val="18"/>
          <w:szCs w:val="18"/>
        </w:rPr>
        <w:t xml:space="preserve"> </w:t>
      </w:r>
      <w:r>
        <w:rPr>
          <w:rFonts w:cs="Segoe UI"/>
          <w:sz w:val="15"/>
          <w:szCs w:val="15"/>
        </w:rPr>
        <w:t xml:space="preserve">Aboriginal Medical Services Alliance Northern Territory, Pathways to Community Control: An agenda to further promote Aboriginal community control in the provision of Primary Health Care Services, 2009, </w:t>
      </w:r>
      <w:hyperlink r:id="rId14" w:history="1">
        <w:r>
          <w:rPr>
            <w:rStyle w:val="Hyperlink"/>
            <w:rFonts w:cs="Segoe UI"/>
            <w:sz w:val="15"/>
            <w:szCs w:val="15"/>
          </w:rPr>
          <w:t>http://www.amsant.org.au/wp-content/uploads/2019/12/2009_Final_Pathways-to-Community-Control.pdf</w:t>
        </w:r>
      </w:hyperlink>
      <w:r>
        <w:rPr>
          <w:rFonts w:cs="Segoe UI"/>
          <w:sz w:val="15"/>
          <w:szCs w:val="15"/>
        </w:rPr>
        <w:t xml:space="preserve">, page 15. </w:t>
      </w:r>
    </w:p>
  </w:footnote>
  <w:footnote w:id="17">
    <w:p w14:paraId="27B601ED" w14:textId="03AEA6E9" w:rsidR="000C6018" w:rsidRPr="00E104BE" w:rsidRDefault="000C6018" w:rsidP="00A41BF4">
      <w:pPr>
        <w:pStyle w:val="FootnoteText"/>
      </w:pPr>
      <w:r w:rsidRPr="00E104BE">
        <w:rPr>
          <w:rStyle w:val="FootnoteReference"/>
          <w:sz w:val="16"/>
          <w:szCs w:val="16"/>
        </w:rPr>
        <w:footnoteRef/>
      </w:r>
      <w:r w:rsidRPr="00E104BE">
        <w:rPr>
          <w:sz w:val="16"/>
          <w:szCs w:val="16"/>
        </w:rPr>
        <w:t xml:space="preserve"> </w:t>
      </w:r>
      <w:r>
        <w:rPr>
          <w:rFonts w:cs="Segoe UI"/>
          <w:sz w:val="15"/>
          <w:szCs w:val="15"/>
        </w:rPr>
        <w:t xml:space="preserve">Aboriginal Medical Services Alliance Northern Territory, Pathways to Community Control: An agenda to further promote Aboriginal community control in the provision of Primary Health Care Services, 2009, </w:t>
      </w:r>
      <w:hyperlink r:id="rId15" w:history="1">
        <w:r>
          <w:rPr>
            <w:rStyle w:val="Hyperlink"/>
            <w:rFonts w:cs="Segoe UI"/>
            <w:sz w:val="15"/>
            <w:szCs w:val="15"/>
          </w:rPr>
          <w:t>http://www.amsant.org.au/wp-content/uploads/2019/12/2009_Final_Pathways-to-Community-Control.pdf</w:t>
        </w:r>
      </w:hyperlink>
      <w:r>
        <w:rPr>
          <w:rFonts w:cs="Segoe UI"/>
          <w:sz w:val="15"/>
          <w:szCs w:val="15"/>
        </w:rPr>
        <w:t>, page 10.</w:t>
      </w:r>
    </w:p>
    <w:p w14:paraId="0C74B133" w14:textId="77777777" w:rsidR="000C6018" w:rsidRDefault="000C6018" w:rsidP="00A41BF4">
      <w:pPr>
        <w:pStyle w:val="FootnoteText"/>
        <w:rPr>
          <w:sz w:val="16"/>
          <w:szCs w:val="16"/>
        </w:rPr>
      </w:pPr>
    </w:p>
    <w:p w14:paraId="73BEABAB" w14:textId="77777777" w:rsidR="000C6018" w:rsidRPr="00E104BE" w:rsidRDefault="000C6018" w:rsidP="00A41BF4">
      <w:pPr>
        <w:pStyle w:val="FootnoteText"/>
      </w:pPr>
    </w:p>
  </w:footnote>
  <w:footnote w:id="18">
    <w:p w14:paraId="3BD0B8ED" w14:textId="77777777" w:rsidR="000C6018" w:rsidRPr="00DE7E69" w:rsidRDefault="000C6018" w:rsidP="0037240B">
      <w:pPr>
        <w:pStyle w:val="FootnoteText"/>
      </w:pPr>
      <w:r>
        <w:rPr>
          <w:rStyle w:val="FootnoteReference"/>
        </w:rPr>
        <w:footnoteRef/>
      </w:r>
      <w:r>
        <w:t xml:space="preserve"> </w:t>
      </w:r>
      <w:r>
        <w:rPr>
          <w:sz w:val="15"/>
          <w:szCs w:val="15"/>
        </w:rPr>
        <w:t xml:space="preserve">J Dwyer et al., The Road is Made by Walking: Towards a better primary health care system for Australia’s First Peoples, 2015, </w:t>
      </w:r>
      <w:hyperlink r:id="rId16" w:history="1">
        <w:r w:rsidRPr="00B17A59">
          <w:rPr>
            <w:rStyle w:val="Hyperlink"/>
            <w:sz w:val="15"/>
            <w:szCs w:val="15"/>
          </w:rPr>
          <w:t>https://www.lowitja.org.au/content/Document/Lowitja-Publishing/FAR-Summary-Report.pdf</w:t>
        </w:r>
      </w:hyperlink>
      <w:r>
        <w:rPr>
          <w:sz w:val="15"/>
          <w:szCs w:val="15"/>
        </w:rPr>
        <w:t>, page 25.</w:t>
      </w:r>
    </w:p>
  </w:footnote>
  <w:footnote w:id="19">
    <w:p w14:paraId="21AF9928" w14:textId="6FB0A462" w:rsidR="000C6018" w:rsidRPr="0098017A" w:rsidRDefault="000C6018">
      <w:pPr>
        <w:pStyle w:val="FootnoteText"/>
      </w:pPr>
      <w:r w:rsidRPr="0098017A">
        <w:rPr>
          <w:rStyle w:val="FootnoteReference"/>
          <w:sz w:val="16"/>
          <w:szCs w:val="16"/>
        </w:rPr>
        <w:footnoteRef/>
      </w:r>
      <w:r w:rsidRPr="0098017A">
        <w:rPr>
          <w:sz w:val="16"/>
          <w:szCs w:val="16"/>
        </w:rPr>
        <w:t xml:space="preserve"> </w:t>
      </w:r>
      <w:proofErr w:type="spellStart"/>
      <w:r w:rsidRPr="0098017A">
        <w:rPr>
          <w:sz w:val="16"/>
          <w:szCs w:val="16"/>
        </w:rPr>
        <w:t>Jongen</w:t>
      </w:r>
      <w:proofErr w:type="spellEnd"/>
      <w:r w:rsidRPr="0098017A">
        <w:rPr>
          <w:sz w:val="16"/>
          <w:szCs w:val="16"/>
        </w:rPr>
        <w:t xml:space="preserve">, C., Campbell, S., McCalman, J. et al., (2020), Transitioning to Aboriginal community control of primary health care: the process and strategies of one community-controlled health organisation in Queensland. BMC Fam </w:t>
      </w:r>
      <w:proofErr w:type="spellStart"/>
      <w:r w:rsidRPr="0098017A">
        <w:rPr>
          <w:sz w:val="16"/>
          <w:szCs w:val="16"/>
        </w:rPr>
        <w:t>Pract</w:t>
      </w:r>
      <w:proofErr w:type="spellEnd"/>
      <w:r w:rsidRPr="0098017A">
        <w:rPr>
          <w:sz w:val="16"/>
          <w:szCs w:val="16"/>
        </w:rPr>
        <w:t xml:space="preserve"> 21, 230, . https://doi.org/10.1186/s12875-020-01300-z, &lt;https://bmcprimcare.biomedcentral.com/track/pdf/10.1186/s12875-020-01300-z.pdf&gt;</w:t>
      </w:r>
    </w:p>
  </w:footnote>
  <w:footnote w:id="20">
    <w:p w14:paraId="0BCDDB0E" w14:textId="77777777" w:rsidR="000C6018" w:rsidRPr="003E6BD5" w:rsidRDefault="000C6018" w:rsidP="003E6BD5">
      <w:pPr>
        <w:pStyle w:val="FootnoteText"/>
        <w:rPr>
          <w:sz w:val="16"/>
          <w:szCs w:val="16"/>
        </w:rPr>
      </w:pPr>
      <w:r w:rsidRPr="003E6BD5">
        <w:rPr>
          <w:rStyle w:val="FootnoteReference"/>
          <w:sz w:val="16"/>
          <w:szCs w:val="16"/>
        </w:rPr>
        <w:footnoteRef/>
      </w:r>
      <w:r w:rsidRPr="003E6BD5">
        <w:rPr>
          <w:sz w:val="16"/>
          <w:szCs w:val="16"/>
        </w:rPr>
        <w:t xml:space="preserve"> Commonwealth of Australia, (2007), The National Evaluation of the Second Round of Australian Coordinated Care Trials 2007, &lt;https://apo.org.au/sites/default/files/resource-files/2008-04/apo-nid8664.pdf&gt;</w:t>
      </w:r>
    </w:p>
    <w:p w14:paraId="2AB4A3DB" w14:textId="73596F31" w:rsidR="000C6018" w:rsidRPr="00B066DF" w:rsidRDefault="000C6018">
      <w:pPr>
        <w:pStyle w:val="FootnoteText"/>
      </w:pPr>
    </w:p>
  </w:footnote>
  <w:footnote w:id="21">
    <w:p w14:paraId="383DFF75" w14:textId="4585ABE0" w:rsidR="000C6018" w:rsidRPr="001247D2" w:rsidRDefault="000C6018" w:rsidP="00721AAA">
      <w:pPr>
        <w:pStyle w:val="FootnoteText"/>
      </w:pPr>
      <w:r>
        <w:rPr>
          <w:rStyle w:val="FootnoteReference"/>
        </w:rPr>
        <w:footnoteRef/>
      </w:r>
      <w:r>
        <w:t xml:space="preserve"> </w:t>
      </w:r>
      <w:r>
        <w:rPr>
          <w:sz w:val="15"/>
          <w:szCs w:val="15"/>
        </w:rPr>
        <w:t xml:space="preserve">J Dwyer et al., The Road is Made by Walking: Towards a better primary health care system for Australia’s First Peoples, 2015, </w:t>
      </w:r>
      <w:hyperlink r:id="rId17" w:history="1">
        <w:r w:rsidRPr="00B17A59">
          <w:rPr>
            <w:rStyle w:val="Hyperlink"/>
            <w:sz w:val="15"/>
            <w:szCs w:val="15"/>
          </w:rPr>
          <w:t>https://www.lowitja.org.au/content/Document/Lowitja-Publishing/FAR-Summary-Report.pdf</w:t>
        </w:r>
      </w:hyperlink>
      <w:r>
        <w:rPr>
          <w:sz w:val="15"/>
          <w:szCs w:val="15"/>
        </w:rPr>
        <w:t xml:space="preserve">, page 22. </w:t>
      </w:r>
    </w:p>
  </w:footnote>
  <w:footnote w:id="22">
    <w:p w14:paraId="52C252BA" w14:textId="2714856C" w:rsidR="000C6018" w:rsidRPr="005E7CE4" w:rsidRDefault="000C6018" w:rsidP="005E7CE4">
      <w:pPr>
        <w:pStyle w:val="Bullet"/>
        <w:numPr>
          <w:ilvl w:val="0"/>
          <w:numId w:val="0"/>
        </w:numPr>
        <w:rPr>
          <w:sz w:val="15"/>
          <w:szCs w:val="15"/>
        </w:rPr>
      </w:pPr>
      <w:r w:rsidRPr="005E7CE4">
        <w:rPr>
          <w:rStyle w:val="FootnoteReference"/>
          <w:sz w:val="15"/>
          <w:szCs w:val="15"/>
        </w:rPr>
        <w:footnoteRef/>
      </w:r>
      <w:r w:rsidRPr="005E7CE4">
        <w:rPr>
          <w:sz w:val="15"/>
          <w:szCs w:val="15"/>
        </w:rPr>
        <w:t xml:space="preserve"> Other literature studies the P2CC program </w:t>
      </w:r>
      <w:r>
        <w:rPr>
          <w:sz w:val="15"/>
          <w:szCs w:val="15"/>
        </w:rPr>
        <w:t xml:space="preserve">and regionalisation reforms such as </w:t>
      </w:r>
      <w:r w:rsidRPr="005E7CE4">
        <w:rPr>
          <w:sz w:val="15"/>
          <w:szCs w:val="15"/>
        </w:rPr>
        <w:t xml:space="preserve">J Dwyer et al, The Road Is Made by Walking: Towards a better primary health care system for Australia’s First Peoples, 2015, </w:t>
      </w:r>
      <w:hyperlink r:id="rId18" w:history="1">
        <w:r w:rsidRPr="005E7CE4">
          <w:rPr>
            <w:rStyle w:val="Hyperlink"/>
            <w:sz w:val="15"/>
            <w:szCs w:val="15"/>
          </w:rPr>
          <w:t>https://www.lowitja.org.au/content/Document/Lowitja-Publishing/FAR-Report.pdf</w:t>
        </w:r>
      </w:hyperlink>
      <w:r>
        <w:rPr>
          <w:rStyle w:val="Hyperlink"/>
          <w:sz w:val="15"/>
          <w:szCs w:val="15"/>
        </w:rPr>
        <w:t xml:space="preserve"> </w:t>
      </w:r>
      <w:r w:rsidRPr="005E7CE4">
        <w:rPr>
          <w:sz w:val="15"/>
          <w:szCs w:val="15"/>
        </w:rPr>
        <w:t xml:space="preserve">which is referenced in this report. </w:t>
      </w:r>
    </w:p>
    <w:p w14:paraId="77255DCA" w14:textId="09007DC8" w:rsidR="000C6018" w:rsidRPr="00587766" w:rsidRDefault="000C6018" w:rsidP="00D179BC">
      <w:pPr>
        <w:pStyle w:val="FootnoteText"/>
        <w:rPr>
          <w:sz w:val="18"/>
          <w:szCs w:val="18"/>
        </w:rPr>
      </w:pPr>
    </w:p>
  </w:footnote>
  <w:footnote w:id="23">
    <w:p w14:paraId="7616B654" w14:textId="4D4E9F61" w:rsidR="000C6018" w:rsidRPr="00354FB7" w:rsidRDefault="000C6018">
      <w:pPr>
        <w:pStyle w:val="FootnoteText"/>
        <w:rPr>
          <w:sz w:val="15"/>
          <w:szCs w:val="15"/>
        </w:rPr>
      </w:pPr>
      <w:r w:rsidRPr="00354FB7">
        <w:rPr>
          <w:rStyle w:val="FootnoteReference"/>
          <w:sz w:val="15"/>
          <w:szCs w:val="15"/>
        </w:rPr>
        <w:footnoteRef/>
      </w:r>
      <w:r w:rsidRPr="00354FB7">
        <w:rPr>
          <w:sz w:val="15"/>
          <w:szCs w:val="15"/>
        </w:rPr>
        <w:t xml:space="preserve"> J Dwyer et al., The Road Is Made by Walking: Towards a better primary health care system for Australia’s First Peoples, 2015, </w:t>
      </w:r>
      <w:hyperlink r:id="rId19" w:history="1">
        <w:r w:rsidRPr="00354FB7">
          <w:rPr>
            <w:rStyle w:val="Hyperlink"/>
            <w:sz w:val="15"/>
            <w:szCs w:val="15"/>
          </w:rPr>
          <w:t>https://www.lowitja.org.au/content/Document/Lowitja-Publishing/FAR-Report.pdf</w:t>
        </w:r>
      </w:hyperlink>
    </w:p>
  </w:footnote>
  <w:footnote w:id="24">
    <w:p w14:paraId="6049AA37" w14:textId="5400352B" w:rsidR="000C6018" w:rsidRPr="00354FB7" w:rsidRDefault="000C6018">
      <w:pPr>
        <w:pStyle w:val="FootnoteText"/>
        <w:rPr>
          <w:sz w:val="15"/>
          <w:szCs w:val="15"/>
        </w:rPr>
      </w:pPr>
      <w:r w:rsidRPr="00354FB7">
        <w:rPr>
          <w:rStyle w:val="FootnoteReference"/>
          <w:sz w:val="15"/>
          <w:szCs w:val="15"/>
        </w:rPr>
        <w:footnoteRef/>
      </w:r>
      <w:r w:rsidRPr="00354FB7">
        <w:rPr>
          <w:sz w:val="15"/>
          <w:szCs w:val="15"/>
        </w:rPr>
        <w:t xml:space="preserve"> R Bailie, M Dowden, Audit and Best Practice for Chronic Disease, 2010, </w:t>
      </w:r>
      <w:hyperlink r:id="rId20" w:history="1">
        <w:r w:rsidRPr="00354FB7">
          <w:rPr>
            <w:rStyle w:val="Hyperlink"/>
            <w:sz w:val="15"/>
            <w:szCs w:val="15"/>
          </w:rPr>
          <w:t>https://www.lowitja.org.au/page/research/research-categories/health-policy-and-systems/monitoring-and-evaluation/completed-projects/ABCD</w:t>
        </w:r>
      </w:hyperlink>
    </w:p>
  </w:footnote>
  <w:footnote w:id="25">
    <w:p w14:paraId="32A8560A" w14:textId="0F0C5669" w:rsidR="000C6018" w:rsidRPr="000C2E1E" w:rsidRDefault="000C6018">
      <w:pPr>
        <w:pStyle w:val="FootnoteText"/>
      </w:pPr>
      <w:r w:rsidRPr="00257572">
        <w:rPr>
          <w:rStyle w:val="FootnoteReference"/>
          <w:sz w:val="16"/>
          <w:szCs w:val="16"/>
        </w:rPr>
        <w:footnoteRef/>
      </w:r>
      <w:r w:rsidRPr="00257572">
        <w:rPr>
          <w:sz w:val="16"/>
          <w:szCs w:val="16"/>
        </w:rPr>
        <w:t xml:space="preserve"> </w:t>
      </w:r>
      <w:r w:rsidRPr="0047762C">
        <w:rPr>
          <w:sz w:val="15"/>
          <w:szCs w:val="15"/>
        </w:rPr>
        <w:t xml:space="preserve">The Department of Health and Ageing, </w:t>
      </w:r>
      <w:r w:rsidRPr="00257572">
        <w:rPr>
          <w:sz w:val="15"/>
          <w:szCs w:val="15"/>
        </w:rPr>
        <w:t>The National Evaluation of the Second Round of Coordinated Care Trials,</w:t>
      </w:r>
      <w:r>
        <w:rPr>
          <w:sz w:val="16"/>
          <w:szCs w:val="16"/>
        </w:rPr>
        <w:t xml:space="preserve"> 2007, </w:t>
      </w:r>
      <w:r w:rsidRPr="00A41824">
        <w:rPr>
          <w:sz w:val="14"/>
          <w:szCs w:val="14"/>
        </w:rPr>
        <w:t>https://apo.org.au/sites/default/files/resource-files/2008-04/apo-nid8664.pdf</w:t>
      </w:r>
    </w:p>
  </w:footnote>
  <w:footnote w:id="26">
    <w:p w14:paraId="699090DA" w14:textId="7A2AFED0" w:rsidR="000C6018" w:rsidRPr="00C80707" w:rsidRDefault="000C6018">
      <w:pPr>
        <w:pStyle w:val="FootnoteText"/>
      </w:pPr>
      <w:r>
        <w:rPr>
          <w:rStyle w:val="FootnoteReference"/>
        </w:rPr>
        <w:footnoteRef/>
      </w:r>
      <w:r>
        <w:t xml:space="preserve"> </w:t>
      </w:r>
      <w:r w:rsidRPr="00DC7CE0">
        <w:rPr>
          <w:sz w:val="15"/>
          <w:szCs w:val="15"/>
        </w:rPr>
        <w:t>J Dwyer et al., The Road Is Made by Walking: Towards a better primary health care system for Australia’s First Peoples, 201</w:t>
      </w:r>
      <w:r>
        <w:rPr>
          <w:sz w:val="15"/>
          <w:szCs w:val="15"/>
        </w:rPr>
        <w:t>5</w:t>
      </w:r>
      <w:r w:rsidRPr="00DC7CE0">
        <w:rPr>
          <w:sz w:val="15"/>
          <w:szCs w:val="15"/>
        </w:rPr>
        <w:t xml:space="preserve">, </w:t>
      </w:r>
      <w:hyperlink r:id="rId21" w:history="1">
        <w:r w:rsidRPr="00DC7CE0">
          <w:rPr>
            <w:rStyle w:val="Hyperlink"/>
            <w:sz w:val="15"/>
            <w:szCs w:val="15"/>
          </w:rPr>
          <w:t>https://www.lowitja.org.au/content/Document/Lowitja-Publishing/FAR-Report.pdf</w:t>
        </w:r>
      </w:hyperlink>
      <w:r>
        <w:rPr>
          <w:sz w:val="15"/>
          <w:szCs w:val="15"/>
        </w:rPr>
        <w:t>.</w:t>
      </w:r>
    </w:p>
  </w:footnote>
  <w:footnote w:id="27">
    <w:p w14:paraId="530C933B" w14:textId="5BA28EB1" w:rsidR="000C6018" w:rsidRPr="00354FB7" w:rsidRDefault="000C6018" w:rsidP="00C215DC">
      <w:pPr>
        <w:pStyle w:val="FootnoteText"/>
        <w:rPr>
          <w:sz w:val="15"/>
          <w:szCs w:val="15"/>
        </w:rPr>
      </w:pPr>
      <w:r w:rsidRPr="00354FB7">
        <w:rPr>
          <w:rStyle w:val="FootnoteReference"/>
          <w:sz w:val="15"/>
          <w:szCs w:val="15"/>
        </w:rPr>
        <w:footnoteRef/>
      </w:r>
      <w:r w:rsidRPr="00354FB7">
        <w:rPr>
          <w:sz w:val="15"/>
          <w:szCs w:val="15"/>
        </w:rPr>
        <w:t xml:space="preserve"> </w:t>
      </w:r>
      <w:r>
        <w:rPr>
          <w:sz w:val="15"/>
          <w:szCs w:val="15"/>
        </w:rPr>
        <w:t>J</w:t>
      </w:r>
      <w:r w:rsidRPr="00354FB7">
        <w:rPr>
          <w:sz w:val="15"/>
          <w:szCs w:val="15"/>
        </w:rPr>
        <w:t xml:space="preserve"> </w:t>
      </w:r>
      <w:r w:rsidRPr="001C02E8">
        <w:rPr>
          <w:sz w:val="15"/>
          <w:szCs w:val="15"/>
        </w:rPr>
        <w:t xml:space="preserve">Devitt et al., The Northern Territory Aboriginal Health Forum: A historical review, 2015, </w:t>
      </w:r>
      <w:hyperlink r:id="rId22" w:history="1">
        <w:r w:rsidRPr="001C02E8">
          <w:rPr>
            <w:rStyle w:val="Hyperlink"/>
            <w:sz w:val="15"/>
            <w:szCs w:val="15"/>
          </w:rPr>
          <w:t>https://www.lowitja.org.au/c</w:t>
        </w:r>
        <w:bookmarkStart w:id="41" w:name="_Hlt100220658"/>
        <w:bookmarkStart w:id="42" w:name="_Hlt100220659"/>
        <w:r w:rsidRPr="001C02E8">
          <w:rPr>
            <w:rStyle w:val="Hyperlink"/>
            <w:sz w:val="15"/>
            <w:szCs w:val="15"/>
          </w:rPr>
          <w:t>o</w:t>
        </w:r>
        <w:bookmarkEnd w:id="41"/>
        <w:bookmarkEnd w:id="42"/>
        <w:r w:rsidRPr="001C02E8">
          <w:rPr>
            <w:rStyle w:val="Hyperlink"/>
            <w:sz w:val="15"/>
            <w:szCs w:val="15"/>
          </w:rPr>
          <w:t>ntent/Document/Lowitja-Publishing/FAR-NTAHF.pdf</w:t>
        </w:r>
      </w:hyperlink>
      <w:r w:rsidRPr="00354FB7">
        <w:rPr>
          <w:sz w:val="15"/>
          <w:szCs w:val="15"/>
        </w:rPr>
        <w:t xml:space="preserve"> </w:t>
      </w:r>
    </w:p>
  </w:footnote>
  <w:footnote w:id="28">
    <w:p w14:paraId="1C37AEA2" w14:textId="77777777" w:rsidR="000C6018" w:rsidRPr="00354FB7" w:rsidRDefault="000C6018" w:rsidP="00962FF3">
      <w:pPr>
        <w:pStyle w:val="FootnoteText"/>
        <w:rPr>
          <w:sz w:val="15"/>
          <w:szCs w:val="15"/>
        </w:rPr>
      </w:pPr>
      <w:r w:rsidRPr="00354FB7">
        <w:rPr>
          <w:rStyle w:val="FootnoteReference"/>
          <w:sz w:val="15"/>
          <w:szCs w:val="15"/>
        </w:rPr>
        <w:footnoteRef/>
      </w:r>
      <w:r w:rsidRPr="00354FB7">
        <w:rPr>
          <w:sz w:val="15"/>
          <w:szCs w:val="15"/>
        </w:rPr>
        <w:t xml:space="preserve"> </w:t>
      </w:r>
      <w:r>
        <w:rPr>
          <w:sz w:val="15"/>
          <w:szCs w:val="15"/>
        </w:rPr>
        <w:t>J</w:t>
      </w:r>
      <w:r w:rsidRPr="00354FB7">
        <w:rPr>
          <w:sz w:val="15"/>
          <w:szCs w:val="15"/>
        </w:rPr>
        <w:t xml:space="preserve"> </w:t>
      </w:r>
      <w:r w:rsidRPr="001C02E8">
        <w:rPr>
          <w:sz w:val="15"/>
          <w:szCs w:val="15"/>
        </w:rPr>
        <w:t xml:space="preserve">Devitt et al., The Northern Territory Aboriginal Health Forum: A historical review, 2015, </w:t>
      </w:r>
      <w:hyperlink r:id="rId23" w:history="1">
        <w:r w:rsidRPr="001C02E8">
          <w:rPr>
            <w:rStyle w:val="Hyperlink"/>
            <w:sz w:val="15"/>
            <w:szCs w:val="15"/>
          </w:rPr>
          <w:t>https://www.lowitja.org.au/content/Document/Lowitja-Publishing/FAR-NTAHF.pdf</w:t>
        </w:r>
      </w:hyperlink>
      <w:r w:rsidRPr="00354FB7">
        <w:rPr>
          <w:sz w:val="15"/>
          <w:szCs w:val="15"/>
        </w:rPr>
        <w:t xml:space="preserve"> </w:t>
      </w:r>
    </w:p>
  </w:footnote>
  <w:footnote w:id="29">
    <w:p w14:paraId="24793379" w14:textId="3917693E" w:rsidR="000C6018" w:rsidRPr="00354FB7" w:rsidRDefault="000C6018" w:rsidP="00DB30D5">
      <w:pPr>
        <w:pStyle w:val="FootnoteText"/>
        <w:rPr>
          <w:sz w:val="15"/>
          <w:szCs w:val="15"/>
        </w:rPr>
      </w:pPr>
      <w:r w:rsidRPr="00354FB7">
        <w:rPr>
          <w:rStyle w:val="FootnoteReference"/>
          <w:sz w:val="15"/>
          <w:szCs w:val="15"/>
        </w:rPr>
        <w:footnoteRef/>
      </w:r>
      <w:r w:rsidRPr="00354FB7">
        <w:rPr>
          <w:sz w:val="15"/>
          <w:szCs w:val="15"/>
        </w:rPr>
        <w:t xml:space="preserve"> </w:t>
      </w:r>
      <w:r>
        <w:rPr>
          <w:sz w:val="15"/>
          <w:szCs w:val="15"/>
        </w:rPr>
        <w:t>J</w:t>
      </w:r>
      <w:r w:rsidRPr="00354FB7">
        <w:rPr>
          <w:sz w:val="15"/>
          <w:szCs w:val="15"/>
        </w:rPr>
        <w:t xml:space="preserve"> </w:t>
      </w:r>
      <w:r w:rsidRPr="00DB3CA1">
        <w:rPr>
          <w:sz w:val="15"/>
          <w:szCs w:val="15"/>
        </w:rPr>
        <w:t xml:space="preserve">Dwyer et al., The Road Is Made by Walking: Towards a better primary health care system for Australia’s First Peoples, 2015, </w:t>
      </w:r>
      <w:hyperlink r:id="rId24" w:history="1">
        <w:r w:rsidRPr="00DB3CA1">
          <w:rPr>
            <w:rStyle w:val="Hyperlink"/>
            <w:sz w:val="15"/>
            <w:szCs w:val="15"/>
          </w:rPr>
          <w:t>https://www.lowitja.org.au/content/Document/Lowitja-Publishing/FAR-Report.pdf</w:t>
        </w:r>
      </w:hyperlink>
      <w:r w:rsidRPr="00354FB7">
        <w:rPr>
          <w:sz w:val="15"/>
          <w:szCs w:val="15"/>
        </w:rPr>
        <w:t xml:space="preserve"> </w:t>
      </w:r>
    </w:p>
  </w:footnote>
  <w:footnote w:id="30">
    <w:p w14:paraId="58B87828" w14:textId="730011FE" w:rsidR="000C6018" w:rsidRPr="00354FB7" w:rsidRDefault="000C6018" w:rsidP="00C215DC">
      <w:pPr>
        <w:pStyle w:val="FootnoteText"/>
        <w:rPr>
          <w:sz w:val="15"/>
          <w:szCs w:val="15"/>
        </w:rPr>
      </w:pPr>
      <w:r w:rsidRPr="00354FB7">
        <w:rPr>
          <w:rStyle w:val="FootnoteReference"/>
          <w:sz w:val="15"/>
          <w:szCs w:val="15"/>
        </w:rPr>
        <w:footnoteRef/>
      </w:r>
      <w:r w:rsidRPr="00354FB7">
        <w:rPr>
          <w:sz w:val="15"/>
          <w:szCs w:val="15"/>
        </w:rPr>
        <w:t xml:space="preserve"> </w:t>
      </w:r>
      <w:r>
        <w:rPr>
          <w:sz w:val="15"/>
          <w:szCs w:val="15"/>
        </w:rPr>
        <w:t>J</w:t>
      </w:r>
      <w:r w:rsidRPr="00354FB7">
        <w:rPr>
          <w:sz w:val="15"/>
          <w:szCs w:val="15"/>
        </w:rPr>
        <w:t xml:space="preserve"> </w:t>
      </w:r>
      <w:r w:rsidRPr="00DB3CA1">
        <w:rPr>
          <w:sz w:val="15"/>
          <w:szCs w:val="15"/>
        </w:rPr>
        <w:t xml:space="preserve">Dwyer et al., The Road Is Made by Walking: Towards a better primary health care system for Australia’s First Peoples, 2015, </w:t>
      </w:r>
      <w:hyperlink r:id="rId25" w:history="1">
        <w:r w:rsidRPr="00DB3CA1">
          <w:rPr>
            <w:rStyle w:val="Hyperlink"/>
            <w:sz w:val="15"/>
            <w:szCs w:val="15"/>
          </w:rPr>
          <w:t>https://www.lowitja.org.au/content/Document/Lowitja-Publishing/FAR-Report.pdf</w:t>
        </w:r>
      </w:hyperlink>
      <w:r w:rsidRPr="00354FB7">
        <w:rPr>
          <w:sz w:val="15"/>
          <w:szCs w:val="15"/>
        </w:rPr>
        <w:t xml:space="preserve"> </w:t>
      </w:r>
    </w:p>
  </w:footnote>
  <w:footnote w:id="31">
    <w:p w14:paraId="37E67025" w14:textId="4CA73FF4" w:rsidR="000C6018" w:rsidRPr="00354FB7" w:rsidRDefault="000C6018" w:rsidP="00C215DC">
      <w:pPr>
        <w:pStyle w:val="FootnoteText"/>
        <w:rPr>
          <w:sz w:val="15"/>
          <w:szCs w:val="15"/>
        </w:rPr>
      </w:pPr>
      <w:r w:rsidRPr="00354FB7">
        <w:rPr>
          <w:rStyle w:val="FootnoteReference"/>
          <w:sz w:val="15"/>
          <w:szCs w:val="15"/>
        </w:rPr>
        <w:footnoteRef/>
      </w:r>
      <w:r w:rsidRPr="00354FB7">
        <w:rPr>
          <w:sz w:val="15"/>
          <w:szCs w:val="15"/>
        </w:rPr>
        <w:t xml:space="preserve"> </w:t>
      </w:r>
      <w:r>
        <w:rPr>
          <w:sz w:val="15"/>
          <w:szCs w:val="22"/>
        </w:rPr>
        <w:t xml:space="preserve">D Matheson, N Hardie-Boys et al., Evaluation of the Child Health Check Initiative and the Expanding Health Service Delivery Initiative: Final Report, 2011, </w:t>
      </w:r>
      <w:hyperlink r:id="rId26" w:history="1">
        <w:r w:rsidRPr="00B17A59">
          <w:rPr>
            <w:rStyle w:val="Hyperlink"/>
            <w:sz w:val="15"/>
            <w:szCs w:val="22"/>
          </w:rPr>
          <w:t>https://core.ac.uk/download/pdf/30680988.pdf</w:t>
        </w:r>
      </w:hyperlink>
    </w:p>
  </w:footnote>
  <w:footnote w:id="32">
    <w:p w14:paraId="41C6ACCB" w14:textId="15D0BE40" w:rsidR="000C6018" w:rsidRPr="00A657E9" w:rsidRDefault="000C6018" w:rsidP="00C215DC">
      <w:pPr>
        <w:pStyle w:val="FootnoteText"/>
        <w:rPr>
          <w:sz w:val="15"/>
          <w:szCs w:val="15"/>
        </w:rPr>
      </w:pPr>
      <w:r w:rsidRPr="00A657E9">
        <w:rPr>
          <w:rStyle w:val="FootnoteReference"/>
          <w:sz w:val="15"/>
          <w:szCs w:val="15"/>
        </w:rPr>
        <w:footnoteRef/>
      </w:r>
      <w:r w:rsidRPr="00A657E9">
        <w:rPr>
          <w:sz w:val="15"/>
          <w:szCs w:val="15"/>
        </w:rPr>
        <w:t xml:space="preserve"> D Matheson, N Hardie-Boys et al., Evaluation of the Child Health Check Initiative and the Expanding Health Service Delivery Initiative: Final Report, 2011, </w:t>
      </w:r>
      <w:hyperlink r:id="rId27" w:history="1">
        <w:r w:rsidRPr="00A657E9">
          <w:rPr>
            <w:rStyle w:val="Hyperlink"/>
            <w:sz w:val="15"/>
            <w:szCs w:val="15"/>
          </w:rPr>
          <w:t>https://core.ac.uk/download/pdf/30680988.pdf</w:t>
        </w:r>
      </w:hyperlink>
    </w:p>
  </w:footnote>
  <w:footnote w:id="33">
    <w:p w14:paraId="7DDFB4D8" w14:textId="3D69231A" w:rsidR="000C6018" w:rsidRPr="00A657E9" w:rsidRDefault="000C6018" w:rsidP="00C215DC">
      <w:pPr>
        <w:pStyle w:val="FootnoteText"/>
        <w:rPr>
          <w:sz w:val="15"/>
          <w:szCs w:val="15"/>
        </w:rPr>
      </w:pPr>
      <w:r w:rsidRPr="00A657E9">
        <w:rPr>
          <w:rStyle w:val="FootnoteReference"/>
          <w:sz w:val="15"/>
          <w:szCs w:val="15"/>
        </w:rPr>
        <w:footnoteRef/>
      </w:r>
      <w:r w:rsidRPr="00A657E9">
        <w:rPr>
          <w:sz w:val="15"/>
          <w:szCs w:val="15"/>
        </w:rPr>
        <w:t xml:space="preserve"> </w:t>
      </w:r>
      <w:r>
        <w:rPr>
          <w:sz w:val="15"/>
          <w:szCs w:val="15"/>
        </w:rPr>
        <w:t xml:space="preserve">J </w:t>
      </w:r>
      <w:r w:rsidRPr="00DB3CA1">
        <w:rPr>
          <w:sz w:val="15"/>
          <w:szCs w:val="15"/>
        </w:rPr>
        <w:t xml:space="preserve">Dwyer et al., The Road Is Made by Walking: Towards a better primary health care system for Australia’s First Peoples, 2015, </w:t>
      </w:r>
      <w:hyperlink r:id="rId28" w:history="1">
        <w:r w:rsidRPr="00DB3CA1">
          <w:rPr>
            <w:rStyle w:val="Hyperlink"/>
            <w:sz w:val="15"/>
            <w:szCs w:val="15"/>
          </w:rPr>
          <w:t>https://www.lowitja.org.au/content/Document/Lowitja-Publishing/FAR-Report.pdf</w:t>
        </w:r>
      </w:hyperlink>
      <w:r w:rsidRPr="00A657E9">
        <w:rPr>
          <w:sz w:val="15"/>
          <w:szCs w:val="15"/>
        </w:rPr>
        <w:t xml:space="preserve"> </w:t>
      </w:r>
    </w:p>
  </w:footnote>
  <w:footnote w:id="34">
    <w:p w14:paraId="0A29BF27" w14:textId="60FBB3E7" w:rsidR="000C6018" w:rsidRPr="00BC1478" w:rsidRDefault="000C6018" w:rsidP="00C215DC">
      <w:pPr>
        <w:pStyle w:val="FootnoteText"/>
      </w:pPr>
      <w:r w:rsidRPr="00A657E9">
        <w:rPr>
          <w:rStyle w:val="FootnoteReference"/>
          <w:sz w:val="15"/>
          <w:szCs w:val="15"/>
        </w:rPr>
        <w:footnoteRef/>
      </w:r>
      <w:r w:rsidRPr="00A657E9">
        <w:rPr>
          <w:sz w:val="15"/>
          <w:szCs w:val="15"/>
        </w:rPr>
        <w:t xml:space="preserve"> </w:t>
      </w:r>
      <w:r>
        <w:rPr>
          <w:sz w:val="15"/>
          <w:szCs w:val="15"/>
        </w:rPr>
        <w:t xml:space="preserve">J </w:t>
      </w:r>
      <w:r w:rsidRPr="00DB3CA1">
        <w:rPr>
          <w:sz w:val="15"/>
          <w:szCs w:val="15"/>
        </w:rPr>
        <w:t xml:space="preserve">Dwyer et al., The Road Is Made by Walking: Towards a better primary health care system for Australia’s First Peoples, 2015, </w:t>
      </w:r>
      <w:hyperlink r:id="rId29" w:history="1">
        <w:r w:rsidRPr="00DB3CA1">
          <w:rPr>
            <w:rStyle w:val="Hyperlink"/>
            <w:sz w:val="15"/>
            <w:szCs w:val="15"/>
          </w:rPr>
          <w:t>https://www.lowitja.org.au/content/Document/Lowitja-Publishing/FAR-Report.pdf</w:t>
        </w:r>
      </w:hyperlink>
      <w:r>
        <w:t xml:space="preserve"> </w:t>
      </w:r>
    </w:p>
  </w:footnote>
  <w:footnote w:id="35">
    <w:p w14:paraId="31591309" w14:textId="77777777" w:rsidR="000C6018" w:rsidRPr="00A657E9" w:rsidRDefault="000C6018" w:rsidP="00384544">
      <w:pPr>
        <w:pStyle w:val="FootnoteText"/>
        <w:rPr>
          <w:sz w:val="15"/>
          <w:szCs w:val="15"/>
        </w:rPr>
      </w:pPr>
      <w:r w:rsidRPr="00A657E9">
        <w:rPr>
          <w:rStyle w:val="FootnoteReference"/>
          <w:sz w:val="15"/>
          <w:szCs w:val="15"/>
        </w:rPr>
        <w:footnoteRef/>
      </w:r>
      <w:r w:rsidRPr="00A657E9">
        <w:rPr>
          <w:sz w:val="15"/>
          <w:szCs w:val="15"/>
        </w:rPr>
        <w:t xml:space="preserve"> </w:t>
      </w:r>
      <w:r>
        <w:rPr>
          <w:sz w:val="15"/>
          <w:szCs w:val="15"/>
        </w:rPr>
        <w:t xml:space="preserve">J </w:t>
      </w:r>
      <w:r w:rsidRPr="00DB3CA1">
        <w:rPr>
          <w:sz w:val="15"/>
          <w:szCs w:val="15"/>
        </w:rPr>
        <w:t xml:space="preserve">Dwyer et al., The Road Is Made by Walking: Towards a better primary health care system for Australia’s First Peoples, 2015, </w:t>
      </w:r>
      <w:hyperlink r:id="rId30" w:history="1">
        <w:r w:rsidRPr="00DB3CA1">
          <w:rPr>
            <w:rStyle w:val="Hyperlink"/>
            <w:sz w:val="15"/>
            <w:szCs w:val="15"/>
          </w:rPr>
          <w:t>https://www.lowitja.org.au/content/Document/Lowitja-Publishing/FAR-Report.pdf</w:t>
        </w:r>
      </w:hyperlink>
      <w:r w:rsidRPr="00A657E9">
        <w:rPr>
          <w:sz w:val="15"/>
          <w:szCs w:val="15"/>
        </w:rPr>
        <w:t xml:space="preserve"> </w:t>
      </w:r>
    </w:p>
  </w:footnote>
  <w:footnote w:id="36">
    <w:p w14:paraId="7E96F83B" w14:textId="1159564B" w:rsidR="000C6018" w:rsidRPr="00A657E9" w:rsidRDefault="000C6018" w:rsidP="00C215DC">
      <w:pPr>
        <w:pStyle w:val="FootnoteText"/>
        <w:rPr>
          <w:sz w:val="15"/>
          <w:szCs w:val="15"/>
        </w:rPr>
      </w:pPr>
      <w:r w:rsidRPr="00A657E9">
        <w:rPr>
          <w:rStyle w:val="FootnoteReference"/>
          <w:sz w:val="15"/>
          <w:szCs w:val="15"/>
        </w:rPr>
        <w:footnoteRef/>
      </w:r>
      <w:r w:rsidRPr="00A657E9">
        <w:rPr>
          <w:sz w:val="15"/>
          <w:szCs w:val="15"/>
        </w:rPr>
        <w:t xml:space="preserve"> </w:t>
      </w:r>
      <w:r>
        <w:rPr>
          <w:sz w:val="15"/>
          <w:szCs w:val="15"/>
        </w:rPr>
        <w:t xml:space="preserve">J </w:t>
      </w:r>
      <w:r w:rsidRPr="00DB3CA1">
        <w:rPr>
          <w:sz w:val="15"/>
          <w:szCs w:val="15"/>
        </w:rPr>
        <w:t xml:space="preserve">Dwyer et al., The Road Is Made by Walking: Towards a better primary health care system for Australia’s First Peoples, 2015, </w:t>
      </w:r>
      <w:hyperlink r:id="rId31" w:history="1">
        <w:r w:rsidRPr="00DB3CA1">
          <w:rPr>
            <w:rStyle w:val="Hyperlink"/>
            <w:sz w:val="15"/>
            <w:szCs w:val="15"/>
          </w:rPr>
          <w:t>https://www.lowitja.org.au/content/Document/Lowitja-Publishing/FAR-Report.pdf</w:t>
        </w:r>
      </w:hyperlink>
      <w:r w:rsidRPr="00A657E9">
        <w:rPr>
          <w:sz w:val="15"/>
          <w:szCs w:val="15"/>
        </w:rPr>
        <w:t xml:space="preserve"> </w:t>
      </w:r>
    </w:p>
  </w:footnote>
  <w:footnote w:id="37">
    <w:p w14:paraId="00BDF110" w14:textId="3D9BE6B3" w:rsidR="000C6018" w:rsidRPr="00A657E9" w:rsidRDefault="000C6018" w:rsidP="00C215DC">
      <w:pPr>
        <w:pStyle w:val="FootnoteText"/>
        <w:rPr>
          <w:sz w:val="15"/>
          <w:szCs w:val="15"/>
        </w:rPr>
      </w:pPr>
      <w:r w:rsidRPr="00A657E9">
        <w:rPr>
          <w:rStyle w:val="FootnoteReference"/>
          <w:sz w:val="15"/>
          <w:szCs w:val="15"/>
        </w:rPr>
        <w:footnoteRef/>
      </w:r>
      <w:r w:rsidRPr="00A657E9">
        <w:rPr>
          <w:sz w:val="15"/>
          <w:szCs w:val="15"/>
        </w:rPr>
        <w:t xml:space="preserve"> </w:t>
      </w:r>
      <w:r>
        <w:rPr>
          <w:sz w:val="15"/>
          <w:szCs w:val="15"/>
        </w:rPr>
        <w:t xml:space="preserve">J </w:t>
      </w:r>
      <w:r w:rsidRPr="00DB3CA1">
        <w:rPr>
          <w:sz w:val="15"/>
          <w:szCs w:val="15"/>
        </w:rPr>
        <w:t xml:space="preserve">Dwyer et al., The Road Is Made by Walking: Towards a better primary health care system for Australia’s First Peoples, 2015, </w:t>
      </w:r>
      <w:hyperlink r:id="rId32" w:history="1">
        <w:r w:rsidRPr="00DB3CA1">
          <w:rPr>
            <w:rStyle w:val="Hyperlink"/>
            <w:sz w:val="15"/>
            <w:szCs w:val="15"/>
          </w:rPr>
          <w:t>https://www.lowitja.org.au/content/Document/Lowitja-Publishing/FAR-Report.pdf</w:t>
        </w:r>
      </w:hyperlink>
      <w:r w:rsidRPr="00A657E9">
        <w:rPr>
          <w:sz w:val="15"/>
          <w:szCs w:val="15"/>
        </w:rPr>
        <w:t xml:space="preserve"> </w:t>
      </w:r>
    </w:p>
  </w:footnote>
  <w:footnote w:id="38">
    <w:p w14:paraId="75939337" w14:textId="77777777" w:rsidR="000C6018" w:rsidRPr="00BC1478" w:rsidRDefault="000C6018" w:rsidP="00384544">
      <w:pPr>
        <w:pStyle w:val="FootnoteText"/>
      </w:pPr>
      <w:r w:rsidRPr="00A657E9">
        <w:rPr>
          <w:rStyle w:val="FootnoteReference"/>
          <w:sz w:val="15"/>
          <w:szCs w:val="15"/>
        </w:rPr>
        <w:footnoteRef/>
      </w:r>
      <w:r w:rsidRPr="00A657E9">
        <w:rPr>
          <w:sz w:val="15"/>
          <w:szCs w:val="15"/>
        </w:rPr>
        <w:t xml:space="preserve"> </w:t>
      </w:r>
      <w:r>
        <w:rPr>
          <w:sz w:val="15"/>
          <w:szCs w:val="15"/>
        </w:rPr>
        <w:t xml:space="preserve">J </w:t>
      </w:r>
      <w:r w:rsidRPr="00DB3CA1">
        <w:rPr>
          <w:sz w:val="15"/>
          <w:szCs w:val="15"/>
        </w:rPr>
        <w:t xml:space="preserve">Dwyer et al., The Road Is Made by Walking: Towards a better primary health care system for Australia’s First Peoples, 2015, </w:t>
      </w:r>
      <w:hyperlink r:id="rId33" w:history="1">
        <w:r w:rsidRPr="00DB3CA1">
          <w:rPr>
            <w:rStyle w:val="Hyperlink"/>
            <w:sz w:val="15"/>
            <w:szCs w:val="15"/>
          </w:rPr>
          <w:t>https://www.lowitja.org.au/content/Document/Lowitja-Publishing/FAR-Report.pdf</w:t>
        </w:r>
      </w:hyperlink>
      <w:r>
        <w:t xml:space="preserve"> </w:t>
      </w:r>
    </w:p>
  </w:footnote>
  <w:footnote w:id="39">
    <w:p w14:paraId="11D5AF95" w14:textId="6D4F9416" w:rsidR="000C6018" w:rsidRPr="00BC1478" w:rsidRDefault="000C6018" w:rsidP="00C215DC">
      <w:pPr>
        <w:pStyle w:val="FootnoteText"/>
      </w:pPr>
      <w:r w:rsidRPr="00A657E9">
        <w:rPr>
          <w:rStyle w:val="FootnoteReference"/>
          <w:sz w:val="15"/>
          <w:szCs w:val="15"/>
        </w:rPr>
        <w:footnoteRef/>
      </w:r>
      <w:r w:rsidRPr="00A657E9">
        <w:rPr>
          <w:sz w:val="15"/>
          <w:szCs w:val="15"/>
        </w:rPr>
        <w:t xml:space="preserve"> </w:t>
      </w:r>
      <w:r>
        <w:rPr>
          <w:sz w:val="15"/>
          <w:szCs w:val="15"/>
        </w:rPr>
        <w:t xml:space="preserve">J </w:t>
      </w:r>
      <w:r w:rsidRPr="00DB3CA1">
        <w:rPr>
          <w:sz w:val="15"/>
          <w:szCs w:val="15"/>
        </w:rPr>
        <w:t xml:space="preserve">Dwyer et al., The Road Is Made by Walking: Towards a better primary health care system for Australia’s First Peoples, 2015, </w:t>
      </w:r>
      <w:hyperlink r:id="rId34" w:history="1">
        <w:r w:rsidRPr="00DB3CA1">
          <w:rPr>
            <w:rStyle w:val="Hyperlink"/>
            <w:sz w:val="15"/>
            <w:szCs w:val="15"/>
          </w:rPr>
          <w:t>https://www.lowitja.org.au/content/Document/Lowitja-Publishing/FAR-Report.pdf</w:t>
        </w:r>
      </w:hyperlink>
      <w:r>
        <w:t xml:space="preserve"> </w:t>
      </w:r>
    </w:p>
  </w:footnote>
  <w:footnote w:id="40">
    <w:p w14:paraId="3C5852FE" w14:textId="77777777" w:rsidR="000C6018" w:rsidRPr="00A657E9" w:rsidRDefault="000C6018" w:rsidP="003D1F8C">
      <w:pPr>
        <w:pStyle w:val="FootnoteText"/>
        <w:rPr>
          <w:sz w:val="15"/>
          <w:szCs w:val="15"/>
        </w:rPr>
      </w:pPr>
      <w:r w:rsidRPr="00A657E9">
        <w:rPr>
          <w:rStyle w:val="FootnoteReference"/>
          <w:sz w:val="15"/>
          <w:szCs w:val="15"/>
        </w:rPr>
        <w:footnoteRef/>
      </w:r>
      <w:r w:rsidRPr="00A657E9">
        <w:rPr>
          <w:sz w:val="15"/>
          <w:szCs w:val="15"/>
        </w:rPr>
        <w:t xml:space="preserve"> </w:t>
      </w:r>
      <w:r>
        <w:rPr>
          <w:sz w:val="15"/>
          <w:szCs w:val="15"/>
        </w:rPr>
        <w:t xml:space="preserve">J </w:t>
      </w:r>
      <w:r w:rsidRPr="00DB3CA1">
        <w:rPr>
          <w:sz w:val="15"/>
          <w:szCs w:val="15"/>
        </w:rPr>
        <w:t xml:space="preserve">Dwyer et al., The Road Is Made by Walking: Towards a better primary health care system for Australia’s First Peoples, 2015, </w:t>
      </w:r>
      <w:hyperlink r:id="rId35" w:history="1">
        <w:r w:rsidRPr="00DB3CA1">
          <w:rPr>
            <w:rStyle w:val="Hyperlink"/>
            <w:sz w:val="15"/>
            <w:szCs w:val="15"/>
          </w:rPr>
          <w:t>https://www.lowitja.org.au/content/Document/Lowitja-Publishing/FAR-Report.pdf</w:t>
        </w:r>
      </w:hyperlink>
      <w:r>
        <w:rPr>
          <w:sz w:val="15"/>
          <w:szCs w:val="15"/>
        </w:rPr>
        <w:t xml:space="preserve">; </w:t>
      </w:r>
      <w:r w:rsidRPr="00A657E9">
        <w:rPr>
          <w:sz w:val="15"/>
          <w:szCs w:val="15"/>
        </w:rPr>
        <w:t xml:space="preserve">D Matheson, N Hardie-Boys et al., Evaluation of the Child Health Check Initiative and the Expanding Health Service Delivery Initiative: Final Report, 2011, </w:t>
      </w:r>
      <w:hyperlink r:id="rId36" w:history="1">
        <w:r w:rsidRPr="00A657E9">
          <w:rPr>
            <w:rStyle w:val="Hyperlink"/>
            <w:sz w:val="15"/>
            <w:szCs w:val="15"/>
          </w:rPr>
          <w:t>https://core.ac.uk/download/pdf/30680988.pdf</w:t>
        </w:r>
      </w:hyperlink>
    </w:p>
  </w:footnote>
  <w:footnote w:id="41">
    <w:p w14:paraId="7ACDAF76" w14:textId="77777777" w:rsidR="000C6018" w:rsidRPr="00A657E9" w:rsidRDefault="000C6018" w:rsidP="003D1F8C">
      <w:pPr>
        <w:pStyle w:val="FootnoteText"/>
        <w:rPr>
          <w:sz w:val="15"/>
          <w:szCs w:val="15"/>
        </w:rPr>
      </w:pPr>
      <w:r w:rsidRPr="00A657E9">
        <w:rPr>
          <w:rStyle w:val="FootnoteReference"/>
          <w:sz w:val="15"/>
          <w:szCs w:val="15"/>
        </w:rPr>
        <w:footnoteRef/>
      </w:r>
      <w:r w:rsidRPr="00A657E9">
        <w:rPr>
          <w:sz w:val="15"/>
          <w:szCs w:val="15"/>
        </w:rPr>
        <w:t xml:space="preserve"> </w:t>
      </w:r>
      <w:r>
        <w:rPr>
          <w:sz w:val="15"/>
          <w:szCs w:val="15"/>
        </w:rPr>
        <w:t xml:space="preserve">J </w:t>
      </w:r>
      <w:r w:rsidRPr="00DB3CA1">
        <w:rPr>
          <w:sz w:val="15"/>
          <w:szCs w:val="15"/>
        </w:rPr>
        <w:t xml:space="preserve">Dwyer et al., The Road Is Made by Walking: Towards a better primary health care system for Australia’s First Peoples, 2015, </w:t>
      </w:r>
      <w:hyperlink r:id="rId37" w:history="1">
        <w:r w:rsidRPr="00DB3CA1">
          <w:rPr>
            <w:rStyle w:val="Hyperlink"/>
            <w:sz w:val="15"/>
            <w:szCs w:val="15"/>
          </w:rPr>
          <w:t>https://www.lowitja.org.au/content/Document/Lowitja-Publishing/FAR-Report.pdf</w:t>
        </w:r>
      </w:hyperlink>
      <w:r>
        <w:rPr>
          <w:sz w:val="15"/>
          <w:szCs w:val="15"/>
        </w:rPr>
        <w:t xml:space="preserve">; </w:t>
      </w:r>
      <w:r w:rsidRPr="00A657E9">
        <w:rPr>
          <w:sz w:val="15"/>
          <w:szCs w:val="15"/>
        </w:rPr>
        <w:t xml:space="preserve">D Matheson, N Hardie-Boys et al., Evaluation of the Child Health Check Initiative and the Expanding Health Service Delivery Initiative: Final Report, 2011, </w:t>
      </w:r>
      <w:hyperlink r:id="rId38" w:history="1">
        <w:r w:rsidRPr="00A657E9">
          <w:rPr>
            <w:rStyle w:val="Hyperlink"/>
            <w:sz w:val="15"/>
            <w:szCs w:val="15"/>
          </w:rPr>
          <w:t>https://core.ac.uk/download/pdf/30680988.pdf</w:t>
        </w:r>
      </w:hyperlink>
    </w:p>
  </w:footnote>
  <w:footnote w:id="42">
    <w:p w14:paraId="7FAA14EA" w14:textId="549D8CF5" w:rsidR="000C6018" w:rsidRPr="00A657E9" w:rsidRDefault="000C6018" w:rsidP="00C215DC">
      <w:pPr>
        <w:pStyle w:val="FootnoteText"/>
        <w:rPr>
          <w:sz w:val="15"/>
          <w:szCs w:val="15"/>
        </w:rPr>
      </w:pPr>
      <w:r w:rsidRPr="00A657E9">
        <w:rPr>
          <w:rStyle w:val="FootnoteReference"/>
          <w:sz w:val="15"/>
          <w:szCs w:val="15"/>
        </w:rPr>
        <w:footnoteRef/>
      </w:r>
      <w:r>
        <w:rPr>
          <w:sz w:val="15"/>
          <w:szCs w:val="15"/>
        </w:rPr>
        <w:t xml:space="preserve"> J</w:t>
      </w:r>
      <w:r w:rsidRPr="00A657E9">
        <w:rPr>
          <w:sz w:val="15"/>
          <w:szCs w:val="15"/>
        </w:rPr>
        <w:t xml:space="preserve"> </w:t>
      </w:r>
      <w:r w:rsidRPr="00DB3CA1">
        <w:rPr>
          <w:sz w:val="15"/>
          <w:szCs w:val="15"/>
        </w:rPr>
        <w:t xml:space="preserve">Dwyer et al., The Road Is Made by Walking: Towards a better primary health care system for Australia’s First Peoples, 2015, </w:t>
      </w:r>
      <w:hyperlink r:id="rId39" w:history="1">
        <w:r w:rsidRPr="00DB3CA1">
          <w:rPr>
            <w:rStyle w:val="Hyperlink"/>
            <w:sz w:val="15"/>
            <w:szCs w:val="15"/>
          </w:rPr>
          <w:t>https://www.lowitja.org.au/content/Document/Lowitja-Publishing/FAR-Report.pdf</w:t>
        </w:r>
      </w:hyperlink>
      <w:r w:rsidRPr="00A657E9">
        <w:rPr>
          <w:sz w:val="15"/>
          <w:szCs w:val="15"/>
        </w:rPr>
        <w:t xml:space="preserve"> </w:t>
      </w:r>
    </w:p>
  </w:footnote>
  <w:footnote w:id="43">
    <w:p w14:paraId="13C10AE1" w14:textId="5428E9E7" w:rsidR="000C6018" w:rsidRPr="003D1F8C" w:rsidRDefault="000C6018">
      <w:pPr>
        <w:pStyle w:val="FootnoteText"/>
      </w:pPr>
      <w:r>
        <w:rPr>
          <w:rStyle w:val="FootnoteReference"/>
        </w:rPr>
        <w:footnoteRef/>
      </w:r>
      <w:r>
        <w:t xml:space="preserve"> </w:t>
      </w:r>
      <w:r>
        <w:rPr>
          <w:sz w:val="15"/>
          <w:szCs w:val="15"/>
        </w:rPr>
        <w:t>Australian Government Department of Health, I</w:t>
      </w:r>
      <w:r w:rsidRPr="00C03E51">
        <w:rPr>
          <w:sz w:val="15"/>
          <w:szCs w:val="15"/>
        </w:rPr>
        <w:t>ndigenous Australians’ Health Programme</w:t>
      </w:r>
      <w:r>
        <w:rPr>
          <w:sz w:val="15"/>
          <w:szCs w:val="15"/>
        </w:rPr>
        <w:t xml:space="preserve">: </w:t>
      </w:r>
      <w:r w:rsidRPr="00C03E51">
        <w:rPr>
          <w:sz w:val="15"/>
          <w:szCs w:val="15"/>
        </w:rPr>
        <w:t>Northern Territory Pathways to Community Control</w:t>
      </w:r>
      <w:r>
        <w:rPr>
          <w:sz w:val="15"/>
          <w:szCs w:val="15"/>
        </w:rPr>
        <w:t xml:space="preserve"> </w:t>
      </w:r>
      <w:r w:rsidRPr="00C03E51">
        <w:rPr>
          <w:sz w:val="15"/>
          <w:szCs w:val="15"/>
        </w:rPr>
        <w:t>Grant Opportunity Guidelines</w:t>
      </w:r>
      <w:r>
        <w:rPr>
          <w:sz w:val="15"/>
          <w:szCs w:val="15"/>
        </w:rPr>
        <w:t>, 2021.</w:t>
      </w:r>
    </w:p>
  </w:footnote>
  <w:footnote w:id="44">
    <w:p w14:paraId="48FE2C09" w14:textId="76073AC4" w:rsidR="000C6018" w:rsidRPr="005E7CE4" w:rsidRDefault="000C6018" w:rsidP="005E7CE4">
      <w:pPr>
        <w:spacing w:after="0"/>
        <w:rPr>
          <w:sz w:val="14"/>
          <w:szCs w:val="14"/>
          <w:lang w:eastAsia="en-AU"/>
        </w:rPr>
      </w:pPr>
      <w:r w:rsidRPr="005E7CE4">
        <w:rPr>
          <w:rStyle w:val="FootnoteReference"/>
          <w:sz w:val="14"/>
          <w:szCs w:val="14"/>
        </w:rPr>
        <w:footnoteRef/>
      </w:r>
      <w:r w:rsidRPr="005E7CE4">
        <w:rPr>
          <w:sz w:val="14"/>
          <w:szCs w:val="14"/>
        </w:rPr>
        <w:t xml:space="preserve"> </w:t>
      </w:r>
      <w:proofErr w:type="spellStart"/>
      <w:r w:rsidRPr="005E7CE4">
        <w:rPr>
          <w:sz w:val="14"/>
          <w:szCs w:val="14"/>
          <w:lang w:eastAsia="en-AU"/>
        </w:rPr>
        <w:t>Jongen</w:t>
      </w:r>
      <w:proofErr w:type="spellEnd"/>
      <w:r w:rsidRPr="005E7CE4">
        <w:rPr>
          <w:sz w:val="14"/>
          <w:szCs w:val="14"/>
          <w:lang w:eastAsia="en-AU"/>
        </w:rPr>
        <w:t xml:space="preserve">, C., Campbell, S., McCalman, J. et al., (2020), Transitioning to Aboriginal community control of primary health care: the process and strategies of one community-controlled health organisation in Queensland. BMC Fam </w:t>
      </w:r>
      <w:proofErr w:type="spellStart"/>
      <w:r w:rsidRPr="005E7CE4">
        <w:rPr>
          <w:sz w:val="14"/>
          <w:szCs w:val="14"/>
          <w:lang w:eastAsia="en-AU"/>
        </w:rPr>
        <w:t>Pract</w:t>
      </w:r>
      <w:proofErr w:type="spellEnd"/>
      <w:r w:rsidRPr="005E7CE4">
        <w:rPr>
          <w:sz w:val="14"/>
          <w:szCs w:val="14"/>
          <w:lang w:eastAsia="en-AU"/>
        </w:rPr>
        <w:t xml:space="preserve"> 21, 230, . https://doi.org/10.1186/s12875-020-01300-z, </w:t>
      </w:r>
      <w:hyperlink r:id="rId40" w:history="1">
        <w:r w:rsidRPr="005E7CE4">
          <w:rPr>
            <w:rStyle w:val="Hyperlink"/>
            <w:sz w:val="14"/>
            <w:szCs w:val="14"/>
            <w:lang w:eastAsia="en-AU"/>
          </w:rPr>
          <w:t>https://bmcprimcare.biomedcentral.com/track/pdf/10.1186/s12875-020-01300-z.pdf</w:t>
        </w:r>
      </w:hyperlink>
    </w:p>
  </w:footnote>
  <w:footnote w:id="45">
    <w:p w14:paraId="25F6F121" w14:textId="62BB33A6" w:rsidR="000C6018" w:rsidRPr="005E7CE4" w:rsidRDefault="000C6018" w:rsidP="005E7CE4">
      <w:pPr>
        <w:spacing w:after="0"/>
        <w:rPr>
          <w:sz w:val="14"/>
          <w:szCs w:val="14"/>
          <w:lang w:eastAsia="en-AU"/>
        </w:rPr>
      </w:pPr>
      <w:r w:rsidRPr="005E7CE4">
        <w:rPr>
          <w:rStyle w:val="FootnoteReference"/>
          <w:sz w:val="14"/>
          <w:szCs w:val="14"/>
        </w:rPr>
        <w:footnoteRef/>
      </w:r>
      <w:r w:rsidRPr="005E7CE4">
        <w:rPr>
          <w:sz w:val="14"/>
          <w:szCs w:val="14"/>
        </w:rPr>
        <w:t xml:space="preserve"> </w:t>
      </w:r>
      <w:r w:rsidRPr="005E7CE4">
        <w:rPr>
          <w:sz w:val="14"/>
          <w:szCs w:val="14"/>
          <w:lang w:eastAsia="en-AU"/>
        </w:rPr>
        <w:t>Lavoie, 2016, Implementing Indigenous community control in health care: lessons from Canada, 2016, Australian Health Review, https://www.publish.csiro.au/ZO/pdf/AH14101</w:t>
      </w:r>
    </w:p>
  </w:footnote>
  <w:footnote w:id="46">
    <w:p w14:paraId="36E56283" w14:textId="0E9DF2F3" w:rsidR="000C6018" w:rsidRPr="005E7CE4" w:rsidRDefault="000C6018" w:rsidP="005E7CE4">
      <w:pPr>
        <w:pStyle w:val="FootnoteText"/>
        <w:rPr>
          <w:sz w:val="14"/>
          <w:szCs w:val="14"/>
        </w:rPr>
      </w:pPr>
      <w:r w:rsidRPr="005E7CE4">
        <w:rPr>
          <w:rStyle w:val="FootnoteReference"/>
          <w:sz w:val="14"/>
          <w:szCs w:val="14"/>
        </w:rPr>
        <w:footnoteRef/>
      </w:r>
      <w:r w:rsidRPr="005E7CE4">
        <w:rPr>
          <w:sz w:val="14"/>
          <w:szCs w:val="14"/>
        </w:rPr>
        <w:t xml:space="preserve"> Ibi</w:t>
      </w:r>
      <w:r>
        <w:rPr>
          <w:sz w:val="14"/>
          <w:szCs w:val="14"/>
        </w:rPr>
        <w:t>d</w:t>
      </w:r>
    </w:p>
  </w:footnote>
  <w:footnote w:id="47">
    <w:p w14:paraId="5C1CABCC" w14:textId="77777777" w:rsidR="000C6018" w:rsidRPr="00366BAA" w:rsidRDefault="000C6018" w:rsidP="00D5395E">
      <w:pPr>
        <w:pStyle w:val="FootnoteText"/>
      </w:pPr>
      <w:r>
        <w:rPr>
          <w:rStyle w:val="FootnoteReference"/>
        </w:rPr>
        <w:footnoteRef/>
      </w:r>
      <w:r>
        <w:t xml:space="preserve"> </w:t>
      </w:r>
      <w:r w:rsidRPr="00366BAA">
        <w:rPr>
          <w:sz w:val="14"/>
          <w:szCs w:val="14"/>
        </w:rPr>
        <w:t>Ibid</w:t>
      </w:r>
    </w:p>
  </w:footnote>
  <w:footnote w:id="48">
    <w:p w14:paraId="7BD6C5EE" w14:textId="7C0331B3" w:rsidR="000C6018" w:rsidRPr="005E7CE4" w:rsidRDefault="000C6018">
      <w:pPr>
        <w:pStyle w:val="FootnoteText"/>
      </w:pPr>
      <w:r>
        <w:rPr>
          <w:rStyle w:val="FootnoteReference"/>
        </w:rPr>
        <w:footnoteRef/>
      </w:r>
      <w:r>
        <w:t xml:space="preserve"> </w:t>
      </w:r>
      <w:proofErr w:type="spellStart"/>
      <w:r w:rsidRPr="00C134A7">
        <w:rPr>
          <w:sz w:val="14"/>
          <w:szCs w:val="14"/>
          <w:lang w:eastAsia="en-AU"/>
        </w:rPr>
        <w:t>Jongen</w:t>
      </w:r>
      <w:proofErr w:type="spellEnd"/>
      <w:r w:rsidRPr="00C134A7">
        <w:rPr>
          <w:sz w:val="14"/>
          <w:szCs w:val="14"/>
          <w:lang w:eastAsia="en-AU"/>
        </w:rPr>
        <w:t xml:space="preserve">, C., Campbell, S., McCalman, J. et al., (2020), Transitioning to Aboriginal community control of primary health care: the process and strategies of one community-controlled health organisation in Queensland. BMC Fam </w:t>
      </w:r>
      <w:proofErr w:type="spellStart"/>
      <w:r w:rsidRPr="00C134A7">
        <w:rPr>
          <w:sz w:val="14"/>
          <w:szCs w:val="14"/>
          <w:lang w:eastAsia="en-AU"/>
        </w:rPr>
        <w:t>Pract</w:t>
      </w:r>
      <w:proofErr w:type="spellEnd"/>
      <w:r w:rsidRPr="00C134A7">
        <w:rPr>
          <w:sz w:val="14"/>
          <w:szCs w:val="14"/>
          <w:lang w:eastAsia="en-AU"/>
        </w:rPr>
        <w:t xml:space="preserve"> 21, 230, . https://doi.org/10.1186/s12875-020-01300-z, </w:t>
      </w:r>
      <w:hyperlink r:id="rId41" w:history="1">
        <w:r w:rsidRPr="00C134A7">
          <w:rPr>
            <w:rStyle w:val="Hyperlink"/>
            <w:sz w:val="14"/>
            <w:szCs w:val="14"/>
            <w:lang w:eastAsia="en-AU"/>
          </w:rPr>
          <w:t>https://bmcprimcare.biomedcentral.com/track/pdf/10.1186/s12875-020-01300-z.pdf</w:t>
        </w:r>
      </w:hyperlink>
    </w:p>
  </w:footnote>
  <w:footnote w:id="49">
    <w:p w14:paraId="7C839B3D" w14:textId="77777777" w:rsidR="000C6018" w:rsidRPr="00366BAA" w:rsidRDefault="000C6018" w:rsidP="00DB56E2">
      <w:r w:rsidRPr="00366BAA">
        <w:rPr>
          <w:rStyle w:val="FootnoteReference"/>
          <w:sz w:val="14"/>
          <w:szCs w:val="14"/>
        </w:rPr>
        <w:footnoteRef/>
      </w:r>
      <w:r w:rsidRPr="00366BAA">
        <w:rPr>
          <w:sz w:val="14"/>
          <w:szCs w:val="14"/>
        </w:rPr>
        <w:t xml:space="preserve"> </w:t>
      </w:r>
      <w:r w:rsidRPr="00366BAA">
        <w:rPr>
          <w:sz w:val="14"/>
          <w:szCs w:val="14"/>
          <w:lang w:eastAsia="en-AU"/>
        </w:rPr>
        <w:t xml:space="preserve">Commonwealth of Australia, (2007), The National Evaluation of the Second Round of Australian Coordinated Care Trials 2007, </w:t>
      </w:r>
      <w:hyperlink r:id="rId42" w:history="1">
        <w:r w:rsidRPr="00366BAA">
          <w:rPr>
            <w:rStyle w:val="Hyperlink"/>
            <w:sz w:val="14"/>
            <w:szCs w:val="14"/>
            <w:lang w:eastAsia="en-AU"/>
          </w:rPr>
          <w:t>https://apo.org.au/sites/default/files/resource-files/2008-04/apo-nid8664.pdf</w:t>
        </w:r>
      </w:hyperlink>
    </w:p>
  </w:footnote>
  <w:footnote w:id="50">
    <w:p w14:paraId="287269C9" w14:textId="74E54DB8" w:rsidR="000C6018" w:rsidRDefault="000C6018">
      <w:pPr>
        <w:pStyle w:val="FootnoteText"/>
      </w:pPr>
      <w:r>
        <w:rPr>
          <w:rStyle w:val="FootnoteReference"/>
        </w:rPr>
        <w:footnoteRef/>
      </w:r>
      <w:r w:rsidRPr="00F50A23">
        <w:rPr>
          <w:sz w:val="14"/>
          <w:szCs w:val="14"/>
          <w:lang w:eastAsia="en-AU"/>
        </w:rPr>
        <w:t xml:space="preserve"> Ibid</w:t>
      </w:r>
    </w:p>
  </w:footnote>
  <w:footnote w:id="51">
    <w:p w14:paraId="35F883A5" w14:textId="69F0C4CE" w:rsidR="000C6018" w:rsidRPr="005E7CE4" w:rsidRDefault="000C6018">
      <w:pPr>
        <w:pStyle w:val="FootnoteText"/>
      </w:pPr>
      <w:r w:rsidRPr="005E7CE4">
        <w:rPr>
          <w:sz w:val="14"/>
          <w:szCs w:val="14"/>
          <w:lang w:eastAsia="en-AU"/>
        </w:rPr>
        <w:footnoteRef/>
      </w:r>
      <w:r w:rsidRPr="005E7CE4">
        <w:rPr>
          <w:sz w:val="14"/>
          <w:szCs w:val="14"/>
          <w:lang w:eastAsia="en-AU"/>
        </w:rPr>
        <w:t xml:space="preserve"> Ibid</w:t>
      </w:r>
    </w:p>
  </w:footnote>
  <w:footnote w:id="52">
    <w:p w14:paraId="31C7F114" w14:textId="3B99392F" w:rsidR="000C6018" w:rsidRPr="005E7CE4" w:rsidRDefault="000C6018">
      <w:pPr>
        <w:pStyle w:val="FootnoteText"/>
      </w:pPr>
      <w:r>
        <w:rPr>
          <w:rStyle w:val="FootnoteReference"/>
        </w:rPr>
        <w:footnoteRef/>
      </w:r>
      <w:r>
        <w:t xml:space="preserve"> </w:t>
      </w:r>
      <w:r w:rsidRPr="005E7CE4">
        <w:rPr>
          <w:sz w:val="14"/>
          <w:szCs w:val="14"/>
          <w:lang w:eastAsia="en-AU"/>
        </w:rPr>
        <w:t>Ibid</w:t>
      </w:r>
    </w:p>
  </w:footnote>
  <w:footnote w:id="53">
    <w:p w14:paraId="23BB6AEA" w14:textId="77777777" w:rsidR="000C6018" w:rsidRPr="005E7CE4" w:rsidRDefault="000C6018" w:rsidP="00DB56E2">
      <w:pPr>
        <w:pStyle w:val="FootnoteText"/>
        <w:rPr>
          <w:sz w:val="15"/>
          <w:szCs w:val="15"/>
        </w:rPr>
      </w:pPr>
      <w:r w:rsidRPr="005E7CE4">
        <w:rPr>
          <w:rStyle w:val="FootnoteReference"/>
          <w:sz w:val="15"/>
          <w:szCs w:val="15"/>
        </w:rPr>
        <w:footnoteRef/>
      </w:r>
      <w:r w:rsidRPr="005E7CE4">
        <w:rPr>
          <w:sz w:val="15"/>
          <w:szCs w:val="15"/>
        </w:rPr>
        <w:t xml:space="preserve"> Dwyer, J., Martini, A., Brown, C., Tilton, E., Devitt, J., </w:t>
      </w:r>
      <w:proofErr w:type="spellStart"/>
      <w:r w:rsidRPr="005E7CE4">
        <w:rPr>
          <w:sz w:val="15"/>
          <w:szCs w:val="15"/>
        </w:rPr>
        <w:t>Myott</w:t>
      </w:r>
      <w:proofErr w:type="spellEnd"/>
      <w:r w:rsidRPr="005E7CE4">
        <w:rPr>
          <w:sz w:val="15"/>
          <w:szCs w:val="15"/>
        </w:rPr>
        <w:t xml:space="preserve">, P. &amp; </w:t>
      </w:r>
      <w:proofErr w:type="spellStart"/>
      <w:r w:rsidRPr="005E7CE4">
        <w:rPr>
          <w:sz w:val="15"/>
          <w:szCs w:val="15"/>
        </w:rPr>
        <w:t>Pekarsky</w:t>
      </w:r>
      <w:proofErr w:type="spellEnd"/>
      <w:r w:rsidRPr="005E7CE4">
        <w:rPr>
          <w:sz w:val="15"/>
          <w:szCs w:val="15"/>
        </w:rPr>
        <w:t xml:space="preserve">, B., (2015),The Road Is Made by Walking: Towards a better primary health care system for Australia’s First Peoples – </w:t>
      </w:r>
      <w:proofErr w:type="spellStart"/>
      <w:r w:rsidRPr="005E7CE4">
        <w:rPr>
          <w:sz w:val="15"/>
          <w:szCs w:val="15"/>
        </w:rPr>
        <w:t>Report,The</w:t>
      </w:r>
      <w:proofErr w:type="spellEnd"/>
      <w:r w:rsidRPr="005E7CE4">
        <w:rPr>
          <w:sz w:val="15"/>
          <w:szCs w:val="15"/>
        </w:rPr>
        <w:t xml:space="preserve"> </w:t>
      </w:r>
      <w:proofErr w:type="spellStart"/>
      <w:r w:rsidRPr="005E7CE4">
        <w:rPr>
          <w:sz w:val="15"/>
          <w:szCs w:val="15"/>
        </w:rPr>
        <w:t>Lowitja</w:t>
      </w:r>
      <w:proofErr w:type="spellEnd"/>
      <w:r w:rsidRPr="005E7CE4">
        <w:rPr>
          <w:sz w:val="15"/>
          <w:szCs w:val="15"/>
        </w:rPr>
        <w:t xml:space="preserve"> Institute, Melbourne., Implementing Indigenous community control in health care: lessons from Canada.</w:t>
      </w:r>
    </w:p>
  </w:footnote>
  <w:footnote w:id="54">
    <w:p w14:paraId="211707E2" w14:textId="2C31F053" w:rsidR="000C6018" w:rsidRPr="005E7CE4" w:rsidRDefault="000C6018">
      <w:pPr>
        <w:pStyle w:val="FootnoteText"/>
        <w:rPr>
          <w:sz w:val="15"/>
          <w:szCs w:val="15"/>
        </w:rPr>
      </w:pPr>
      <w:r w:rsidRPr="005E7CE4">
        <w:rPr>
          <w:rStyle w:val="FootnoteReference"/>
          <w:sz w:val="15"/>
          <w:szCs w:val="15"/>
        </w:rPr>
        <w:footnoteRef/>
      </w:r>
      <w:r w:rsidRPr="005E7CE4">
        <w:rPr>
          <w:sz w:val="15"/>
          <w:szCs w:val="15"/>
        </w:rPr>
        <w:t xml:space="preserve"> Ibid</w:t>
      </w:r>
    </w:p>
  </w:footnote>
  <w:footnote w:id="55">
    <w:p w14:paraId="5C8899CE" w14:textId="15B3C8B8" w:rsidR="000C6018" w:rsidRPr="005E7CE4" w:rsidRDefault="000C6018" w:rsidP="00BD40E4">
      <w:r w:rsidRPr="005E7CE4">
        <w:rPr>
          <w:rStyle w:val="FootnoteReference"/>
          <w:sz w:val="15"/>
          <w:szCs w:val="15"/>
        </w:rPr>
        <w:footnoteRef/>
      </w:r>
      <w:r w:rsidRPr="005E7CE4">
        <w:rPr>
          <w:sz w:val="15"/>
          <w:szCs w:val="15"/>
        </w:rPr>
        <w:t xml:space="preserve"> </w:t>
      </w:r>
      <w:r w:rsidRPr="005E7CE4">
        <w:rPr>
          <w:sz w:val="15"/>
          <w:szCs w:val="15"/>
          <w:lang w:eastAsia="en-AU"/>
        </w:rPr>
        <w:t xml:space="preserve">McCalman J, </w:t>
      </w:r>
      <w:proofErr w:type="spellStart"/>
      <w:r w:rsidRPr="005E7CE4">
        <w:rPr>
          <w:sz w:val="15"/>
          <w:szCs w:val="15"/>
          <w:lang w:eastAsia="en-AU"/>
        </w:rPr>
        <w:t>Jongen</w:t>
      </w:r>
      <w:proofErr w:type="spellEnd"/>
      <w:r w:rsidRPr="005E7CE4">
        <w:rPr>
          <w:sz w:val="15"/>
          <w:szCs w:val="15"/>
          <w:lang w:eastAsia="en-AU"/>
        </w:rPr>
        <w:t xml:space="preserve"> CS, Campbell S, Fagan R, Pearson K, Andrews S., (2021), The Barriers and Enablers of Primary Healthcare Service Transition From Government to Community Control in Yarrabah: A Grounded Theory Study. Front Public Health. 2021 Oct 14;9:616742. </w:t>
      </w:r>
      <w:proofErr w:type="spellStart"/>
      <w:r w:rsidRPr="005E7CE4">
        <w:rPr>
          <w:sz w:val="15"/>
          <w:szCs w:val="15"/>
          <w:lang w:eastAsia="en-AU"/>
        </w:rPr>
        <w:t>doi</w:t>
      </w:r>
      <w:proofErr w:type="spellEnd"/>
      <w:r w:rsidRPr="005E7CE4">
        <w:rPr>
          <w:sz w:val="15"/>
          <w:szCs w:val="15"/>
          <w:lang w:eastAsia="en-AU"/>
        </w:rPr>
        <w:t>: 10.3389/fpubh.2021.616742. PMID: 34722428; PMCID: PMC8551548.&lt; https://pubmed.ncbi.nlm.nih.gov/34722428/&gt;</w:t>
      </w:r>
    </w:p>
  </w:footnote>
  <w:footnote w:id="56">
    <w:p w14:paraId="222E9A76" w14:textId="77777777" w:rsidR="000C6018" w:rsidRPr="005E7CE4" w:rsidRDefault="000C6018" w:rsidP="00DB56E2">
      <w:pPr>
        <w:pStyle w:val="FootnoteText"/>
      </w:pPr>
      <w:r>
        <w:rPr>
          <w:rStyle w:val="FootnoteReference"/>
        </w:rPr>
        <w:footnoteRef/>
      </w:r>
      <w:r>
        <w:t xml:space="preserve"> </w:t>
      </w:r>
      <w:r w:rsidRPr="00C134A7">
        <w:rPr>
          <w:sz w:val="15"/>
          <w:szCs w:val="15"/>
        </w:rPr>
        <w:t xml:space="preserve">Dwyer, J., Martini, A., Brown, C., Tilton, E., Devitt, J., </w:t>
      </w:r>
      <w:proofErr w:type="spellStart"/>
      <w:r w:rsidRPr="00C134A7">
        <w:rPr>
          <w:sz w:val="15"/>
          <w:szCs w:val="15"/>
        </w:rPr>
        <w:t>Myott</w:t>
      </w:r>
      <w:proofErr w:type="spellEnd"/>
      <w:r w:rsidRPr="00C134A7">
        <w:rPr>
          <w:sz w:val="15"/>
          <w:szCs w:val="15"/>
        </w:rPr>
        <w:t xml:space="preserve">, P. &amp; </w:t>
      </w:r>
      <w:proofErr w:type="spellStart"/>
      <w:r w:rsidRPr="00C134A7">
        <w:rPr>
          <w:sz w:val="15"/>
          <w:szCs w:val="15"/>
        </w:rPr>
        <w:t>Pekarsky</w:t>
      </w:r>
      <w:proofErr w:type="spellEnd"/>
      <w:r w:rsidRPr="00C134A7">
        <w:rPr>
          <w:sz w:val="15"/>
          <w:szCs w:val="15"/>
        </w:rPr>
        <w:t xml:space="preserve">, B., (2015),The Road Is Made by Walking: Towards a better primary health care system for Australia’s First Peoples – </w:t>
      </w:r>
      <w:proofErr w:type="spellStart"/>
      <w:r w:rsidRPr="00C134A7">
        <w:rPr>
          <w:sz w:val="15"/>
          <w:szCs w:val="15"/>
        </w:rPr>
        <w:t>Report,The</w:t>
      </w:r>
      <w:proofErr w:type="spellEnd"/>
      <w:r w:rsidRPr="00C134A7">
        <w:rPr>
          <w:sz w:val="15"/>
          <w:szCs w:val="15"/>
        </w:rPr>
        <w:t xml:space="preserve"> </w:t>
      </w:r>
      <w:proofErr w:type="spellStart"/>
      <w:r w:rsidRPr="00C134A7">
        <w:rPr>
          <w:sz w:val="15"/>
          <w:szCs w:val="15"/>
        </w:rPr>
        <w:t>Lowitja</w:t>
      </w:r>
      <w:proofErr w:type="spellEnd"/>
      <w:r w:rsidRPr="00C134A7">
        <w:rPr>
          <w:sz w:val="15"/>
          <w:szCs w:val="15"/>
        </w:rPr>
        <w:t xml:space="preserve"> Institute, Melbourne., Implementing Indigenous community control in health care: lessons from Canada.</w:t>
      </w:r>
    </w:p>
  </w:footnote>
  <w:footnote w:id="57">
    <w:p w14:paraId="6A342A11" w14:textId="77777777" w:rsidR="000C6018" w:rsidRPr="005E7CE4" w:rsidRDefault="000C6018" w:rsidP="00DB56E2">
      <w:pPr>
        <w:pStyle w:val="FootnoteText"/>
      </w:pPr>
      <w:r>
        <w:rPr>
          <w:rStyle w:val="FootnoteReference"/>
        </w:rPr>
        <w:footnoteRef/>
      </w:r>
      <w:r>
        <w:t xml:space="preserve"> </w:t>
      </w:r>
      <w:r w:rsidRPr="00C134A7">
        <w:rPr>
          <w:sz w:val="15"/>
          <w:szCs w:val="15"/>
        </w:rPr>
        <w:t xml:space="preserve">Dwyer, J., Martini, A., Brown, C., Tilton, E., Devitt, J., </w:t>
      </w:r>
      <w:proofErr w:type="spellStart"/>
      <w:r w:rsidRPr="00C134A7">
        <w:rPr>
          <w:sz w:val="15"/>
          <w:szCs w:val="15"/>
        </w:rPr>
        <w:t>Myott</w:t>
      </w:r>
      <w:proofErr w:type="spellEnd"/>
      <w:r w:rsidRPr="00C134A7">
        <w:rPr>
          <w:sz w:val="15"/>
          <w:szCs w:val="15"/>
        </w:rPr>
        <w:t xml:space="preserve">, P. &amp; </w:t>
      </w:r>
      <w:proofErr w:type="spellStart"/>
      <w:r w:rsidRPr="00C134A7">
        <w:rPr>
          <w:sz w:val="15"/>
          <w:szCs w:val="15"/>
        </w:rPr>
        <w:t>Pekarsky</w:t>
      </w:r>
      <w:proofErr w:type="spellEnd"/>
      <w:r w:rsidRPr="00C134A7">
        <w:rPr>
          <w:sz w:val="15"/>
          <w:szCs w:val="15"/>
        </w:rPr>
        <w:t xml:space="preserve">, B., (2015),The Road Is Made by Walking: Towards a better primary health care system for Australia’s First Peoples – </w:t>
      </w:r>
      <w:proofErr w:type="spellStart"/>
      <w:r w:rsidRPr="00C134A7">
        <w:rPr>
          <w:sz w:val="15"/>
          <w:szCs w:val="15"/>
        </w:rPr>
        <w:t>Report,The</w:t>
      </w:r>
      <w:proofErr w:type="spellEnd"/>
      <w:r w:rsidRPr="00C134A7">
        <w:rPr>
          <w:sz w:val="15"/>
          <w:szCs w:val="15"/>
        </w:rPr>
        <w:t xml:space="preserve"> </w:t>
      </w:r>
      <w:proofErr w:type="spellStart"/>
      <w:r w:rsidRPr="00C134A7">
        <w:rPr>
          <w:sz w:val="15"/>
          <w:szCs w:val="15"/>
        </w:rPr>
        <w:t>Lowitja</w:t>
      </w:r>
      <w:proofErr w:type="spellEnd"/>
      <w:r w:rsidRPr="00C134A7">
        <w:rPr>
          <w:sz w:val="15"/>
          <w:szCs w:val="15"/>
        </w:rPr>
        <w:t xml:space="preserve"> Institute, Melbourne., Implementing Indigenous community control in health care: lessons from Canada.</w:t>
      </w:r>
    </w:p>
  </w:footnote>
  <w:footnote w:id="58">
    <w:p w14:paraId="240A977C" w14:textId="08F524FA" w:rsidR="000C6018" w:rsidRPr="003B61D3" w:rsidRDefault="000C6018" w:rsidP="00BD40E4">
      <w:pPr>
        <w:rPr>
          <w:sz w:val="14"/>
          <w:szCs w:val="14"/>
        </w:rPr>
      </w:pPr>
      <w:r w:rsidRPr="005E7CE4">
        <w:rPr>
          <w:rStyle w:val="FootnoteReference"/>
          <w:sz w:val="14"/>
          <w:szCs w:val="14"/>
        </w:rPr>
        <w:footnoteRef/>
      </w:r>
      <w:r w:rsidRPr="005E7CE4">
        <w:rPr>
          <w:sz w:val="14"/>
          <w:szCs w:val="14"/>
        </w:rPr>
        <w:t xml:space="preserve"> </w:t>
      </w:r>
      <w:proofErr w:type="spellStart"/>
      <w:r w:rsidRPr="005E7CE4">
        <w:rPr>
          <w:sz w:val="14"/>
          <w:szCs w:val="14"/>
          <w:lang w:eastAsia="en-AU"/>
        </w:rPr>
        <w:t>Harfield</w:t>
      </w:r>
      <w:proofErr w:type="spellEnd"/>
      <w:r w:rsidRPr="005E7CE4">
        <w:rPr>
          <w:sz w:val="14"/>
          <w:szCs w:val="14"/>
          <w:lang w:eastAsia="en-AU"/>
        </w:rPr>
        <w:t xml:space="preserve"> S, Davy C, Kite E, McArthur A, Munn Z, Brown N, Brown A., (2015), Characteristics of Indigenous primary health care models of service delivery: a scoping review protocol. JBI Database System Rev Implement Rep. ;13(11):43-51. </w:t>
      </w:r>
      <w:proofErr w:type="spellStart"/>
      <w:r w:rsidRPr="005E7CE4">
        <w:rPr>
          <w:sz w:val="14"/>
          <w:szCs w:val="14"/>
          <w:lang w:eastAsia="en-AU"/>
        </w:rPr>
        <w:t>doi</w:t>
      </w:r>
      <w:proofErr w:type="spellEnd"/>
      <w:r w:rsidRPr="005E7CE4">
        <w:rPr>
          <w:sz w:val="14"/>
          <w:szCs w:val="14"/>
          <w:lang w:eastAsia="en-AU"/>
        </w:rPr>
        <w:t>: 10.11124/jbisrir-2015-2474. PMID: 26657463, &lt; https://pubmed.ncbi.nlm.nih.gov/26657463/&gt;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3CA3C" w14:textId="77777777" w:rsidR="00B21A05" w:rsidRDefault="00B21A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11130" w14:textId="77777777" w:rsidR="000C6018" w:rsidRDefault="000C6018">
    <w:r>
      <w:rPr>
        <w:noProof/>
        <w:sz w:val="20"/>
        <w:szCs w:val="20"/>
        <w:lang w:eastAsia="en-AU"/>
      </w:rPr>
      <w:drawing>
        <wp:anchor distT="0" distB="0" distL="114300" distR="114300" simplePos="0" relativeHeight="251658240" behindDoc="0" locked="0" layoutInCell="1" allowOverlap="1" wp14:anchorId="31AF1F0F" wp14:editId="7DA794A6">
          <wp:simplePos x="0" y="0"/>
          <wp:positionH relativeFrom="page">
            <wp:posOffset>3337</wp:posOffset>
          </wp:positionH>
          <wp:positionV relativeFrom="page">
            <wp:posOffset>-6985</wp:posOffset>
          </wp:positionV>
          <wp:extent cx="7559749" cy="116958"/>
          <wp:effectExtent l="0" t="0" r="0"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0770E" w14:textId="77777777" w:rsidR="000C6018" w:rsidRDefault="000C6018" w:rsidP="00B6241D">
    <w:pPr>
      <w:tabs>
        <w:tab w:val="left" w:pos="1758"/>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A06AF" w14:textId="00FB5A03" w:rsidR="000C6018" w:rsidRDefault="000C6018">
    <w:r>
      <w:rPr>
        <w:noProof/>
        <w:sz w:val="20"/>
        <w:szCs w:val="20"/>
        <w:lang w:eastAsia="en-AU"/>
      </w:rPr>
      <w:drawing>
        <wp:anchor distT="0" distB="0" distL="114300" distR="114300" simplePos="0" relativeHeight="251658241" behindDoc="0" locked="0" layoutInCell="1" allowOverlap="1" wp14:anchorId="10228C17" wp14:editId="35FFD084">
          <wp:simplePos x="0" y="0"/>
          <wp:positionH relativeFrom="page">
            <wp:posOffset>0</wp:posOffset>
          </wp:positionH>
          <wp:positionV relativeFrom="page">
            <wp:posOffset>0</wp:posOffset>
          </wp:positionV>
          <wp:extent cx="7562850" cy="114300"/>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38721"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2562"/>
    <w:multiLevelType w:val="hybridMultilevel"/>
    <w:tmpl w:val="B9BA8726"/>
    <w:lvl w:ilvl="0" w:tplc="6764EEF2">
      <w:start w:val="1"/>
      <w:numFmt w:val="bullet"/>
      <w:lvlText w:val="•"/>
      <w:lvlJc w:val="left"/>
      <w:pPr>
        <w:tabs>
          <w:tab w:val="num" w:pos="720"/>
        </w:tabs>
        <w:ind w:left="720" w:hanging="360"/>
      </w:pPr>
      <w:rPr>
        <w:rFonts w:ascii="Arial" w:hAnsi="Arial" w:hint="default"/>
      </w:rPr>
    </w:lvl>
    <w:lvl w:ilvl="1" w:tplc="7B2A8C38" w:tentative="1">
      <w:start w:val="1"/>
      <w:numFmt w:val="bullet"/>
      <w:lvlText w:val="•"/>
      <w:lvlJc w:val="left"/>
      <w:pPr>
        <w:tabs>
          <w:tab w:val="num" w:pos="1440"/>
        </w:tabs>
        <w:ind w:left="1440" w:hanging="360"/>
      </w:pPr>
      <w:rPr>
        <w:rFonts w:ascii="Arial" w:hAnsi="Arial" w:hint="default"/>
      </w:rPr>
    </w:lvl>
    <w:lvl w:ilvl="2" w:tplc="D3F05B0E" w:tentative="1">
      <w:start w:val="1"/>
      <w:numFmt w:val="bullet"/>
      <w:lvlText w:val="•"/>
      <w:lvlJc w:val="left"/>
      <w:pPr>
        <w:tabs>
          <w:tab w:val="num" w:pos="2160"/>
        </w:tabs>
        <w:ind w:left="2160" w:hanging="360"/>
      </w:pPr>
      <w:rPr>
        <w:rFonts w:ascii="Arial" w:hAnsi="Arial" w:hint="default"/>
      </w:rPr>
    </w:lvl>
    <w:lvl w:ilvl="3" w:tplc="95707BE6" w:tentative="1">
      <w:start w:val="1"/>
      <w:numFmt w:val="bullet"/>
      <w:lvlText w:val="•"/>
      <w:lvlJc w:val="left"/>
      <w:pPr>
        <w:tabs>
          <w:tab w:val="num" w:pos="2880"/>
        </w:tabs>
        <w:ind w:left="2880" w:hanging="360"/>
      </w:pPr>
      <w:rPr>
        <w:rFonts w:ascii="Arial" w:hAnsi="Arial" w:hint="default"/>
      </w:rPr>
    </w:lvl>
    <w:lvl w:ilvl="4" w:tplc="B6F09F74" w:tentative="1">
      <w:start w:val="1"/>
      <w:numFmt w:val="bullet"/>
      <w:lvlText w:val="•"/>
      <w:lvlJc w:val="left"/>
      <w:pPr>
        <w:tabs>
          <w:tab w:val="num" w:pos="3600"/>
        </w:tabs>
        <w:ind w:left="3600" w:hanging="360"/>
      </w:pPr>
      <w:rPr>
        <w:rFonts w:ascii="Arial" w:hAnsi="Arial" w:hint="default"/>
      </w:rPr>
    </w:lvl>
    <w:lvl w:ilvl="5" w:tplc="9436595A" w:tentative="1">
      <w:start w:val="1"/>
      <w:numFmt w:val="bullet"/>
      <w:lvlText w:val="•"/>
      <w:lvlJc w:val="left"/>
      <w:pPr>
        <w:tabs>
          <w:tab w:val="num" w:pos="4320"/>
        </w:tabs>
        <w:ind w:left="4320" w:hanging="360"/>
      </w:pPr>
      <w:rPr>
        <w:rFonts w:ascii="Arial" w:hAnsi="Arial" w:hint="default"/>
      </w:rPr>
    </w:lvl>
    <w:lvl w:ilvl="6" w:tplc="27E85E1C" w:tentative="1">
      <w:start w:val="1"/>
      <w:numFmt w:val="bullet"/>
      <w:lvlText w:val="•"/>
      <w:lvlJc w:val="left"/>
      <w:pPr>
        <w:tabs>
          <w:tab w:val="num" w:pos="5040"/>
        </w:tabs>
        <w:ind w:left="5040" w:hanging="360"/>
      </w:pPr>
      <w:rPr>
        <w:rFonts w:ascii="Arial" w:hAnsi="Arial" w:hint="default"/>
      </w:rPr>
    </w:lvl>
    <w:lvl w:ilvl="7" w:tplc="BDE80A20" w:tentative="1">
      <w:start w:val="1"/>
      <w:numFmt w:val="bullet"/>
      <w:lvlText w:val="•"/>
      <w:lvlJc w:val="left"/>
      <w:pPr>
        <w:tabs>
          <w:tab w:val="num" w:pos="5760"/>
        </w:tabs>
        <w:ind w:left="5760" w:hanging="360"/>
      </w:pPr>
      <w:rPr>
        <w:rFonts w:ascii="Arial" w:hAnsi="Arial" w:hint="default"/>
      </w:rPr>
    </w:lvl>
    <w:lvl w:ilvl="8" w:tplc="DFCC4D6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356561"/>
    <w:multiLevelType w:val="hybridMultilevel"/>
    <w:tmpl w:val="0610E79A"/>
    <w:lvl w:ilvl="0" w:tplc="C53E6500">
      <w:start w:val="1"/>
      <w:numFmt w:val="bullet"/>
      <w:lvlText w:val="•"/>
      <w:lvlJc w:val="left"/>
      <w:pPr>
        <w:tabs>
          <w:tab w:val="num" w:pos="720"/>
        </w:tabs>
        <w:ind w:left="720" w:hanging="360"/>
      </w:pPr>
      <w:rPr>
        <w:rFonts w:ascii="Arial" w:hAnsi="Arial" w:hint="default"/>
      </w:rPr>
    </w:lvl>
    <w:lvl w:ilvl="1" w:tplc="4786324C" w:tentative="1">
      <w:start w:val="1"/>
      <w:numFmt w:val="bullet"/>
      <w:lvlText w:val="•"/>
      <w:lvlJc w:val="left"/>
      <w:pPr>
        <w:tabs>
          <w:tab w:val="num" w:pos="1440"/>
        </w:tabs>
        <w:ind w:left="1440" w:hanging="360"/>
      </w:pPr>
      <w:rPr>
        <w:rFonts w:ascii="Arial" w:hAnsi="Arial" w:hint="default"/>
      </w:rPr>
    </w:lvl>
    <w:lvl w:ilvl="2" w:tplc="190895D6" w:tentative="1">
      <w:start w:val="1"/>
      <w:numFmt w:val="bullet"/>
      <w:lvlText w:val="•"/>
      <w:lvlJc w:val="left"/>
      <w:pPr>
        <w:tabs>
          <w:tab w:val="num" w:pos="2160"/>
        </w:tabs>
        <w:ind w:left="2160" w:hanging="360"/>
      </w:pPr>
      <w:rPr>
        <w:rFonts w:ascii="Arial" w:hAnsi="Arial" w:hint="default"/>
      </w:rPr>
    </w:lvl>
    <w:lvl w:ilvl="3" w:tplc="9766CF82" w:tentative="1">
      <w:start w:val="1"/>
      <w:numFmt w:val="bullet"/>
      <w:lvlText w:val="•"/>
      <w:lvlJc w:val="left"/>
      <w:pPr>
        <w:tabs>
          <w:tab w:val="num" w:pos="2880"/>
        </w:tabs>
        <w:ind w:left="2880" w:hanging="360"/>
      </w:pPr>
      <w:rPr>
        <w:rFonts w:ascii="Arial" w:hAnsi="Arial" w:hint="default"/>
      </w:rPr>
    </w:lvl>
    <w:lvl w:ilvl="4" w:tplc="6248C892" w:tentative="1">
      <w:start w:val="1"/>
      <w:numFmt w:val="bullet"/>
      <w:lvlText w:val="•"/>
      <w:lvlJc w:val="left"/>
      <w:pPr>
        <w:tabs>
          <w:tab w:val="num" w:pos="3600"/>
        </w:tabs>
        <w:ind w:left="3600" w:hanging="360"/>
      </w:pPr>
      <w:rPr>
        <w:rFonts w:ascii="Arial" w:hAnsi="Arial" w:hint="default"/>
      </w:rPr>
    </w:lvl>
    <w:lvl w:ilvl="5" w:tplc="4184D308" w:tentative="1">
      <w:start w:val="1"/>
      <w:numFmt w:val="bullet"/>
      <w:lvlText w:val="•"/>
      <w:lvlJc w:val="left"/>
      <w:pPr>
        <w:tabs>
          <w:tab w:val="num" w:pos="4320"/>
        </w:tabs>
        <w:ind w:left="4320" w:hanging="360"/>
      </w:pPr>
      <w:rPr>
        <w:rFonts w:ascii="Arial" w:hAnsi="Arial" w:hint="default"/>
      </w:rPr>
    </w:lvl>
    <w:lvl w:ilvl="6" w:tplc="752CA1FC" w:tentative="1">
      <w:start w:val="1"/>
      <w:numFmt w:val="bullet"/>
      <w:lvlText w:val="•"/>
      <w:lvlJc w:val="left"/>
      <w:pPr>
        <w:tabs>
          <w:tab w:val="num" w:pos="5040"/>
        </w:tabs>
        <w:ind w:left="5040" w:hanging="360"/>
      </w:pPr>
      <w:rPr>
        <w:rFonts w:ascii="Arial" w:hAnsi="Arial" w:hint="default"/>
      </w:rPr>
    </w:lvl>
    <w:lvl w:ilvl="7" w:tplc="C0425A3C" w:tentative="1">
      <w:start w:val="1"/>
      <w:numFmt w:val="bullet"/>
      <w:lvlText w:val="•"/>
      <w:lvlJc w:val="left"/>
      <w:pPr>
        <w:tabs>
          <w:tab w:val="num" w:pos="5760"/>
        </w:tabs>
        <w:ind w:left="5760" w:hanging="360"/>
      </w:pPr>
      <w:rPr>
        <w:rFonts w:ascii="Arial" w:hAnsi="Arial" w:hint="default"/>
      </w:rPr>
    </w:lvl>
    <w:lvl w:ilvl="8" w:tplc="47DC53B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9A31A2"/>
    <w:multiLevelType w:val="multilevel"/>
    <w:tmpl w:val="86143C8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0A2B3466"/>
    <w:multiLevelType w:val="hybridMultilevel"/>
    <w:tmpl w:val="DAC07AB6"/>
    <w:lvl w:ilvl="0" w:tplc="010C72E0">
      <w:start w:val="1"/>
      <w:numFmt w:val="bullet"/>
      <w:lvlText w:val="•"/>
      <w:lvlJc w:val="left"/>
      <w:pPr>
        <w:tabs>
          <w:tab w:val="num" w:pos="720"/>
        </w:tabs>
        <w:ind w:left="720" w:hanging="360"/>
      </w:pPr>
      <w:rPr>
        <w:rFonts w:ascii="Arial" w:hAnsi="Arial" w:hint="default"/>
      </w:rPr>
    </w:lvl>
    <w:lvl w:ilvl="1" w:tplc="72BAB332" w:tentative="1">
      <w:start w:val="1"/>
      <w:numFmt w:val="bullet"/>
      <w:lvlText w:val="•"/>
      <w:lvlJc w:val="left"/>
      <w:pPr>
        <w:tabs>
          <w:tab w:val="num" w:pos="1440"/>
        </w:tabs>
        <w:ind w:left="1440" w:hanging="360"/>
      </w:pPr>
      <w:rPr>
        <w:rFonts w:ascii="Arial" w:hAnsi="Arial" w:hint="default"/>
      </w:rPr>
    </w:lvl>
    <w:lvl w:ilvl="2" w:tplc="F3B2A8AC" w:tentative="1">
      <w:start w:val="1"/>
      <w:numFmt w:val="bullet"/>
      <w:lvlText w:val="•"/>
      <w:lvlJc w:val="left"/>
      <w:pPr>
        <w:tabs>
          <w:tab w:val="num" w:pos="2160"/>
        </w:tabs>
        <w:ind w:left="2160" w:hanging="360"/>
      </w:pPr>
      <w:rPr>
        <w:rFonts w:ascii="Arial" w:hAnsi="Arial" w:hint="default"/>
      </w:rPr>
    </w:lvl>
    <w:lvl w:ilvl="3" w:tplc="3F900AE4" w:tentative="1">
      <w:start w:val="1"/>
      <w:numFmt w:val="bullet"/>
      <w:lvlText w:val="•"/>
      <w:lvlJc w:val="left"/>
      <w:pPr>
        <w:tabs>
          <w:tab w:val="num" w:pos="2880"/>
        </w:tabs>
        <w:ind w:left="2880" w:hanging="360"/>
      </w:pPr>
      <w:rPr>
        <w:rFonts w:ascii="Arial" w:hAnsi="Arial" w:hint="default"/>
      </w:rPr>
    </w:lvl>
    <w:lvl w:ilvl="4" w:tplc="271817C4" w:tentative="1">
      <w:start w:val="1"/>
      <w:numFmt w:val="bullet"/>
      <w:lvlText w:val="•"/>
      <w:lvlJc w:val="left"/>
      <w:pPr>
        <w:tabs>
          <w:tab w:val="num" w:pos="3600"/>
        </w:tabs>
        <w:ind w:left="3600" w:hanging="360"/>
      </w:pPr>
      <w:rPr>
        <w:rFonts w:ascii="Arial" w:hAnsi="Arial" w:hint="default"/>
      </w:rPr>
    </w:lvl>
    <w:lvl w:ilvl="5" w:tplc="1B0627A4" w:tentative="1">
      <w:start w:val="1"/>
      <w:numFmt w:val="bullet"/>
      <w:lvlText w:val="•"/>
      <w:lvlJc w:val="left"/>
      <w:pPr>
        <w:tabs>
          <w:tab w:val="num" w:pos="4320"/>
        </w:tabs>
        <w:ind w:left="4320" w:hanging="360"/>
      </w:pPr>
      <w:rPr>
        <w:rFonts w:ascii="Arial" w:hAnsi="Arial" w:hint="default"/>
      </w:rPr>
    </w:lvl>
    <w:lvl w:ilvl="6" w:tplc="1C02C6DC" w:tentative="1">
      <w:start w:val="1"/>
      <w:numFmt w:val="bullet"/>
      <w:lvlText w:val="•"/>
      <w:lvlJc w:val="left"/>
      <w:pPr>
        <w:tabs>
          <w:tab w:val="num" w:pos="5040"/>
        </w:tabs>
        <w:ind w:left="5040" w:hanging="360"/>
      </w:pPr>
      <w:rPr>
        <w:rFonts w:ascii="Arial" w:hAnsi="Arial" w:hint="default"/>
      </w:rPr>
    </w:lvl>
    <w:lvl w:ilvl="7" w:tplc="7526A7E8" w:tentative="1">
      <w:start w:val="1"/>
      <w:numFmt w:val="bullet"/>
      <w:lvlText w:val="•"/>
      <w:lvlJc w:val="left"/>
      <w:pPr>
        <w:tabs>
          <w:tab w:val="num" w:pos="5760"/>
        </w:tabs>
        <w:ind w:left="5760" w:hanging="360"/>
      </w:pPr>
      <w:rPr>
        <w:rFonts w:ascii="Arial" w:hAnsi="Arial" w:hint="default"/>
      </w:rPr>
    </w:lvl>
    <w:lvl w:ilvl="8" w:tplc="1B9A4B1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1B1D9B"/>
    <w:multiLevelType w:val="hybridMultilevel"/>
    <w:tmpl w:val="FFD63E50"/>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5" w15:restartNumberingAfterBreak="0">
    <w:nsid w:val="0CD44E19"/>
    <w:multiLevelType w:val="multilevel"/>
    <w:tmpl w:val="806ACFE8"/>
    <w:styleLink w:val="HeadingList"/>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6" w15:restartNumberingAfterBreak="0">
    <w:nsid w:val="13625D8B"/>
    <w:multiLevelType w:val="hybridMultilevel"/>
    <w:tmpl w:val="F4482672"/>
    <w:lvl w:ilvl="0" w:tplc="608E9972">
      <w:start w:val="1"/>
      <w:numFmt w:val="decimal"/>
      <w:pStyle w:val="Listnumbered"/>
      <w:lvlText w:val="%1."/>
      <w:lvlJc w:val="left"/>
      <w:pPr>
        <w:ind w:left="397" w:hanging="397"/>
      </w:pPr>
      <w:rPr>
        <w:rFonts w:hint="default"/>
      </w:rPr>
    </w:lvl>
    <w:lvl w:ilvl="1" w:tplc="0C090019">
      <w:start w:val="1"/>
      <w:numFmt w:val="lowerLetter"/>
      <w:lvlText w:val="%2."/>
      <w:lvlJc w:val="left"/>
      <w:pPr>
        <w:ind w:left="794" w:hanging="397"/>
      </w:pPr>
      <w:rPr>
        <w:rFonts w:hint="default"/>
      </w:rPr>
    </w:lvl>
    <w:lvl w:ilvl="2" w:tplc="0C09001B">
      <w:start w:val="1"/>
      <w:numFmt w:val="lowerRoman"/>
      <w:lvlText w:val="%3."/>
      <w:lvlJc w:val="right"/>
      <w:pPr>
        <w:ind w:left="1247" w:hanging="34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3AB33CB"/>
    <w:multiLevelType w:val="hybridMultilevel"/>
    <w:tmpl w:val="736EA306"/>
    <w:lvl w:ilvl="0" w:tplc="B746AE74">
      <w:start w:val="1"/>
      <w:numFmt w:val="bullet"/>
      <w:lvlText w:val="•"/>
      <w:lvlJc w:val="left"/>
      <w:pPr>
        <w:tabs>
          <w:tab w:val="num" w:pos="720"/>
        </w:tabs>
        <w:ind w:left="720" w:hanging="360"/>
      </w:pPr>
      <w:rPr>
        <w:rFonts w:ascii="Arial" w:hAnsi="Arial" w:hint="default"/>
      </w:rPr>
    </w:lvl>
    <w:lvl w:ilvl="1" w:tplc="3F18FEAC" w:tentative="1">
      <w:start w:val="1"/>
      <w:numFmt w:val="bullet"/>
      <w:lvlText w:val="•"/>
      <w:lvlJc w:val="left"/>
      <w:pPr>
        <w:tabs>
          <w:tab w:val="num" w:pos="1440"/>
        </w:tabs>
        <w:ind w:left="1440" w:hanging="360"/>
      </w:pPr>
      <w:rPr>
        <w:rFonts w:ascii="Arial" w:hAnsi="Arial" w:hint="default"/>
      </w:rPr>
    </w:lvl>
    <w:lvl w:ilvl="2" w:tplc="AC941872" w:tentative="1">
      <w:start w:val="1"/>
      <w:numFmt w:val="bullet"/>
      <w:lvlText w:val="•"/>
      <w:lvlJc w:val="left"/>
      <w:pPr>
        <w:tabs>
          <w:tab w:val="num" w:pos="2160"/>
        </w:tabs>
        <w:ind w:left="2160" w:hanging="360"/>
      </w:pPr>
      <w:rPr>
        <w:rFonts w:ascii="Arial" w:hAnsi="Arial" w:hint="default"/>
      </w:rPr>
    </w:lvl>
    <w:lvl w:ilvl="3" w:tplc="512451B6" w:tentative="1">
      <w:start w:val="1"/>
      <w:numFmt w:val="bullet"/>
      <w:lvlText w:val="•"/>
      <w:lvlJc w:val="left"/>
      <w:pPr>
        <w:tabs>
          <w:tab w:val="num" w:pos="2880"/>
        </w:tabs>
        <w:ind w:left="2880" w:hanging="360"/>
      </w:pPr>
      <w:rPr>
        <w:rFonts w:ascii="Arial" w:hAnsi="Arial" w:hint="default"/>
      </w:rPr>
    </w:lvl>
    <w:lvl w:ilvl="4" w:tplc="29FC0BC2" w:tentative="1">
      <w:start w:val="1"/>
      <w:numFmt w:val="bullet"/>
      <w:lvlText w:val="•"/>
      <w:lvlJc w:val="left"/>
      <w:pPr>
        <w:tabs>
          <w:tab w:val="num" w:pos="3600"/>
        </w:tabs>
        <w:ind w:left="3600" w:hanging="360"/>
      </w:pPr>
      <w:rPr>
        <w:rFonts w:ascii="Arial" w:hAnsi="Arial" w:hint="default"/>
      </w:rPr>
    </w:lvl>
    <w:lvl w:ilvl="5" w:tplc="589A6EC4" w:tentative="1">
      <w:start w:val="1"/>
      <w:numFmt w:val="bullet"/>
      <w:lvlText w:val="•"/>
      <w:lvlJc w:val="left"/>
      <w:pPr>
        <w:tabs>
          <w:tab w:val="num" w:pos="4320"/>
        </w:tabs>
        <w:ind w:left="4320" w:hanging="360"/>
      </w:pPr>
      <w:rPr>
        <w:rFonts w:ascii="Arial" w:hAnsi="Arial" w:hint="default"/>
      </w:rPr>
    </w:lvl>
    <w:lvl w:ilvl="6" w:tplc="B4941B44" w:tentative="1">
      <w:start w:val="1"/>
      <w:numFmt w:val="bullet"/>
      <w:lvlText w:val="•"/>
      <w:lvlJc w:val="left"/>
      <w:pPr>
        <w:tabs>
          <w:tab w:val="num" w:pos="5040"/>
        </w:tabs>
        <w:ind w:left="5040" w:hanging="360"/>
      </w:pPr>
      <w:rPr>
        <w:rFonts w:ascii="Arial" w:hAnsi="Arial" w:hint="default"/>
      </w:rPr>
    </w:lvl>
    <w:lvl w:ilvl="7" w:tplc="7D080C5A" w:tentative="1">
      <w:start w:val="1"/>
      <w:numFmt w:val="bullet"/>
      <w:lvlText w:val="•"/>
      <w:lvlJc w:val="left"/>
      <w:pPr>
        <w:tabs>
          <w:tab w:val="num" w:pos="5760"/>
        </w:tabs>
        <w:ind w:left="5760" w:hanging="360"/>
      </w:pPr>
      <w:rPr>
        <w:rFonts w:ascii="Arial" w:hAnsi="Arial" w:hint="default"/>
      </w:rPr>
    </w:lvl>
    <w:lvl w:ilvl="8" w:tplc="4A54FE7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A350DCB"/>
    <w:multiLevelType w:val="hybridMultilevel"/>
    <w:tmpl w:val="8934187A"/>
    <w:lvl w:ilvl="0" w:tplc="68E8E27E">
      <w:start w:val="1"/>
      <w:numFmt w:val="bullet"/>
      <w:lvlText w:val="•"/>
      <w:lvlJc w:val="left"/>
      <w:pPr>
        <w:tabs>
          <w:tab w:val="num" w:pos="720"/>
        </w:tabs>
        <w:ind w:left="720" w:hanging="360"/>
      </w:pPr>
      <w:rPr>
        <w:rFonts w:ascii="Arial" w:hAnsi="Arial" w:hint="default"/>
      </w:rPr>
    </w:lvl>
    <w:lvl w:ilvl="1" w:tplc="88DA74AE" w:tentative="1">
      <w:start w:val="1"/>
      <w:numFmt w:val="bullet"/>
      <w:lvlText w:val="•"/>
      <w:lvlJc w:val="left"/>
      <w:pPr>
        <w:tabs>
          <w:tab w:val="num" w:pos="1440"/>
        </w:tabs>
        <w:ind w:left="1440" w:hanging="360"/>
      </w:pPr>
      <w:rPr>
        <w:rFonts w:ascii="Arial" w:hAnsi="Arial" w:hint="default"/>
      </w:rPr>
    </w:lvl>
    <w:lvl w:ilvl="2" w:tplc="94224EDE" w:tentative="1">
      <w:start w:val="1"/>
      <w:numFmt w:val="bullet"/>
      <w:lvlText w:val="•"/>
      <w:lvlJc w:val="left"/>
      <w:pPr>
        <w:tabs>
          <w:tab w:val="num" w:pos="2160"/>
        </w:tabs>
        <w:ind w:left="2160" w:hanging="360"/>
      </w:pPr>
      <w:rPr>
        <w:rFonts w:ascii="Arial" w:hAnsi="Arial" w:hint="default"/>
      </w:rPr>
    </w:lvl>
    <w:lvl w:ilvl="3" w:tplc="166A23F4" w:tentative="1">
      <w:start w:val="1"/>
      <w:numFmt w:val="bullet"/>
      <w:lvlText w:val="•"/>
      <w:lvlJc w:val="left"/>
      <w:pPr>
        <w:tabs>
          <w:tab w:val="num" w:pos="2880"/>
        </w:tabs>
        <w:ind w:left="2880" w:hanging="360"/>
      </w:pPr>
      <w:rPr>
        <w:rFonts w:ascii="Arial" w:hAnsi="Arial" w:hint="default"/>
      </w:rPr>
    </w:lvl>
    <w:lvl w:ilvl="4" w:tplc="A322C0A6" w:tentative="1">
      <w:start w:val="1"/>
      <w:numFmt w:val="bullet"/>
      <w:lvlText w:val="•"/>
      <w:lvlJc w:val="left"/>
      <w:pPr>
        <w:tabs>
          <w:tab w:val="num" w:pos="3600"/>
        </w:tabs>
        <w:ind w:left="3600" w:hanging="360"/>
      </w:pPr>
      <w:rPr>
        <w:rFonts w:ascii="Arial" w:hAnsi="Arial" w:hint="default"/>
      </w:rPr>
    </w:lvl>
    <w:lvl w:ilvl="5" w:tplc="3992E082" w:tentative="1">
      <w:start w:val="1"/>
      <w:numFmt w:val="bullet"/>
      <w:lvlText w:val="•"/>
      <w:lvlJc w:val="left"/>
      <w:pPr>
        <w:tabs>
          <w:tab w:val="num" w:pos="4320"/>
        </w:tabs>
        <w:ind w:left="4320" w:hanging="360"/>
      </w:pPr>
      <w:rPr>
        <w:rFonts w:ascii="Arial" w:hAnsi="Arial" w:hint="default"/>
      </w:rPr>
    </w:lvl>
    <w:lvl w:ilvl="6" w:tplc="822E9A30" w:tentative="1">
      <w:start w:val="1"/>
      <w:numFmt w:val="bullet"/>
      <w:lvlText w:val="•"/>
      <w:lvlJc w:val="left"/>
      <w:pPr>
        <w:tabs>
          <w:tab w:val="num" w:pos="5040"/>
        </w:tabs>
        <w:ind w:left="5040" w:hanging="360"/>
      </w:pPr>
      <w:rPr>
        <w:rFonts w:ascii="Arial" w:hAnsi="Arial" w:hint="default"/>
      </w:rPr>
    </w:lvl>
    <w:lvl w:ilvl="7" w:tplc="B3B6BC70" w:tentative="1">
      <w:start w:val="1"/>
      <w:numFmt w:val="bullet"/>
      <w:lvlText w:val="•"/>
      <w:lvlJc w:val="left"/>
      <w:pPr>
        <w:tabs>
          <w:tab w:val="num" w:pos="5760"/>
        </w:tabs>
        <w:ind w:left="5760" w:hanging="360"/>
      </w:pPr>
      <w:rPr>
        <w:rFonts w:ascii="Arial" w:hAnsi="Arial" w:hint="default"/>
      </w:rPr>
    </w:lvl>
    <w:lvl w:ilvl="8" w:tplc="BED4790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E0C490D"/>
    <w:multiLevelType w:val="hybridMultilevel"/>
    <w:tmpl w:val="67BC0B18"/>
    <w:lvl w:ilvl="0" w:tplc="04E05D2E">
      <w:start w:val="1"/>
      <w:numFmt w:val="bullet"/>
      <w:lvlText w:val="•"/>
      <w:lvlJc w:val="left"/>
      <w:pPr>
        <w:tabs>
          <w:tab w:val="num" w:pos="720"/>
        </w:tabs>
        <w:ind w:left="720" w:hanging="360"/>
      </w:pPr>
      <w:rPr>
        <w:rFonts w:ascii="Arial" w:hAnsi="Arial" w:hint="default"/>
      </w:rPr>
    </w:lvl>
    <w:lvl w:ilvl="1" w:tplc="14F682B0">
      <w:numFmt w:val="bullet"/>
      <w:lvlText w:val="•"/>
      <w:lvlJc w:val="left"/>
      <w:pPr>
        <w:tabs>
          <w:tab w:val="num" w:pos="1440"/>
        </w:tabs>
        <w:ind w:left="1440" w:hanging="360"/>
      </w:pPr>
      <w:rPr>
        <w:rFonts w:ascii="Arial" w:hAnsi="Arial" w:hint="default"/>
      </w:rPr>
    </w:lvl>
    <w:lvl w:ilvl="2" w:tplc="25E079BE" w:tentative="1">
      <w:start w:val="1"/>
      <w:numFmt w:val="bullet"/>
      <w:lvlText w:val="•"/>
      <w:lvlJc w:val="left"/>
      <w:pPr>
        <w:tabs>
          <w:tab w:val="num" w:pos="2160"/>
        </w:tabs>
        <w:ind w:left="2160" w:hanging="360"/>
      </w:pPr>
      <w:rPr>
        <w:rFonts w:ascii="Arial" w:hAnsi="Arial" w:hint="default"/>
      </w:rPr>
    </w:lvl>
    <w:lvl w:ilvl="3" w:tplc="FB1E6F50" w:tentative="1">
      <w:start w:val="1"/>
      <w:numFmt w:val="bullet"/>
      <w:lvlText w:val="•"/>
      <w:lvlJc w:val="left"/>
      <w:pPr>
        <w:tabs>
          <w:tab w:val="num" w:pos="2880"/>
        </w:tabs>
        <w:ind w:left="2880" w:hanging="360"/>
      </w:pPr>
      <w:rPr>
        <w:rFonts w:ascii="Arial" w:hAnsi="Arial" w:hint="default"/>
      </w:rPr>
    </w:lvl>
    <w:lvl w:ilvl="4" w:tplc="C150ACE4" w:tentative="1">
      <w:start w:val="1"/>
      <w:numFmt w:val="bullet"/>
      <w:lvlText w:val="•"/>
      <w:lvlJc w:val="left"/>
      <w:pPr>
        <w:tabs>
          <w:tab w:val="num" w:pos="3600"/>
        </w:tabs>
        <w:ind w:left="3600" w:hanging="360"/>
      </w:pPr>
      <w:rPr>
        <w:rFonts w:ascii="Arial" w:hAnsi="Arial" w:hint="default"/>
      </w:rPr>
    </w:lvl>
    <w:lvl w:ilvl="5" w:tplc="2AE6212C" w:tentative="1">
      <w:start w:val="1"/>
      <w:numFmt w:val="bullet"/>
      <w:lvlText w:val="•"/>
      <w:lvlJc w:val="left"/>
      <w:pPr>
        <w:tabs>
          <w:tab w:val="num" w:pos="4320"/>
        </w:tabs>
        <w:ind w:left="4320" w:hanging="360"/>
      </w:pPr>
      <w:rPr>
        <w:rFonts w:ascii="Arial" w:hAnsi="Arial" w:hint="default"/>
      </w:rPr>
    </w:lvl>
    <w:lvl w:ilvl="6" w:tplc="09AA05E0" w:tentative="1">
      <w:start w:val="1"/>
      <w:numFmt w:val="bullet"/>
      <w:lvlText w:val="•"/>
      <w:lvlJc w:val="left"/>
      <w:pPr>
        <w:tabs>
          <w:tab w:val="num" w:pos="5040"/>
        </w:tabs>
        <w:ind w:left="5040" w:hanging="360"/>
      </w:pPr>
      <w:rPr>
        <w:rFonts w:ascii="Arial" w:hAnsi="Arial" w:hint="default"/>
      </w:rPr>
    </w:lvl>
    <w:lvl w:ilvl="7" w:tplc="BF68AD04" w:tentative="1">
      <w:start w:val="1"/>
      <w:numFmt w:val="bullet"/>
      <w:lvlText w:val="•"/>
      <w:lvlJc w:val="left"/>
      <w:pPr>
        <w:tabs>
          <w:tab w:val="num" w:pos="5760"/>
        </w:tabs>
        <w:ind w:left="5760" w:hanging="360"/>
      </w:pPr>
      <w:rPr>
        <w:rFonts w:ascii="Arial" w:hAnsi="Arial" w:hint="default"/>
      </w:rPr>
    </w:lvl>
    <w:lvl w:ilvl="8" w:tplc="133EB30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76A2698"/>
    <w:multiLevelType w:val="hybridMultilevel"/>
    <w:tmpl w:val="88F80222"/>
    <w:lvl w:ilvl="0" w:tplc="9E3E472C">
      <w:start w:val="1"/>
      <w:numFmt w:val="decimal"/>
      <w:pStyle w:val="TableNListnumbered"/>
      <w:lvlText w:val="%1."/>
      <w:lvlJc w:val="left"/>
      <w:pPr>
        <w:ind w:left="284" w:hanging="284"/>
      </w:pPr>
      <w:rPr>
        <w:rFonts w:hint="default"/>
      </w:rPr>
    </w:lvl>
    <w:lvl w:ilvl="1" w:tplc="0C090019">
      <w:start w:val="1"/>
      <w:numFmt w:val="lowerLetter"/>
      <w:lvlText w:val="%2."/>
      <w:lvlJc w:val="left"/>
      <w:pPr>
        <w:ind w:left="510" w:hanging="283"/>
      </w:pPr>
      <w:rPr>
        <w:rFonts w:hint="default"/>
      </w:rPr>
    </w:lvl>
    <w:lvl w:ilvl="2" w:tplc="0C09001B">
      <w:start w:val="1"/>
      <w:numFmt w:val="lowerRoman"/>
      <w:lvlText w:val="%3."/>
      <w:lvlJc w:val="right"/>
      <w:pPr>
        <w:ind w:left="737" w:hanging="113"/>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80D0C52"/>
    <w:multiLevelType w:val="hybridMultilevel"/>
    <w:tmpl w:val="C6C86E32"/>
    <w:lvl w:ilvl="0" w:tplc="D876DD58">
      <w:start w:val="1"/>
      <w:numFmt w:val="bullet"/>
      <w:lvlText w:val="•"/>
      <w:lvlJc w:val="left"/>
      <w:pPr>
        <w:tabs>
          <w:tab w:val="num" w:pos="720"/>
        </w:tabs>
        <w:ind w:left="720" w:hanging="360"/>
      </w:pPr>
      <w:rPr>
        <w:rFonts w:ascii="Arial" w:hAnsi="Arial" w:hint="default"/>
      </w:rPr>
    </w:lvl>
    <w:lvl w:ilvl="1" w:tplc="F53C89AA" w:tentative="1">
      <w:start w:val="1"/>
      <w:numFmt w:val="bullet"/>
      <w:lvlText w:val="•"/>
      <w:lvlJc w:val="left"/>
      <w:pPr>
        <w:tabs>
          <w:tab w:val="num" w:pos="1440"/>
        </w:tabs>
        <w:ind w:left="1440" w:hanging="360"/>
      </w:pPr>
      <w:rPr>
        <w:rFonts w:ascii="Arial" w:hAnsi="Arial" w:hint="default"/>
      </w:rPr>
    </w:lvl>
    <w:lvl w:ilvl="2" w:tplc="C4D01D18" w:tentative="1">
      <w:start w:val="1"/>
      <w:numFmt w:val="bullet"/>
      <w:lvlText w:val="•"/>
      <w:lvlJc w:val="left"/>
      <w:pPr>
        <w:tabs>
          <w:tab w:val="num" w:pos="2160"/>
        </w:tabs>
        <w:ind w:left="2160" w:hanging="360"/>
      </w:pPr>
      <w:rPr>
        <w:rFonts w:ascii="Arial" w:hAnsi="Arial" w:hint="default"/>
      </w:rPr>
    </w:lvl>
    <w:lvl w:ilvl="3" w:tplc="697A0064" w:tentative="1">
      <w:start w:val="1"/>
      <w:numFmt w:val="bullet"/>
      <w:lvlText w:val="•"/>
      <w:lvlJc w:val="left"/>
      <w:pPr>
        <w:tabs>
          <w:tab w:val="num" w:pos="2880"/>
        </w:tabs>
        <w:ind w:left="2880" w:hanging="360"/>
      </w:pPr>
      <w:rPr>
        <w:rFonts w:ascii="Arial" w:hAnsi="Arial" w:hint="default"/>
      </w:rPr>
    </w:lvl>
    <w:lvl w:ilvl="4" w:tplc="341EEDCE" w:tentative="1">
      <w:start w:val="1"/>
      <w:numFmt w:val="bullet"/>
      <w:lvlText w:val="•"/>
      <w:lvlJc w:val="left"/>
      <w:pPr>
        <w:tabs>
          <w:tab w:val="num" w:pos="3600"/>
        </w:tabs>
        <w:ind w:left="3600" w:hanging="360"/>
      </w:pPr>
      <w:rPr>
        <w:rFonts w:ascii="Arial" w:hAnsi="Arial" w:hint="default"/>
      </w:rPr>
    </w:lvl>
    <w:lvl w:ilvl="5" w:tplc="BEEE4E5E" w:tentative="1">
      <w:start w:val="1"/>
      <w:numFmt w:val="bullet"/>
      <w:lvlText w:val="•"/>
      <w:lvlJc w:val="left"/>
      <w:pPr>
        <w:tabs>
          <w:tab w:val="num" w:pos="4320"/>
        </w:tabs>
        <w:ind w:left="4320" w:hanging="360"/>
      </w:pPr>
      <w:rPr>
        <w:rFonts w:ascii="Arial" w:hAnsi="Arial" w:hint="default"/>
      </w:rPr>
    </w:lvl>
    <w:lvl w:ilvl="6" w:tplc="CD5AA608" w:tentative="1">
      <w:start w:val="1"/>
      <w:numFmt w:val="bullet"/>
      <w:lvlText w:val="•"/>
      <w:lvlJc w:val="left"/>
      <w:pPr>
        <w:tabs>
          <w:tab w:val="num" w:pos="5040"/>
        </w:tabs>
        <w:ind w:left="5040" w:hanging="360"/>
      </w:pPr>
      <w:rPr>
        <w:rFonts w:ascii="Arial" w:hAnsi="Arial" w:hint="default"/>
      </w:rPr>
    </w:lvl>
    <w:lvl w:ilvl="7" w:tplc="2418F4EE" w:tentative="1">
      <w:start w:val="1"/>
      <w:numFmt w:val="bullet"/>
      <w:lvlText w:val="•"/>
      <w:lvlJc w:val="left"/>
      <w:pPr>
        <w:tabs>
          <w:tab w:val="num" w:pos="5760"/>
        </w:tabs>
        <w:ind w:left="5760" w:hanging="360"/>
      </w:pPr>
      <w:rPr>
        <w:rFonts w:ascii="Arial" w:hAnsi="Arial" w:hint="default"/>
      </w:rPr>
    </w:lvl>
    <w:lvl w:ilvl="8" w:tplc="0B6A3BD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98A268B"/>
    <w:multiLevelType w:val="hybridMultilevel"/>
    <w:tmpl w:val="BEDC7598"/>
    <w:lvl w:ilvl="0" w:tplc="DCA09F9C">
      <w:start w:val="1"/>
      <w:numFmt w:val="bullet"/>
      <w:lvlText w:val="•"/>
      <w:lvlJc w:val="left"/>
      <w:pPr>
        <w:tabs>
          <w:tab w:val="num" w:pos="720"/>
        </w:tabs>
        <w:ind w:left="720" w:hanging="360"/>
      </w:pPr>
      <w:rPr>
        <w:rFonts w:ascii="Arial" w:hAnsi="Arial" w:hint="default"/>
      </w:rPr>
    </w:lvl>
    <w:lvl w:ilvl="1" w:tplc="BCF23E60" w:tentative="1">
      <w:start w:val="1"/>
      <w:numFmt w:val="bullet"/>
      <w:lvlText w:val="•"/>
      <w:lvlJc w:val="left"/>
      <w:pPr>
        <w:tabs>
          <w:tab w:val="num" w:pos="1440"/>
        </w:tabs>
        <w:ind w:left="1440" w:hanging="360"/>
      </w:pPr>
      <w:rPr>
        <w:rFonts w:ascii="Arial" w:hAnsi="Arial" w:hint="default"/>
      </w:rPr>
    </w:lvl>
    <w:lvl w:ilvl="2" w:tplc="61C65C82" w:tentative="1">
      <w:start w:val="1"/>
      <w:numFmt w:val="bullet"/>
      <w:lvlText w:val="•"/>
      <w:lvlJc w:val="left"/>
      <w:pPr>
        <w:tabs>
          <w:tab w:val="num" w:pos="2160"/>
        </w:tabs>
        <w:ind w:left="2160" w:hanging="360"/>
      </w:pPr>
      <w:rPr>
        <w:rFonts w:ascii="Arial" w:hAnsi="Arial" w:hint="default"/>
      </w:rPr>
    </w:lvl>
    <w:lvl w:ilvl="3" w:tplc="4160880A" w:tentative="1">
      <w:start w:val="1"/>
      <w:numFmt w:val="bullet"/>
      <w:lvlText w:val="•"/>
      <w:lvlJc w:val="left"/>
      <w:pPr>
        <w:tabs>
          <w:tab w:val="num" w:pos="2880"/>
        </w:tabs>
        <w:ind w:left="2880" w:hanging="360"/>
      </w:pPr>
      <w:rPr>
        <w:rFonts w:ascii="Arial" w:hAnsi="Arial" w:hint="default"/>
      </w:rPr>
    </w:lvl>
    <w:lvl w:ilvl="4" w:tplc="7F7EA8E0" w:tentative="1">
      <w:start w:val="1"/>
      <w:numFmt w:val="bullet"/>
      <w:lvlText w:val="•"/>
      <w:lvlJc w:val="left"/>
      <w:pPr>
        <w:tabs>
          <w:tab w:val="num" w:pos="3600"/>
        </w:tabs>
        <w:ind w:left="3600" w:hanging="360"/>
      </w:pPr>
      <w:rPr>
        <w:rFonts w:ascii="Arial" w:hAnsi="Arial" w:hint="default"/>
      </w:rPr>
    </w:lvl>
    <w:lvl w:ilvl="5" w:tplc="09B26DE4" w:tentative="1">
      <w:start w:val="1"/>
      <w:numFmt w:val="bullet"/>
      <w:lvlText w:val="•"/>
      <w:lvlJc w:val="left"/>
      <w:pPr>
        <w:tabs>
          <w:tab w:val="num" w:pos="4320"/>
        </w:tabs>
        <w:ind w:left="4320" w:hanging="360"/>
      </w:pPr>
      <w:rPr>
        <w:rFonts w:ascii="Arial" w:hAnsi="Arial" w:hint="default"/>
      </w:rPr>
    </w:lvl>
    <w:lvl w:ilvl="6" w:tplc="2D322454" w:tentative="1">
      <w:start w:val="1"/>
      <w:numFmt w:val="bullet"/>
      <w:lvlText w:val="•"/>
      <w:lvlJc w:val="left"/>
      <w:pPr>
        <w:tabs>
          <w:tab w:val="num" w:pos="5040"/>
        </w:tabs>
        <w:ind w:left="5040" w:hanging="360"/>
      </w:pPr>
      <w:rPr>
        <w:rFonts w:ascii="Arial" w:hAnsi="Arial" w:hint="default"/>
      </w:rPr>
    </w:lvl>
    <w:lvl w:ilvl="7" w:tplc="0FA0CCD0" w:tentative="1">
      <w:start w:val="1"/>
      <w:numFmt w:val="bullet"/>
      <w:lvlText w:val="•"/>
      <w:lvlJc w:val="left"/>
      <w:pPr>
        <w:tabs>
          <w:tab w:val="num" w:pos="5760"/>
        </w:tabs>
        <w:ind w:left="5760" w:hanging="360"/>
      </w:pPr>
      <w:rPr>
        <w:rFonts w:ascii="Arial" w:hAnsi="Arial" w:hint="default"/>
      </w:rPr>
    </w:lvl>
    <w:lvl w:ilvl="8" w:tplc="F970D22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9D1413D"/>
    <w:multiLevelType w:val="multilevel"/>
    <w:tmpl w:val="FA588A90"/>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4" w15:restartNumberingAfterBreak="0">
    <w:nsid w:val="3E9A4A12"/>
    <w:multiLevelType w:val="hybridMultilevel"/>
    <w:tmpl w:val="F85A1DEE"/>
    <w:lvl w:ilvl="0" w:tplc="10C84D7C">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5D15D8"/>
    <w:multiLevelType w:val="hybridMultilevel"/>
    <w:tmpl w:val="47A038A6"/>
    <w:lvl w:ilvl="0" w:tplc="B84CCBE0">
      <w:start w:val="1"/>
      <w:numFmt w:val="bullet"/>
      <w:lvlText w:val="•"/>
      <w:lvlJc w:val="left"/>
      <w:pPr>
        <w:tabs>
          <w:tab w:val="num" w:pos="720"/>
        </w:tabs>
        <w:ind w:left="720" w:hanging="360"/>
      </w:pPr>
      <w:rPr>
        <w:rFonts w:ascii="Arial" w:hAnsi="Arial" w:hint="default"/>
      </w:rPr>
    </w:lvl>
    <w:lvl w:ilvl="1" w:tplc="0C6858D4" w:tentative="1">
      <w:start w:val="1"/>
      <w:numFmt w:val="bullet"/>
      <w:lvlText w:val="•"/>
      <w:lvlJc w:val="left"/>
      <w:pPr>
        <w:tabs>
          <w:tab w:val="num" w:pos="1440"/>
        </w:tabs>
        <w:ind w:left="1440" w:hanging="360"/>
      </w:pPr>
      <w:rPr>
        <w:rFonts w:ascii="Arial" w:hAnsi="Arial" w:hint="default"/>
      </w:rPr>
    </w:lvl>
    <w:lvl w:ilvl="2" w:tplc="4B44E0D0" w:tentative="1">
      <w:start w:val="1"/>
      <w:numFmt w:val="bullet"/>
      <w:lvlText w:val="•"/>
      <w:lvlJc w:val="left"/>
      <w:pPr>
        <w:tabs>
          <w:tab w:val="num" w:pos="2160"/>
        </w:tabs>
        <w:ind w:left="2160" w:hanging="360"/>
      </w:pPr>
      <w:rPr>
        <w:rFonts w:ascii="Arial" w:hAnsi="Arial" w:hint="default"/>
      </w:rPr>
    </w:lvl>
    <w:lvl w:ilvl="3" w:tplc="0EC87956" w:tentative="1">
      <w:start w:val="1"/>
      <w:numFmt w:val="bullet"/>
      <w:lvlText w:val="•"/>
      <w:lvlJc w:val="left"/>
      <w:pPr>
        <w:tabs>
          <w:tab w:val="num" w:pos="2880"/>
        </w:tabs>
        <w:ind w:left="2880" w:hanging="360"/>
      </w:pPr>
      <w:rPr>
        <w:rFonts w:ascii="Arial" w:hAnsi="Arial" w:hint="default"/>
      </w:rPr>
    </w:lvl>
    <w:lvl w:ilvl="4" w:tplc="5B763B48" w:tentative="1">
      <w:start w:val="1"/>
      <w:numFmt w:val="bullet"/>
      <w:lvlText w:val="•"/>
      <w:lvlJc w:val="left"/>
      <w:pPr>
        <w:tabs>
          <w:tab w:val="num" w:pos="3600"/>
        </w:tabs>
        <w:ind w:left="3600" w:hanging="360"/>
      </w:pPr>
      <w:rPr>
        <w:rFonts w:ascii="Arial" w:hAnsi="Arial" w:hint="default"/>
      </w:rPr>
    </w:lvl>
    <w:lvl w:ilvl="5" w:tplc="88DE27E8" w:tentative="1">
      <w:start w:val="1"/>
      <w:numFmt w:val="bullet"/>
      <w:lvlText w:val="•"/>
      <w:lvlJc w:val="left"/>
      <w:pPr>
        <w:tabs>
          <w:tab w:val="num" w:pos="4320"/>
        </w:tabs>
        <w:ind w:left="4320" w:hanging="360"/>
      </w:pPr>
      <w:rPr>
        <w:rFonts w:ascii="Arial" w:hAnsi="Arial" w:hint="default"/>
      </w:rPr>
    </w:lvl>
    <w:lvl w:ilvl="6" w:tplc="54E8A748" w:tentative="1">
      <w:start w:val="1"/>
      <w:numFmt w:val="bullet"/>
      <w:lvlText w:val="•"/>
      <w:lvlJc w:val="left"/>
      <w:pPr>
        <w:tabs>
          <w:tab w:val="num" w:pos="5040"/>
        </w:tabs>
        <w:ind w:left="5040" w:hanging="360"/>
      </w:pPr>
      <w:rPr>
        <w:rFonts w:ascii="Arial" w:hAnsi="Arial" w:hint="default"/>
      </w:rPr>
    </w:lvl>
    <w:lvl w:ilvl="7" w:tplc="251AB5B2" w:tentative="1">
      <w:start w:val="1"/>
      <w:numFmt w:val="bullet"/>
      <w:lvlText w:val="•"/>
      <w:lvlJc w:val="left"/>
      <w:pPr>
        <w:tabs>
          <w:tab w:val="num" w:pos="5760"/>
        </w:tabs>
        <w:ind w:left="5760" w:hanging="360"/>
      </w:pPr>
      <w:rPr>
        <w:rFonts w:ascii="Arial" w:hAnsi="Arial" w:hint="default"/>
      </w:rPr>
    </w:lvl>
    <w:lvl w:ilvl="8" w:tplc="EBD01AC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6980993"/>
    <w:multiLevelType w:val="hybridMultilevel"/>
    <w:tmpl w:val="F0E2CA3C"/>
    <w:lvl w:ilvl="0" w:tplc="EBBE81AE">
      <w:start w:val="1"/>
      <w:numFmt w:val="bullet"/>
      <w:lvlText w:val="•"/>
      <w:lvlJc w:val="left"/>
      <w:pPr>
        <w:tabs>
          <w:tab w:val="num" w:pos="720"/>
        </w:tabs>
        <w:ind w:left="720" w:hanging="360"/>
      </w:pPr>
      <w:rPr>
        <w:rFonts w:ascii="Arial" w:hAnsi="Arial" w:hint="default"/>
      </w:rPr>
    </w:lvl>
    <w:lvl w:ilvl="1" w:tplc="8842E8BE" w:tentative="1">
      <w:start w:val="1"/>
      <w:numFmt w:val="bullet"/>
      <w:lvlText w:val="•"/>
      <w:lvlJc w:val="left"/>
      <w:pPr>
        <w:tabs>
          <w:tab w:val="num" w:pos="1440"/>
        </w:tabs>
        <w:ind w:left="1440" w:hanging="360"/>
      </w:pPr>
      <w:rPr>
        <w:rFonts w:ascii="Arial" w:hAnsi="Arial" w:hint="default"/>
      </w:rPr>
    </w:lvl>
    <w:lvl w:ilvl="2" w:tplc="6A329D6E" w:tentative="1">
      <w:start w:val="1"/>
      <w:numFmt w:val="bullet"/>
      <w:lvlText w:val="•"/>
      <w:lvlJc w:val="left"/>
      <w:pPr>
        <w:tabs>
          <w:tab w:val="num" w:pos="2160"/>
        </w:tabs>
        <w:ind w:left="2160" w:hanging="360"/>
      </w:pPr>
      <w:rPr>
        <w:rFonts w:ascii="Arial" w:hAnsi="Arial" w:hint="default"/>
      </w:rPr>
    </w:lvl>
    <w:lvl w:ilvl="3" w:tplc="FCD40308" w:tentative="1">
      <w:start w:val="1"/>
      <w:numFmt w:val="bullet"/>
      <w:lvlText w:val="•"/>
      <w:lvlJc w:val="left"/>
      <w:pPr>
        <w:tabs>
          <w:tab w:val="num" w:pos="2880"/>
        </w:tabs>
        <w:ind w:left="2880" w:hanging="360"/>
      </w:pPr>
      <w:rPr>
        <w:rFonts w:ascii="Arial" w:hAnsi="Arial" w:hint="default"/>
      </w:rPr>
    </w:lvl>
    <w:lvl w:ilvl="4" w:tplc="94DAFC2C" w:tentative="1">
      <w:start w:val="1"/>
      <w:numFmt w:val="bullet"/>
      <w:lvlText w:val="•"/>
      <w:lvlJc w:val="left"/>
      <w:pPr>
        <w:tabs>
          <w:tab w:val="num" w:pos="3600"/>
        </w:tabs>
        <w:ind w:left="3600" w:hanging="360"/>
      </w:pPr>
      <w:rPr>
        <w:rFonts w:ascii="Arial" w:hAnsi="Arial" w:hint="default"/>
      </w:rPr>
    </w:lvl>
    <w:lvl w:ilvl="5" w:tplc="B65EE7F6" w:tentative="1">
      <w:start w:val="1"/>
      <w:numFmt w:val="bullet"/>
      <w:lvlText w:val="•"/>
      <w:lvlJc w:val="left"/>
      <w:pPr>
        <w:tabs>
          <w:tab w:val="num" w:pos="4320"/>
        </w:tabs>
        <w:ind w:left="4320" w:hanging="360"/>
      </w:pPr>
      <w:rPr>
        <w:rFonts w:ascii="Arial" w:hAnsi="Arial" w:hint="default"/>
      </w:rPr>
    </w:lvl>
    <w:lvl w:ilvl="6" w:tplc="6DFE34CA" w:tentative="1">
      <w:start w:val="1"/>
      <w:numFmt w:val="bullet"/>
      <w:lvlText w:val="•"/>
      <w:lvlJc w:val="left"/>
      <w:pPr>
        <w:tabs>
          <w:tab w:val="num" w:pos="5040"/>
        </w:tabs>
        <w:ind w:left="5040" w:hanging="360"/>
      </w:pPr>
      <w:rPr>
        <w:rFonts w:ascii="Arial" w:hAnsi="Arial" w:hint="default"/>
      </w:rPr>
    </w:lvl>
    <w:lvl w:ilvl="7" w:tplc="97C63328" w:tentative="1">
      <w:start w:val="1"/>
      <w:numFmt w:val="bullet"/>
      <w:lvlText w:val="•"/>
      <w:lvlJc w:val="left"/>
      <w:pPr>
        <w:tabs>
          <w:tab w:val="num" w:pos="5760"/>
        </w:tabs>
        <w:ind w:left="5760" w:hanging="360"/>
      </w:pPr>
      <w:rPr>
        <w:rFonts w:ascii="Arial" w:hAnsi="Arial" w:hint="default"/>
      </w:rPr>
    </w:lvl>
    <w:lvl w:ilvl="8" w:tplc="D170514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CB574BB"/>
    <w:multiLevelType w:val="hybridMultilevel"/>
    <w:tmpl w:val="52C0FF64"/>
    <w:lvl w:ilvl="0" w:tplc="FFFFFFFF">
      <w:start w:val="1"/>
      <w:numFmt w:val="bullet"/>
      <w:lvlText w:val=""/>
      <w:lvlJc w:val="left"/>
      <w:pPr>
        <w:ind w:left="680" w:hanging="340"/>
      </w:pPr>
      <w:rPr>
        <w:rFonts w:ascii="Symbol" w:hAnsi="Symbol" w:hint="default"/>
        <w:sz w:val="16"/>
      </w:rPr>
    </w:lvl>
    <w:lvl w:ilvl="1" w:tplc="67AA3AB4">
      <w:start w:val="1"/>
      <w:numFmt w:val="bullet"/>
      <w:lvlText w:val=""/>
      <w:lvlJc w:val="left"/>
      <w:pPr>
        <w:ind w:left="680" w:hanging="226"/>
      </w:pPr>
      <w:rPr>
        <w:rFonts w:ascii="Symbol" w:hAnsi="Symbol" w:hint="default"/>
        <w:sz w:val="16"/>
      </w:rPr>
    </w:lvl>
    <w:lvl w:ilvl="2" w:tplc="FFFFFFFF">
      <w:start w:val="1"/>
      <w:numFmt w:val="bullet"/>
      <w:lvlText w:val=""/>
      <w:lvlJc w:val="left"/>
      <w:pPr>
        <w:ind w:left="1474" w:hanging="454"/>
      </w:pPr>
      <w:rPr>
        <w:rFonts w:ascii="Symbol" w:hAnsi="Symbol" w:hint="default"/>
        <w:sz w:val="16"/>
      </w:rPr>
    </w:lvl>
    <w:lvl w:ilvl="3" w:tplc="FFFFFFFF" w:tentative="1">
      <w:start w:val="1"/>
      <w:numFmt w:val="bullet"/>
      <w:lvlText w:val=""/>
      <w:lvlJc w:val="left"/>
      <w:pPr>
        <w:ind w:left="3220" w:hanging="360"/>
      </w:pPr>
      <w:rPr>
        <w:rFonts w:ascii="Symbol" w:hAnsi="Symbol" w:hint="default"/>
      </w:rPr>
    </w:lvl>
    <w:lvl w:ilvl="4" w:tplc="FFFFFFFF" w:tentative="1">
      <w:start w:val="1"/>
      <w:numFmt w:val="bullet"/>
      <w:lvlText w:val="o"/>
      <w:lvlJc w:val="left"/>
      <w:pPr>
        <w:ind w:left="3940" w:hanging="360"/>
      </w:pPr>
      <w:rPr>
        <w:rFonts w:ascii="Courier New" w:hAnsi="Courier New" w:cs="Courier New" w:hint="default"/>
      </w:rPr>
    </w:lvl>
    <w:lvl w:ilvl="5" w:tplc="FFFFFFFF" w:tentative="1">
      <w:start w:val="1"/>
      <w:numFmt w:val="bullet"/>
      <w:lvlText w:val=""/>
      <w:lvlJc w:val="left"/>
      <w:pPr>
        <w:ind w:left="4660" w:hanging="360"/>
      </w:pPr>
      <w:rPr>
        <w:rFonts w:ascii="Wingdings" w:hAnsi="Wingdings" w:hint="default"/>
      </w:rPr>
    </w:lvl>
    <w:lvl w:ilvl="6" w:tplc="FFFFFFFF" w:tentative="1">
      <w:start w:val="1"/>
      <w:numFmt w:val="bullet"/>
      <w:lvlText w:val=""/>
      <w:lvlJc w:val="left"/>
      <w:pPr>
        <w:ind w:left="5380" w:hanging="360"/>
      </w:pPr>
      <w:rPr>
        <w:rFonts w:ascii="Symbol" w:hAnsi="Symbol" w:hint="default"/>
      </w:rPr>
    </w:lvl>
    <w:lvl w:ilvl="7" w:tplc="FFFFFFFF" w:tentative="1">
      <w:start w:val="1"/>
      <w:numFmt w:val="bullet"/>
      <w:lvlText w:val="o"/>
      <w:lvlJc w:val="left"/>
      <w:pPr>
        <w:ind w:left="6100" w:hanging="360"/>
      </w:pPr>
      <w:rPr>
        <w:rFonts w:ascii="Courier New" w:hAnsi="Courier New" w:cs="Courier New" w:hint="default"/>
      </w:rPr>
    </w:lvl>
    <w:lvl w:ilvl="8" w:tplc="FFFFFFFF" w:tentative="1">
      <w:start w:val="1"/>
      <w:numFmt w:val="bullet"/>
      <w:lvlText w:val=""/>
      <w:lvlJc w:val="left"/>
      <w:pPr>
        <w:ind w:left="6820" w:hanging="360"/>
      </w:pPr>
      <w:rPr>
        <w:rFonts w:ascii="Wingdings" w:hAnsi="Wingdings" w:hint="default"/>
      </w:rPr>
    </w:lvl>
  </w:abstractNum>
  <w:abstractNum w:abstractNumId="18" w15:restartNumberingAfterBreak="0">
    <w:nsid w:val="5A163F4C"/>
    <w:multiLevelType w:val="hybridMultilevel"/>
    <w:tmpl w:val="34946602"/>
    <w:lvl w:ilvl="0" w:tplc="CEA2A600">
      <w:start w:val="1"/>
      <w:numFmt w:val="bullet"/>
      <w:lvlText w:val="•"/>
      <w:lvlJc w:val="left"/>
      <w:pPr>
        <w:tabs>
          <w:tab w:val="num" w:pos="720"/>
        </w:tabs>
        <w:ind w:left="720" w:hanging="360"/>
      </w:pPr>
      <w:rPr>
        <w:rFonts w:ascii="Arial" w:hAnsi="Arial" w:hint="default"/>
      </w:rPr>
    </w:lvl>
    <w:lvl w:ilvl="1" w:tplc="BF386CE4" w:tentative="1">
      <w:start w:val="1"/>
      <w:numFmt w:val="bullet"/>
      <w:lvlText w:val="•"/>
      <w:lvlJc w:val="left"/>
      <w:pPr>
        <w:tabs>
          <w:tab w:val="num" w:pos="1440"/>
        </w:tabs>
        <w:ind w:left="1440" w:hanging="360"/>
      </w:pPr>
      <w:rPr>
        <w:rFonts w:ascii="Arial" w:hAnsi="Arial" w:hint="default"/>
      </w:rPr>
    </w:lvl>
    <w:lvl w:ilvl="2" w:tplc="CCD0EDDA" w:tentative="1">
      <w:start w:val="1"/>
      <w:numFmt w:val="bullet"/>
      <w:lvlText w:val="•"/>
      <w:lvlJc w:val="left"/>
      <w:pPr>
        <w:tabs>
          <w:tab w:val="num" w:pos="2160"/>
        </w:tabs>
        <w:ind w:left="2160" w:hanging="360"/>
      </w:pPr>
      <w:rPr>
        <w:rFonts w:ascii="Arial" w:hAnsi="Arial" w:hint="default"/>
      </w:rPr>
    </w:lvl>
    <w:lvl w:ilvl="3" w:tplc="6100C08E" w:tentative="1">
      <w:start w:val="1"/>
      <w:numFmt w:val="bullet"/>
      <w:lvlText w:val="•"/>
      <w:lvlJc w:val="left"/>
      <w:pPr>
        <w:tabs>
          <w:tab w:val="num" w:pos="2880"/>
        </w:tabs>
        <w:ind w:left="2880" w:hanging="360"/>
      </w:pPr>
      <w:rPr>
        <w:rFonts w:ascii="Arial" w:hAnsi="Arial" w:hint="default"/>
      </w:rPr>
    </w:lvl>
    <w:lvl w:ilvl="4" w:tplc="B57CD136" w:tentative="1">
      <w:start w:val="1"/>
      <w:numFmt w:val="bullet"/>
      <w:lvlText w:val="•"/>
      <w:lvlJc w:val="left"/>
      <w:pPr>
        <w:tabs>
          <w:tab w:val="num" w:pos="3600"/>
        </w:tabs>
        <w:ind w:left="3600" w:hanging="360"/>
      </w:pPr>
      <w:rPr>
        <w:rFonts w:ascii="Arial" w:hAnsi="Arial" w:hint="default"/>
      </w:rPr>
    </w:lvl>
    <w:lvl w:ilvl="5" w:tplc="C2A82A54" w:tentative="1">
      <w:start w:val="1"/>
      <w:numFmt w:val="bullet"/>
      <w:lvlText w:val="•"/>
      <w:lvlJc w:val="left"/>
      <w:pPr>
        <w:tabs>
          <w:tab w:val="num" w:pos="4320"/>
        </w:tabs>
        <w:ind w:left="4320" w:hanging="360"/>
      </w:pPr>
      <w:rPr>
        <w:rFonts w:ascii="Arial" w:hAnsi="Arial" w:hint="default"/>
      </w:rPr>
    </w:lvl>
    <w:lvl w:ilvl="6" w:tplc="2FD2D8E0" w:tentative="1">
      <w:start w:val="1"/>
      <w:numFmt w:val="bullet"/>
      <w:lvlText w:val="•"/>
      <w:lvlJc w:val="left"/>
      <w:pPr>
        <w:tabs>
          <w:tab w:val="num" w:pos="5040"/>
        </w:tabs>
        <w:ind w:left="5040" w:hanging="360"/>
      </w:pPr>
      <w:rPr>
        <w:rFonts w:ascii="Arial" w:hAnsi="Arial" w:hint="default"/>
      </w:rPr>
    </w:lvl>
    <w:lvl w:ilvl="7" w:tplc="9DCAC978" w:tentative="1">
      <w:start w:val="1"/>
      <w:numFmt w:val="bullet"/>
      <w:lvlText w:val="•"/>
      <w:lvlJc w:val="left"/>
      <w:pPr>
        <w:tabs>
          <w:tab w:val="num" w:pos="5760"/>
        </w:tabs>
        <w:ind w:left="5760" w:hanging="360"/>
      </w:pPr>
      <w:rPr>
        <w:rFonts w:ascii="Arial" w:hAnsi="Arial" w:hint="default"/>
      </w:rPr>
    </w:lvl>
    <w:lvl w:ilvl="8" w:tplc="9452B48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C2969DB"/>
    <w:multiLevelType w:val="hybridMultilevel"/>
    <w:tmpl w:val="79204D74"/>
    <w:lvl w:ilvl="0" w:tplc="DD5EEBA6">
      <w:start w:val="1"/>
      <w:numFmt w:val="bullet"/>
      <w:lvlText w:val="•"/>
      <w:lvlJc w:val="left"/>
      <w:pPr>
        <w:tabs>
          <w:tab w:val="num" w:pos="720"/>
        </w:tabs>
        <w:ind w:left="720" w:hanging="360"/>
      </w:pPr>
      <w:rPr>
        <w:rFonts w:ascii="Arial" w:hAnsi="Arial" w:hint="default"/>
      </w:rPr>
    </w:lvl>
    <w:lvl w:ilvl="1" w:tplc="F7807828" w:tentative="1">
      <w:start w:val="1"/>
      <w:numFmt w:val="bullet"/>
      <w:lvlText w:val="•"/>
      <w:lvlJc w:val="left"/>
      <w:pPr>
        <w:tabs>
          <w:tab w:val="num" w:pos="1440"/>
        </w:tabs>
        <w:ind w:left="1440" w:hanging="360"/>
      </w:pPr>
      <w:rPr>
        <w:rFonts w:ascii="Arial" w:hAnsi="Arial" w:hint="default"/>
      </w:rPr>
    </w:lvl>
    <w:lvl w:ilvl="2" w:tplc="20CA59DC" w:tentative="1">
      <w:start w:val="1"/>
      <w:numFmt w:val="bullet"/>
      <w:lvlText w:val="•"/>
      <w:lvlJc w:val="left"/>
      <w:pPr>
        <w:tabs>
          <w:tab w:val="num" w:pos="2160"/>
        </w:tabs>
        <w:ind w:left="2160" w:hanging="360"/>
      </w:pPr>
      <w:rPr>
        <w:rFonts w:ascii="Arial" w:hAnsi="Arial" w:hint="default"/>
      </w:rPr>
    </w:lvl>
    <w:lvl w:ilvl="3" w:tplc="AC4E991A" w:tentative="1">
      <w:start w:val="1"/>
      <w:numFmt w:val="bullet"/>
      <w:lvlText w:val="•"/>
      <w:lvlJc w:val="left"/>
      <w:pPr>
        <w:tabs>
          <w:tab w:val="num" w:pos="2880"/>
        </w:tabs>
        <w:ind w:left="2880" w:hanging="360"/>
      </w:pPr>
      <w:rPr>
        <w:rFonts w:ascii="Arial" w:hAnsi="Arial" w:hint="default"/>
      </w:rPr>
    </w:lvl>
    <w:lvl w:ilvl="4" w:tplc="E812B304" w:tentative="1">
      <w:start w:val="1"/>
      <w:numFmt w:val="bullet"/>
      <w:lvlText w:val="•"/>
      <w:lvlJc w:val="left"/>
      <w:pPr>
        <w:tabs>
          <w:tab w:val="num" w:pos="3600"/>
        </w:tabs>
        <w:ind w:left="3600" w:hanging="360"/>
      </w:pPr>
      <w:rPr>
        <w:rFonts w:ascii="Arial" w:hAnsi="Arial" w:hint="default"/>
      </w:rPr>
    </w:lvl>
    <w:lvl w:ilvl="5" w:tplc="38D82F14" w:tentative="1">
      <w:start w:val="1"/>
      <w:numFmt w:val="bullet"/>
      <w:lvlText w:val="•"/>
      <w:lvlJc w:val="left"/>
      <w:pPr>
        <w:tabs>
          <w:tab w:val="num" w:pos="4320"/>
        </w:tabs>
        <w:ind w:left="4320" w:hanging="360"/>
      </w:pPr>
      <w:rPr>
        <w:rFonts w:ascii="Arial" w:hAnsi="Arial" w:hint="default"/>
      </w:rPr>
    </w:lvl>
    <w:lvl w:ilvl="6" w:tplc="64B87926" w:tentative="1">
      <w:start w:val="1"/>
      <w:numFmt w:val="bullet"/>
      <w:lvlText w:val="•"/>
      <w:lvlJc w:val="left"/>
      <w:pPr>
        <w:tabs>
          <w:tab w:val="num" w:pos="5040"/>
        </w:tabs>
        <w:ind w:left="5040" w:hanging="360"/>
      </w:pPr>
      <w:rPr>
        <w:rFonts w:ascii="Arial" w:hAnsi="Arial" w:hint="default"/>
      </w:rPr>
    </w:lvl>
    <w:lvl w:ilvl="7" w:tplc="0EE6F6C8" w:tentative="1">
      <w:start w:val="1"/>
      <w:numFmt w:val="bullet"/>
      <w:lvlText w:val="•"/>
      <w:lvlJc w:val="left"/>
      <w:pPr>
        <w:tabs>
          <w:tab w:val="num" w:pos="5760"/>
        </w:tabs>
        <w:ind w:left="5760" w:hanging="360"/>
      </w:pPr>
      <w:rPr>
        <w:rFonts w:ascii="Arial" w:hAnsi="Arial" w:hint="default"/>
      </w:rPr>
    </w:lvl>
    <w:lvl w:ilvl="8" w:tplc="F1EA4AE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CEE7241"/>
    <w:multiLevelType w:val="hybridMultilevel"/>
    <w:tmpl w:val="F5985018"/>
    <w:lvl w:ilvl="0" w:tplc="294EDA5C">
      <w:start w:val="1"/>
      <w:numFmt w:val="bullet"/>
      <w:lvlText w:val="•"/>
      <w:lvlJc w:val="left"/>
      <w:pPr>
        <w:tabs>
          <w:tab w:val="num" w:pos="720"/>
        </w:tabs>
        <w:ind w:left="720" w:hanging="360"/>
      </w:pPr>
      <w:rPr>
        <w:rFonts w:ascii="Arial" w:hAnsi="Arial" w:hint="default"/>
      </w:rPr>
    </w:lvl>
    <w:lvl w:ilvl="1" w:tplc="9BFC90E6" w:tentative="1">
      <w:start w:val="1"/>
      <w:numFmt w:val="bullet"/>
      <w:lvlText w:val="•"/>
      <w:lvlJc w:val="left"/>
      <w:pPr>
        <w:tabs>
          <w:tab w:val="num" w:pos="1440"/>
        </w:tabs>
        <w:ind w:left="1440" w:hanging="360"/>
      </w:pPr>
      <w:rPr>
        <w:rFonts w:ascii="Arial" w:hAnsi="Arial" w:hint="default"/>
      </w:rPr>
    </w:lvl>
    <w:lvl w:ilvl="2" w:tplc="65307AAA" w:tentative="1">
      <w:start w:val="1"/>
      <w:numFmt w:val="bullet"/>
      <w:lvlText w:val="•"/>
      <w:lvlJc w:val="left"/>
      <w:pPr>
        <w:tabs>
          <w:tab w:val="num" w:pos="2160"/>
        </w:tabs>
        <w:ind w:left="2160" w:hanging="360"/>
      </w:pPr>
      <w:rPr>
        <w:rFonts w:ascii="Arial" w:hAnsi="Arial" w:hint="default"/>
      </w:rPr>
    </w:lvl>
    <w:lvl w:ilvl="3" w:tplc="595A4C56" w:tentative="1">
      <w:start w:val="1"/>
      <w:numFmt w:val="bullet"/>
      <w:lvlText w:val="•"/>
      <w:lvlJc w:val="left"/>
      <w:pPr>
        <w:tabs>
          <w:tab w:val="num" w:pos="2880"/>
        </w:tabs>
        <w:ind w:left="2880" w:hanging="360"/>
      </w:pPr>
      <w:rPr>
        <w:rFonts w:ascii="Arial" w:hAnsi="Arial" w:hint="default"/>
      </w:rPr>
    </w:lvl>
    <w:lvl w:ilvl="4" w:tplc="03F052B4" w:tentative="1">
      <w:start w:val="1"/>
      <w:numFmt w:val="bullet"/>
      <w:lvlText w:val="•"/>
      <w:lvlJc w:val="left"/>
      <w:pPr>
        <w:tabs>
          <w:tab w:val="num" w:pos="3600"/>
        </w:tabs>
        <w:ind w:left="3600" w:hanging="360"/>
      </w:pPr>
      <w:rPr>
        <w:rFonts w:ascii="Arial" w:hAnsi="Arial" w:hint="default"/>
      </w:rPr>
    </w:lvl>
    <w:lvl w:ilvl="5" w:tplc="3E967794" w:tentative="1">
      <w:start w:val="1"/>
      <w:numFmt w:val="bullet"/>
      <w:lvlText w:val="•"/>
      <w:lvlJc w:val="left"/>
      <w:pPr>
        <w:tabs>
          <w:tab w:val="num" w:pos="4320"/>
        </w:tabs>
        <w:ind w:left="4320" w:hanging="360"/>
      </w:pPr>
      <w:rPr>
        <w:rFonts w:ascii="Arial" w:hAnsi="Arial" w:hint="default"/>
      </w:rPr>
    </w:lvl>
    <w:lvl w:ilvl="6" w:tplc="0B4849AA" w:tentative="1">
      <w:start w:val="1"/>
      <w:numFmt w:val="bullet"/>
      <w:lvlText w:val="•"/>
      <w:lvlJc w:val="left"/>
      <w:pPr>
        <w:tabs>
          <w:tab w:val="num" w:pos="5040"/>
        </w:tabs>
        <w:ind w:left="5040" w:hanging="360"/>
      </w:pPr>
      <w:rPr>
        <w:rFonts w:ascii="Arial" w:hAnsi="Arial" w:hint="default"/>
      </w:rPr>
    </w:lvl>
    <w:lvl w:ilvl="7" w:tplc="8590583E" w:tentative="1">
      <w:start w:val="1"/>
      <w:numFmt w:val="bullet"/>
      <w:lvlText w:val="•"/>
      <w:lvlJc w:val="left"/>
      <w:pPr>
        <w:tabs>
          <w:tab w:val="num" w:pos="5760"/>
        </w:tabs>
        <w:ind w:left="5760" w:hanging="360"/>
      </w:pPr>
      <w:rPr>
        <w:rFonts w:ascii="Arial" w:hAnsi="Arial" w:hint="default"/>
      </w:rPr>
    </w:lvl>
    <w:lvl w:ilvl="8" w:tplc="D5AA610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D7F24A8"/>
    <w:multiLevelType w:val="hybridMultilevel"/>
    <w:tmpl w:val="F1DE80B0"/>
    <w:lvl w:ilvl="0" w:tplc="417246D0">
      <w:start w:val="1"/>
      <w:numFmt w:val="bullet"/>
      <w:lvlText w:val="•"/>
      <w:lvlJc w:val="left"/>
      <w:pPr>
        <w:tabs>
          <w:tab w:val="num" w:pos="720"/>
        </w:tabs>
        <w:ind w:left="720" w:hanging="360"/>
      </w:pPr>
      <w:rPr>
        <w:rFonts w:ascii="Arial" w:hAnsi="Arial" w:hint="default"/>
      </w:rPr>
    </w:lvl>
    <w:lvl w:ilvl="1" w:tplc="EB6645C0" w:tentative="1">
      <w:start w:val="1"/>
      <w:numFmt w:val="bullet"/>
      <w:lvlText w:val="•"/>
      <w:lvlJc w:val="left"/>
      <w:pPr>
        <w:tabs>
          <w:tab w:val="num" w:pos="1440"/>
        </w:tabs>
        <w:ind w:left="1440" w:hanging="360"/>
      </w:pPr>
      <w:rPr>
        <w:rFonts w:ascii="Arial" w:hAnsi="Arial" w:hint="default"/>
      </w:rPr>
    </w:lvl>
    <w:lvl w:ilvl="2" w:tplc="6CAC6940" w:tentative="1">
      <w:start w:val="1"/>
      <w:numFmt w:val="bullet"/>
      <w:lvlText w:val="•"/>
      <w:lvlJc w:val="left"/>
      <w:pPr>
        <w:tabs>
          <w:tab w:val="num" w:pos="2160"/>
        </w:tabs>
        <w:ind w:left="2160" w:hanging="360"/>
      </w:pPr>
      <w:rPr>
        <w:rFonts w:ascii="Arial" w:hAnsi="Arial" w:hint="default"/>
      </w:rPr>
    </w:lvl>
    <w:lvl w:ilvl="3" w:tplc="4D4CDCE6" w:tentative="1">
      <w:start w:val="1"/>
      <w:numFmt w:val="bullet"/>
      <w:lvlText w:val="•"/>
      <w:lvlJc w:val="left"/>
      <w:pPr>
        <w:tabs>
          <w:tab w:val="num" w:pos="2880"/>
        </w:tabs>
        <w:ind w:left="2880" w:hanging="360"/>
      </w:pPr>
      <w:rPr>
        <w:rFonts w:ascii="Arial" w:hAnsi="Arial" w:hint="default"/>
      </w:rPr>
    </w:lvl>
    <w:lvl w:ilvl="4" w:tplc="03B6BD74" w:tentative="1">
      <w:start w:val="1"/>
      <w:numFmt w:val="bullet"/>
      <w:lvlText w:val="•"/>
      <w:lvlJc w:val="left"/>
      <w:pPr>
        <w:tabs>
          <w:tab w:val="num" w:pos="3600"/>
        </w:tabs>
        <w:ind w:left="3600" w:hanging="360"/>
      </w:pPr>
      <w:rPr>
        <w:rFonts w:ascii="Arial" w:hAnsi="Arial" w:hint="default"/>
      </w:rPr>
    </w:lvl>
    <w:lvl w:ilvl="5" w:tplc="7CD2E3F6" w:tentative="1">
      <w:start w:val="1"/>
      <w:numFmt w:val="bullet"/>
      <w:lvlText w:val="•"/>
      <w:lvlJc w:val="left"/>
      <w:pPr>
        <w:tabs>
          <w:tab w:val="num" w:pos="4320"/>
        </w:tabs>
        <w:ind w:left="4320" w:hanging="360"/>
      </w:pPr>
      <w:rPr>
        <w:rFonts w:ascii="Arial" w:hAnsi="Arial" w:hint="default"/>
      </w:rPr>
    </w:lvl>
    <w:lvl w:ilvl="6" w:tplc="D3840A96" w:tentative="1">
      <w:start w:val="1"/>
      <w:numFmt w:val="bullet"/>
      <w:lvlText w:val="•"/>
      <w:lvlJc w:val="left"/>
      <w:pPr>
        <w:tabs>
          <w:tab w:val="num" w:pos="5040"/>
        </w:tabs>
        <w:ind w:left="5040" w:hanging="360"/>
      </w:pPr>
      <w:rPr>
        <w:rFonts w:ascii="Arial" w:hAnsi="Arial" w:hint="default"/>
      </w:rPr>
    </w:lvl>
    <w:lvl w:ilvl="7" w:tplc="8DE2ACA0" w:tentative="1">
      <w:start w:val="1"/>
      <w:numFmt w:val="bullet"/>
      <w:lvlText w:val="•"/>
      <w:lvlJc w:val="left"/>
      <w:pPr>
        <w:tabs>
          <w:tab w:val="num" w:pos="5760"/>
        </w:tabs>
        <w:ind w:left="5760" w:hanging="360"/>
      </w:pPr>
      <w:rPr>
        <w:rFonts w:ascii="Arial" w:hAnsi="Arial" w:hint="default"/>
      </w:rPr>
    </w:lvl>
    <w:lvl w:ilvl="8" w:tplc="2048C26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1C62412"/>
    <w:multiLevelType w:val="multilevel"/>
    <w:tmpl w:val="DDEEB6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67DC2939"/>
    <w:multiLevelType w:val="hybridMultilevel"/>
    <w:tmpl w:val="3EEAF080"/>
    <w:lvl w:ilvl="0" w:tplc="FF6C6478">
      <w:start w:val="1"/>
      <w:numFmt w:val="bullet"/>
      <w:lvlText w:val="•"/>
      <w:lvlJc w:val="left"/>
      <w:pPr>
        <w:tabs>
          <w:tab w:val="num" w:pos="720"/>
        </w:tabs>
        <w:ind w:left="720" w:hanging="360"/>
      </w:pPr>
      <w:rPr>
        <w:rFonts w:ascii="Arial" w:hAnsi="Arial" w:hint="default"/>
      </w:rPr>
    </w:lvl>
    <w:lvl w:ilvl="1" w:tplc="EFA887F6" w:tentative="1">
      <w:start w:val="1"/>
      <w:numFmt w:val="bullet"/>
      <w:lvlText w:val="•"/>
      <w:lvlJc w:val="left"/>
      <w:pPr>
        <w:tabs>
          <w:tab w:val="num" w:pos="1440"/>
        </w:tabs>
        <w:ind w:left="1440" w:hanging="360"/>
      </w:pPr>
      <w:rPr>
        <w:rFonts w:ascii="Arial" w:hAnsi="Arial" w:hint="default"/>
      </w:rPr>
    </w:lvl>
    <w:lvl w:ilvl="2" w:tplc="72AA7B3E" w:tentative="1">
      <w:start w:val="1"/>
      <w:numFmt w:val="bullet"/>
      <w:lvlText w:val="•"/>
      <w:lvlJc w:val="left"/>
      <w:pPr>
        <w:tabs>
          <w:tab w:val="num" w:pos="2160"/>
        </w:tabs>
        <w:ind w:left="2160" w:hanging="360"/>
      </w:pPr>
      <w:rPr>
        <w:rFonts w:ascii="Arial" w:hAnsi="Arial" w:hint="default"/>
      </w:rPr>
    </w:lvl>
    <w:lvl w:ilvl="3" w:tplc="726AB898" w:tentative="1">
      <w:start w:val="1"/>
      <w:numFmt w:val="bullet"/>
      <w:lvlText w:val="•"/>
      <w:lvlJc w:val="left"/>
      <w:pPr>
        <w:tabs>
          <w:tab w:val="num" w:pos="2880"/>
        </w:tabs>
        <w:ind w:left="2880" w:hanging="360"/>
      </w:pPr>
      <w:rPr>
        <w:rFonts w:ascii="Arial" w:hAnsi="Arial" w:hint="default"/>
      </w:rPr>
    </w:lvl>
    <w:lvl w:ilvl="4" w:tplc="2AD0EB8A" w:tentative="1">
      <w:start w:val="1"/>
      <w:numFmt w:val="bullet"/>
      <w:lvlText w:val="•"/>
      <w:lvlJc w:val="left"/>
      <w:pPr>
        <w:tabs>
          <w:tab w:val="num" w:pos="3600"/>
        </w:tabs>
        <w:ind w:left="3600" w:hanging="360"/>
      </w:pPr>
      <w:rPr>
        <w:rFonts w:ascii="Arial" w:hAnsi="Arial" w:hint="default"/>
      </w:rPr>
    </w:lvl>
    <w:lvl w:ilvl="5" w:tplc="B0DEE69C" w:tentative="1">
      <w:start w:val="1"/>
      <w:numFmt w:val="bullet"/>
      <w:lvlText w:val="•"/>
      <w:lvlJc w:val="left"/>
      <w:pPr>
        <w:tabs>
          <w:tab w:val="num" w:pos="4320"/>
        </w:tabs>
        <w:ind w:left="4320" w:hanging="360"/>
      </w:pPr>
      <w:rPr>
        <w:rFonts w:ascii="Arial" w:hAnsi="Arial" w:hint="default"/>
      </w:rPr>
    </w:lvl>
    <w:lvl w:ilvl="6" w:tplc="A600D2D0" w:tentative="1">
      <w:start w:val="1"/>
      <w:numFmt w:val="bullet"/>
      <w:lvlText w:val="•"/>
      <w:lvlJc w:val="left"/>
      <w:pPr>
        <w:tabs>
          <w:tab w:val="num" w:pos="5040"/>
        </w:tabs>
        <w:ind w:left="5040" w:hanging="360"/>
      </w:pPr>
      <w:rPr>
        <w:rFonts w:ascii="Arial" w:hAnsi="Arial" w:hint="default"/>
      </w:rPr>
    </w:lvl>
    <w:lvl w:ilvl="7" w:tplc="FA925738" w:tentative="1">
      <w:start w:val="1"/>
      <w:numFmt w:val="bullet"/>
      <w:lvlText w:val="•"/>
      <w:lvlJc w:val="left"/>
      <w:pPr>
        <w:tabs>
          <w:tab w:val="num" w:pos="5760"/>
        </w:tabs>
        <w:ind w:left="5760" w:hanging="360"/>
      </w:pPr>
      <w:rPr>
        <w:rFonts w:ascii="Arial" w:hAnsi="Arial" w:hint="default"/>
      </w:rPr>
    </w:lvl>
    <w:lvl w:ilvl="8" w:tplc="922E71C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EA916B2"/>
    <w:multiLevelType w:val="hybridMultilevel"/>
    <w:tmpl w:val="D1B49596"/>
    <w:lvl w:ilvl="0" w:tplc="0FCE9448">
      <w:start w:val="1"/>
      <w:numFmt w:val="bullet"/>
      <w:lvlText w:val="•"/>
      <w:lvlJc w:val="left"/>
      <w:pPr>
        <w:tabs>
          <w:tab w:val="num" w:pos="720"/>
        </w:tabs>
        <w:ind w:left="720" w:hanging="360"/>
      </w:pPr>
      <w:rPr>
        <w:rFonts w:ascii="Arial" w:hAnsi="Arial" w:hint="default"/>
      </w:rPr>
    </w:lvl>
    <w:lvl w:ilvl="1" w:tplc="22F47024" w:tentative="1">
      <w:start w:val="1"/>
      <w:numFmt w:val="bullet"/>
      <w:lvlText w:val="•"/>
      <w:lvlJc w:val="left"/>
      <w:pPr>
        <w:tabs>
          <w:tab w:val="num" w:pos="1440"/>
        </w:tabs>
        <w:ind w:left="1440" w:hanging="360"/>
      </w:pPr>
      <w:rPr>
        <w:rFonts w:ascii="Arial" w:hAnsi="Arial" w:hint="default"/>
      </w:rPr>
    </w:lvl>
    <w:lvl w:ilvl="2" w:tplc="87962248" w:tentative="1">
      <w:start w:val="1"/>
      <w:numFmt w:val="bullet"/>
      <w:lvlText w:val="•"/>
      <w:lvlJc w:val="left"/>
      <w:pPr>
        <w:tabs>
          <w:tab w:val="num" w:pos="2160"/>
        </w:tabs>
        <w:ind w:left="2160" w:hanging="360"/>
      </w:pPr>
      <w:rPr>
        <w:rFonts w:ascii="Arial" w:hAnsi="Arial" w:hint="default"/>
      </w:rPr>
    </w:lvl>
    <w:lvl w:ilvl="3" w:tplc="797CEA90" w:tentative="1">
      <w:start w:val="1"/>
      <w:numFmt w:val="bullet"/>
      <w:lvlText w:val="•"/>
      <w:lvlJc w:val="left"/>
      <w:pPr>
        <w:tabs>
          <w:tab w:val="num" w:pos="2880"/>
        </w:tabs>
        <w:ind w:left="2880" w:hanging="360"/>
      </w:pPr>
      <w:rPr>
        <w:rFonts w:ascii="Arial" w:hAnsi="Arial" w:hint="default"/>
      </w:rPr>
    </w:lvl>
    <w:lvl w:ilvl="4" w:tplc="2138A312" w:tentative="1">
      <w:start w:val="1"/>
      <w:numFmt w:val="bullet"/>
      <w:lvlText w:val="•"/>
      <w:lvlJc w:val="left"/>
      <w:pPr>
        <w:tabs>
          <w:tab w:val="num" w:pos="3600"/>
        </w:tabs>
        <w:ind w:left="3600" w:hanging="360"/>
      </w:pPr>
      <w:rPr>
        <w:rFonts w:ascii="Arial" w:hAnsi="Arial" w:hint="default"/>
      </w:rPr>
    </w:lvl>
    <w:lvl w:ilvl="5" w:tplc="533A41AC" w:tentative="1">
      <w:start w:val="1"/>
      <w:numFmt w:val="bullet"/>
      <w:lvlText w:val="•"/>
      <w:lvlJc w:val="left"/>
      <w:pPr>
        <w:tabs>
          <w:tab w:val="num" w:pos="4320"/>
        </w:tabs>
        <w:ind w:left="4320" w:hanging="360"/>
      </w:pPr>
      <w:rPr>
        <w:rFonts w:ascii="Arial" w:hAnsi="Arial" w:hint="default"/>
      </w:rPr>
    </w:lvl>
    <w:lvl w:ilvl="6" w:tplc="D96CBA1C" w:tentative="1">
      <w:start w:val="1"/>
      <w:numFmt w:val="bullet"/>
      <w:lvlText w:val="•"/>
      <w:lvlJc w:val="left"/>
      <w:pPr>
        <w:tabs>
          <w:tab w:val="num" w:pos="5040"/>
        </w:tabs>
        <w:ind w:left="5040" w:hanging="360"/>
      </w:pPr>
      <w:rPr>
        <w:rFonts w:ascii="Arial" w:hAnsi="Arial" w:hint="default"/>
      </w:rPr>
    </w:lvl>
    <w:lvl w:ilvl="7" w:tplc="6DC83030" w:tentative="1">
      <w:start w:val="1"/>
      <w:numFmt w:val="bullet"/>
      <w:lvlText w:val="•"/>
      <w:lvlJc w:val="left"/>
      <w:pPr>
        <w:tabs>
          <w:tab w:val="num" w:pos="5760"/>
        </w:tabs>
        <w:ind w:left="5760" w:hanging="360"/>
      </w:pPr>
      <w:rPr>
        <w:rFonts w:ascii="Arial" w:hAnsi="Arial" w:hint="default"/>
      </w:rPr>
    </w:lvl>
    <w:lvl w:ilvl="8" w:tplc="1E563A1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18C6421"/>
    <w:multiLevelType w:val="hybridMultilevel"/>
    <w:tmpl w:val="0C4863FE"/>
    <w:lvl w:ilvl="0" w:tplc="5EC41B4C">
      <w:start w:val="1"/>
      <w:numFmt w:val="bullet"/>
      <w:lvlText w:val="•"/>
      <w:lvlJc w:val="left"/>
      <w:pPr>
        <w:tabs>
          <w:tab w:val="num" w:pos="720"/>
        </w:tabs>
        <w:ind w:left="720" w:hanging="360"/>
      </w:pPr>
      <w:rPr>
        <w:rFonts w:ascii="Arial" w:hAnsi="Arial" w:hint="default"/>
      </w:rPr>
    </w:lvl>
    <w:lvl w:ilvl="1" w:tplc="A60A4164" w:tentative="1">
      <w:start w:val="1"/>
      <w:numFmt w:val="bullet"/>
      <w:lvlText w:val="•"/>
      <w:lvlJc w:val="left"/>
      <w:pPr>
        <w:tabs>
          <w:tab w:val="num" w:pos="1440"/>
        </w:tabs>
        <w:ind w:left="1440" w:hanging="360"/>
      </w:pPr>
      <w:rPr>
        <w:rFonts w:ascii="Arial" w:hAnsi="Arial" w:hint="default"/>
      </w:rPr>
    </w:lvl>
    <w:lvl w:ilvl="2" w:tplc="289E9F64" w:tentative="1">
      <w:start w:val="1"/>
      <w:numFmt w:val="bullet"/>
      <w:lvlText w:val="•"/>
      <w:lvlJc w:val="left"/>
      <w:pPr>
        <w:tabs>
          <w:tab w:val="num" w:pos="2160"/>
        </w:tabs>
        <w:ind w:left="2160" w:hanging="360"/>
      </w:pPr>
      <w:rPr>
        <w:rFonts w:ascii="Arial" w:hAnsi="Arial" w:hint="default"/>
      </w:rPr>
    </w:lvl>
    <w:lvl w:ilvl="3" w:tplc="540490DC" w:tentative="1">
      <w:start w:val="1"/>
      <w:numFmt w:val="bullet"/>
      <w:lvlText w:val="•"/>
      <w:lvlJc w:val="left"/>
      <w:pPr>
        <w:tabs>
          <w:tab w:val="num" w:pos="2880"/>
        </w:tabs>
        <w:ind w:left="2880" w:hanging="360"/>
      </w:pPr>
      <w:rPr>
        <w:rFonts w:ascii="Arial" w:hAnsi="Arial" w:hint="default"/>
      </w:rPr>
    </w:lvl>
    <w:lvl w:ilvl="4" w:tplc="D30E3E48" w:tentative="1">
      <w:start w:val="1"/>
      <w:numFmt w:val="bullet"/>
      <w:lvlText w:val="•"/>
      <w:lvlJc w:val="left"/>
      <w:pPr>
        <w:tabs>
          <w:tab w:val="num" w:pos="3600"/>
        </w:tabs>
        <w:ind w:left="3600" w:hanging="360"/>
      </w:pPr>
      <w:rPr>
        <w:rFonts w:ascii="Arial" w:hAnsi="Arial" w:hint="default"/>
      </w:rPr>
    </w:lvl>
    <w:lvl w:ilvl="5" w:tplc="AD3A1696" w:tentative="1">
      <w:start w:val="1"/>
      <w:numFmt w:val="bullet"/>
      <w:lvlText w:val="•"/>
      <w:lvlJc w:val="left"/>
      <w:pPr>
        <w:tabs>
          <w:tab w:val="num" w:pos="4320"/>
        </w:tabs>
        <w:ind w:left="4320" w:hanging="360"/>
      </w:pPr>
      <w:rPr>
        <w:rFonts w:ascii="Arial" w:hAnsi="Arial" w:hint="default"/>
      </w:rPr>
    </w:lvl>
    <w:lvl w:ilvl="6" w:tplc="CD9A273E" w:tentative="1">
      <w:start w:val="1"/>
      <w:numFmt w:val="bullet"/>
      <w:lvlText w:val="•"/>
      <w:lvlJc w:val="left"/>
      <w:pPr>
        <w:tabs>
          <w:tab w:val="num" w:pos="5040"/>
        </w:tabs>
        <w:ind w:left="5040" w:hanging="360"/>
      </w:pPr>
      <w:rPr>
        <w:rFonts w:ascii="Arial" w:hAnsi="Arial" w:hint="default"/>
      </w:rPr>
    </w:lvl>
    <w:lvl w:ilvl="7" w:tplc="DC38D384" w:tentative="1">
      <w:start w:val="1"/>
      <w:numFmt w:val="bullet"/>
      <w:lvlText w:val="•"/>
      <w:lvlJc w:val="left"/>
      <w:pPr>
        <w:tabs>
          <w:tab w:val="num" w:pos="5760"/>
        </w:tabs>
        <w:ind w:left="5760" w:hanging="360"/>
      </w:pPr>
      <w:rPr>
        <w:rFonts w:ascii="Arial" w:hAnsi="Arial" w:hint="default"/>
      </w:rPr>
    </w:lvl>
    <w:lvl w:ilvl="8" w:tplc="2690DC0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1A16EBA"/>
    <w:multiLevelType w:val="multilevel"/>
    <w:tmpl w:val="D060ABD0"/>
    <w:lvl w:ilvl="0">
      <w:start w:val="1"/>
      <w:numFmt w:val="upperLetter"/>
      <w:pStyle w:val="xAppendixLevel1"/>
      <w:lvlText w:val="Appendix %1"/>
      <w:lvlJc w:val="left"/>
      <w:rPr>
        <w:b/>
        <w:bCs w:val="0"/>
        <w:i w:val="0"/>
        <w:iCs w:val="0"/>
        <w:caps w:val="0"/>
        <w:smallCaps w:val="0"/>
        <w:strike w:val="0"/>
        <w:dstrike w:val="0"/>
        <w:noProof w:val="0"/>
        <w:vanish w:val="0"/>
        <w:color w:val="A5A5A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xAppendixLevel2"/>
      <w:lvlText w:val="%1.%2"/>
      <w:lvlJc w:val="left"/>
      <w:pPr>
        <w:ind w:left="993" w:hanging="851"/>
      </w:pPr>
      <w:rPr>
        <w:rFonts w:hint="default"/>
        <w:color w:val="00264D"/>
        <w:sz w:val="34"/>
        <w:szCs w:val="34"/>
      </w:rPr>
    </w:lvl>
    <w:lvl w:ilvl="2">
      <w:start w:val="1"/>
      <w:numFmt w:val="decimal"/>
      <w:pStyle w:val="xAppendixLevel3"/>
      <w:lvlText w:val="%1.%2.%3"/>
      <w:lvlJc w:val="left"/>
      <w:pPr>
        <w:ind w:left="993" w:hanging="851"/>
      </w:pPr>
      <w:rPr>
        <w:rFonts w:hint="default"/>
        <w:color w:val="00264D"/>
        <w:sz w:val="28"/>
        <w:szCs w:val="28"/>
      </w:rPr>
    </w:lvl>
    <w:lvl w:ilvl="3">
      <w:start w:val="1"/>
      <w:numFmt w:val="decimal"/>
      <w:lvlText w:val="(%4)"/>
      <w:lvlJc w:val="left"/>
      <w:pPr>
        <w:ind w:left="1582" w:hanging="360"/>
      </w:pPr>
      <w:rPr>
        <w:rFonts w:hint="default"/>
      </w:rPr>
    </w:lvl>
    <w:lvl w:ilvl="4">
      <w:start w:val="1"/>
      <w:numFmt w:val="lowerLetter"/>
      <w:lvlText w:val="(%5)"/>
      <w:lvlJc w:val="left"/>
      <w:pPr>
        <w:ind w:left="1942" w:hanging="360"/>
      </w:pPr>
      <w:rPr>
        <w:rFonts w:hint="default"/>
      </w:rPr>
    </w:lvl>
    <w:lvl w:ilvl="5">
      <w:start w:val="1"/>
      <w:numFmt w:val="lowerRoman"/>
      <w:lvlText w:val="(%6)"/>
      <w:lvlJc w:val="left"/>
      <w:pPr>
        <w:ind w:left="2302" w:hanging="360"/>
      </w:pPr>
      <w:rPr>
        <w:rFonts w:hint="default"/>
      </w:rPr>
    </w:lvl>
    <w:lvl w:ilvl="6">
      <w:start w:val="1"/>
      <w:numFmt w:val="decimal"/>
      <w:lvlText w:val="%7."/>
      <w:lvlJc w:val="left"/>
      <w:pPr>
        <w:ind w:left="2662" w:hanging="360"/>
      </w:pPr>
      <w:rPr>
        <w:rFonts w:hint="default"/>
      </w:rPr>
    </w:lvl>
    <w:lvl w:ilvl="7">
      <w:start w:val="1"/>
      <w:numFmt w:val="lowerLetter"/>
      <w:lvlText w:val="%8."/>
      <w:lvlJc w:val="left"/>
      <w:pPr>
        <w:ind w:left="3022" w:hanging="360"/>
      </w:pPr>
      <w:rPr>
        <w:rFonts w:hint="default"/>
      </w:rPr>
    </w:lvl>
    <w:lvl w:ilvl="8">
      <w:start w:val="1"/>
      <w:numFmt w:val="lowerRoman"/>
      <w:lvlText w:val="%9."/>
      <w:lvlJc w:val="left"/>
      <w:pPr>
        <w:ind w:left="3382" w:hanging="360"/>
      </w:pPr>
      <w:rPr>
        <w:rFonts w:hint="default"/>
      </w:rPr>
    </w:lvl>
  </w:abstractNum>
  <w:abstractNum w:abstractNumId="27" w15:restartNumberingAfterBreak="0">
    <w:nsid w:val="730D0198"/>
    <w:multiLevelType w:val="hybridMultilevel"/>
    <w:tmpl w:val="C5A27CB2"/>
    <w:lvl w:ilvl="0" w:tplc="1A0EDA22">
      <w:start w:val="1"/>
      <w:numFmt w:val="bullet"/>
      <w:lvlText w:val="•"/>
      <w:lvlJc w:val="left"/>
      <w:pPr>
        <w:tabs>
          <w:tab w:val="num" w:pos="720"/>
        </w:tabs>
        <w:ind w:left="720" w:hanging="360"/>
      </w:pPr>
      <w:rPr>
        <w:rFonts w:ascii="Arial" w:hAnsi="Arial" w:hint="default"/>
      </w:rPr>
    </w:lvl>
    <w:lvl w:ilvl="1" w:tplc="C84CBFCC" w:tentative="1">
      <w:start w:val="1"/>
      <w:numFmt w:val="bullet"/>
      <w:lvlText w:val="•"/>
      <w:lvlJc w:val="left"/>
      <w:pPr>
        <w:tabs>
          <w:tab w:val="num" w:pos="1440"/>
        </w:tabs>
        <w:ind w:left="1440" w:hanging="360"/>
      </w:pPr>
      <w:rPr>
        <w:rFonts w:ascii="Arial" w:hAnsi="Arial" w:hint="default"/>
      </w:rPr>
    </w:lvl>
    <w:lvl w:ilvl="2" w:tplc="702482B4" w:tentative="1">
      <w:start w:val="1"/>
      <w:numFmt w:val="bullet"/>
      <w:lvlText w:val="•"/>
      <w:lvlJc w:val="left"/>
      <w:pPr>
        <w:tabs>
          <w:tab w:val="num" w:pos="2160"/>
        </w:tabs>
        <w:ind w:left="2160" w:hanging="360"/>
      </w:pPr>
      <w:rPr>
        <w:rFonts w:ascii="Arial" w:hAnsi="Arial" w:hint="default"/>
      </w:rPr>
    </w:lvl>
    <w:lvl w:ilvl="3" w:tplc="B8AAF5CA" w:tentative="1">
      <w:start w:val="1"/>
      <w:numFmt w:val="bullet"/>
      <w:lvlText w:val="•"/>
      <w:lvlJc w:val="left"/>
      <w:pPr>
        <w:tabs>
          <w:tab w:val="num" w:pos="2880"/>
        </w:tabs>
        <w:ind w:left="2880" w:hanging="360"/>
      </w:pPr>
      <w:rPr>
        <w:rFonts w:ascii="Arial" w:hAnsi="Arial" w:hint="default"/>
      </w:rPr>
    </w:lvl>
    <w:lvl w:ilvl="4" w:tplc="04EABFFE" w:tentative="1">
      <w:start w:val="1"/>
      <w:numFmt w:val="bullet"/>
      <w:lvlText w:val="•"/>
      <w:lvlJc w:val="left"/>
      <w:pPr>
        <w:tabs>
          <w:tab w:val="num" w:pos="3600"/>
        </w:tabs>
        <w:ind w:left="3600" w:hanging="360"/>
      </w:pPr>
      <w:rPr>
        <w:rFonts w:ascii="Arial" w:hAnsi="Arial" w:hint="default"/>
      </w:rPr>
    </w:lvl>
    <w:lvl w:ilvl="5" w:tplc="FBA22034" w:tentative="1">
      <w:start w:val="1"/>
      <w:numFmt w:val="bullet"/>
      <w:lvlText w:val="•"/>
      <w:lvlJc w:val="left"/>
      <w:pPr>
        <w:tabs>
          <w:tab w:val="num" w:pos="4320"/>
        </w:tabs>
        <w:ind w:left="4320" w:hanging="360"/>
      </w:pPr>
      <w:rPr>
        <w:rFonts w:ascii="Arial" w:hAnsi="Arial" w:hint="default"/>
      </w:rPr>
    </w:lvl>
    <w:lvl w:ilvl="6" w:tplc="B0F08276" w:tentative="1">
      <w:start w:val="1"/>
      <w:numFmt w:val="bullet"/>
      <w:lvlText w:val="•"/>
      <w:lvlJc w:val="left"/>
      <w:pPr>
        <w:tabs>
          <w:tab w:val="num" w:pos="5040"/>
        </w:tabs>
        <w:ind w:left="5040" w:hanging="360"/>
      </w:pPr>
      <w:rPr>
        <w:rFonts w:ascii="Arial" w:hAnsi="Arial" w:hint="default"/>
      </w:rPr>
    </w:lvl>
    <w:lvl w:ilvl="7" w:tplc="4B80D160" w:tentative="1">
      <w:start w:val="1"/>
      <w:numFmt w:val="bullet"/>
      <w:lvlText w:val="•"/>
      <w:lvlJc w:val="left"/>
      <w:pPr>
        <w:tabs>
          <w:tab w:val="num" w:pos="5760"/>
        </w:tabs>
        <w:ind w:left="5760" w:hanging="360"/>
      </w:pPr>
      <w:rPr>
        <w:rFonts w:ascii="Arial" w:hAnsi="Arial" w:hint="default"/>
      </w:rPr>
    </w:lvl>
    <w:lvl w:ilvl="8" w:tplc="DEF289D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9B7218E"/>
    <w:multiLevelType w:val="hybridMultilevel"/>
    <w:tmpl w:val="FE8E525E"/>
    <w:lvl w:ilvl="0" w:tplc="3D506FDA">
      <w:start w:val="1"/>
      <w:numFmt w:val="bullet"/>
      <w:pStyle w:val="Bullet"/>
      <w:lvlText w:val=""/>
      <w:lvlJc w:val="left"/>
      <w:pPr>
        <w:ind w:left="680" w:hanging="340"/>
      </w:pPr>
      <w:rPr>
        <w:rFonts w:ascii="Symbol" w:hAnsi="Symbol" w:hint="default"/>
        <w:sz w:val="16"/>
      </w:rPr>
    </w:lvl>
    <w:lvl w:ilvl="1" w:tplc="168E9C4C">
      <w:start w:val="1"/>
      <w:numFmt w:val="bullet"/>
      <w:lvlText w:val=""/>
      <w:lvlJc w:val="left"/>
      <w:pPr>
        <w:ind w:left="1020" w:hanging="340"/>
      </w:pPr>
      <w:rPr>
        <w:rFonts w:ascii="Symbol" w:hAnsi="Symbol" w:hint="default"/>
        <w:sz w:val="16"/>
      </w:rPr>
    </w:lvl>
    <w:lvl w:ilvl="2" w:tplc="B88EB012">
      <w:start w:val="1"/>
      <w:numFmt w:val="bullet"/>
      <w:lvlText w:val=""/>
      <w:lvlJc w:val="left"/>
      <w:pPr>
        <w:ind w:left="1474" w:hanging="454"/>
      </w:pPr>
      <w:rPr>
        <w:rFonts w:ascii="Symbol" w:hAnsi="Symbol" w:hint="default"/>
        <w:sz w:val="16"/>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num w:numId="1">
    <w:abstractNumId w:val="26"/>
  </w:num>
  <w:num w:numId="2">
    <w:abstractNumId w:val="28"/>
  </w:num>
  <w:num w:numId="3">
    <w:abstractNumId w:val="6"/>
  </w:num>
  <w:num w:numId="4">
    <w:abstractNumId w:val="2"/>
  </w:num>
  <w:num w:numId="5">
    <w:abstractNumId w:val="13"/>
  </w:num>
  <w:num w:numId="6">
    <w:abstractNumId w:val="10"/>
  </w:num>
  <w:num w:numId="7">
    <w:abstractNumId w:val="5"/>
  </w:num>
  <w:num w:numId="8">
    <w:abstractNumId w:val="2"/>
  </w:num>
  <w:num w:numId="9">
    <w:abstractNumId w:val="3"/>
  </w:num>
  <w:num w:numId="10">
    <w:abstractNumId w:val="11"/>
  </w:num>
  <w:num w:numId="11">
    <w:abstractNumId w:val="8"/>
  </w:num>
  <w:num w:numId="12">
    <w:abstractNumId w:val="25"/>
  </w:num>
  <w:num w:numId="13">
    <w:abstractNumId w:val="19"/>
  </w:num>
  <w:num w:numId="14">
    <w:abstractNumId w:val="20"/>
  </w:num>
  <w:num w:numId="15">
    <w:abstractNumId w:val="1"/>
  </w:num>
  <w:num w:numId="16">
    <w:abstractNumId w:val="15"/>
  </w:num>
  <w:num w:numId="17">
    <w:abstractNumId w:val="18"/>
  </w:num>
  <w:num w:numId="18">
    <w:abstractNumId w:val="27"/>
  </w:num>
  <w:num w:numId="19">
    <w:abstractNumId w:val="23"/>
  </w:num>
  <w:num w:numId="20">
    <w:abstractNumId w:val="7"/>
  </w:num>
  <w:num w:numId="21">
    <w:abstractNumId w:val="12"/>
  </w:num>
  <w:num w:numId="22">
    <w:abstractNumId w:val="4"/>
  </w:num>
  <w:num w:numId="23">
    <w:abstractNumId w:val="2"/>
  </w:num>
  <w:num w:numId="24">
    <w:abstractNumId w:val="2"/>
  </w:num>
  <w:num w:numId="25">
    <w:abstractNumId w:val="21"/>
  </w:num>
  <w:num w:numId="26">
    <w:abstractNumId w:val="0"/>
  </w:num>
  <w:num w:numId="27">
    <w:abstractNumId w:val="14"/>
  </w:num>
  <w:num w:numId="28">
    <w:abstractNumId w:val="22"/>
  </w:num>
  <w:num w:numId="29">
    <w:abstractNumId w:val="24"/>
  </w:num>
  <w:num w:numId="30">
    <w:abstractNumId w:val="16"/>
  </w:num>
  <w:num w:numId="31">
    <w:abstractNumId w:val="9"/>
  </w:num>
  <w:num w:numId="32">
    <w:abstractNumId w:val="2"/>
  </w:num>
  <w:num w:numId="33">
    <w:abstractNumId w:val="28"/>
  </w:num>
  <w:num w:numId="34">
    <w:abstractNumId w:val="17"/>
  </w:num>
  <w:num w:numId="35">
    <w:abstractNumId w:val="6"/>
    <w:lvlOverride w:ilvl="0">
      <w:startOverride w:val="1"/>
    </w:lvlOverride>
  </w:num>
  <w:num w:numId="36">
    <w:abstractNumId w:val="28"/>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num>
  <w:num w:numId="39">
    <w:abstractNumId w:val="28"/>
  </w:num>
  <w:num w:numId="40">
    <w:abstractNumId w:val="28"/>
  </w:num>
  <w:num w:numId="41">
    <w:abstractNumId w:val="6"/>
  </w:num>
  <w:num w:numId="42">
    <w:abstractNumId w:val="6"/>
  </w:num>
  <w:num w:numId="43">
    <w:abstractNumId w:val="28"/>
  </w:num>
  <w:num w:numId="44">
    <w:abstractNumId w:val="28"/>
  </w:num>
  <w:num w:numId="45">
    <w:abstractNumId w:val="28"/>
  </w:num>
  <w:num w:numId="46">
    <w:abstractNumId w:val="28"/>
  </w:num>
  <w:num w:numId="47">
    <w:abstractNumId w:val="28"/>
  </w:num>
  <w:num w:numId="48">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E0E"/>
    <w:rsid w:val="0000036D"/>
    <w:rsid w:val="0000042B"/>
    <w:rsid w:val="00000A07"/>
    <w:rsid w:val="00000B26"/>
    <w:rsid w:val="00001025"/>
    <w:rsid w:val="00001A40"/>
    <w:rsid w:val="000022B2"/>
    <w:rsid w:val="00002740"/>
    <w:rsid w:val="00002973"/>
    <w:rsid w:val="00002BB5"/>
    <w:rsid w:val="00002D7B"/>
    <w:rsid w:val="00003022"/>
    <w:rsid w:val="000032A5"/>
    <w:rsid w:val="0000347F"/>
    <w:rsid w:val="000035CF"/>
    <w:rsid w:val="00003D38"/>
    <w:rsid w:val="00003F71"/>
    <w:rsid w:val="00005DB4"/>
    <w:rsid w:val="000061FC"/>
    <w:rsid w:val="0000664D"/>
    <w:rsid w:val="000067EE"/>
    <w:rsid w:val="00006DA6"/>
    <w:rsid w:val="00006E1E"/>
    <w:rsid w:val="00006E7F"/>
    <w:rsid w:val="00007BEE"/>
    <w:rsid w:val="0001001B"/>
    <w:rsid w:val="00010326"/>
    <w:rsid w:val="00010529"/>
    <w:rsid w:val="00010619"/>
    <w:rsid w:val="00010FFC"/>
    <w:rsid w:val="0001124A"/>
    <w:rsid w:val="000118DA"/>
    <w:rsid w:val="00012430"/>
    <w:rsid w:val="00012BD1"/>
    <w:rsid w:val="00012D67"/>
    <w:rsid w:val="000137FA"/>
    <w:rsid w:val="00013AD1"/>
    <w:rsid w:val="00013FEF"/>
    <w:rsid w:val="00014FA9"/>
    <w:rsid w:val="0001500F"/>
    <w:rsid w:val="00015326"/>
    <w:rsid w:val="000155D0"/>
    <w:rsid w:val="000156B0"/>
    <w:rsid w:val="00016E73"/>
    <w:rsid w:val="00017995"/>
    <w:rsid w:val="00020211"/>
    <w:rsid w:val="000205B3"/>
    <w:rsid w:val="00020ADF"/>
    <w:rsid w:val="00020BB4"/>
    <w:rsid w:val="000212CE"/>
    <w:rsid w:val="000214DA"/>
    <w:rsid w:val="00021D90"/>
    <w:rsid w:val="000220C0"/>
    <w:rsid w:val="00022485"/>
    <w:rsid w:val="0002249E"/>
    <w:rsid w:val="000224BE"/>
    <w:rsid w:val="00022B55"/>
    <w:rsid w:val="00023083"/>
    <w:rsid w:val="000238A8"/>
    <w:rsid w:val="00023B79"/>
    <w:rsid w:val="000246EC"/>
    <w:rsid w:val="00024A62"/>
    <w:rsid w:val="00024D48"/>
    <w:rsid w:val="00024E25"/>
    <w:rsid w:val="00025131"/>
    <w:rsid w:val="000256AF"/>
    <w:rsid w:val="00025C15"/>
    <w:rsid w:val="00026177"/>
    <w:rsid w:val="00026A06"/>
    <w:rsid w:val="00026A2A"/>
    <w:rsid w:val="0002720D"/>
    <w:rsid w:val="00027A14"/>
    <w:rsid w:val="00027B53"/>
    <w:rsid w:val="00027FD4"/>
    <w:rsid w:val="00027FFE"/>
    <w:rsid w:val="000307EA"/>
    <w:rsid w:val="00030852"/>
    <w:rsid w:val="00030A4A"/>
    <w:rsid w:val="00030CA8"/>
    <w:rsid w:val="00030FC2"/>
    <w:rsid w:val="00031171"/>
    <w:rsid w:val="000311EB"/>
    <w:rsid w:val="0003184A"/>
    <w:rsid w:val="00031900"/>
    <w:rsid w:val="00032315"/>
    <w:rsid w:val="0003241D"/>
    <w:rsid w:val="00032BB2"/>
    <w:rsid w:val="00033117"/>
    <w:rsid w:val="000333F8"/>
    <w:rsid w:val="000337ED"/>
    <w:rsid w:val="00033CF0"/>
    <w:rsid w:val="00034371"/>
    <w:rsid w:val="00034B31"/>
    <w:rsid w:val="00034B99"/>
    <w:rsid w:val="00035090"/>
    <w:rsid w:val="00035410"/>
    <w:rsid w:val="00035642"/>
    <w:rsid w:val="000359A4"/>
    <w:rsid w:val="00035B9D"/>
    <w:rsid w:val="00035CB0"/>
    <w:rsid w:val="00035D9E"/>
    <w:rsid w:val="00035E9B"/>
    <w:rsid w:val="00036270"/>
    <w:rsid w:val="0003682D"/>
    <w:rsid w:val="00036A1C"/>
    <w:rsid w:val="00036AC9"/>
    <w:rsid w:val="00036F45"/>
    <w:rsid w:val="00036F4D"/>
    <w:rsid w:val="000371FB"/>
    <w:rsid w:val="00037660"/>
    <w:rsid w:val="00037688"/>
    <w:rsid w:val="00037C03"/>
    <w:rsid w:val="00040016"/>
    <w:rsid w:val="0004032D"/>
    <w:rsid w:val="0004033A"/>
    <w:rsid w:val="0004069A"/>
    <w:rsid w:val="00040879"/>
    <w:rsid w:val="00040AF2"/>
    <w:rsid w:val="00041278"/>
    <w:rsid w:val="00041497"/>
    <w:rsid w:val="00041AD7"/>
    <w:rsid w:val="000422FC"/>
    <w:rsid w:val="000425D8"/>
    <w:rsid w:val="000441C3"/>
    <w:rsid w:val="00044224"/>
    <w:rsid w:val="0004438B"/>
    <w:rsid w:val="00044662"/>
    <w:rsid w:val="0004482E"/>
    <w:rsid w:val="00044AE9"/>
    <w:rsid w:val="00044CD4"/>
    <w:rsid w:val="00045213"/>
    <w:rsid w:val="0004623F"/>
    <w:rsid w:val="000465C7"/>
    <w:rsid w:val="00046AE2"/>
    <w:rsid w:val="00046B4E"/>
    <w:rsid w:val="00046C0F"/>
    <w:rsid w:val="00046FC2"/>
    <w:rsid w:val="0005000D"/>
    <w:rsid w:val="0005035C"/>
    <w:rsid w:val="00050491"/>
    <w:rsid w:val="0005049C"/>
    <w:rsid w:val="000506DA"/>
    <w:rsid w:val="00050D71"/>
    <w:rsid w:val="00051B81"/>
    <w:rsid w:val="00052518"/>
    <w:rsid w:val="00052B82"/>
    <w:rsid w:val="00052FD3"/>
    <w:rsid w:val="000533FA"/>
    <w:rsid w:val="00053988"/>
    <w:rsid w:val="00053B5D"/>
    <w:rsid w:val="00053C84"/>
    <w:rsid w:val="00053FC4"/>
    <w:rsid w:val="00054494"/>
    <w:rsid w:val="000544BE"/>
    <w:rsid w:val="00054BB4"/>
    <w:rsid w:val="00054E6B"/>
    <w:rsid w:val="000550B9"/>
    <w:rsid w:val="00056DD4"/>
    <w:rsid w:val="00057272"/>
    <w:rsid w:val="0005782C"/>
    <w:rsid w:val="000578FE"/>
    <w:rsid w:val="00057A74"/>
    <w:rsid w:val="00057CA4"/>
    <w:rsid w:val="00057CF7"/>
    <w:rsid w:val="000601BB"/>
    <w:rsid w:val="00060413"/>
    <w:rsid w:val="00060C20"/>
    <w:rsid w:val="000617E6"/>
    <w:rsid w:val="00061F24"/>
    <w:rsid w:val="00062115"/>
    <w:rsid w:val="0006228E"/>
    <w:rsid w:val="00062339"/>
    <w:rsid w:val="00063132"/>
    <w:rsid w:val="00063871"/>
    <w:rsid w:val="00063A99"/>
    <w:rsid w:val="00063DFA"/>
    <w:rsid w:val="0006413B"/>
    <w:rsid w:val="00064388"/>
    <w:rsid w:val="000644E2"/>
    <w:rsid w:val="0006470B"/>
    <w:rsid w:val="00064BF2"/>
    <w:rsid w:val="00064E9D"/>
    <w:rsid w:val="00065283"/>
    <w:rsid w:val="000655BB"/>
    <w:rsid w:val="000655C3"/>
    <w:rsid w:val="00065976"/>
    <w:rsid w:val="00065A48"/>
    <w:rsid w:val="00066564"/>
    <w:rsid w:val="0006668E"/>
    <w:rsid w:val="0006670E"/>
    <w:rsid w:val="00066898"/>
    <w:rsid w:val="00067445"/>
    <w:rsid w:val="00067A36"/>
    <w:rsid w:val="00067CD4"/>
    <w:rsid w:val="00067D36"/>
    <w:rsid w:val="00070494"/>
    <w:rsid w:val="00070DA4"/>
    <w:rsid w:val="00071277"/>
    <w:rsid w:val="00071672"/>
    <w:rsid w:val="00071DFF"/>
    <w:rsid w:val="000725B3"/>
    <w:rsid w:val="000732E5"/>
    <w:rsid w:val="0007356E"/>
    <w:rsid w:val="0007366B"/>
    <w:rsid w:val="00073EE2"/>
    <w:rsid w:val="000745B9"/>
    <w:rsid w:val="00074801"/>
    <w:rsid w:val="00074978"/>
    <w:rsid w:val="000749E1"/>
    <w:rsid w:val="00075BA6"/>
    <w:rsid w:val="00075C5E"/>
    <w:rsid w:val="00076115"/>
    <w:rsid w:val="000767E6"/>
    <w:rsid w:val="00077850"/>
    <w:rsid w:val="0007788B"/>
    <w:rsid w:val="00077DBF"/>
    <w:rsid w:val="00080024"/>
    <w:rsid w:val="0008035B"/>
    <w:rsid w:val="00080589"/>
    <w:rsid w:val="000805D7"/>
    <w:rsid w:val="00080622"/>
    <w:rsid w:val="00080862"/>
    <w:rsid w:val="000808B8"/>
    <w:rsid w:val="0008179C"/>
    <w:rsid w:val="000817B2"/>
    <w:rsid w:val="000819B1"/>
    <w:rsid w:val="00081C2B"/>
    <w:rsid w:val="0008209D"/>
    <w:rsid w:val="00082B4E"/>
    <w:rsid w:val="00082BDB"/>
    <w:rsid w:val="00082ECF"/>
    <w:rsid w:val="000834C9"/>
    <w:rsid w:val="00083C0D"/>
    <w:rsid w:val="00084074"/>
    <w:rsid w:val="0008411C"/>
    <w:rsid w:val="000841E6"/>
    <w:rsid w:val="0008428E"/>
    <w:rsid w:val="00084827"/>
    <w:rsid w:val="00084845"/>
    <w:rsid w:val="00086178"/>
    <w:rsid w:val="000864E5"/>
    <w:rsid w:val="00086CC4"/>
    <w:rsid w:val="000900E8"/>
    <w:rsid w:val="00090876"/>
    <w:rsid w:val="00090ABD"/>
    <w:rsid w:val="00090E67"/>
    <w:rsid w:val="00091CCB"/>
    <w:rsid w:val="00091DA3"/>
    <w:rsid w:val="0009235A"/>
    <w:rsid w:val="000926CA"/>
    <w:rsid w:val="000926ED"/>
    <w:rsid w:val="00092F41"/>
    <w:rsid w:val="000930AA"/>
    <w:rsid w:val="00093480"/>
    <w:rsid w:val="00093BAB"/>
    <w:rsid w:val="00093E11"/>
    <w:rsid w:val="00093E7F"/>
    <w:rsid w:val="0009472B"/>
    <w:rsid w:val="0009583D"/>
    <w:rsid w:val="00095D2F"/>
    <w:rsid w:val="00096021"/>
    <w:rsid w:val="000960D6"/>
    <w:rsid w:val="00096E04"/>
    <w:rsid w:val="000970F6"/>
    <w:rsid w:val="000976A8"/>
    <w:rsid w:val="00097A1D"/>
    <w:rsid w:val="00097C62"/>
    <w:rsid w:val="00097E69"/>
    <w:rsid w:val="000A0588"/>
    <w:rsid w:val="000A0A53"/>
    <w:rsid w:val="000A132F"/>
    <w:rsid w:val="000A172E"/>
    <w:rsid w:val="000A2152"/>
    <w:rsid w:val="000A2450"/>
    <w:rsid w:val="000A293C"/>
    <w:rsid w:val="000A2CC4"/>
    <w:rsid w:val="000A2D46"/>
    <w:rsid w:val="000A4DA9"/>
    <w:rsid w:val="000A502B"/>
    <w:rsid w:val="000A50C8"/>
    <w:rsid w:val="000A570A"/>
    <w:rsid w:val="000A58E1"/>
    <w:rsid w:val="000A5963"/>
    <w:rsid w:val="000A599F"/>
    <w:rsid w:val="000A5B78"/>
    <w:rsid w:val="000A5CB1"/>
    <w:rsid w:val="000A5CF0"/>
    <w:rsid w:val="000A6081"/>
    <w:rsid w:val="000A65C6"/>
    <w:rsid w:val="000A6A0B"/>
    <w:rsid w:val="000A6B49"/>
    <w:rsid w:val="000A73DC"/>
    <w:rsid w:val="000B07FB"/>
    <w:rsid w:val="000B1014"/>
    <w:rsid w:val="000B1400"/>
    <w:rsid w:val="000B18E3"/>
    <w:rsid w:val="000B1913"/>
    <w:rsid w:val="000B1E60"/>
    <w:rsid w:val="000B1FA2"/>
    <w:rsid w:val="000B22C4"/>
    <w:rsid w:val="000B2BBC"/>
    <w:rsid w:val="000B3025"/>
    <w:rsid w:val="000B303B"/>
    <w:rsid w:val="000B3520"/>
    <w:rsid w:val="000B38E3"/>
    <w:rsid w:val="000B390E"/>
    <w:rsid w:val="000B3FA9"/>
    <w:rsid w:val="000B422B"/>
    <w:rsid w:val="000B4309"/>
    <w:rsid w:val="000B444A"/>
    <w:rsid w:val="000B45F7"/>
    <w:rsid w:val="000B4704"/>
    <w:rsid w:val="000B4828"/>
    <w:rsid w:val="000B4A69"/>
    <w:rsid w:val="000B5112"/>
    <w:rsid w:val="000B55DE"/>
    <w:rsid w:val="000B5642"/>
    <w:rsid w:val="000B57C9"/>
    <w:rsid w:val="000B613D"/>
    <w:rsid w:val="000B6166"/>
    <w:rsid w:val="000B639E"/>
    <w:rsid w:val="000B705A"/>
    <w:rsid w:val="000B74D9"/>
    <w:rsid w:val="000C1273"/>
    <w:rsid w:val="000C14B0"/>
    <w:rsid w:val="000C1897"/>
    <w:rsid w:val="000C1C61"/>
    <w:rsid w:val="000C21C4"/>
    <w:rsid w:val="000C22CC"/>
    <w:rsid w:val="000C2E1E"/>
    <w:rsid w:val="000C3101"/>
    <w:rsid w:val="000C34A9"/>
    <w:rsid w:val="000C3A96"/>
    <w:rsid w:val="000C3CB9"/>
    <w:rsid w:val="000C413C"/>
    <w:rsid w:val="000C4293"/>
    <w:rsid w:val="000C44D1"/>
    <w:rsid w:val="000C4558"/>
    <w:rsid w:val="000C474E"/>
    <w:rsid w:val="000C4ED6"/>
    <w:rsid w:val="000C6018"/>
    <w:rsid w:val="000C63E2"/>
    <w:rsid w:val="000C6723"/>
    <w:rsid w:val="000C6D3C"/>
    <w:rsid w:val="000C758A"/>
    <w:rsid w:val="000C79BD"/>
    <w:rsid w:val="000C7AF5"/>
    <w:rsid w:val="000D05A5"/>
    <w:rsid w:val="000D0C92"/>
    <w:rsid w:val="000D0E3F"/>
    <w:rsid w:val="000D0F0D"/>
    <w:rsid w:val="000D113E"/>
    <w:rsid w:val="000D139B"/>
    <w:rsid w:val="000D18DD"/>
    <w:rsid w:val="000D2046"/>
    <w:rsid w:val="000D260E"/>
    <w:rsid w:val="000D2969"/>
    <w:rsid w:val="000D2AF7"/>
    <w:rsid w:val="000D2B52"/>
    <w:rsid w:val="000D3BC9"/>
    <w:rsid w:val="000D3FBD"/>
    <w:rsid w:val="000D40EE"/>
    <w:rsid w:val="000D4706"/>
    <w:rsid w:val="000D5036"/>
    <w:rsid w:val="000D50EB"/>
    <w:rsid w:val="000D554F"/>
    <w:rsid w:val="000D5813"/>
    <w:rsid w:val="000D5854"/>
    <w:rsid w:val="000D5872"/>
    <w:rsid w:val="000D5A55"/>
    <w:rsid w:val="000D5B05"/>
    <w:rsid w:val="000D5B06"/>
    <w:rsid w:val="000D5CE3"/>
    <w:rsid w:val="000D5D8E"/>
    <w:rsid w:val="000D6091"/>
    <w:rsid w:val="000D6301"/>
    <w:rsid w:val="000D66AD"/>
    <w:rsid w:val="000D6AA2"/>
    <w:rsid w:val="000D71AB"/>
    <w:rsid w:val="000D72B0"/>
    <w:rsid w:val="000D746B"/>
    <w:rsid w:val="000D7B18"/>
    <w:rsid w:val="000D7BB5"/>
    <w:rsid w:val="000D7D2A"/>
    <w:rsid w:val="000E00DC"/>
    <w:rsid w:val="000E07D0"/>
    <w:rsid w:val="000E0931"/>
    <w:rsid w:val="000E0A14"/>
    <w:rsid w:val="000E0A2D"/>
    <w:rsid w:val="000E0F16"/>
    <w:rsid w:val="000E1B8A"/>
    <w:rsid w:val="000E1D38"/>
    <w:rsid w:val="000E1FDC"/>
    <w:rsid w:val="000E286F"/>
    <w:rsid w:val="000E2EA1"/>
    <w:rsid w:val="000E2FE8"/>
    <w:rsid w:val="000E3D9F"/>
    <w:rsid w:val="000E3DFD"/>
    <w:rsid w:val="000E3EB5"/>
    <w:rsid w:val="000E3F82"/>
    <w:rsid w:val="000E44E6"/>
    <w:rsid w:val="000E4CCC"/>
    <w:rsid w:val="000E4FCB"/>
    <w:rsid w:val="000E5354"/>
    <w:rsid w:val="000E5E9F"/>
    <w:rsid w:val="000E5EA2"/>
    <w:rsid w:val="000E6126"/>
    <w:rsid w:val="000E6237"/>
    <w:rsid w:val="000E665F"/>
    <w:rsid w:val="000E67CF"/>
    <w:rsid w:val="000E6821"/>
    <w:rsid w:val="000E6C6C"/>
    <w:rsid w:val="000E6E96"/>
    <w:rsid w:val="000E725D"/>
    <w:rsid w:val="000E7712"/>
    <w:rsid w:val="000E7A6F"/>
    <w:rsid w:val="000E7B60"/>
    <w:rsid w:val="000F00DF"/>
    <w:rsid w:val="000F0338"/>
    <w:rsid w:val="000F09E4"/>
    <w:rsid w:val="000F0C03"/>
    <w:rsid w:val="000F0C73"/>
    <w:rsid w:val="000F1609"/>
    <w:rsid w:val="000F19AA"/>
    <w:rsid w:val="000F1BBE"/>
    <w:rsid w:val="000F2452"/>
    <w:rsid w:val="000F27DA"/>
    <w:rsid w:val="000F35B5"/>
    <w:rsid w:val="000F386F"/>
    <w:rsid w:val="000F3D4F"/>
    <w:rsid w:val="000F409C"/>
    <w:rsid w:val="000F48B5"/>
    <w:rsid w:val="000F4C81"/>
    <w:rsid w:val="000F4D23"/>
    <w:rsid w:val="000F4E82"/>
    <w:rsid w:val="000F4F98"/>
    <w:rsid w:val="000F5217"/>
    <w:rsid w:val="000F5CF3"/>
    <w:rsid w:val="000F5DD3"/>
    <w:rsid w:val="000F5E3A"/>
    <w:rsid w:val="000F5E43"/>
    <w:rsid w:val="000F5E99"/>
    <w:rsid w:val="000F6083"/>
    <w:rsid w:val="000F6391"/>
    <w:rsid w:val="000F639C"/>
    <w:rsid w:val="000F6D53"/>
    <w:rsid w:val="000F6F82"/>
    <w:rsid w:val="000F6F91"/>
    <w:rsid w:val="000F7E45"/>
    <w:rsid w:val="0010007E"/>
    <w:rsid w:val="00100B27"/>
    <w:rsid w:val="00100CB9"/>
    <w:rsid w:val="00100F20"/>
    <w:rsid w:val="00100F56"/>
    <w:rsid w:val="0010166C"/>
    <w:rsid w:val="001017ED"/>
    <w:rsid w:val="00101A7D"/>
    <w:rsid w:val="00101D0C"/>
    <w:rsid w:val="00101D66"/>
    <w:rsid w:val="00101D98"/>
    <w:rsid w:val="001022A4"/>
    <w:rsid w:val="00102403"/>
    <w:rsid w:val="00102832"/>
    <w:rsid w:val="0010313F"/>
    <w:rsid w:val="00103641"/>
    <w:rsid w:val="00103CB7"/>
    <w:rsid w:val="00104141"/>
    <w:rsid w:val="0010462B"/>
    <w:rsid w:val="0010492E"/>
    <w:rsid w:val="00104B81"/>
    <w:rsid w:val="00104F35"/>
    <w:rsid w:val="00104F4C"/>
    <w:rsid w:val="001051E0"/>
    <w:rsid w:val="001053FC"/>
    <w:rsid w:val="00105ADD"/>
    <w:rsid w:val="00106484"/>
    <w:rsid w:val="00106915"/>
    <w:rsid w:val="00106EAA"/>
    <w:rsid w:val="00106EB0"/>
    <w:rsid w:val="00110318"/>
    <w:rsid w:val="001105C4"/>
    <w:rsid w:val="00110605"/>
    <w:rsid w:val="00110C76"/>
    <w:rsid w:val="00111001"/>
    <w:rsid w:val="00111357"/>
    <w:rsid w:val="0011169E"/>
    <w:rsid w:val="001116E5"/>
    <w:rsid w:val="00111B52"/>
    <w:rsid w:val="00111F08"/>
    <w:rsid w:val="00112337"/>
    <w:rsid w:val="0011239F"/>
    <w:rsid w:val="001129E0"/>
    <w:rsid w:val="00112D13"/>
    <w:rsid w:val="0011325C"/>
    <w:rsid w:val="00113276"/>
    <w:rsid w:val="00113CFF"/>
    <w:rsid w:val="00113E4F"/>
    <w:rsid w:val="0011402F"/>
    <w:rsid w:val="00114EB4"/>
    <w:rsid w:val="001158C0"/>
    <w:rsid w:val="00115D99"/>
    <w:rsid w:val="001163B8"/>
    <w:rsid w:val="00116691"/>
    <w:rsid w:val="00116907"/>
    <w:rsid w:val="00116A67"/>
    <w:rsid w:val="00116C55"/>
    <w:rsid w:val="00116DCD"/>
    <w:rsid w:val="00117751"/>
    <w:rsid w:val="00117B5C"/>
    <w:rsid w:val="00120331"/>
    <w:rsid w:val="0012076D"/>
    <w:rsid w:val="00120B85"/>
    <w:rsid w:val="00120F2A"/>
    <w:rsid w:val="001210E9"/>
    <w:rsid w:val="00121146"/>
    <w:rsid w:val="00121548"/>
    <w:rsid w:val="001218BC"/>
    <w:rsid w:val="00121A8F"/>
    <w:rsid w:val="00122125"/>
    <w:rsid w:val="0012237C"/>
    <w:rsid w:val="00122BE5"/>
    <w:rsid w:val="00122C40"/>
    <w:rsid w:val="00122C45"/>
    <w:rsid w:val="00123152"/>
    <w:rsid w:val="001241FB"/>
    <w:rsid w:val="0012425D"/>
    <w:rsid w:val="00124402"/>
    <w:rsid w:val="001247D2"/>
    <w:rsid w:val="001247D9"/>
    <w:rsid w:val="00124A36"/>
    <w:rsid w:val="00124FD7"/>
    <w:rsid w:val="0012522C"/>
    <w:rsid w:val="0012531F"/>
    <w:rsid w:val="00126006"/>
    <w:rsid w:val="00126275"/>
    <w:rsid w:val="001264F7"/>
    <w:rsid w:val="00126D98"/>
    <w:rsid w:val="00127537"/>
    <w:rsid w:val="00127AC3"/>
    <w:rsid w:val="00130158"/>
    <w:rsid w:val="0013082D"/>
    <w:rsid w:val="00130839"/>
    <w:rsid w:val="00130FFF"/>
    <w:rsid w:val="00131038"/>
    <w:rsid w:val="001311A8"/>
    <w:rsid w:val="001315BA"/>
    <w:rsid w:val="00131BCB"/>
    <w:rsid w:val="00131C4D"/>
    <w:rsid w:val="00132634"/>
    <w:rsid w:val="00132FAA"/>
    <w:rsid w:val="00133105"/>
    <w:rsid w:val="00133BEF"/>
    <w:rsid w:val="00133F9B"/>
    <w:rsid w:val="00134486"/>
    <w:rsid w:val="001345F2"/>
    <w:rsid w:val="00134FFA"/>
    <w:rsid w:val="0013544A"/>
    <w:rsid w:val="00135493"/>
    <w:rsid w:val="001360BC"/>
    <w:rsid w:val="0013616C"/>
    <w:rsid w:val="00136CF0"/>
    <w:rsid w:val="00136ED8"/>
    <w:rsid w:val="001374CC"/>
    <w:rsid w:val="001375FA"/>
    <w:rsid w:val="00140372"/>
    <w:rsid w:val="001403C5"/>
    <w:rsid w:val="00140B70"/>
    <w:rsid w:val="00140F2F"/>
    <w:rsid w:val="00141090"/>
    <w:rsid w:val="001412A5"/>
    <w:rsid w:val="00141C4A"/>
    <w:rsid w:val="00142BF7"/>
    <w:rsid w:val="00142F72"/>
    <w:rsid w:val="001435CE"/>
    <w:rsid w:val="00143A85"/>
    <w:rsid w:val="001440B8"/>
    <w:rsid w:val="00145326"/>
    <w:rsid w:val="001467E2"/>
    <w:rsid w:val="001468ED"/>
    <w:rsid w:val="0014749E"/>
    <w:rsid w:val="001479BB"/>
    <w:rsid w:val="00147BE5"/>
    <w:rsid w:val="00150098"/>
    <w:rsid w:val="00150428"/>
    <w:rsid w:val="00150AB0"/>
    <w:rsid w:val="00150D3A"/>
    <w:rsid w:val="0015110B"/>
    <w:rsid w:val="0015110D"/>
    <w:rsid w:val="00152507"/>
    <w:rsid w:val="0015290B"/>
    <w:rsid w:val="00152C90"/>
    <w:rsid w:val="00154065"/>
    <w:rsid w:val="0015424B"/>
    <w:rsid w:val="00154334"/>
    <w:rsid w:val="00154940"/>
    <w:rsid w:val="001549A5"/>
    <w:rsid w:val="00154E40"/>
    <w:rsid w:val="00155329"/>
    <w:rsid w:val="00155BB5"/>
    <w:rsid w:val="00155D9F"/>
    <w:rsid w:val="00155FC5"/>
    <w:rsid w:val="00156657"/>
    <w:rsid w:val="00156EB0"/>
    <w:rsid w:val="0015713A"/>
    <w:rsid w:val="001576E7"/>
    <w:rsid w:val="00157D5A"/>
    <w:rsid w:val="001600A4"/>
    <w:rsid w:val="001607A3"/>
    <w:rsid w:val="00161743"/>
    <w:rsid w:val="00161CF0"/>
    <w:rsid w:val="00161E72"/>
    <w:rsid w:val="00162526"/>
    <w:rsid w:val="001627D8"/>
    <w:rsid w:val="00162945"/>
    <w:rsid w:val="00163161"/>
    <w:rsid w:val="0016367D"/>
    <w:rsid w:val="00163756"/>
    <w:rsid w:val="00163925"/>
    <w:rsid w:val="00163974"/>
    <w:rsid w:val="00163AE6"/>
    <w:rsid w:val="00163B85"/>
    <w:rsid w:val="0016514A"/>
    <w:rsid w:val="00165604"/>
    <w:rsid w:val="00165668"/>
    <w:rsid w:val="00165C21"/>
    <w:rsid w:val="00165CFD"/>
    <w:rsid w:val="001660A5"/>
    <w:rsid w:val="00166C56"/>
    <w:rsid w:val="00166DF5"/>
    <w:rsid w:val="00167C08"/>
    <w:rsid w:val="00167D8B"/>
    <w:rsid w:val="00170063"/>
    <w:rsid w:val="00171069"/>
    <w:rsid w:val="001715A3"/>
    <w:rsid w:val="001715B3"/>
    <w:rsid w:val="001722FA"/>
    <w:rsid w:val="00172332"/>
    <w:rsid w:val="001725AD"/>
    <w:rsid w:val="00172643"/>
    <w:rsid w:val="0017287B"/>
    <w:rsid w:val="00172BD5"/>
    <w:rsid w:val="00172C47"/>
    <w:rsid w:val="001730B7"/>
    <w:rsid w:val="00173D8A"/>
    <w:rsid w:val="0017430E"/>
    <w:rsid w:val="001753CA"/>
    <w:rsid w:val="00175FFC"/>
    <w:rsid w:val="00176038"/>
    <w:rsid w:val="00176127"/>
    <w:rsid w:val="001762F7"/>
    <w:rsid w:val="0017648F"/>
    <w:rsid w:val="00176534"/>
    <w:rsid w:val="001765A1"/>
    <w:rsid w:val="0017660C"/>
    <w:rsid w:val="00176641"/>
    <w:rsid w:val="00176835"/>
    <w:rsid w:val="0017693C"/>
    <w:rsid w:val="00176E2D"/>
    <w:rsid w:val="001774CF"/>
    <w:rsid w:val="00177545"/>
    <w:rsid w:val="001776BB"/>
    <w:rsid w:val="001800B4"/>
    <w:rsid w:val="001809C6"/>
    <w:rsid w:val="001811A9"/>
    <w:rsid w:val="0018131B"/>
    <w:rsid w:val="00181911"/>
    <w:rsid w:val="00181D35"/>
    <w:rsid w:val="0018261B"/>
    <w:rsid w:val="00182B22"/>
    <w:rsid w:val="00182C5B"/>
    <w:rsid w:val="00182DDA"/>
    <w:rsid w:val="00182E23"/>
    <w:rsid w:val="001831CD"/>
    <w:rsid w:val="00183552"/>
    <w:rsid w:val="0018393F"/>
    <w:rsid w:val="00183B84"/>
    <w:rsid w:val="001840A3"/>
    <w:rsid w:val="00184B5C"/>
    <w:rsid w:val="00184B6A"/>
    <w:rsid w:val="00184C85"/>
    <w:rsid w:val="0018507C"/>
    <w:rsid w:val="0018520D"/>
    <w:rsid w:val="0018524F"/>
    <w:rsid w:val="0018571A"/>
    <w:rsid w:val="00185889"/>
    <w:rsid w:val="00185B0C"/>
    <w:rsid w:val="00185C73"/>
    <w:rsid w:val="001860DA"/>
    <w:rsid w:val="001864FF"/>
    <w:rsid w:val="00186C97"/>
    <w:rsid w:val="00186D69"/>
    <w:rsid w:val="00186E8F"/>
    <w:rsid w:val="00186FB5"/>
    <w:rsid w:val="00186FB8"/>
    <w:rsid w:val="00190044"/>
    <w:rsid w:val="00190290"/>
    <w:rsid w:val="00190CE0"/>
    <w:rsid w:val="00190F6D"/>
    <w:rsid w:val="001910F2"/>
    <w:rsid w:val="0019182D"/>
    <w:rsid w:val="00191CAF"/>
    <w:rsid w:val="001921EC"/>
    <w:rsid w:val="0019234A"/>
    <w:rsid w:val="001927F8"/>
    <w:rsid w:val="001930DA"/>
    <w:rsid w:val="0019353F"/>
    <w:rsid w:val="0019377A"/>
    <w:rsid w:val="00193958"/>
    <w:rsid w:val="00193D17"/>
    <w:rsid w:val="00194374"/>
    <w:rsid w:val="00194735"/>
    <w:rsid w:val="001947A2"/>
    <w:rsid w:val="0019504A"/>
    <w:rsid w:val="00195440"/>
    <w:rsid w:val="00195639"/>
    <w:rsid w:val="0019587B"/>
    <w:rsid w:val="001959FB"/>
    <w:rsid w:val="0019654C"/>
    <w:rsid w:val="00196E9A"/>
    <w:rsid w:val="00197115"/>
    <w:rsid w:val="0019760A"/>
    <w:rsid w:val="001976B8"/>
    <w:rsid w:val="00197750"/>
    <w:rsid w:val="00197E78"/>
    <w:rsid w:val="001A039A"/>
    <w:rsid w:val="001A03A4"/>
    <w:rsid w:val="001A057E"/>
    <w:rsid w:val="001A092A"/>
    <w:rsid w:val="001A093A"/>
    <w:rsid w:val="001A0C20"/>
    <w:rsid w:val="001A0F21"/>
    <w:rsid w:val="001A0F88"/>
    <w:rsid w:val="001A14FB"/>
    <w:rsid w:val="001A153C"/>
    <w:rsid w:val="001A21CD"/>
    <w:rsid w:val="001A27B2"/>
    <w:rsid w:val="001A29BB"/>
    <w:rsid w:val="001A2DC2"/>
    <w:rsid w:val="001A3584"/>
    <w:rsid w:val="001A38C9"/>
    <w:rsid w:val="001A3999"/>
    <w:rsid w:val="001A39E1"/>
    <w:rsid w:val="001A403F"/>
    <w:rsid w:val="001A4725"/>
    <w:rsid w:val="001A48DA"/>
    <w:rsid w:val="001A4B7D"/>
    <w:rsid w:val="001A5635"/>
    <w:rsid w:val="001A59E3"/>
    <w:rsid w:val="001A5F70"/>
    <w:rsid w:val="001A60D6"/>
    <w:rsid w:val="001A644E"/>
    <w:rsid w:val="001A69FB"/>
    <w:rsid w:val="001A704B"/>
    <w:rsid w:val="001B037E"/>
    <w:rsid w:val="001B0815"/>
    <w:rsid w:val="001B0900"/>
    <w:rsid w:val="001B0B22"/>
    <w:rsid w:val="001B17FB"/>
    <w:rsid w:val="001B1ABF"/>
    <w:rsid w:val="001B1F38"/>
    <w:rsid w:val="001B2BEC"/>
    <w:rsid w:val="001B2E0B"/>
    <w:rsid w:val="001B30D0"/>
    <w:rsid w:val="001B354A"/>
    <w:rsid w:val="001B3AED"/>
    <w:rsid w:val="001B3C81"/>
    <w:rsid w:val="001B3D61"/>
    <w:rsid w:val="001B4128"/>
    <w:rsid w:val="001B41B8"/>
    <w:rsid w:val="001B428F"/>
    <w:rsid w:val="001B478C"/>
    <w:rsid w:val="001B4CF0"/>
    <w:rsid w:val="001B4DDF"/>
    <w:rsid w:val="001B4ECD"/>
    <w:rsid w:val="001B4F33"/>
    <w:rsid w:val="001B53C3"/>
    <w:rsid w:val="001B5630"/>
    <w:rsid w:val="001B5654"/>
    <w:rsid w:val="001B5861"/>
    <w:rsid w:val="001B5918"/>
    <w:rsid w:val="001B5DC4"/>
    <w:rsid w:val="001B60F9"/>
    <w:rsid w:val="001B6ECA"/>
    <w:rsid w:val="001B6F92"/>
    <w:rsid w:val="001B7733"/>
    <w:rsid w:val="001B7A78"/>
    <w:rsid w:val="001B7B23"/>
    <w:rsid w:val="001C00A2"/>
    <w:rsid w:val="001C02E8"/>
    <w:rsid w:val="001C0940"/>
    <w:rsid w:val="001C0FF0"/>
    <w:rsid w:val="001C1196"/>
    <w:rsid w:val="001C12EB"/>
    <w:rsid w:val="001C15CE"/>
    <w:rsid w:val="001C1DBD"/>
    <w:rsid w:val="001C26B6"/>
    <w:rsid w:val="001C284A"/>
    <w:rsid w:val="001C2BF1"/>
    <w:rsid w:val="001C42E6"/>
    <w:rsid w:val="001C4B38"/>
    <w:rsid w:val="001C4EF8"/>
    <w:rsid w:val="001C5139"/>
    <w:rsid w:val="001C5182"/>
    <w:rsid w:val="001C54DE"/>
    <w:rsid w:val="001C5BD7"/>
    <w:rsid w:val="001C6742"/>
    <w:rsid w:val="001C691B"/>
    <w:rsid w:val="001C719B"/>
    <w:rsid w:val="001C7289"/>
    <w:rsid w:val="001C7626"/>
    <w:rsid w:val="001C7A05"/>
    <w:rsid w:val="001C7EA7"/>
    <w:rsid w:val="001D0260"/>
    <w:rsid w:val="001D0399"/>
    <w:rsid w:val="001D04DA"/>
    <w:rsid w:val="001D071B"/>
    <w:rsid w:val="001D0D86"/>
    <w:rsid w:val="001D115F"/>
    <w:rsid w:val="001D158F"/>
    <w:rsid w:val="001D193D"/>
    <w:rsid w:val="001D1DED"/>
    <w:rsid w:val="001D1FFB"/>
    <w:rsid w:val="001D26E6"/>
    <w:rsid w:val="001D2806"/>
    <w:rsid w:val="001D288D"/>
    <w:rsid w:val="001D3231"/>
    <w:rsid w:val="001D3739"/>
    <w:rsid w:val="001D3B95"/>
    <w:rsid w:val="001D3D03"/>
    <w:rsid w:val="001D4079"/>
    <w:rsid w:val="001D455F"/>
    <w:rsid w:val="001D46A5"/>
    <w:rsid w:val="001D4777"/>
    <w:rsid w:val="001D498C"/>
    <w:rsid w:val="001D4AC2"/>
    <w:rsid w:val="001D4EA8"/>
    <w:rsid w:val="001D4F4B"/>
    <w:rsid w:val="001D51BE"/>
    <w:rsid w:val="001D59AC"/>
    <w:rsid w:val="001D5EB1"/>
    <w:rsid w:val="001D5EE7"/>
    <w:rsid w:val="001D6C14"/>
    <w:rsid w:val="001D7373"/>
    <w:rsid w:val="001D77F9"/>
    <w:rsid w:val="001E0744"/>
    <w:rsid w:val="001E083D"/>
    <w:rsid w:val="001E0C8F"/>
    <w:rsid w:val="001E11E6"/>
    <w:rsid w:val="001E143B"/>
    <w:rsid w:val="001E1550"/>
    <w:rsid w:val="001E17A2"/>
    <w:rsid w:val="001E19FF"/>
    <w:rsid w:val="001E236C"/>
    <w:rsid w:val="001E2B09"/>
    <w:rsid w:val="001E2F0C"/>
    <w:rsid w:val="001E2FE7"/>
    <w:rsid w:val="001E3040"/>
    <w:rsid w:val="001E327C"/>
    <w:rsid w:val="001E3887"/>
    <w:rsid w:val="001E3BBB"/>
    <w:rsid w:val="001E3D53"/>
    <w:rsid w:val="001E3DAD"/>
    <w:rsid w:val="001E3F40"/>
    <w:rsid w:val="001E46CD"/>
    <w:rsid w:val="001E4889"/>
    <w:rsid w:val="001E4C70"/>
    <w:rsid w:val="001E5B87"/>
    <w:rsid w:val="001E6119"/>
    <w:rsid w:val="001E6D82"/>
    <w:rsid w:val="001E70C8"/>
    <w:rsid w:val="001E76B1"/>
    <w:rsid w:val="001E7D8C"/>
    <w:rsid w:val="001E7F0B"/>
    <w:rsid w:val="001F0541"/>
    <w:rsid w:val="001F1838"/>
    <w:rsid w:val="001F1BF2"/>
    <w:rsid w:val="001F2090"/>
    <w:rsid w:val="001F28BE"/>
    <w:rsid w:val="001F2EF5"/>
    <w:rsid w:val="001F33D1"/>
    <w:rsid w:val="001F3656"/>
    <w:rsid w:val="001F408C"/>
    <w:rsid w:val="001F45B6"/>
    <w:rsid w:val="001F4D6D"/>
    <w:rsid w:val="001F4F22"/>
    <w:rsid w:val="001F5CC7"/>
    <w:rsid w:val="001F5FFF"/>
    <w:rsid w:val="001F6896"/>
    <w:rsid w:val="001F6A0B"/>
    <w:rsid w:val="001F6A56"/>
    <w:rsid w:val="001F6C16"/>
    <w:rsid w:val="001F721A"/>
    <w:rsid w:val="001F721E"/>
    <w:rsid w:val="001F73EB"/>
    <w:rsid w:val="001F7553"/>
    <w:rsid w:val="001F761D"/>
    <w:rsid w:val="001F7DA8"/>
    <w:rsid w:val="001F7DC1"/>
    <w:rsid w:val="0020000D"/>
    <w:rsid w:val="00200D43"/>
    <w:rsid w:val="00200EE6"/>
    <w:rsid w:val="00201A42"/>
    <w:rsid w:val="00201F58"/>
    <w:rsid w:val="00201FB1"/>
    <w:rsid w:val="00202005"/>
    <w:rsid w:val="0020257F"/>
    <w:rsid w:val="0020280E"/>
    <w:rsid w:val="00202E23"/>
    <w:rsid w:val="00203118"/>
    <w:rsid w:val="0020345F"/>
    <w:rsid w:val="00203CE4"/>
    <w:rsid w:val="00203F67"/>
    <w:rsid w:val="00204D60"/>
    <w:rsid w:val="00205170"/>
    <w:rsid w:val="00205402"/>
    <w:rsid w:val="0020718D"/>
    <w:rsid w:val="00207598"/>
    <w:rsid w:val="002078F3"/>
    <w:rsid w:val="00207A6E"/>
    <w:rsid w:val="00207BAA"/>
    <w:rsid w:val="002104FD"/>
    <w:rsid w:val="0021079B"/>
    <w:rsid w:val="00210A4E"/>
    <w:rsid w:val="00211561"/>
    <w:rsid w:val="00211A3B"/>
    <w:rsid w:val="00212129"/>
    <w:rsid w:val="00213171"/>
    <w:rsid w:val="00213AC6"/>
    <w:rsid w:val="00213F7B"/>
    <w:rsid w:val="00214C96"/>
    <w:rsid w:val="0021500D"/>
    <w:rsid w:val="00215A4A"/>
    <w:rsid w:val="00215E3E"/>
    <w:rsid w:val="00216160"/>
    <w:rsid w:val="002166DE"/>
    <w:rsid w:val="002167B4"/>
    <w:rsid w:val="00217489"/>
    <w:rsid w:val="00217F22"/>
    <w:rsid w:val="0022023F"/>
    <w:rsid w:val="00220309"/>
    <w:rsid w:val="002203D0"/>
    <w:rsid w:val="00220730"/>
    <w:rsid w:val="0022091F"/>
    <w:rsid w:val="00220A39"/>
    <w:rsid w:val="0022129E"/>
    <w:rsid w:val="00221565"/>
    <w:rsid w:val="002217C7"/>
    <w:rsid w:val="00221D0F"/>
    <w:rsid w:val="00221D9A"/>
    <w:rsid w:val="00221E6B"/>
    <w:rsid w:val="002221F4"/>
    <w:rsid w:val="002230B3"/>
    <w:rsid w:val="00223213"/>
    <w:rsid w:val="00223B06"/>
    <w:rsid w:val="00223EB9"/>
    <w:rsid w:val="00224B4D"/>
    <w:rsid w:val="002252BF"/>
    <w:rsid w:val="0022551D"/>
    <w:rsid w:val="002257BE"/>
    <w:rsid w:val="002261FE"/>
    <w:rsid w:val="002263D1"/>
    <w:rsid w:val="00226996"/>
    <w:rsid w:val="00226F79"/>
    <w:rsid w:val="00226FDA"/>
    <w:rsid w:val="0022787F"/>
    <w:rsid w:val="00227CA8"/>
    <w:rsid w:val="00227DFE"/>
    <w:rsid w:val="0023046D"/>
    <w:rsid w:val="002306B3"/>
    <w:rsid w:val="00230C23"/>
    <w:rsid w:val="002310B0"/>
    <w:rsid w:val="00231218"/>
    <w:rsid w:val="00231323"/>
    <w:rsid w:val="00231837"/>
    <w:rsid w:val="00231D01"/>
    <w:rsid w:val="00232546"/>
    <w:rsid w:val="002326AD"/>
    <w:rsid w:val="00232923"/>
    <w:rsid w:val="00232C65"/>
    <w:rsid w:val="00232CAC"/>
    <w:rsid w:val="002332D5"/>
    <w:rsid w:val="0023377E"/>
    <w:rsid w:val="002337FC"/>
    <w:rsid w:val="0023394E"/>
    <w:rsid w:val="00233EB7"/>
    <w:rsid w:val="00234535"/>
    <w:rsid w:val="002354B1"/>
    <w:rsid w:val="00235B09"/>
    <w:rsid w:val="00235F70"/>
    <w:rsid w:val="0023607B"/>
    <w:rsid w:val="00236E07"/>
    <w:rsid w:val="00236EDA"/>
    <w:rsid w:val="002379F6"/>
    <w:rsid w:val="002406B0"/>
    <w:rsid w:val="00241259"/>
    <w:rsid w:val="00241350"/>
    <w:rsid w:val="0024198D"/>
    <w:rsid w:val="00241A5F"/>
    <w:rsid w:val="00241B21"/>
    <w:rsid w:val="00241C32"/>
    <w:rsid w:val="00242097"/>
    <w:rsid w:val="002420B1"/>
    <w:rsid w:val="00242234"/>
    <w:rsid w:val="002422D7"/>
    <w:rsid w:val="002423DE"/>
    <w:rsid w:val="0024338D"/>
    <w:rsid w:val="00244B8B"/>
    <w:rsid w:val="00244C01"/>
    <w:rsid w:val="00244C14"/>
    <w:rsid w:val="00244CF9"/>
    <w:rsid w:val="00244D09"/>
    <w:rsid w:val="00244D14"/>
    <w:rsid w:val="00244E00"/>
    <w:rsid w:val="0024565F"/>
    <w:rsid w:val="002459CA"/>
    <w:rsid w:val="002459CC"/>
    <w:rsid w:val="00245AC8"/>
    <w:rsid w:val="00245DB0"/>
    <w:rsid w:val="002468B0"/>
    <w:rsid w:val="002468C4"/>
    <w:rsid w:val="00246CD3"/>
    <w:rsid w:val="00247940"/>
    <w:rsid w:val="00247E15"/>
    <w:rsid w:val="0025021B"/>
    <w:rsid w:val="00250FA6"/>
    <w:rsid w:val="002515AE"/>
    <w:rsid w:val="002518CE"/>
    <w:rsid w:val="00252288"/>
    <w:rsid w:val="002526D7"/>
    <w:rsid w:val="002526EF"/>
    <w:rsid w:val="00252868"/>
    <w:rsid w:val="00252C49"/>
    <w:rsid w:val="00252E47"/>
    <w:rsid w:val="002539EF"/>
    <w:rsid w:val="00253FDC"/>
    <w:rsid w:val="002544AB"/>
    <w:rsid w:val="002545A4"/>
    <w:rsid w:val="002553E3"/>
    <w:rsid w:val="00255BCC"/>
    <w:rsid w:val="00256D84"/>
    <w:rsid w:val="00256E83"/>
    <w:rsid w:val="002571FC"/>
    <w:rsid w:val="00257572"/>
    <w:rsid w:val="00257E67"/>
    <w:rsid w:val="00260358"/>
    <w:rsid w:val="002603A5"/>
    <w:rsid w:val="0026051E"/>
    <w:rsid w:val="0026059A"/>
    <w:rsid w:val="00260B9B"/>
    <w:rsid w:val="002612C3"/>
    <w:rsid w:val="0026211C"/>
    <w:rsid w:val="00262931"/>
    <w:rsid w:val="00262D98"/>
    <w:rsid w:val="002630EB"/>
    <w:rsid w:val="00263709"/>
    <w:rsid w:val="0026383B"/>
    <w:rsid w:val="002639DD"/>
    <w:rsid w:val="0026422A"/>
    <w:rsid w:val="0026423D"/>
    <w:rsid w:val="00264DB2"/>
    <w:rsid w:val="002652A4"/>
    <w:rsid w:val="002654AE"/>
    <w:rsid w:val="00265822"/>
    <w:rsid w:val="00265C3E"/>
    <w:rsid w:val="00265CAE"/>
    <w:rsid w:val="00265CBE"/>
    <w:rsid w:val="002665E0"/>
    <w:rsid w:val="0026680B"/>
    <w:rsid w:val="00266C3B"/>
    <w:rsid w:val="00267294"/>
    <w:rsid w:val="002673BA"/>
    <w:rsid w:val="00270021"/>
    <w:rsid w:val="00270CE6"/>
    <w:rsid w:val="00270CFC"/>
    <w:rsid w:val="00270D46"/>
    <w:rsid w:val="00271B8B"/>
    <w:rsid w:val="00271C99"/>
    <w:rsid w:val="00271CF6"/>
    <w:rsid w:val="00271DED"/>
    <w:rsid w:val="002728B6"/>
    <w:rsid w:val="00272A57"/>
    <w:rsid w:val="00272D91"/>
    <w:rsid w:val="0027324F"/>
    <w:rsid w:val="00273409"/>
    <w:rsid w:val="00274079"/>
    <w:rsid w:val="0027438D"/>
    <w:rsid w:val="00274C76"/>
    <w:rsid w:val="00274DDE"/>
    <w:rsid w:val="0027520F"/>
    <w:rsid w:val="00275B7F"/>
    <w:rsid w:val="00275D0B"/>
    <w:rsid w:val="0027655D"/>
    <w:rsid w:val="0027699A"/>
    <w:rsid w:val="00276A37"/>
    <w:rsid w:val="00276D52"/>
    <w:rsid w:val="00277168"/>
    <w:rsid w:val="002778F7"/>
    <w:rsid w:val="002778F8"/>
    <w:rsid w:val="00280389"/>
    <w:rsid w:val="002806E3"/>
    <w:rsid w:val="00280830"/>
    <w:rsid w:val="00280900"/>
    <w:rsid w:val="002809DE"/>
    <w:rsid w:val="00280A10"/>
    <w:rsid w:val="00280F55"/>
    <w:rsid w:val="00280F7C"/>
    <w:rsid w:val="00281171"/>
    <w:rsid w:val="0028143A"/>
    <w:rsid w:val="00282396"/>
    <w:rsid w:val="0028255C"/>
    <w:rsid w:val="0028285D"/>
    <w:rsid w:val="00282C53"/>
    <w:rsid w:val="00282D72"/>
    <w:rsid w:val="00282F6D"/>
    <w:rsid w:val="00282F90"/>
    <w:rsid w:val="00283460"/>
    <w:rsid w:val="00283DA5"/>
    <w:rsid w:val="00283ECA"/>
    <w:rsid w:val="002840EB"/>
    <w:rsid w:val="002842F1"/>
    <w:rsid w:val="00284C4A"/>
    <w:rsid w:val="00285594"/>
    <w:rsid w:val="00285AA2"/>
    <w:rsid w:val="00285E51"/>
    <w:rsid w:val="002862E5"/>
    <w:rsid w:val="00286369"/>
    <w:rsid w:val="0028646A"/>
    <w:rsid w:val="00286DA5"/>
    <w:rsid w:val="00286E30"/>
    <w:rsid w:val="00286F04"/>
    <w:rsid w:val="00286F98"/>
    <w:rsid w:val="002870C9"/>
    <w:rsid w:val="00287270"/>
    <w:rsid w:val="00287488"/>
    <w:rsid w:val="00287BE1"/>
    <w:rsid w:val="00287CD4"/>
    <w:rsid w:val="00290270"/>
    <w:rsid w:val="00290362"/>
    <w:rsid w:val="00290AB1"/>
    <w:rsid w:val="00290D82"/>
    <w:rsid w:val="00290E88"/>
    <w:rsid w:val="002914C5"/>
    <w:rsid w:val="00291D07"/>
    <w:rsid w:val="00291F83"/>
    <w:rsid w:val="00292057"/>
    <w:rsid w:val="00292525"/>
    <w:rsid w:val="00292555"/>
    <w:rsid w:val="002931F9"/>
    <w:rsid w:val="0029320C"/>
    <w:rsid w:val="002933B7"/>
    <w:rsid w:val="00293886"/>
    <w:rsid w:val="002939E5"/>
    <w:rsid w:val="00293CAA"/>
    <w:rsid w:val="00293F94"/>
    <w:rsid w:val="00293FEC"/>
    <w:rsid w:val="002948BF"/>
    <w:rsid w:val="00294A63"/>
    <w:rsid w:val="00294C7F"/>
    <w:rsid w:val="00295B87"/>
    <w:rsid w:val="00295E41"/>
    <w:rsid w:val="00295F13"/>
    <w:rsid w:val="00296101"/>
    <w:rsid w:val="002962C0"/>
    <w:rsid w:val="002968D6"/>
    <w:rsid w:val="0029724D"/>
    <w:rsid w:val="00297626"/>
    <w:rsid w:val="00297811"/>
    <w:rsid w:val="002978CF"/>
    <w:rsid w:val="002A04BA"/>
    <w:rsid w:val="002A067F"/>
    <w:rsid w:val="002A0E70"/>
    <w:rsid w:val="002A0E71"/>
    <w:rsid w:val="002A15D4"/>
    <w:rsid w:val="002A1A8E"/>
    <w:rsid w:val="002A2081"/>
    <w:rsid w:val="002A2FBC"/>
    <w:rsid w:val="002A33FD"/>
    <w:rsid w:val="002A35C9"/>
    <w:rsid w:val="002A3C7E"/>
    <w:rsid w:val="002A4175"/>
    <w:rsid w:val="002A4973"/>
    <w:rsid w:val="002A597D"/>
    <w:rsid w:val="002A5A78"/>
    <w:rsid w:val="002A62D6"/>
    <w:rsid w:val="002A6563"/>
    <w:rsid w:val="002A65BA"/>
    <w:rsid w:val="002A67EC"/>
    <w:rsid w:val="002A68DD"/>
    <w:rsid w:val="002A6A14"/>
    <w:rsid w:val="002A6DC1"/>
    <w:rsid w:val="002A73F0"/>
    <w:rsid w:val="002A7726"/>
    <w:rsid w:val="002A7D17"/>
    <w:rsid w:val="002B0099"/>
    <w:rsid w:val="002B0257"/>
    <w:rsid w:val="002B0ABC"/>
    <w:rsid w:val="002B0DCA"/>
    <w:rsid w:val="002B0FC5"/>
    <w:rsid w:val="002B1B0A"/>
    <w:rsid w:val="002B1F7D"/>
    <w:rsid w:val="002B1F98"/>
    <w:rsid w:val="002B2CC5"/>
    <w:rsid w:val="002B3EDF"/>
    <w:rsid w:val="002B4A66"/>
    <w:rsid w:val="002B4CEA"/>
    <w:rsid w:val="002B52EA"/>
    <w:rsid w:val="002B5822"/>
    <w:rsid w:val="002B59B6"/>
    <w:rsid w:val="002B5B26"/>
    <w:rsid w:val="002B5D01"/>
    <w:rsid w:val="002B679A"/>
    <w:rsid w:val="002B6C0F"/>
    <w:rsid w:val="002B6DF8"/>
    <w:rsid w:val="002B7283"/>
    <w:rsid w:val="002B7464"/>
    <w:rsid w:val="002C119F"/>
    <w:rsid w:val="002C17D4"/>
    <w:rsid w:val="002C18B8"/>
    <w:rsid w:val="002C2038"/>
    <w:rsid w:val="002C2DF9"/>
    <w:rsid w:val="002C3D83"/>
    <w:rsid w:val="002C491F"/>
    <w:rsid w:val="002C4F7C"/>
    <w:rsid w:val="002C5084"/>
    <w:rsid w:val="002C53D4"/>
    <w:rsid w:val="002C5428"/>
    <w:rsid w:val="002C5A92"/>
    <w:rsid w:val="002C6174"/>
    <w:rsid w:val="002C6695"/>
    <w:rsid w:val="002C72AC"/>
    <w:rsid w:val="002C72CD"/>
    <w:rsid w:val="002C7D23"/>
    <w:rsid w:val="002D066C"/>
    <w:rsid w:val="002D06F8"/>
    <w:rsid w:val="002D0911"/>
    <w:rsid w:val="002D0D16"/>
    <w:rsid w:val="002D11A8"/>
    <w:rsid w:val="002D12AB"/>
    <w:rsid w:val="002D189C"/>
    <w:rsid w:val="002D1E60"/>
    <w:rsid w:val="002D1FC7"/>
    <w:rsid w:val="002D2333"/>
    <w:rsid w:val="002D2533"/>
    <w:rsid w:val="002D2956"/>
    <w:rsid w:val="002D3774"/>
    <w:rsid w:val="002D3F5B"/>
    <w:rsid w:val="002D40A2"/>
    <w:rsid w:val="002D427D"/>
    <w:rsid w:val="002D47C4"/>
    <w:rsid w:val="002D48BF"/>
    <w:rsid w:val="002D49BE"/>
    <w:rsid w:val="002D4DC4"/>
    <w:rsid w:val="002D5007"/>
    <w:rsid w:val="002D5677"/>
    <w:rsid w:val="002D581F"/>
    <w:rsid w:val="002D58EE"/>
    <w:rsid w:val="002D5C1F"/>
    <w:rsid w:val="002D5FA1"/>
    <w:rsid w:val="002D6543"/>
    <w:rsid w:val="002D66BC"/>
    <w:rsid w:val="002D6A33"/>
    <w:rsid w:val="002D6B5D"/>
    <w:rsid w:val="002D6B91"/>
    <w:rsid w:val="002D708F"/>
    <w:rsid w:val="002D7539"/>
    <w:rsid w:val="002D759E"/>
    <w:rsid w:val="002D7D15"/>
    <w:rsid w:val="002D7DDB"/>
    <w:rsid w:val="002D7FB6"/>
    <w:rsid w:val="002E031A"/>
    <w:rsid w:val="002E1242"/>
    <w:rsid w:val="002E1324"/>
    <w:rsid w:val="002E1936"/>
    <w:rsid w:val="002E19D2"/>
    <w:rsid w:val="002E1E5D"/>
    <w:rsid w:val="002E2118"/>
    <w:rsid w:val="002E2442"/>
    <w:rsid w:val="002E2E60"/>
    <w:rsid w:val="002E3023"/>
    <w:rsid w:val="002E31AF"/>
    <w:rsid w:val="002E37B6"/>
    <w:rsid w:val="002E3828"/>
    <w:rsid w:val="002E3C20"/>
    <w:rsid w:val="002E3F7C"/>
    <w:rsid w:val="002E460A"/>
    <w:rsid w:val="002E4796"/>
    <w:rsid w:val="002E4CBC"/>
    <w:rsid w:val="002E58FE"/>
    <w:rsid w:val="002E617F"/>
    <w:rsid w:val="002E63B8"/>
    <w:rsid w:val="002E63F9"/>
    <w:rsid w:val="002E670A"/>
    <w:rsid w:val="002E6E81"/>
    <w:rsid w:val="002E7096"/>
    <w:rsid w:val="002E7BBE"/>
    <w:rsid w:val="002E7CAC"/>
    <w:rsid w:val="002F032A"/>
    <w:rsid w:val="002F0433"/>
    <w:rsid w:val="002F0EBF"/>
    <w:rsid w:val="002F1666"/>
    <w:rsid w:val="002F1938"/>
    <w:rsid w:val="002F1CF5"/>
    <w:rsid w:val="002F1D72"/>
    <w:rsid w:val="002F1FB6"/>
    <w:rsid w:val="002F260B"/>
    <w:rsid w:val="002F2AA4"/>
    <w:rsid w:val="002F2F75"/>
    <w:rsid w:val="002F3020"/>
    <w:rsid w:val="002F34F0"/>
    <w:rsid w:val="002F3C37"/>
    <w:rsid w:val="002F3CE4"/>
    <w:rsid w:val="002F52EF"/>
    <w:rsid w:val="002F569A"/>
    <w:rsid w:val="002F5A17"/>
    <w:rsid w:val="002F5B0A"/>
    <w:rsid w:val="002F5E98"/>
    <w:rsid w:val="002F61E8"/>
    <w:rsid w:val="002F6CA0"/>
    <w:rsid w:val="002F7283"/>
    <w:rsid w:val="003003BC"/>
    <w:rsid w:val="0030059A"/>
    <w:rsid w:val="0030082C"/>
    <w:rsid w:val="00300DF3"/>
    <w:rsid w:val="00300F6B"/>
    <w:rsid w:val="00301501"/>
    <w:rsid w:val="003017C4"/>
    <w:rsid w:val="003017EB"/>
    <w:rsid w:val="00301908"/>
    <w:rsid w:val="00301C27"/>
    <w:rsid w:val="00301C75"/>
    <w:rsid w:val="00302076"/>
    <w:rsid w:val="003020B5"/>
    <w:rsid w:val="00302119"/>
    <w:rsid w:val="00302313"/>
    <w:rsid w:val="0030249D"/>
    <w:rsid w:val="00302D18"/>
    <w:rsid w:val="003037C8"/>
    <w:rsid w:val="00303845"/>
    <w:rsid w:val="00303B28"/>
    <w:rsid w:val="00303B66"/>
    <w:rsid w:val="00303C9D"/>
    <w:rsid w:val="00303EAC"/>
    <w:rsid w:val="00303EEC"/>
    <w:rsid w:val="003049F9"/>
    <w:rsid w:val="00304B8D"/>
    <w:rsid w:val="0030535E"/>
    <w:rsid w:val="00305562"/>
    <w:rsid w:val="00305AC9"/>
    <w:rsid w:val="00305C79"/>
    <w:rsid w:val="00305CA2"/>
    <w:rsid w:val="00306191"/>
    <w:rsid w:val="00306492"/>
    <w:rsid w:val="00306702"/>
    <w:rsid w:val="003067DB"/>
    <w:rsid w:val="00307913"/>
    <w:rsid w:val="00307BB0"/>
    <w:rsid w:val="00307C8F"/>
    <w:rsid w:val="0031016D"/>
    <w:rsid w:val="00310175"/>
    <w:rsid w:val="0031051C"/>
    <w:rsid w:val="00310853"/>
    <w:rsid w:val="00311389"/>
    <w:rsid w:val="00311FE7"/>
    <w:rsid w:val="00312278"/>
    <w:rsid w:val="0031267B"/>
    <w:rsid w:val="003127A5"/>
    <w:rsid w:val="0031336B"/>
    <w:rsid w:val="003136B0"/>
    <w:rsid w:val="00313769"/>
    <w:rsid w:val="003137FB"/>
    <w:rsid w:val="0031388E"/>
    <w:rsid w:val="00313AC6"/>
    <w:rsid w:val="003140B5"/>
    <w:rsid w:val="00314227"/>
    <w:rsid w:val="003146A9"/>
    <w:rsid w:val="0031516B"/>
    <w:rsid w:val="00315322"/>
    <w:rsid w:val="003159A3"/>
    <w:rsid w:val="00315A19"/>
    <w:rsid w:val="00315D01"/>
    <w:rsid w:val="00315D91"/>
    <w:rsid w:val="00315E96"/>
    <w:rsid w:val="00316D28"/>
    <w:rsid w:val="0031733D"/>
    <w:rsid w:val="00317380"/>
    <w:rsid w:val="00320272"/>
    <w:rsid w:val="0032099F"/>
    <w:rsid w:val="00320AB5"/>
    <w:rsid w:val="00321469"/>
    <w:rsid w:val="003215E6"/>
    <w:rsid w:val="0032213E"/>
    <w:rsid w:val="0032396C"/>
    <w:rsid w:val="0032483A"/>
    <w:rsid w:val="003248E3"/>
    <w:rsid w:val="00325640"/>
    <w:rsid w:val="00325733"/>
    <w:rsid w:val="00325A8D"/>
    <w:rsid w:val="0032606D"/>
    <w:rsid w:val="00326DD6"/>
    <w:rsid w:val="0032762A"/>
    <w:rsid w:val="003300D6"/>
    <w:rsid w:val="003306AC"/>
    <w:rsid w:val="00330762"/>
    <w:rsid w:val="003308C5"/>
    <w:rsid w:val="00330AE3"/>
    <w:rsid w:val="00330C57"/>
    <w:rsid w:val="003314E1"/>
    <w:rsid w:val="0033191B"/>
    <w:rsid w:val="00331A8D"/>
    <w:rsid w:val="00331F84"/>
    <w:rsid w:val="0033224E"/>
    <w:rsid w:val="00332296"/>
    <w:rsid w:val="003328E8"/>
    <w:rsid w:val="00332DFE"/>
    <w:rsid w:val="00332F0C"/>
    <w:rsid w:val="00332FCD"/>
    <w:rsid w:val="00333094"/>
    <w:rsid w:val="00333A93"/>
    <w:rsid w:val="00333EAE"/>
    <w:rsid w:val="00334282"/>
    <w:rsid w:val="00334BDC"/>
    <w:rsid w:val="00335024"/>
    <w:rsid w:val="003351B0"/>
    <w:rsid w:val="00335353"/>
    <w:rsid w:val="0033674B"/>
    <w:rsid w:val="00336C03"/>
    <w:rsid w:val="0033705B"/>
    <w:rsid w:val="003371F2"/>
    <w:rsid w:val="00337311"/>
    <w:rsid w:val="003376AA"/>
    <w:rsid w:val="00337A09"/>
    <w:rsid w:val="00340356"/>
    <w:rsid w:val="00340BF0"/>
    <w:rsid w:val="00340CC1"/>
    <w:rsid w:val="00341164"/>
    <w:rsid w:val="00341372"/>
    <w:rsid w:val="003417F5"/>
    <w:rsid w:val="0034192A"/>
    <w:rsid w:val="0034285B"/>
    <w:rsid w:val="00342A8B"/>
    <w:rsid w:val="00342F32"/>
    <w:rsid w:val="0034313A"/>
    <w:rsid w:val="00343231"/>
    <w:rsid w:val="003433CD"/>
    <w:rsid w:val="00343941"/>
    <w:rsid w:val="00344203"/>
    <w:rsid w:val="00344851"/>
    <w:rsid w:val="00344B1F"/>
    <w:rsid w:val="00344FE5"/>
    <w:rsid w:val="003450D2"/>
    <w:rsid w:val="00345A97"/>
    <w:rsid w:val="00345D77"/>
    <w:rsid w:val="00345E10"/>
    <w:rsid w:val="00345F0E"/>
    <w:rsid w:val="0034611C"/>
    <w:rsid w:val="00346489"/>
    <w:rsid w:val="0034648A"/>
    <w:rsid w:val="00346730"/>
    <w:rsid w:val="00346981"/>
    <w:rsid w:val="0034713A"/>
    <w:rsid w:val="00347671"/>
    <w:rsid w:val="003477C9"/>
    <w:rsid w:val="00347C5E"/>
    <w:rsid w:val="00347C68"/>
    <w:rsid w:val="00347E22"/>
    <w:rsid w:val="00350C9C"/>
    <w:rsid w:val="00351841"/>
    <w:rsid w:val="00351CB4"/>
    <w:rsid w:val="00351CC0"/>
    <w:rsid w:val="00351F7D"/>
    <w:rsid w:val="003527AD"/>
    <w:rsid w:val="003534E8"/>
    <w:rsid w:val="003543C0"/>
    <w:rsid w:val="003547C3"/>
    <w:rsid w:val="003548CB"/>
    <w:rsid w:val="00354F9F"/>
    <w:rsid w:val="00354FB7"/>
    <w:rsid w:val="003551D6"/>
    <w:rsid w:val="00355BF5"/>
    <w:rsid w:val="00355EC0"/>
    <w:rsid w:val="00356362"/>
    <w:rsid w:val="00356699"/>
    <w:rsid w:val="003568AD"/>
    <w:rsid w:val="003569B9"/>
    <w:rsid w:val="0035727F"/>
    <w:rsid w:val="0035743C"/>
    <w:rsid w:val="00360093"/>
    <w:rsid w:val="003601A9"/>
    <w:rsid w:val="0036032E"/>
    <w:rsid w:val="00360D2F"/>
    <w:rsid w:val="00361225"/>
    <w:rsid w:val="00361605"/>
    <w:rsid w:val="00362175"/>
    <w:rsid w:val="003621B8"/>
    <w:rsid w:val="00362C1C"/>
    <w:rsid w:val="00363126"/>
    <w:rsid w:val="0036341D"/>
    <w:rsid w:val="00363947"/>
    <w:rsid w:val="003642CB"/>
    <w:rsid w:val="0036447E"/>
    <w:rsid w:val="003647A1"/>
    <w:rsid w:val="00364F4B"/>
    <w:rsid w:val="003653F4"/>
    <w:rsid w:val="003658E7"/>
    <w:rsid w:val="00365C90"/>
    <w:rsid w:val="00365DAD"/>
    <w:rsid w:val="00365EC5"/>
    <w:rsid w:val="00365F26"/>
    <w:rsid w:val="00366321"/>
    <w:rsid w:val="00366A1F"/>
    <w:rsid w:val="00366D1E"/>
    <w:rsid w:val="00366DD1"/>
    <w:rsid w:val="00367696"/>
    <w:rsid w:val="003706ED"/>
    <w:rsid w:val="00370916"/>
    <w:rsid w:val="003709EC"/>
    <w:rsid w:val="003710AF"/>
    <w:rsid w:val="00371112"/>
    <w:rsid w:val="0037197A"/>
    <w:rsid w:val="00371DC9"/>
    <w:rsid w:val="003722F9"/>
    <w:rsid w:val="0037240B"/>
    <w:rsid w:val="003726A4"/>
    <w:rsid w:val="00373288"/>
    <w:rsid w:val="003736F9"/>
    <w:rsid w:val="00373E42"/>
    <w:rsid w:val="0037404D"/>
    <w:rsid w:val="00374B15"/>
    <w:rsid w:val="00374D80"/>
    <w:rsid w:val="00375378"/>
    <w:rsid w:val="00375C19"/>
    <w:rsid w:val="00376453"/>
    <w:rsid w:val="003764EB"/>
    <w:rsid w:val="003766D3"/>
    <w:rsid w:val="00376A35"/>
    <w:rsid w:val="00376A3C"/>
    <w:rsid w:val="00376C44"/>
    <w:rsid w:val="00376E02"/>
    <w:rsid w:val="00377D85"/>
    <w:rsid w:val="0038036E"/>
    <w:rsid w:val="003804DB"/>
    <w:rsid w:val="0038055B"/>
    <w:rsid w:val="003808A0"/>
    <w:rsid w:val="00380C0E"/>
    <w:rsid w:val="00380F11"/>
    <w:rsid w:val="0038164A"/>
    <w:rsid w:val="00381766"/>
    <w:rsid w:val="003819ED"/>
    <w:rsid w:val="00382281"/>
    <w:rsid w:val="003824B2"/>
    <w:rsid w:val="00382E9D"/>
    <w:rsid w:val="00382EEA"/>
    <w:rsid w:val="003831DA"/>
    <w:rsid w:val="00383761"/>
    <w:rsid w:val="00383989"/>
    <w:rsid w:val="00384544"/>
    <w:rsid w:val="0038480F"/>
    <w:rsid w:val="00384E67"/>
    <w:rsid w:val="00385455"/>
    <w:rsid w:val="0038572E"/>
    <w:rsid w:val="0038589C"/>
    <w:rsid w:val="00385982"/>
    <w:rsid w:val="00386113"/>
    <w:rsid w:val="0038666E"/>
    <w:rsid w:val="00386B37"/>
    <w:rsid w:val="00386BC7"/>
    <w:rsid w:val="00387079"/>
    <w:rsid w:val="00387107"/>
    <w:rsid w:val="003876E5"/>
    <w:rsid w:val="00387B69"/>
    <w:rsid w:val="00387DD9"/>
    <w:rsid w:val="00390B0D"/>
    <w:rsid w:val="00391400"/>
    <w:rsid w:val="003918F6"/>
    <w:rsid w:val="0039198D"/>
    <w:rsid w:val="003919E9"/>
    <w:rsid w:val="00391ED5"/>
    <w:rsid w:val="00391FA2"/>
    <w:rsid w:val="003937D2"/>
    <w:rsid w:val="00393AC7"/>
    <w:rsid w:val="00393B61"/>
    <w:rsid w:val="003940A6"/>
    <w:rsid w:val="003949C2"/>
    <w:rsid w:val="00395236"/>
    <w:rsid w:val="0039567E"/>
    <w:rsid w:val="003958C8"/>
    <w:rsid w:val="00395CF8"/>
    <w:rsid w:val="0039617E"/>
    <w:rsid w:val="00396B93"/>
    <w:rsid w:val="0039761B"/>
    <w:rsid w:val="0039775F"/>
    <w:rsid w:val="00397E68"/>
    <w:rsid w:val="003A01C6"/>
    <w:rsid w:val="003A178E"/>
    <w:rsid w:val="003A185C"/>
    <w:rsid w:val="003A186E"/>
    <w:rsid w:val="003A216F"/>
    <w:rsid w:val="003A25B4"/>
    <w:rsid w:val="003A299B"/>
    <w:rsid w:val="003A2A56"/>
    <w:rsid w:val="003A355F"/>
    <w:rsid w:val="003A3919"/>
    <w:rsid w:val="003A39C5"/>
    <w:rsid w:val="003A3A41"/>
    <w:rsid w:val="003A3EF8"/>
    <w:rsid w:val="003A44DE"/>
    <w:rsid w:val="003A4BA6"/>
    <w:rsid w:val="003A4DEF"/>
    <w:rsid w:val="003A557E"/>
    <w:rsid w:val="003A5CE9"/>
    <w:rsid w:val="003A5DD3"/>
    <w:rsid w:val="003A68DD"/>
    <w:rsid w:val="003A7BD4"/>
    <w:rsid w:val="003A7C70"/>
    <w:rsid w:val="003B01FD"/>
    <w:rsid w:val="003B03D0"/>
    <w:rsid w:val="003B0E68"/>
    <w:rsid w:val="003B1FA3"/>
    <w:rsid w:val="003B22B5"/>
    <w:rsid w:val="003B2351"/>
    <w:rsid w:val="003B2D71"/>
    <w:rsid w:val="003B2F82"/>
    <w:rsid w:val="003B30F0"/>
    <w:rsid w:val="003B3826"/>
    <w:rsid w:val="003B396B"/>
    <w:rsid w:val="003B3975"/>
    <w:rsid w:val="003B3A87"/>
    <w:rsid w:val="003B44DF"/>
    <w:rsid w:val="003B464C"/>
    <w:rsid w:val="003B4E88"/>
    <w:rsid w:val="003B5075"/>
    <w:rsid w:val="003B549C"/>
    <w:rsid w:val="003B5D22"/>
    <w:rsid w:val="003B6052"/>
    <w:rsid w:val="003B61D3"/>
    <w:rsid w:val="003B6407"/>
    <w:rsid w:val="003B65BE"/>
    <w:rsid w:val="003B676F"/>
    <w:rsid w:val="003B71A9"/>
    <w:rsid w:val="003B744C"/>
    <w:rsid w:val="003C081B"/>
    <w:rsid w:val="003C0A54"/>
    <w:rsid w:val="003C1969"/>
    <w:rsid w:val="003C1EB9"/>
    <w:rsid w:val="003C2233"/>
    <w:rsid w:val="003C271F"/>
    <w:rsid w:val="003C3644"/>
    <w:rsid w:val="003C3745"/>
    <w:rsid w:val="003C3D66"/>
    <w:rsid w:val="003C4835"/>
    <w:rsid w:val="003C4EB6"/>
    <w:rsid w:val="003C4F00"/>
    <w:rsid w:val="003C52B6"/>
    <w:rsid w:val="003C561E"/>
    <w:rsid w:val="003C580A"/>
    <w:rsid w:val="003C5935"/>
    <w:rsid w:val="003C62CB"/>
    <w:rsid w:val="003C6478"/>
    <w:rsid w:val="003C6762"/>
    <w:rsid w:val="003C67E5"/>
    <w:rsid w:val="003C6B34"/>
    <w:rsid w:val="003C6EAB"/>
    <w:rsid w:val="003C721E"/>
    <w:rsid w:val="003C78D9"/>
    <w:rsid w:val="003C7994"/>
    <w:rsid w:val="003C7A75"/>
    <w:rsid w:val="003D03F5"/>
    <w:rsid w:val="003D0ABD"/>
    <w:rsid w:val="003D185D"/>
    <w:rsid w:val="003D1951"/>
    <w:rsid w:val="003D1DE6"/>
    <w:rsid w:val="003D1E11"/>
    <w:rsid w:val="003D1E81"/>
    <w:rsid w:val="003D1F8C"/>
    <w:rsid w:val="003D26C1"/>
    <w:rsid w:val="003D27CB"/>
    <w:rsid w:val="003D2CD5"/>
    <w:rsid w:val="003D326C"/>
    <w:rsid w:val="003D3867"/>
    <w:rsid w:val="003D3F2B"/>
    <w:rsid w:val="003D4031"/>
    <w:rsid w:val="003D4307"/>
    <w:rsid w:val="003D43B8"/>
    <w:rsid w:val="003D4735"/>
    <w:rsid w:val="003D47DD"/>
    <w:rsid w:val="003D5B68"/>
    <w:rsid w:val="003D609D"/>
    <w:rsid w:val="003D67E9"/>
    <w:rsid w:val="003D6950"/>
    <w:rsid w:val="003D6BB5"/>
    <w:rsid w:val="003D72E7"/>
    <w:rsid w:val="003D7AA1"/>
    <w:rsid w:val="003E0077"/>
    <w:rsid w:val="003E0226"/>
    <w:rsid w:val="003E081D"/>
    <w:rsid w:val="003E0C63"/>
    <w:rsid w:val="003E1625"/>
    <w:rsid w:val="003E1C8C"/>
    <w:rsid w:val="003E218E"/>
    <w:rsid w:val="003E29A7"/>
    <w:rsid w:val="003E2DEF"/>
    <w:rsid w:val="003E3586"/>
    <w:rsid w:val="003E37FC"/>
    <w:rsid w:val="003E3919"/>
    <w:rsid w:val="003E3D3E"/>
    <w:rsid w:val="003E3E8D"/>
    <w:rsid w:val="003E48AF"/>
    <w:rsid w:val="003E4B86"/>
    <w:rsid w:val="003E5A87"/>
    <w:rsid w:val="003E5F40"/>
    <w:rsid w:val="003E5F6E"/>
    <w:rsid w:val="003E6022"/>
    <w:rsid w:val="003E66DF"/>
    <w:rsid w:val="003E6725"/>
    <w:rsid w:val="003E69B4"/>
    <w:rsid w:val="003E6BD5"/>
    <w:rsid w:val="003E72A9"/>
    <w:rsid w:val="003F0C99"/>
    <w:rsid w:val="003F17D2"/>
    <w:rsid w:val="003F186C"/>
    <w:rsid w:val="003F1C8B"/>
    <w:rsid w:val="003F1D92"/>
    <w:rsid w:val="003F2288"/>
    <w:rsid w:val="003F293C"/>
    <w:rsid w:val="003F2F4C"/>
    <w:rsid w:val="003F3102"/>
    <w:rsid w:val="003F38D6"/>
    <w:rsid w:val="003F4153"/>
    <w:rsid w:val="003F47C5"/>
    <w:rsid w:val="003F4AD8"/>
    <w:rsid w:val="003F4B99"/>
    <w:rsid w:val="003F51A8"/>
    <w:rsid w:val="003F544D"/>
    <w:rsid w:val="003F5523"/>
    <w:rsid w:val="003F5C30"/>
    <w:rsid w:val="003F5D6A"/>
    <w:rsid w:val="003F5E23"/>
    <w:rsid w:val="003F5ED8"/>
    <w:rsid w:val="003F66DE"/>
    <w:rsid w:val="003F679A"/>
    <w:rsid w:val="003F680B"/>
    <w:rsid w:val="003F6AC7"/>
    <w:rsid w:val="003F71E5"/>
    <w:rsid w:val="003F7E74"/>
    <w:rsid w:val="00400409"/>
    <w:rsid w:val="00400999"/>
    <w:rsid w:val="00400D1E"/>
    <w:rsid w:val="0040125E"/>
    <w:rsid w:val="00401A5B"/>
    <w:rsid w:val="00402256"/>
    <w:rsid w:val="00402ACE"/>
    <w:rsid w:val="00402ED2"/>
    <w:rsid w:val="00403002"/>
    <w:rsid w:val="00403547"/>
    <w:rsid w:val="00403B6A"/>
    <w:rsid w:val="00403DE1"/>
    <w:rsid w:val="00404045"/>
    <w:rsid w:val="004042DE"/>
    <w:rsid w:val="004043D1"/>
    <w:rsid w:val="004045EB"/>
    <w:rsid w:val="00404DD1"/>
    <w:rsid w:val="004052E0"/>
    <w:rsid w:val="0040543E"/>
    <w:rsid w:val="00405917"/>
    <w:rsid w:val="00406014"/>
    <w:rsid w:val="004065F4"/>
    <w:rsid w:val="0040725D"/>
    <w:rsid w:val="004076A5"/>
    <w:rsid w:val="00407ABE"/>
    <w:rsid w:val="004108B2"/>
    <w:rsid w:val="00410917"/>
    <w:rsid w:val="00410C0A"/>
    <w:rsid w:val="00410EDF"/>
    <w:rsid w:val="0041110C"/>
    <w:rsid w:val="004112DC"/>
    <w:rsid w:val="0041133D"/>
    <w:rsid w:val="00411527"/>
    <w:rsid w:val="00411B8A"/>
    <w:rsid w:val="00411CC1"/>
    <w:rsid w:val="00411EA0"/>
    <w:rsid w:val="004125BE"/>
    <w:rsid w:val="00412EDE"/>
    <w:rsid w:val="0041334D"/>
    <w:rsid w:val="00413593"/>
    <w:rsid w:val="00413745"/>
    <w:rsid w:val="004141E3"/>
    <w:rsid w:val="0041480E"/>
    <w:rsid w:val="00415247"/>
    <w:rsid w:val="0041532C"/>
    <w:rsid w:val="00415570"/>
    <w:rsid w:val="0041557C"/>
    <w:rsid w:val="00416189"/>
    <w:rsid w:val="00416301"/>
    <w:rsid w:val="004165CC"/>
    <w:rsid w:val="00416674"/>
    <w:rsid w:val="004168FD"/>
    <w:rsid w:val="00416966"/>
    <w:rsid w:val="00417084"/>
    <w:rsid w:val="0041728C"/>
    <w:rsid w:val="0041786E"/>
    <w:rsid w:val="0041798D"/>
    <w:rsid w:val="0042000B"/>
    <w:rsid w:val="0042046F"/>
    <w:rsid w:val="004208E7"/>
    <w:rsid w:val="00420C40"/>
    <w:rsid w:val="00420E7E"/>
    <w:rsid w:val="0042109A"/>
    <w:rsid w:val="00421890"/>
    <w:rsid w:val="00421E10"/>
    <w:rsid w:val="004228C0"/>
    <w:rsid w:val="00422D71"/>
    <w:rsid w:val="00422E0D"/>
    <w:rsid w:val="004235DD"/>
    <w:rsid w:val="00423AED"/>
    <w:rsid w:val="00423B93"/>
    <w:rsid w:val="0042485A"/>
    <w:rsid w:val="00424F62"/>
    <w:rsid w:val="00425784"/>
    <w:rsid w:val="00425AB7"/>
    <w:rsid w:val="00425E53"/>
    <w:rsid w:val="004264F6"/>
    <w:rsid w:val="00426FDC"/>
    <w:rsid w:val="00427840"/>
    <w:rsid w:val="004300FF"/>
    <w:rsid w:val="004301FC"/>
    <w:rsid w:val="004316E9"/>
    <w:rsid w:val="00431BC6"/>
    <w:rsid w:val="00431BE9"/>
    <w:rsid w:val="00432313"/>
    <w:rsid w:val="004324DF"/>
    <w:rsid w:val="004327D1"/>
    <w:rsid w:val="004327D5"/>
    <w:rsid w:val="004328C5"/>
    <w:rsid w:val="00432B73"/>
    <w:rsid w:val="00432BE3"/>
    <w:rsid w:val="00433474"/>
    <w:rsid w:val="00433546"/>
    <w:rsid w:val="00433636"/>
    <w:rsid w:val="0043381C"/>
    <w:rsid w:val="00433BA2"/>
    <w:rsid w:val="00433E11"/>
    <w:rsid w:val="00433F01"/>
    <w:rsid w:val="004340DE"/>
    <w:rsid w:val="00434417"/>
    <w:rsid w:val="00434639"/>
    <w:rsid w:val="00435F5C"/>
    <w:rsid w:val="0043607B"/>
    <w:rsid w:val="004366CC"/>
    <w:rsid w:val="0043681C"/>
    <w:rsid w:val="00436FE7"/>
    <w:rsid w:val="004371CA"/>
    <w:rsid w:val="00437344"/>
    <w:rsid w:val="0043746D"/>
    <w:rsid w:val="004376F7"/>
    <w:rsid w:val="00437720"/>
    <w:rsid w:val="00437A36"/>
    <w:rsid w:val="00437C4E"/>
    <w:rsid w:val="00437D82"/>
    <w:rsid w:val="00440DEA"/>
    <w:rsid w:val="0044103B"/>
    <w:rsid w:val="004413F6"/>
    <w:rsid w:val="0044187C"/>
    <w:rsid w:val="004428E6"/>
    <w:rsid w:val="00442CBB"/>
    <w:rsid w:val="00442CD3"/>
    <w:rsid w:val="00442D0C"/>
    <w:rsid w:val="00443014"/>
    <w:rsid w:val="00443055"/>
    <w:rsid w:val="00443208"/>
    <w:rsid w:val="00443B59"/>
    <w:rsid w:val="00443E25"/>
    <w:rsid w:val="00444494"/>
    <w:rsid w:val="004446C7"/>
    <w:rsid w:val="004447AD"/>
    <w:rsid w:val="004451E8"/>
    <w:rsid w:val="004453B1"/>
    <w:rsid w:val="00445772"/>
    <w:rsid w:val="0044577B"/>
    <w:rsid w:val="00445DB2"/>
    <w:rsid w:val="004462C9"/>
    <w:rsid w:val="0044644D"/>
    <w:rsid w:val="00446676"/>
    <w:rsid w:val="004467F4"/>
    <w:rsid w:val="00446BFE"/>
    <w:rsid w:val="00446F58"/>
    <w:rsid w:val="00447076"/>
    <w:rsid w:val="004470AF"/>
    <w:rsid w:val="004479B8"/>
    <w:rsid w:val="00447BCE"/>
    <w:rsid w:val="00447D1A"/>
    <w:rsid w:val="00447ED5"/>
    <w:rsid w:val="00450D6F"/>
    <w:rsid w:val="00450E13"/>
    <w:rsid w:val="00451141"/>
    <w:rsid w:val="00451649"/>
    <w:rsid w:val="004517CB"/>
    <w:rsid w:val="004518DC"/>
    <w:rsid w:val="00451930"/>
    <w:rsid w:val="0045198D"/>
    <w:rsid w:val="00451CD5"/>
    <w:rsid w:val="00451DA5"/>
    <w:rsid w:val="00451F43"/>
    <w:rsid w:val="00451F81"/>
    <w:rsid w:val="00452391"/>
    <w:rsid w:val="0045254E"/>
    <w:rsid w:val="00452BC1"/>
    <w:rsid w:val="00453156"/>
    <w:rsid w:val="004538B7"/>
    <w:rsid w:val="00453922"/>
    <w:rsid w:val="00453FF6"/>
    <w:rsid w:val="00454036"/>
    <w:rsid w:val="004544AE"/>
    <w:rsid w:val="00454892"/>
    <w:rsid w:val="00454E59"/>
    <w:rsid w:val="00455221"/>
    <w:rsid w:val="0045528C"/>
    <w:rsid w:val="00455327"/>
    <w:rsid w:val="004561D3"/>
    <w:rsid w:val="00456561"/>
    <w:rsid w:val="00456A40"/>
    <w:rsid w:val="00457599"/>
    <w:rsid w:val="0045799C"/>
    <w:rsid w:val="00457B7D"/>
    <w:rsid w:val="0046033B"/>
    <w:rsid w:val="00460474"/>
    <w:rsid w:val="00460628"/>
    <w:rsid w:val="00460A4A"/>
    <w:rsid w:val="00460E7D"/>
    <w:rsid w:val="00461077"/>
    <w:rsid w:val="00461380"/>
    <w:rsid w:val="00461633"/>
    <w:rsid w:val="00461E0D"/>
    <w:rsid w:val="00462102"/>
    <w:rsid w:val="004625B3"/>
    <w:rsid w:val="00464508"/>
    <w:rsid w:val="00464BFC"/>
    <w:rsid w:val="00464D44"/>
    <w:rsid w:val="00464FA4"/>
    <w:rsid w:val="00465548"/>
    <w:rsid w:val="00465896"/>
    <w:rsid w:val="00465ABA"/>
    <w:rsid w:val="00466C6E"/>
    <w:rsid w:val="00466D60"/>
    <w:rsid w:val="004671C0"/>
    <w:rsid w:val="00467248"/>
    <w:rsid w:val="00467E9A"/>
    <w:rsid w:val="004704BD"/>
    <w:rsid w:val="00470886"/>
    <w:rsid w:val="00470A92"/>
    <w:rsid w:val="00470B0F"/>
    <w:rsid w:val="00470B10"/>
    <w:rsid w:val="00471026"/>
    <w:rsid w:val="00471389"/>
    <w:rsid w:val="00471622"/>
    <w:rsid w:val="00471A1D"/>
    <w:rsid w:val="00471F20"/>
    <w:rsid w:val="0047235A"/>
    <w:rsid w:val="00472723"/>
    <w:rsid w:val="0047274C"/>
    <w:rsid w:val="0047293D"/>
    <w:rsid w:val="00472A25"/>
    <w:rsid w:val="00472BCD"/>
    <w:rsid w:val="00473188"/>
    <w:rsid w:val="00473249"/>
    <w:rsid w:val="00473F59"/>
    <w:rsid w:val="0047478F"/>
    <w:rsid w:val="004748E4"/>
    <w:rsid w:val="00474C11"/>
    <w:rsid w:val="00474C6F"/>
    <w:rsid w:val="00474F19"/>
    <w:rsid w:val="0047557C"/>
    <w:rsid w:val="00475EA0"/>
    <w:rsid w:val="00476672"/>
    <w:rsid w:val="00476F4B"/>
    <w:rsid w:val="0047762C"/>
    <w:rsid w:val="00477948"/>
    <w:rsid w:val="00477EFC"/>
    <w:rsid w:val="00480069"/>
    <w:rsid w:val="004802A6"/>
    <w:rsid w:val="0048037D"/>
    <w:rsid w:val="00480425"/>
    <w:rsid w:val="004807C0"/>
    <w:rsid w:val="0048091B"/>
    <w:rsid w:val="00480D1C"/>
    <w:rsid w:val="00480DAA"/>
    <w:rsid w:val="004811F1"/>
    <w:rsid w:val="0048122B"/>
    <w:rsid w:val="004812DE"/>
    <w:rsid w:val="0048235A"/>
    <w:rsid w:val="00482660"/>
    <w:rsid w:val="00482EC5"/>
    <w:rsid w:val="00483B88"/>
    <w:rsid w:val="00483FDB"/>
    <w:rsid w:val="004842AA"/>
    <w:rsid w:val="00484B81"/>
    <w:rsid w:val="00484BEC"/>
    <w:rsid w:val="00484DA3"/>
    <w:rsid w:val="00484E71"/>
    <w:rsid w:val="00484F32"/>
    <w:rsid w:val="00485161"/>
    <w:rsid w:val="00485279"/>
    <w:rsid w:val="00485406"/>
    <w:rsid w:val="00485845"/>
    <w:rsid w:val="00487574"/>
    <w:rsid w:val="00487861"/>
    <w:rsid w:val="00487B41"/>
    <w:rsid w:val="00487BA1"/>
    <w:rsid w:val="00490454"/>
    <w:rsid w:val="00490717"/>
    <w:rsid w:val="0049093D"/>
    <w:rsid w:val="00490974"/>
    <w:rsid w:val="00490AFD"/>
    <w:rsid w:val="00490EA3"/>
    <w:rsid w:val="00491021"/>
    <w:rsid w:val="00491D48"/>
    <w:rsid w:val="004921A3"/>
    <w:rsid w:val="004928B0"/>
    <w:rsid w:val="00492ADA"/>
    <w:rsid w:val="00492C13"/>
    <w:rsid w:val="00492F25"/>
    <w:rsid w:val="004931F0"/>
    <w:rsid w:val="004935B5"/>
    <w:rsid w:val="00494793"/>
    <w:rsid w:val="004950A1"/>
    <w:rsid w:val="0049528E"/>
    <w:rsid w:val="00495562"/>
    <w:rsid w:val="004957B4"/>
    <w:rsid w:val="00495F57"/>
    <w:rsid w:val="004964E6"/>
    <w:rsid w:val="00496532"/>
    <w:rsid w:val="00496BFB"/>
    <w:rsid w:val="00496D56"/>
    <w:rsid w:val="004970BD"/>
    <w:rsid w:val="004973F1"/>
    <w:rsid w:val="004976F9"/>
    <w:rsid w:val="00497702"/>
    <w:rsid w:val="0049797E"/>
    <w:rsid w:val="004A01C3"/>
    <w:rsid w:val="004A053A"/>
    <w:rsid w:val="004A073F"/>
    <w:rsid w:val="004A0E7A"/>
    <w:rsid w:val="004A0FD4"/>
    <w:rsid w:val="004A11C7"/>
    <w:rsid w:val="004A1C4F"/>
    <w:rsid w:val="004A1EED"/>
    <w:rsid w:val="004A2C26"/>
    <w:rsid w:val="004A2DC3"/>
    <w:rsid w:val="004A329C"/>
    <w:rsid w:val="004A3A83"/>
    <w:rsid w:val="004A4487"/>
    <w:rsid w:val="004A4884"/>
    <w:rsid w:val="004A508E"/>
    <w:rsid w:val="004A518A"/>
    <w:rsid w:val="004A5EDD"/>
    <w:rsid w:val="004A5EEE"/>
    <w:rsid w:val="004A600B"/>
    <w:rsid w:val="004A6180"/>
    <w:rsid w:val="004A6384"/>
    <w:rsid w:val="004A6425"/>
    <w:rsid w:val="004A67CF"/>
    <w:rsid w:val="004A69DC"/>
    <w:rsid w:val="004A6B45"/>
    <w:rsid w:val="004A70B2"/>
    <w:rsid w:val="004A745F"/>
    <w:rsid w:val="004A747C"/>
    <w:rsid w:val="004B072E"/>
    <w:rsid w:val="004B0DDD"/>
    <w:rsid w:val="004B175E"/>
    <w:rsid w:val="004B17D8"/>
    <w:rsid w:val="004B1B51"/>
    <w:rsid w:val="004B227B"/>
    <w:rsid w:val="004B2311"/>
    <w:rsid w:val="004B23E4"/>
    <w:rsid w:val="004B25C4"/>
    <w:rsid w:val="004B25C6"/>
    <w:rsid w:val="004B3063"/>
    <w:rsid w:val="004B3A63"/>
    <w:rsid w:val="004B3B54"/>
    <w:rsid w:val="004B3C48"/>
    <w:rsid w:val="004B40B7"/>
    <w:rsid w:val="004B40D0"/>
    <w:rsid w:val="004B447F"/>
    <w:rsid w:val="004B4499"/>
    <w:rsid w:val="004B462F"/>
    <w:rsid w:val="004B4C9C"/>
    <w:rsid w:val="004B4E66"/>
    <w:rsid w:val="004B5027"/>
    <w:rsid w:val="004B583E"/>
    <w:rsid w:val="004B58EA"/>
    <w:rsid w:val="004B5F13"/>
    <w:rsid w:val="004B6144"/>
    <w:rsid w:val="004B636F"/>
    <w:rsid w:val="004B6E0E"/>
    <w:rsid w:val="004B7217"/>
    <w:rsid w:val="004B79EC"/>
    <w:rsid w:val="004C010A"/>
    <w:rsid w:val="004C0480"/>
    <w:rsid w:val="004C0555"/>
    <w:rsid w:val="004C0618"/>
    <w:rsid w:val="004C0A5A"/>
    <w:rsid w:val="004C0C17"/>
    <w:rsid w:val="004C0DD3"/>
    <w:rsid w:val="004C0F08"/>
    <w:rsid w:val="004C13C3"/>
    <w:rsid w:val="004C141D"/>
    <w:rsid w:val="004C1E1E"/>
    <w:rsid w:val="004C1EE8"/>
    <w:rsid w:val="004C21BD"/>
    <w:rsid w:val="004C242A"/>
    <w:rsid w:val="004C2541"/>
    <w:rsid w:val="004C2A31"/>
    <w:rsid w:val="004C3AFF"/>
    <w:rsid w:val="004C3B6C"/>
    <w:rsid w:val="004C4199"/>
    <w:rsid w:val="004C4724"/>
    <w:rsid w:val="004C47A0"/>
    <w:rsid w:val="004C4911"/>
    <w:rsid w:val="004C4E17"/>
    <w:rsid w:val="004C57D1"/>
    <w:rsid w:val="004C58DC"/>
    <w:rsid w:val="004C5DFE"/>
    <w:rsid w:val="004C61FE"/>
    <w:rsid w:val="004C620E"/>
    <w:rsid w:val="004C65A5"/>
    <w:rsid w:val="004C6859"/>
    <w:rsid w:val="004C6C15"/>
    <w:rsid w:val="004C6DB7"/>
    <w:rsid w:val="004C6FDB"/>
    <w:rsid w:val="004C7710"/>
    <w:rsid w:val="004C7970"/>
    <w:rsid w:val="004D02C7"/>
    <w:rsid w:val="004D070C"/>
    <w:rsid w:val="004D1E99"/>
    <w:rsid w:val="004D226E"/>
    <w:rsid w:val="004D22C7"/>
    <w:rsid w:val="004D2735"/>
    <w:rsid w:val="004D2BDC"/>
    <w:rsid w:val="004D2E74"/>
    <w:rsid w:val="004D4838"/>
    <w:rsid w:val="004D4D42"/>
    <w:rsid w:val="004D5040"/>
    <w:rsid w:val="004D50A5"/>
    <w:rsid w:val="004D5953"/>
    <w:rsid w:val="004D5AC4"/>
    <w:rsid w:val="004D5F91"/>
    <w:rsid w:val="004D6687"/>
    <w:rsid w:val="004D67CE"/>
    <w:rsid w:val="004D697C"/>
    <w:rsid w:val="004D69A9"/>
    <w:rsid w:val="004D6E2F"/>
    <w:rsid w:val="004D71A6"/>
    <w:rsid w:val="004E00C1"/>
    <w:rsid w:val="004E1A2F"/>
    <w:rsid w:val="004E1D6A"/>
    <w:rsid w:val="004E2126"/>
    <w:rsid w:val="004E22EE"/>
    <w:rsid w:val="004E29F2"/>
    <w:rsid w:val="004E359D"/>
    <w:rsid w:val="004E39A2"/>
    <w:rsid w:val="004E3E0A"/>
    <w:rsid w:val="004E4043"/>
    <w:rsid w:val="004E437F"/>
    <w:rsid w:val="004E49E0"/>
    <w:rsid w:val="004E4AF2"/>
    <w:rsid w:val="004E55D9"/>
    <w:rsid w:val="004E5D00"/>
    <w:rsid w:val="004E63B1"/>
    <w:rsid w:val="004E66C5"/>
    <w:rsid w:val="004E7666"/>
    <w:rsid w:val="004E7CD0"/>
    <w:rsid w:val="004F092D"/>
    <w:rsid w:val="004F1039"/>
    <w:rsid w:val="004F1C91"/>
    <w:rsid w:val="004F1F9B"/>
    <w:rsid w:val="004F204A"/>
    <w:rsid w:val="004F2C8E"/>
    <w:rsid w:val="004F2CD9"/>
    <w:rsid w:val="004F306F"/>
    <w:rsid w:val="004F3322"/>
    <w:rsid w:val="004F376D"/>
    <w:rsid w:val="004F3CE1"/>
    <w:rsid w:val="004F4187"/>
    <w:rsid w:val="004F4B25"/>
    <w:rsid w:val="004F4DFE"/>
    <w:rsid w:val="004F5000"/>
    <w:rsid w:val="004F5484"/>
    <w:rsid w:val="004F58FB"/>
    <w:rsid w:val="004F5BBC"/>
    <w:rsid w:val="004F602D"/>
    <w:rsid w:val="004F6362"/>
    <w:rsid w:val="004F6750"/>
    <w:rsid w:val="004F681F"/>
    <w:rsid w:val="004F69A7"/>
    <w:rsid w:val="004F7445"/>
    <w:rsid w:val="005004C1"/>
    <w:rsid w:val="005009D4"/>
    <w:rsid w:val="00501391"/>
    <w:rsid w:val="00501440"/>
    <w:rsid w:val="005014DE"/>
    <w:rsid w:val="00501CEF"/>
    <w:rsid w:val="00501D44"/>
    <w:rsid w:val="00502158"/>
    <w:rsid w:val="0050230F"/>
    <w:rsid w:val="00502390"/>
    <w:rsid w:val="00502566"/>
    <w:rsid w:val="005027AA"/>
    <w:rsid w:val="00502871"/>
    <w:rsid w:val="00502B03"/>
    <w:rsid w:val="00502F8B"/>
    <w:rsid w:val="00503A96"/>
    <w:rsid w:val="00504211"/>
    <w:rsid w:val="00504729"/>
    <w:rsid w:val="00504F2B"/>
    <w:rsid w:val="005059FC"/>
    <w:rsid w:val="00506428"/>
    <w:rsid w:val="0050692D"/>
    <w:rsid w:val="00506931"/>
    <w:rsid w:val="0050699B"/>
    <w:rsid w:val="00506B21"/>
    <w:rsid w:val="00507189"/>
    <w:rsid w:val="00507320"/>
    <w:rsid w:val="0050747D"/>
    <w:rsid w:val="005077D5"/>
    <w:rsid w:val="00507831"/>
    <w:rsid w:val="00507D4C"/>
    <w:rsid w:val="00507DF8"/>
    <w:rsid w:val="005107A4"/>
    <w:rsid w:val="005110D9"/>
    <w:rsid w:val="0051114F"/>
    <w:rsid w:val="00511499"/>
    <w:rsid w:val="00512422"/>
    <w:rsid w:val="00512A5B"/>
    <w:rsid w:val="00512D0E"/>
    <w:rsid w:val="00512E44"/>
    <w:rsid w:val="005137A4"/>
    <w:rsid w:val="0051452F"/>
    <w:rsid w:val="00514990"/>
    <w:rsid w:val="00514C79"/>
    <w:rsid w:val="00515174"/>
    <w:rsid w:val="00515800"/>
    <w:rsid w:val="00516016"/>
    <w:rsid w:val="005162EB"/>
    <w:rsid w:val="0051646E"/>
    <w:rsid w:val="00516845"/>
    <w:rsid w:val="005177C8"/>
    <w:rsid w:val="00517D20"/>
    <w:rsid w:val="005202A9"/>
    <w:rsid w:val="005208F1"/>
    <w:rsid w:val="00520DB9"/>
    <w:rsid w:val="00521212"/>
    <w:rsid w:val="0052163C"/>
    <w:rsid w:val="00521AAE"/>
    <w:rsid w:val="00521AE9"/>
    <w:rsid w:val="0052216A"/>
    <w:rsid w:val="005222D3"/>
    <w:rsid w:val="00522493"/>
    <w:rsid w:val="005224C7"/>
    <w:rsid w:val="005232FD"/>
    <w:rsid w:val="00523C79"/>
    <w:rsid w:val="00523F7F"/>
    <w:rsid w:val="0052437F"/>
    <w:rsid w:val="005244F4"/>
    <w:rsid w:val="0052453C"/>
    <w:rsid w:val="005245BD"/>
    <w:rsid w:val="005256CD"/>
    <w:rsid w:val="00525AF9"/>
    <w:rsid w:val="005263DC"/>
    <w:rsid w:val="0052659E"/>
    <w:rsid w:val="005271F8"/>
    <w:rsid w:val="005273BA"/>
    <w:rsid w:val="00527709"/>
    <w:rsid w:val="005277EA"/>
    <w:rsid w:val="005278BE"/>
    <w:rsid w:val="00527A79"/>
    <w:rsid w:val="00530A14"/>
    <w:rsid w:val="00530C33"/>
    <w:rsid w:val="00530D01"/>
    <w:rsid w:val="00530D21"/>
    <w:rsid w:val="005311E7"/>
    <w:rsid w:val="005315CE"/>
    <w:rsid w:val="0053162A"/>
    <w:rsid w:val="00531BA5"/>
    <w:rsid w:val="0053218D"/>
    <w:rsid w:val="00532397"/>
    <w:rsid w:val="00532BD5"/>
    <w:rsid w:val="00533440"/>
    <w:rsid w:val="005345D5"/>
    <w:rsid w:val="0053470B"/>
    <w:rsid w:val="00534727"/>
    <w:rsid w:val="00534F55"/>
    <w:rsid w:val="00535301"/>
    <w:rsid w:val="00535453"/>
    <w:rsid w:val="0053581A"/>
    <w:rsid w:val="005358E2"/>
    <w:rsid w:val="005358F3"/>
    <w:rsid w:val="00535C69"/>
    <w:rsid w:val="0053639E"/>
    <w:rsid w:val="00536460"/>
    <w:rsid w:val="0053668B"/>
    <w:rsid w:val="00537248"/>
    <w:rsid w:val="005372C0"/>
    <w:rsid w:val="005372CC"/>
    <w:rsid w:val="00537FAF"/>
    <w:rsid w:val="005400A2"/>
    <w:rsid w:val="00540218"/>
    <w:rsid w:val="0054031A"/>
    <w:rsid w:val="00540457"/>
    <w:rsid w:val="00542111"/>
    <w:rsid w:val="0054211E"/>
    <w:rsid w:val="005425D1"/>
    <w:rsid w:val="0054272A"/>
    <w:rsid w:val="00542969"/>
    <w:rsid w:val="00542CC0"/>
    <w:rsid w:val="00542EB9"/>
    <w:rsid w:val="00542F17"/>
    <w:rsid w:val="00543179"/>
    <w:rsid w:val="005438E8"/>
    <w:rsid w:val="005439DE"/>
    <w:rsid w:val="00543C4A"/>
    <w:rsid w:val="0054416C"/>
    <w:rsid w:val="00545103"/>
    <w:rsid w:val="005457BF"/>
    <w:rsid w:val="00546221"/>
    <w:rsid w:val="0054715D"/>
    <w:rsid w:val="005472F9"/>
    <w:rsid w:val="005477EE"/>
    <w:rsid w:val="00547B23"/>
    <w:rsid w:val="005500D8"/>
    <w:rsid w:val="0055027A"/>
    <w:rsid w:val="00550714"/>
    <w:rsid w:val="00550782"/>
    <w:rsid w:val="00551205"/>
    <w:rsid w:val="005513C1"/>
    <w:rsid w:val="005514D7"/>
    <w:rsid w:val="00551582"/>
    <w:rsid w:val="00551CA3"/>
    <w:rsid w:val="0055224F"/>
    <w:rsid w:val="00552346"/>
    <w:rsid w:val="00552B54"/>
    <w:rsid w:val="00552F22"/>
    <w:rsid w:val="00553116"/>
    <w:rsid w:val="005534DB"/>
    <w:rsid w:val="00553677"/>
    <w:rsid w:val="00553CB5"/>
    <w:rsid w:val="00553CFB"/>
    <w:rsid w:val="00553F57"/>
    <w:rsid w:val="00553FCC"/>
    <w:rsid w:val="00555192"/>
    <w:rsid w:val="005552D2"/>
    <w:rsid w:val="00555A2B"/>
    <w:rsid w:val="00555A8B"/>
    <w:rsid w:val="005568EF"/>
    <w:rsid w:val="00556E25"/>
    <w:rsid w:val="00557352"/>
    <w:rsid w:val="005575D3"/>
    <w:rsid w:val="00557A50"/>
    <w:rsid w:val="00557A5A"/>
    <w:rsid w:val="00557FD7"/>
    <w:rsid w:val="00560288"/>
    <w:rsid w:val="00560334"/>
    <w:rsid w:val="005607DA"/>
    <w:rsid w:val="00560A90"/>
    <w:rsid w:val="00560D95"/>
    <w:rsid w:val="005613F6"/>
    <w:rsid w:val="00561772"/>
    <w:rsid w:val="005617E5"/>
    <w:rsid w:val="00561ABF"/>
    <w:rsid w:val="00561F22"/>
    <w:rsid w:val="005623D6"/>
    <w:rsid w:val="0056242C"/>
    <w:rsid w:val="005625A9"/>
    <w:rsid w:val="0056291A"/>
    <w:rsid w:val="00563630"/>
    <w:rsid w:val="00563E3D"/>
    <w:rsid w:val="005646AE"/>
    <w:rsid w:val="00564C2F"/>
    <w:rsid w:val="00564C4A"/>
    <w:rsid w:val="00564DE2"/>
    <w:rsid w:val="0056550D"/>
    <w:rsid w:val="005655D4"/>
    <w:rsid w:val="0056659A"/>
    <w:rsid w:val="0056674F"/>
    <w:rsid w:val="0056682C"/>
    <w:rsid w:val="00566F58"/>
    <w:rsid w:val="005675A1"/>
    <w:rsid w:val="005676B5"/>
    <w:rsid w:val="00567E04"/>
    <w:rsid w:val="00567F8D"/>
    <w:rsid w:val="00567F98"/>
    <w:rsid w:val="00570097"/>
    <w:rsid w:val="005703A9"/>
    <w:rsid w:val="00570781"/>
    <w:rsid w:val="0057098C"/>
    <w:rsid w:val="00570C04"/>
    <w:rsid w:val="005710FF"/>
    <w:rsid w:val="0057241A"/>
    <w:rsid w:val="00572717"/>
    <w:rsid w:val="005727B2"/>
    <w:rsid w:val="00572B0F"/>
    <w:rsid w:val="00572DFC"/>
    <w:rsid w:val="00572FAD"/>
    <w:rsid w:val="00573362"/>
    <w:rsid w:val="00573A1A"/>
    <w:rsid w:val="00573BA4"/>
    <w:rsid w:val="00573E69"/>
    <w:rsid w:val="005746E9"/>
    <w:rsid w:val="00574894"/>
    <w:rsid w:val="00574CF4"/>
    <w:rsid w:val="0057504E"/>
    <w:rsid w:val="005753F5"/>
    <w:rsid w:val="00575C58"/>
    <w:rsid w:val="00576404"/>
    <w:rsid w:val="005769EF"/>
    <w:rsid w:val="00576A2C"/>
    <w:rsid w:val="00576AF7"/>
    <w:rsid w:val="00576B66"/>
    <w:rsid w:val="00576DEF"/>
    <w:rsid w:val="00577018"/>
    <w:rsid w:val="00577487"/>
    <w:rsid w:val="00577C3F"/>
    <w:rsid w:val="005804AB"/>
    <w:rsid w:val="00580672"/>
    <w:rsid w:val="0058085E"/>
    <w:rsid w:val="00580DB8"/>
    <w:rsid w:val="0058156C"/>
    <w:rsid w:val="005817D5"/>
    <w:rsid w:val="00582145"/>
    <w:rsid w:val="005825FD"/>
    <w:rsid w:val="00582C4F"/>
    <w:rsid w:val="0058332C"/>
    <w:rsid w:val="00583697"/>
    <w:rsid w:val="00583CC7"/>
    <w:rsid w:val="005841D1"/>
    <w:rsid w:val="0058429A"/>
    <w:rsid w:val="0058433E"/>
    <w:rsid w:val="005847C8"/>
    <w:rsid w:val="00585B7E"/>
    <w:rsid w:val="00585EBD"/>
    <w:rsid w:val="0058668F"/>
    <w:rsid w:val="00586747"/>
    <w:rsid w:val="00587214"/>
    <w:rsid w:val="00587766"/>
    <w:rsid w:val="005877D4"/>
    <w:rsid w:val="00587B9D"/>
    <w:rsid w:val="00591AC3"/>
    <w:rsid w:val="00591C22"/>
    <w:rsid w:val="005926A0"/>
    <w:rsid w:val="005930B2"/>
    <w:rsid w:val="005934C8"/>
    <w:rsid w:val="005937B5"/>
    <w:rsid w:val="00593B5D"/>
    <w:rsid w:val="00593BD1"/>
    <w:rsid w:val="00594218"/>
    <w:rsid w:val="00594308"/>
    <w:rsid w:val="00594326"/>
    <w:rsid w:val="00594995"/>
    <w:rsid w:val="00594C3D"/>
    <w:rsid w:val="0059514B"/>
    <w:rsid w:val="00595184"/>
    <w:rsid w:val="0059519F"/>
    <w:rsid w:val="005958FD"/>
    <w:rsid w:val="00595D81"/>
    <w:rsid w:val="0059662F"/>
    <w:rsid w:val="005969D4"/>
    <w:rsid w:val="00596F2F"/>
    <w:rsid w:val="00596FD3"/>
    <w:rsid w:val="00597023"/>
    <w:rsid w:val="00597194"/>
    <w:rsid w:val="005975D4"/>
    <w:rsid w:val="00597988"/>
    <w:rsid w:val="00597A1E"/>
    <w:rsid w:val="00597C44"/>
    <w:rsid w:val="005A009C"/>
    <w:rsid w:val="005A013E"/>
    <w:rsid w:val="005A024E"/>
    <w:rsid w:val="005A0FE4"/>
    <w:rsid w:val="005A1404"/>
    <w:rsid w:val="005A15A0"/>
    <w:rsid w:val="005A1979"/>
    <w:rsid w:val="005A1A5B"/>
    <w:rsid w:val="005A1C88"/>
    <w:rsid w:val="005A1D55"/>
    <w:rsid w:val="005A1E69"/>
    <w:rsid w:val="005A201C"/>
    <w:rsid w:val="005A251A"/>
    <w:rsid w:val="005A2BA0"/>
    <w:rsid w:val="005A33FD"/>
    <w:rsid w:val="005A3A1A"/>
    <w:rsid w:val="005A3EE1"/>
    <w:rsid w:val="005A4AE6"/>
    <w:rsid w:val="005A5205"/>
    <w:rsid w:val="005A579A"/>
    <w:rsid w:val="005A5CAB"/>
    <w:rsid w:val="005A632C"/>
    <w:rsid w:val="005A6CE5"/>
    <w:rsid w:val="005A6D32"/>
    <w:rsid w:val="005A706F"/>
    <w:rsid w:val="005A74EE"/>
    <w:rsid w:val="005A7546"/>
    <w:rsid w:val="005A759C"/>
    <w:rsid w:val="005B038C"/>
    <w:rsid w:val="005B0874"/>
    <w:rsid w:val="005B0EEC"/>
    <w:rsid w:val="005B0F92"/>
    <w:rsid w:val="005B1043"/>
    <w:rsid w:val="005B10ED"/>
    <w:rsid w:val="005B118A"/>
    <w:rsid w:val="005B131F"/>
    <w:rsid w:val="005B1357"/>
    <w:rsid w:val="005B139F"/>
    <w:rsid w:val="005B155D"/>
    <w:rsid w:val="005B1B81"/>
    <w:rsid w:val="005B1FC5"/>
    <w:rsid w:val="005B20F8"/>
    <w:rsid w:val="005B28BE"/>
    <w:rsid w:val="005B337F"/>
    <w:rsid w:val="005B39FD"/>
    <w:rsid w:val="005B3CE0"/>
    <w:rsid w:val="005B3D12"/>
    <w:rsid w:val="005B42F8"/>
    <w:rsid w:val="005B5EA6"/>
    <w:rsid w:val="005B6E60"/>
    <w:rsid w:val="005B71EA"/>
    <w:rsid w:val="005B7222"/>
    <w:rsid w:val="005B75DF"/>
    <w:rsid w:val="005B79B2"/>
    <w:rsid w:val="005B79B5"/>
    <w:rsid w:val="005B7FD3"/>
    <w:rsid w:val="005C00C6"/>
    <w:rsid w:val="005C00F7"/>
    <w:rsid w:val="005C0371"/>
    <w:rsid w:val="005C0842"/>
    <w:rsid w:val="005C0B24"/>
    <w:rsid w:val="005C1358"/>
    <w:rsid w:val="005C17CF"/>
    <w:rsid w:val="005C212F"/>
    <w:rsid w:val="005C21A1"/>
    <w:rsid w:val="005C239B"/>
    <w:rsid w:val="005C2499"/>
    <w:rsid w:val="005C2CB2"/>
    <w:rsid w:val="005C3339"/>
    <w:rsid w:val="005C36F8"/>
    <w:rsid w:val="005C3ADE"/>
    <w:rsid w:val="005C3BE0"/>
    <w:rsid w:val="005C3F4F"/>
    <w:rsid w:val="005C439D"/>
    <w:rsid w:val="005C44EF"/>
    <w:rsid w:val="005C4ABA"/>
    <w:rsid w:val="005C4C65"/>
    <w:rsid w:val="005C4F35"/>
    <w:rsid w:val="005C520F"/>
    <w:rsid w:val="005C5E43"/>
    <w:rsid w:val="005C61A8"/>
    <w:rsid w:val="005C61AC"/>
    <w:rsid w:val="005C6B0E"/>
    <w:rsid w:val="005D004B"/>
    <w:rsid w:val="005D07EC"/>
    <w:rsid w:val="005D1332"/>
    <w:rsid w:val="005D1EC0"/>
    <w:rsid w:val="005D210C"/>
    <w:rsid w:val="005D25BF"/>
    <w:rsid w:val="005D3908"/>
    <w:rsid w:val="005D43ED"/>
    <w:rsid w:val="005D44DD"/>
    <w:rsid w:val="005D4513"/>
    <w:rsid w:val="005D4CBB"/>
    <w:rsid w:val="005D4FFE"/>
    <w:rsid w:val="005D50EB"/>
    <w:rsid w:val="005D56C6"/>
    <w:rsid w:val="005D5B59"/>
    <w:rsid w:val="005D618B"/>
    <w:rsid w:val="005D64F2"/>
    <w:rsid w:val="005D65C6"/>
    <w:rsid w:val="005D6803"/>
    <w:rsid w:val="005D768A"/>
    <w:rsid w:val="005D7767"/>
    <w:rsid w:val="005D7BE4"/>
    <w:rsid w:val="005D7C2A"/>
    <w:rsid w:val="005D7F60"/>
    <w:rsid w:val="005E0089"/>
    <w:rsid w:val="005E06AC"/>
    <w:rsid w:val="005E0B58"/>
    <w:rsid w:val="005E0DC9"/>
    <w:rsid w:val="005E0F44"/>
    <w:rsid w:val="005E116C"/>
    <w:rsid w:val="005E13FA"/>
    <w:rsid w:val="005E1402"/>
    <w:rsid w:val="005E150D"/>
    <w:rsid w:val="005E16E3"/>
    <w:rsid w:val="005E199A"/>
    <w:rsid w:val="005E1C5C"/>
    <w:rsid w:val="005E1DB3"/>
    <w:rsid w:val="005E1EC1"/>
    <w:rsid w:val="005E2345"/>
    <w:rsid w:val="005E29E3"/>
    <w:rsid w:val="005E2A8A"/>
    <w:rsid w:val="005E2AFC"/>
    <w:rsid w:val="005E30E2"/>
    <w:rsid w:val="005E31F3"/>
    <w:rsid w:val="005E3B1F"/>
    <w:rsid w:val="005E4584"/>
    <w:rsid w:val="005E4B53"/>
    <w:rsid w:val="005E4FD4"/>
    <w:rsid w:val="005E5222"/>
    <w:rsid w:val="005E5805"/>
    <w:rsid w:val="005E58B9"/>
    <w:rsid w:val="005E62E6"/>
    <w:rsid w:val="005E6DA1"/>
    <w:rsid w:val="005E6F15"/>
    <w:rsid w:val="005E71A4"/>
    <w:rsid w:val="005E7265"/>
    <w:rsid w:val="005E7564"/>
    <w:rsid w:val="005E7B53"/>
    <w:rsid w:val="005E7B57"/>
    <w:rsid w:val="005E7CE4"/>
    <w:rsid w:val="005F0782"/>
    <w:rsid w:val="005F1267"/>
    <w:rsid w:val="005F13BF"/>
    <w:rsid w:val="005F1511"/>
    <w:rsid w:val="005F186A"/>
    <w:rsid w:val="005F1C30"/>
    <w:rsid w:val="005F20DC"/>
    <w:rsid w:val="005F2279"/>
    <w:rsid w:val="005F2529"/>
    <w:rsid w:val="005F2E4E"/>
    <w:rsid w:val="005F33F3"/>
    <w:rsid w:val="005F360F"/>
    <w:rsid w:val="005F39A4"/>
    <w:rsid w:val="005F3BAB"/>
    <w:rsid w:val="005F3CFD"/>
    <w:rsid w:val="005F3D89"/>
    <w:rsid w:val="005F3DDA"/>
    <w:rsid w:val="005F3E17"/>
    <w:rsid w:val="005F3EF2"/>
    <w:rsid w:val="005F413C"/>
    <w:rsid w:val="005F433F"/>
    <w:rsid w:val="005F52A9"/>
    <w:rsid w:val="005F5474"/>
    <w:rsid w:val="005F57E3"/>
    <w:rsid w:val="005F58A5"/>
    <w:rsid w:val="005F5FA2"/>
    <w:rsid w:val="005F6097"/>
    <w:rsid w:val="005F60C4"/>
    <w:rsid w:val="005F6496"/>
    <w:rsid w:val="005F6611"/>
    <w:rsid w:val="005F677A"/>
    <w:rsid w:val="005F6C37"/>
    <w:rsid w:val="005F6F1B"/>
    <w:rsid w:val="005F7383"/>
    <w:rsid w:val="00600182"/>
    <w:rsid w:val="006006D5"/>
    <w:rsid w:val="006007D0"/>
    <w:rsid w:val="00600A8C"/>
    <w:rsid w:val="00600D2C"/>
    <w:rsid w:val="006010E8"/>
    <w:rsid w:val="00601A76"/>
    <w:rsid w:val="00601AE4"/>
    <w:rsid w:val="00601EBD"/>
    <w:rsid w:val="00603538"/>
    <w:rsid w:val="006037DE"/>
    <w:rsid w:val="00604575"/>
    <w:rsid w:val="006046EF"/>
    <w:rsid w:val="00604BD3"/>
    <w:rsid w:val="00604C86"/>
    <w:rsid w:val="00605070"/>
    <w:rsid w:val="00605118"/>
    <w:rsid w:val="006052F5"/>
    <w:rsid w:val="006053CF"/>
    <w:rsid w:val="0060572E"/>
    <w:rsid w:val="00605D0A"/>
    <w:rsid w:val="00605D3D"/>
    <w:rsid w:val="00605DAE"/>
    <w:rsid w:val="00606014"/>
    <w:rsid w:val="00606324"/>
    <w:rsid w:val="00606786"/>
    <w:rsid w:val="00606ECB"/>
    <w:rsid w:val="00606F30"/>
    <w:rsid w:val="006075A8"/>
    <w:rsid w:val="00607D61"/>
    <w:rsid w:val="00607F86"/>
    <w:rsid w:val="00607FDD"/>
    <w:rsid w:val="00610CF4"/>
    <w:rsid w:val="00610D87"/>
    <w:rsid w:val="00612080"/>
    <w:rsid w:val="00612201"/>
    <w:rsid w:val="0061232E"/>
    <w:rsid w:val="0061265C"/>
    <w:rsid w:val="006126B5"/>
    <w:rsid w:val="00613C01"/>
    <w:rsid w:val="0061502C"/>
    <w:rsid w:val="00615690"/>
    <w:rsid w:val="006157C1"/>
    <w:rsid w:val="00615A3E"/>
    <w:rsid w:val="00615AC9"/>
    <w:rsid w:val="00615CF8"/>
    <w:rsid w:val="006161B7"/>
    <w:rsid w:val="00616965"/>
    <w:rsid w:val="00616AF6"/>
    <w:rsid w:val="00616EAF"/>
    <w:rsid w:val="0061777F"/>
    <w:rsid w:val="00617DB7"/>
    <w:rsid w:val="006202AA"/>
    <w:rsid w:val="006202D3"/>
    <w:rsid w:val="00620763"/>
    <w:rsid w:val="00620776"/>
    <w:rsid w:val="00620F40"/>
    <w:rsid w:val="00621B61"/>
    <w:rsid w:val="00621CEB"/>
    <w:rsid w:val="0062211F"/>
    <w:rsid w:val="0062216B"/>
    <w:rsid w:val="00622B59"/>
    <w:rsid w:val="00623139"/>
    <w:rsid w:val="006236D7"/>
    <w:rsid w:val="0062375A"/>
    <w:rsid w:val="00623C1E"/>
    <w:rsid w:val="00624533"/>
    <w:rsid w:val="006245B0"/>
    <w:rsid w:val="0062460E"/>
    <w:rsid w:val="00625648"/>
    <w:rsid w:val="0062648A"/>
    <w:rsid w:val="00626A50"/>
    <w:rsid w:val="00626BAE"/>
    <w:rsid w:val="006274AE"/>
    <w:rsid w:val="00627902"/>
    <w:rsid w:val="00627CD0"/>
    <w:rsid w:val="00627D0C"/>
    <w:rsid w:val="00627FA2"/>
    <w:rsid w:val="0063026F"/>
    <w:rsid w:val="00630844"/>
    <w:rsid w:val="00631162"/>
    <w:rsid w:val="00631833"/>
    <w:rsid w:val="0063205D"/>
    <w:rsid w:val="006330A8"/>
    <w:rsid w:val="006335DF"/>
    <w:rsid w:val="00633F0C"/>
    <w:rsid w:val="00633F3D"/>
    <w:rsid w:val="00634543"/>
    <w:rsid w:val="006351E0"/>
    <w:rsid w:val="0063612C"/>
    <w:rsid w:val="006361CC"/>
    <w:rsid w:val="006366D1"/>
    <w:rsid w:val="0063679C"/>
    <w:rsid w:val="00637222"/>
    <w:rsid w:val="00637424"/>
    <w:rsid w:val="0063764E"/>
    <w:rsid w:val="006378D6"/>
    <w:rsid w:val="00637ACE"/>
    <w:rsid w:val="0064037D"/>
    <w:rsid w:val="0064064A"/>
    <w:rsid w:val="00640799"/>
    <w:rsid w:val="00640E3E"/>
    <w:rsid w:val="0064152C"/>
    <w:rsid w:val="006416E3"/>
    <w:rsid w:val="00641E22"/>
    <w:rsid w:val="00641F83"/>
    <w:rsid w:val="00641FAE"/>
    <w:rsid w:val="00642093"/>
    <w:rsid w:val="0064219C"/>
    <w:rsid w:val="0064345A"/>
    <w:rsid w:val="00643C9F"/>
    <w:rsid w:val="00643CA9"/>
    <w:rsid w:val="00644001"/>
    <w:rsid w:val="00644061"/>
    <w:rsid w:val="0064444D"/>
    <w:rsid w:val="0064493A"/>
    <w:rsid w:val="0064493B"/>
    <w:rsid w:val="00645545"/>
    <w:rsid w:val="006456B8"/>
    <w:rsid w:val="006457DA"/>
    <w:rsid w:val="00645DEE"/>
    <w:rsid w:val="00645FED"/>
    <w:rsid w:val="00646419"/>
    <w:rsid w:val="006464E4"/>
    <w:rsid w:val="00646AC4"/>
    <w:rsid w:val="00646BD3"/>
    <w:rsid w:val="00647461"/>
    <w:rsid w:val="00647617"/>
    <w:rsid w:val="006476CE"/>
    <w:rsid w:val="00647720"/>
    <w:rsid w:val="00647740"/>
    <w:rsid w:val="00647D0C"/>
    <w:rsid w:val="00647F7F"/>
    <w:rsid w:val="0065039E"/>
    <w:rsid w:val="006506EB"/>
    <w:rsid w:val="00650BF6"/>
    <w:rsid w:val="00650E1D"/>
    <w:rsid w:val="0065168F"/>
    <w:rsid w:val="00651748"/>
    <w:rsid w:val="00651E43"/>
    <w:rsid w:val="006523FE"/>
    <w:rsid w:val="00652833"/>
    <w:rsid w:val="006528BD"/>
    <w:rsid w:val="00653110"/>
    <w:rsid w:val="00653916"/>
    <w:rsid w:val="0065406B"/>
    <w:rsid w:val="00654086"/>
    <w:rsid w:val="0065492F"/>
    <w:rsid w:val="00655807"/>
    <w:rsid w:val="00655D4B"/>
    <w:rsid w:val="0065602B"/>
    <w:rsid w:val="006563FF"/>
    <w:rsid w:val="00656C31"/>
    <w:rsid w:val="0065738D"/>
    <w:rsid w:val="006576B3"/>
    <w:rsid w:val="0065776F"/>
    <w:rsid w:val="006578DD"/>
    <w:rsid w:val="00657F65"/>
    <w:rsid w:val="00657FA7"/>
    <w:rsid w:val="00660B73"/>
    <w:rsid w:val="00661298"/>
    <w:rsid w:val="00661847"/>
    <w:rsid w:val="006620A7"/>
    <w:rsid w:val="006622BC"/>
    <w:rsid w:val="006622E0"/>
    <w:rsid w:val="006626D3"/>
    <w:rsid w:val="00662823"/>
    <w:rsid w:val="00662AD4"/>
    <w:rsid w:val="0066316F"/>
    <w:rsid w:val="006633D2"/>
    <w:rsid w:val="0066346C"/>
    <w:rsid w:val="00663947"/>
    <w:rsid w:val="00664080"/>
    <w:rsid w:val="00665010"/>
    <w:rsid w:val="00665144"/>
    <w:rsid w:val="006653D9"/>
    <w:rsid w:val="006662A1"/>
    <w:rsid w:val="006664CA"/>
    <w:rsid w:val="00666A9D"/>
    <w:rsid w:val="00666BB9"/>
    <w:rsid w:val="00667015"/>
    <w:rsid w:val="0066731E"/>
    <w:rsid w:val="006674B5"/>
    <w:rsid w:val="00667C17"/>
    <w:rsid w:val="006703B8"/>
    <w:rsid w:val="0067050F"/>
    <w:rsid w:val="00670A9E"/>
    <w:rsid w:val="00670E7E"/>
    <w:rsid w:val="0067125E"/>
    <w:rsid w:val="00671C11"/>
    <w:rsid w:val="00672777"/>
    <w:rsid w:val="00673498"/>
    <w:rsid w:val="00673600"/>
    <w:rsid w:val="006743AF"/>
    <w:rsid w:val="00674C5D"/>
    <w:rsid w:val="00674E93"/>
    <w:rsid w:val="00674FA1"/>
    <w:rsid w:val="006751CE"/>
    <w:rsid w:val="0067618F"/>
    <w:rsid w:val="006762F4"/>
    <w:rsid w:val="00676A0E"/>
    <w:rsid w:val="006802B5"/>
    <w:rsid w:val="006802E0"/>
    <w:rsid w:val="006805C8"/>
    <w:rsid w:val="00680D69"/>
    <w:rsid w:val="00680F80"/>
    <w:rsid w:val="00680FCD"/>
    <w:rsid w:val="0068141D"/>
    <w:rsid w:val="00681439"/>
    <w:rsid w:val="00682090"/>
    <w:rsid w:val="0068214B"/>
    <w:rsid w:val="006826A6"/>
    <w:rsid w:val="006826DA"/>
    <w:rsid w:val="006827B9"/>
    <w:rsid w:val="00683FFE"/>
    <w:rsid w:val="00684B9A"/>
    <w:rsid w:val="00685FC2"/>
    <w:rsid w:val="006861FB"/>
    <w:rsid w:val="0068634F"/>
    <w:rsid w:val="00686476"/>
    <w:rsid w:val="0068684F"/>
    <w:rsid w:val="006868AC"/>
    <w:rsid w:val="00687013"/>
    <w:rsid w:val="00687149"/>
    <w:rsid w:val="00687530"/>
    <w:rsid w:val="00687BDC"/>
    <w:rsid w:val="006903F7"/>
    <w:rsid w:val="006909F8"/>
    <w:rsid w:val="0069173A"/>
    <w:rsid w:val="006925D2"/>
    <w:rsid w:val="0069261B"/>
    <w:rsid w:val="006929DB"/>
    <w:rsid w:val="00692B16"/>
    <w:rsid w:val="00692C08"/>
    <w:rsid w:val="00692D41"/>
    <w:rsid w:val="00692E4B"/>
    <w:rsid w:val="00692F9A"/>
    <w:rsid w:val="006937F2"/>
    <w:rsid w:val="00694072"/>
    <w:rsid w:val="006944EC"/>
    <w:rsid w:val="00694782"/>
    <w:rsid w:val="00694D62"/>
    <w:rsid w:val="00695094"/>
    <w:rsid w:val="0069554F"/>
    <w:rsid w:val="006956D1"/>
    <w:rsid w:val="00695983"/>
    <w:rsid w:val="00696317"/>
    <w:rsid w:val="00697413"/>
    <w:rsid w:val="00697B3A"/>
    <w:rsid w:val="00697D1A"/>
    <w:rsid w:val="006A0585"/>
    <w:rsid w:val="006A0C83"/>
    <w:rsid w:val="006A0D1A"/>
    <w:rsid w:val="006A1417"/>
    <w:rsid w:val="006A1D1D"/>
    <w:rsid w:val="006A1DF8"/>
    <w:rsid w:val="006A1F1B"/>
    <w:rsid w:val="006A38F2"/>
    <w:rsid w:val="006A3F4D"/>
    <w:rsid w:val="006A48E4"/>
    <w:rsid w:val="006A4A85"/>
    <w:rsid w:val="006A4B29"/>
    <w:rsid w:val="006A56D2"/>
    <w:rsid w:val="006A5943"/>
    <w:rsid w:val="006A5BE1"/>
    <w:rsid w:val="006A5E15"/>
    <w:rsid w:val="006A5ECD"/>
    <w:rsid w:val="006A6460"/>
    <w:rsid w:val="006A6827"/>
    <w:rsid w:val="006A6CFB"/>
    <w:rsid w:val="006A6EEF"/>
    <w:rsid w:val="006A75FC"/>
    <w:rsid w:val="006A76DC"/>
    <w:rsid w:val="006A7729"/>
    <w:rsid w:val="006B01F2"/>
    <w:rsid w:val="006B025E"/>
    <w:rsid w:val="006B05D1"/>
    <w:rsid w:val="006B0C3E"/>
    <w:rsid w:val="006B0C53"/>
    <w:rsid w:val="006B1456"/>
    <w:rsid w:val="006B1590"/>
    <w:rsid w:val="006B1864"/>
    <w:rsid w:val="006B1B6A"/>
    <w:rsid w:val="006B28DA"/>
    <w:rsid w:val="006B2DC0"/>
    <w:rsid w:val="006B3053"/>
    <w:rsid w:val="006B328A"/>
    <w:rsid w:val="006B353F"/>
    <w:rsid w:val="006B4287"/>
    <w:rsid w:val="006B445A"/>
    <w:rsid w:val="006B44DE"/>
    <w:rsid w:val="006B44F8"/>
    <w:rsid w:val="006B4B76"/>
    <w:rsid w:val="006B4D0E"/>
    <w:rsid w:val="006B5194"/>
    <w:rsid w:val="006B5800"/>
    <w:rsid w:val="006B5AE9"/>
    <w:rsid w:val="006B61FE"/>
    <w:rsid w:val="006B62D8"/>
    <w:rsid w:val="006B631C"/>
    <w:rsid w:val="006B6602"/>
    <w:rsid w:val="006B686A"/>
    <w:rsid w:val="006B7037"/>
    <w:rsid w:val="006B71A4"/>
    <w:rsid w:val="006B7658"/>
    <w:rsid w:val="006B7959"/>
    <w:rsid w:val="006B7BBB"/>
    <w:rsid w:val="006B7D5E"/>
    <w:rsid w:val="006B7DE8"/>
    <w:rsid w:val="006B7FDE"/>
    <w:rsid w:val="006C0659"/>
    <w:rsid w:val="006C0773"/>
    <w:rsid w:val="006C0F17"/>
    <w:rsid w:val="006C18F7"/>
    <w:rsid w:val="006C1915"/>
    <w:rsid w:val="006C1F7C"/>
    <w:rsid w:val="006C26A4"/>
    <w:rsid w:val="006C275F"/>
    <w:rsid w:val="006C27DB"/>
    <w:rsid w:val="006C2C87"/>
    <w:rsid w:val="006C2E96"/>
    <w:rsid w:val="006C337B"/>
    <w:rsid w:val="006C348A"/>
    <w:rsid w:val="006C4188"/>
    <w:rsid w:val="006C45B3"/>
    <w:rsid w:val="006C5377"/>
    <w:rsid w:val="006C5B88"/>
    <w:rsid w:val="006C5F32"/>
    <w:rsid w:val="006C6449"/>
    <w:rsid w:val="006C6478"/>
    <w:rsid w:val="006C67E3"/>
    <w:rsid w:val="006C6932"/>
    <w:rsid w:val="006C6B68"/>
    <w:rsid w:val="006C744B"/>
    <w:rsid w:val="006C7518"/>
    <w:rsid w:val="006C7BB7"/>
    <w:rsid w:val="006D0BDD"/>
    <w:rsid w:val="006D1528"/>
    <w:rsid w:val="006D1BFD"/>
    <w:rsid w:val="006D1EC2"/>
    <w:rsid w:val="006D1F46"/>
    <w:rsid w:val="006D216F"/>
    <w:rsid w:val="006D25BB"/>
    <w:rsid w:val="006D2DCA"/>
    <w:rsid w:val="006D33FD"/>
    <w:rsid w:val="006D3554"/>
    <w:rsid w:val="006D3AE9"/>
    <w:rsid w:val="006D4480"/>
    <w:rsid w:val="006D44EB"/>
    <w:rsid w:val="006D4E3E"/>
    <w:rsid w:val="006D5412"/>
    <w:rsid w:val="006D545B"/>
    <w:rsid w:val="006D54D1"/>
    <w:rsid w:val="006D5A26"/>
    <w:rsid w:val="006D5D24"/>
    <w:rsid w:val="006D5ECE"/>
    <w:rsid w:val="006D6470"/>
    <w:rsid w:val="006D6C4A"/>
    <w:rsid w:val="006D7129"/>
    <w:rsid w:val="006D7396"/>
    <w:rsid w:val="006D7C6B"/>
    <w:rsid w:val="006E05D5"/>
    <w:rsid w:val="006E09E2"/>
    <w:rsid w:val="006E1041"/>
    <w:rsid w:val="006E15DF"/>
    <w:rsid w:val="006E274E"/>
    <w:rsid w:val="006E27EF"/>
    <w:rsid w:val="006E28D8"/>
    <w:rsid w:val="006E30C6"/>
    <w:rsid w:val="006E393B"/>
    <w:rsid w:val="006E3CE3"/>
    <w:rsid w:val="006E418D"/>
    <w:rsid w:val="006E4412"/>
    <w:rsid w:val="006E47C9"/>
    <w:rsid w:val="006E4B26"/>
    <w:rsid w:val="006E507D"/>
    <w:rsid w:val="006E5573"/>
    <w:rsid w:val="006E587A"/>
    <w:rsid w:val="006E6253"/>
    <w:rsid w:val="006E6C99"/>
    <w:rsid w:val="006E6DAF"/>
    <w:rsid w:val="006E6E83"/>
    <w:rsid w:val="006E7D68"/>
    <w:rsid w:val="006E7EB9"/>
    <w:rsid w:val="006E7F25"/>
    <w:rsid w:val="006F018A"/>
    <w:rsid w:val="006F02E4"/>
    <w:rsid w:val="006F1BB8"/>
    <w:rsid w:val="006F1E1C"/>
    <w:rsid w:val="006F2048"/>
    <w:rsid w:val="006F218C"/>
    <w:rsid w:val="006F247D"/>
    <w:rsid w:val="006F2F7B"/>
    <w:rsid w:val="006F3206"/>
    <w:rsid w:val="006F4286"/>
    <w:rsid w:val="006F45E5"/>
    <w:rsid w:val="006F4F86"/>
    <w:rsid w:val="006F5068"/>
    <w:rsid w:val="006F5B23"/>
    <w:rsid w:val="006F625C"/>
    <w:rsid w:val="006F67D9"/>
    <w:rsid w:val="006F6B01"/>
    <w:rsid w:val="006F7608"/>
    <w:rsid w:val="006F7C2B"/>
    <w:rsid w:val="00700752"/>
    <w:rsid w:val="00700D43"/>
    <w:rsid w:val="00700E95"/>
    <w:rsid w:val="00701E0D"/>
    <w:rsid w:val="0070232D"/>
    <w:rsid w:val="00702C2A"/>
    <w:rsid w:val="00702CDB"/>
    <w:rsid w:val="00702DA3"/>
    <w:rsid w:val="00702EB9"/>
    <w:rsid w:val="00703340"/>
    <w:rsid w:val="00703C39"/>
    <w:rsid w:val="00703CC7"/>
    <w:rsid w:val="007047BA"/>
    <w:rsid w:val="00704AF5"/>
    <w:rsid w:val="00704CDF"/>
    <w:rsid w:val="00704F62"/>
    <w:rsid w:val="007051E1"/>
    <w:rsid w:val="0070611A"/>
    <w:rsid w:val="007063FB"/>
    <w:rsid w:val="00706ACF"/>
    <w:rsid w:val="00706CD3"/>
    <w:rsid w:val="00706D23"/>
    <w:rsid w:val="00707569"/>
    <w:rsid w:val="0070795C"/>
    <w:rsid w:val="00707FEE"/>
    <w:rsid w:val="0071026A"/>
    <w:rsid w:val="00710B8B"/>
    <w:rsid w:val="007116F2"/>
    <w:rsid w:val="00711714"/>
    <w:rsid w:val="00711B18"/>
    <w:rsid w:val="007127DC"/>
    <w:rsid w:val="0071286F"/>
    <w:rsid w:val="00712A5C"/>
    <w:rsid w:val="00712B61"/>
    <w:rsid w:val="007135E7"/>
    <w:rsid w:val="00713B88"/>
    <w:rsid w:val="00713FBA"/>
    <w:rsid w:val="00713FCE"/>
    <w:rsid w:val="00713FEF"/>
    <w:rsid w:val="0071414F"/>
    <w:rsid w:val="007141E5"/>
    <w:rsid w:val="007146C2"/>
    <w:rsid w:val="0071483C"/>
    <w:rsid w:val="007148EE"/>
    <w:rsid w:val="00714B99"/>
    <w:rsid w:val="00715300"/>
    <w:rsid w:val="00715732"/>
    <w:rsid w:val="0071599A"/>
    <w:rsid w:val="00715C73"/>
    <w:rsid w:val="00716186"/>
    <w:rsid w:val="0071644D"/>
    <w:rsid w:val="00716514"/>
    <w:rsid w:val="00716A5D"/>
    <w:rsid w:val="00717149"/>
    <w:rsid w:val="007179F4"/>
    <w:rsid w:val="00717B57"/>
    <w:rsid w:val="00720151"/>
    <w:rsid w:val="00720B9B"/>
    <w:rsid w:val="00720C3B"/>
    <w:rsid w:val="00721AAA"/>
    <w:rsid w:val="00721E06"/>
    <w:rsid w:val="00722434"/>
    <w:rsid w:val="007225FF"/>
    <w:rsid w:val="007228E9"/>
    <w:rsid w:val="00722C73"/>
    <w:rsid w:val="00722D96"/>
    <w:rsid w:val="007233FD"/>
    <w:rsid w:val="00723B24"/>
    <w:rsid w:val="00723D1B"/>
    <w:rsid w:val="00724302"/>
    <w:rsid w:val="00724531"/>
    <w:rsid w:val="00724C40"/>
    <w:rsid w:val="0072511E"/>
    <w:rsid w:val="00725273"/>
    <w:rsid w:val="00725AA2"/>
    <w:rsid w:val="007260A1"/>
    <w:rsid w:val="0072614C"/>
    <w:rsid w:val="0072657D"/>
    <w:rsid w:val="0072661D"/>
    <w:rsid w:val="00726B4F"/>
    <w:rsid w:val="007270D4"/>
    <w:rsid w:val="007277ED"/>
    <w:rsid w:val="0073030E"/>
    <w:rsid w:val="0073033F"/>
    <w:rsid w:val="00730434"/>
    <w:rsid w:val="00730BC1"/>
    <w:rsid w:val="007311ED"/>
    <w:rsid w:val="0073134E"/>
    <w:rsid w:val="007318C1"/>
    <w:rsid w:val="00731AC2"/>
    <w:rsid w:val="00731CD1"/>
    <w:rsid w:val="00731FCA"/>
    <w:rsid w:val="00731FEC"/>
    <w:rsid w:val="0073212F"/>
    <w:rsid w:val="00732443"/>
    <w:rsid w:val="00733171"/>
    <w:rsid w:val="00733212"/>
    <w:rsid w:val="007338C6"/>
    <w:rsid w:val="00733D2A"/>
    <w:rsid w:val="00734748"/>
    <w:rsid w:val="0073480D"/>
    <w:rsid w:val="00734B31"/>
    <w:rsid w:val="0073506F"/>
    <w:rsid w:val="007359BE"/>
    <w:rsid w:val="00735F4C"/>
    <w:rsid w:val="00736019"/>
    <w:rsid w:val="00736ED7"/>
    <w:rsid w:val="007371A9"/>
    <w:rsid w:val="0073738E"/>
    <w:rsid w:val="007374B8"/>
    <w:rsid w:val="00737D23"/>
    <w:rsid w:val="007401D3"/>
    <w:rsid w:val="007402A5"/>
    <w:rsid w:val="0074113F"/>
    <w:rsid w:val="007413BB"/>
    <w:rsid w:val="00741CFC"/>
    <w:rsid w:val="00742953"/>
    <w:rsid w:val="00742A44"/>
    <w:rsid w:val="00742AA9"/>
    <w:rsid w:val="00742EBD"/>
    <w:rsid w:val="007431CD"/>
    <w:rsid w:val="0074335A"/>
    <w:rsid w:val="0074367D"/>
    <w:rsid w:val="00743BC1"/>
    <w:rsid w:val="00743CA0"/>
    <w:rsid w:val="00743E35"/>
    <w:rsid w:val="00744188"/>
    <w:rsid w:val="00744755"/>
    <w:rsid w:val="00744853"/>
    <w:rsid w:val="00744B15"/>
    <w:rsid w:val="00745560"/>
    <w:rsid w:val="0074627D"/>
    <w:rsid w:val="007463EB"/>
    <w:rsid w:val="007466F2"/>
    <w:rsid w:val="00746956"/>
    <w:rsid w:val="00746C8F"/>
    <w:rsid w:val="00746F42"/>
    <w:rsid w:val="00747144"/>
    <w:rsid w:val="00747D57"/>
    <w:rsid w:val="00747DA5"/>
    <w:rsid w:val="00747DFE"/>
    <w:rsid w:val="00747F5F"/>
    <w:rsid w:val="007503A1"/>
    <w:rsid w:val="007505C4"/>
    <w:rsid w:val="0075066F"/>
    <w:rsid w:val="007509CC"/>
    <w:rsid w:val="00750BE6"/>
    <w:rsid w:val="00750EE5"/>
    <w:rsid w:val="00751239"/>
    <w:rsid w:val="007516B3"/>
    <w:rsid w:val="007516DF"/>
    <w:rsid w:val="00751BF9"/>
    <w:rsid w:val="00751FBF"/>
    <w:rsid w:val="00751FF3"/>
    <w:rsid w:val="0075201A"/>
    <w:rsid w:val="00752257"/>
    <w:rsid w:val="007529B2"/>
    <w:rsid w:val="00752AA3"/>
    <w:rsid w:val="00753521"/>
    <w:rsid w:val="0075392A"/>
    <w:rsid w:val="0075393F"/>
    <w:rsid w:val="00753C7F"/>
    <w:rsid w:val="00753EF7"/>
    <w:rsid w:val="00754206"/>
    <w:rsid w:val="00754244"/>
    <w:rsid w:val="007545BC"/>
    <w:rsid w:val="0075471D"/>
    <w:rsid w:val="0075490C"/>
    <w:rsid w:val="00754AD1"/>
    <w:rsid w:val="00754B2B"/>
    <w:rsid w:val="00754E44"/>
    <w:rsid w:val="00754EBF"/>
    <w:rsid w:val="0075509F"/>
    <w:rsid w:val="007551B2"/>
    <w:rsid w:val="007557E8"/>
    <w:rsid w:val="00755C3C"/>
    <w:rsid w:val="00755F95"/>
    <w:rsid w:val="00756039"/>
    <w:rsid w:val="007561E6"/>
    <w:rsid w:val="00756C6E"/>
    <w:rsid w:val="00756D07"/>
    <w:rsid w:val="00756D60"/>
    <w:rsid w:val="0075727F"/>
    <w:rsid w:val="007573B2"/>
    <w:rsid w:val="00757AE1"/>
    <w:rsid w:val="00757D94"/>
    <w:rsid w:val="0076022F"/>
    <w:rsid w:val="00760DDA"/>
    <w:rsid w:val="0076116C"/>
    <w:rsid w:val="00761372"/>
    <w:rsid w:val="007613B4"/>
    <w:rsid w:val="00761417"/>
    <w:rsid w:val="007617F6"/>
    <w:rsid w:val="0076180E"/>
    <w:rsid w:val="00761F38"/>
    <w:rsid w:val="00761F93"/>
    <w:rsid w:val="0076210C"/>
    <w:rsid w:val="0076246F"/>
    <w:rsid w:val="0076262B"/>
    <w:rsid w:val="0076269C"/>
    <w:rsid w:val="007627ED"/>
    <w:rsid w:val="007628D5"/>
    <w:rsid w:val="00762A26"/>
    <w:rsid w:val="00762C85"/>
    <w:rsid w:val="00762CC4"/>
    <w:rsid w:val="00762CE3"/>
    <w:rsid w:val="00762DDC"/>
    <w:rsid w:val="0076302C"/>
    <w:rsid w:val="00763537"/>
    <w:rsid w:val="00763685"/>
    <w:rsid w:val="00763D4B"/>
    <w:rsid w:val="00763DE7"/>
    <w:rsid w:val="0076401D"/>
    <w:rsid w:val="00764156"/>
    <w:rsid w:val="007646AF"/>
    <w:rsid w:val="00764C29"/>
    <w:rsid w:val="00764FBD"/>
    <w:rsid w:val="00765022"/>
    <w:rsid w:val="00765A1F"/>
    <w:rsid w:val="00766157"/>
    <w:rsid w:val="00767215"/>
    <w:rsid w:val="0076761A"/>
    <w:rsid w:val="00767660"/>
    <w:rsid w:val="0077058D"/>
    <w:rsid w:val="0077079C"/>
    <w:rsid w:val="00771A64"/>
    <w:rsid w:val="00771F9A"/>
    <w:rsid w:val="00772471"/>
    <w:rsid w:val="007725AB"/>
    <w:rsid w:val="00772EA0"/>
    <w:rsid w:val="00773A0D"/>
    <w:rsid w:val="00773DD8"/>
    <w:rsid w:val="0077488D"/>
    <w:rsid w:val="00774AD5"/>
    <w:rsid w:val="00774B5D"/>
    <w:rsid w:val="00774BAC"/>
    <w:rsid w:val="00774D22"/>
    <w:rsid w:val="00775186"/>
    <w:rsid w:val="00775458"/>
    <w:rsid w:val="00775514"/>
    <w:rsid w:val="007755A9"/>
    <w:rsid w:val="00775994"/>
    <w:rsid w:val="00775E8D"/>
    <w:rsid w:val="00776677"/>
    <w:rsid w:val="007769C2"/>
    <w:rsid w:val="00776D6A"/>
    <w:rsid w:val="00777906"/>
    <w:rsid w:val="007800E4"/>
    <w:rsid w:val="007805DB"/>
    <w:rsid w:val="007808CA"/>
    <w:rsid w:val="007810B2"/>
    <w:rsid w:val="00781902"/>
    <w:rsid w:val="00781ED3"/>
    <w:rsid w:val="00781EDF"/>
    <w:rsid w:val="0078232F"/>
    <w:rsid w:val="00782AFA"/>
    <w:rsid w:val="00783272"/>
    <w:rsid w:val="0078380A"/>
    <w:rsid w:val="00783A91"/>
    <w:rsid w:val="00783D70"/>
    <w:rsid w:val="00783F99"/>
    <w:rsid w:val="00784031"/>
    <w:rsid w:val="007842C4"/>
    <w:rsid w:val="0078434E"/>
    <w:rsid w:val="0078466B"/>
    <w:rsid w:val="0078471F"/>
    <w:rsid w:val="00784C39"/>
    <w:rsid w:val="00784D37"/>
    <w:rsid w:val="007851B0"/>
    <w:rsid w:val="007854E3"/>
    <w:rsid w:val="00785769"/>
    <w:rsid w:val="00785D03"/>
    <w:rsid w:val="00786E7B"/>
    <w:rsid w:val="00790286"/>
    <w:rsid w:val="00790833"/>
    <w:rsid w:val="00790D77"/>
    <w:rsid w:val="0079139D"/>
    <w:rsid w:val="0079183F"/>
    <w:rsid w:val="00791857"/>
    <w:rsid w:val="00791A4B"/>
    <w:rsid w:val="00792110"/>
    <w:rsid w:val="00792397"/>
    <w:rsid w:val="007923C8"/>
    <w:rsid w:val="00792A15"/>
    <w:rsid w:val="00792EBF"/>
    <w:rsid w:val="00793274"/>
    <w:rsid w:val="00793D5D"/>
    <w:rsid w:val="00793EEC"/>
    <w:rsid w:val="007943C3"/>
    <w:rsid w:val="00794699"/>
    <w:rsid w:val="007947C3"/>
    <w:rsid w:val="00794C3E"/>
    <w:rsid w:val="00794EAC"/>
    <w:rsid w:val="0079517D"/>
    <w:rsid w:val="00795195"/>
    <w:rsid w:val="0079647D"/>
    <w:rsid w:val="00796849"/>
    <w:rsid w:val="00796CF4"/>
    <w:rsid w:val="00796F72"/>
    <w:rsid w:val="007977A1"/>
    <w:rsid w:val="007979CB"/>
    <w:rsid w:val="00797AC1"/>
    <w:rsid w:val="007A036C"/>
    <w:rsid w:val="007A0E1C"/>
    <w:rsid w:val="007A1142"/>
    <w:rsid w:val="007A137C"/>
    <w:rsid w:val="007A172B"/>
    <w:rsid w:val="007A1A13"/>
    <w:rsid w:val="007A1C2E"/>
    <w:rsid w:val="007A1FB5"/>
    <w:rsid w:val="007A2DA5"/>
    <w:rsid w:val="007A438D"/>
    <w:rsid w:val="007A4E58"/>
    <w:rsid w:val="007A522F"/>
    <w:rsid w:val="007A5241"/>
    <w:rsid w:val="007A5245"/>
    <w:rsid w:val="007A52D7"/>
    <w:rsid w:val="007A5956"/>
    <w:rsid w:val="007A5AB2"/>
    <w:rsid w:val="007A65D9"/>
    <w:rsid w:val="007A682F"/>
    <w:rsid w:val="007A6ABE"/>
    <w:rsid w:val="007B00E3"/>
    <w:rsid w:val="007B047C"/>
    <w:rsid w:val="007B0E29"/>
    <w:rsid w:val="007B1247"/>
    <w:rsid w:val="007B1359"/>
    <w:rsid w:val="007B146B"/>
    <w:rsid w:val="007B1789"/>
    <w:rsid w:val="007B1799"/>
    <w:rsid w:val="007B1F4A"/>
    <w:rsid w:val="007B2408"/>
    <w:rsid w:val="007B2547"/>
    <w:rsid w:val="007B259A"/>
    <w:rsid w:val="007B277C"/>
    <w:rsid w:val="007B2E04"/>
    <w:rsid w:val="007B3165"/>
    <w:rsid w:val="007B33D4"/>
    <w:rsid w:val="007B41F9"/>
    <w:rsid w:val="007B4DC3"/>
    <w:rsid w:val="007B4F92"/>
    <w:rsid w:val="007B57A5"/>
    <w:rsid w:val="007B59A2"/>
    <w:rsid w:val="007B5C85"/>
    <w:rsid w:val="007B5D94"/>
    <w:rsid w:val="007B64F4"/>
    <w:rsid w:val="007B676C"/>
    <w:rsid w:val="007B6D5D"/>
    <w:rsid w:val="007B75CD"/>
    <w:rsid w:val="007B7A4F"/>
    <w:rsid w:val="007B7D5D"/>
    <w:rsid w:val="007B7EC0"/>
    <w:rsid w:val="007C0D17"/>
    <w:rsid w:val="007C11F4"/>
    <w:rsid w:val="007C144F"/>
    <w:rsid w:val="007C16AE"/>
    <w:rsid w:val="007C1D62"/>
    <w:rsid w:val="007C1F22"/>
    <w:rsid w:val="007C2830"/>
    <w:rsid w:val="007C3083"/>
    <w:rsid w:val="007C331C"/>
    <w:rsid w:val="007C3712"/>
    <w:rsid w:val="007C39D1"/>
    <w:rsid w:val="007C3F5C"/>
    <w:rsid w:val="007C4390"/>
    <w:rsid w:val="007C4BFE"/>
    <w:rsid w:val="007C58AC"/>
    <w:rsid w:val="007C5C11"/>
    <w:rsid w:val="007C5DFC"/>
    <w:rsid w:val="007C61DE"/>
    <w:rsid w:val="007C6365"/>
    <w:rsid w:val="007C646C"/>
    <w:rsid w:val="007C686F"/>
    <w:rsid w:val="007C68F8"/>
    <w:rsid w:val="007C6F4D"/>
    <w:rsid w:val="007C6F66"/>
    <w:rsid w:val="007C708A"/>
    <w:rsid w:val="007C7601"/>
    <w:rsid w:val="007C77E7"/>
    <w:rsid w:val="007C7C90"/>
    <w:rsid w:val="007D0A65"/>
    <w:rsid w:val="007D2190"/>
    <w:rsid w:val="007D275C"/>
    <w:rsid w:val="007D2D20"/>
    <w:rsid w:val="007D323D"/>
    <w:rsid w:val="007D37B9"/>
    <w:rsid w:val="007D3BA2"/>
    <w:rsid w:val="007D3D8E"/>
    <w:rsid w:val="007D4175"/>
    <w:rsid w:val="007D41B8"/>
    <w:rsid w:val="007D44A8"/>
    <w:rsid w:val="007D4547"/>
    <w:rsid w:val="007D4782"/>
    <w:rsid w:val="007D4E37"/>
    <w:rsid w:val="007D5064"/>
    <w:rsid w:val="007D57CE"/>
    <w:rsid w:val="007D5C3F"/>
    <w:rsid w:val="007D5DDC"/>
    <w:rsid w:val="007D5E41"/>
    <w:rsid w:val="007D60A2"/>
    <w:rsid w:val="007D612F"/>
    <w:rsid w:val="007D6AAD"/>
    <w:rsid w:val="007D6DBA"/>
    <w:rsid w:val="007D7561"/>
    <w:rsid w:val="007D7577"/>
    <w:rsid w:val="007D78DA"/>
    <w:rsid w:val="007E0103"/>
    <w:rsid w:val="007E02F6"/>
    <w:rsid w:val="007E038D"/>
    <w:rsid w:val="007E058E"/>
    <w:rsid w:val="007E1074"/>
    <w:rsid w:val="007E13D0"/>
    <w:rsid w:val="007E18CE"/>
    <w:rsid w:val="007E242A"/>
    <w:rsid w:val="007E30F3"/>
    <w:rsid w:val="007E322F"/>
    <w:rsid w:val="007E425B"/>
    <w:rsid w:val="007E427B"/>
    <w:rsid w:val="007E42D9"/>
    <w:rsid w:val="007E561D"/>
    <w:rsid w:val="007E56BB"/>
    <w:rsid w:val="007E57C9"/>
    <w:rsid w:val="007E5882"/>
    <w:rsid w:val="007E61CE"/>
    <w:rsid w:val="007E6BD6"/>
    <w:rsid w:val="007E6CE3"/>
    <w:rsid w:val="007E6D20"/>
    <w:rsid w:val="007E77A4"/>
    <w:rsid w:val="007E7995"/>
    <w:rsid w:val="007E79DB"/>
    <w:rsid w:val="007E7ACE"/>
    <w:rsid w:val="007F016D"/>
    <w:rsid w:val="007F0711"/>
    <w:rsid w:val="007F074B"/>
    <w:rsid w:val="007F0FC6"/>
    <w:rsid w:val="007F0FF8"/>
    <w:rsid w:val="007F15DA"/>
    <w:rsid w:val="007F23D4"/>
    <w:rsid w:val="007F295E"/>
    <w:rsid w:val="007F304E"/>
    <w:rsid w:val="007F3574"/>
    <w:rsid w:val="007F3AD8"/>
    <w:rsid w:val="007F4A1B"/>
    <w:rsid w:val="007F4F3A"/>
    <w:rsid w:val="007F52CD"/>
    <w:rsid w:val="007F5707"/>
    <w:rsid w:val="007F5900"/>
    <w:rsid w:val="007F594D"/>
    <w:rsid w:val="007F5B4E"/>
    <w:rsid w:val="007F5BE7"/>
    <w:rsid w:val="007F67B9"/>
    <w:rsid w:val="007F6DD8"/>
    <w:rsid w:val="007F6F6B"/>
    <w:rsid w:val="007F73B4"/>
    <w:rsid w:val="007F7885"/>
    <w:rsid w:val="00800480"/>
    <w:rsid w:val="00800888"/>
    <w:rsid w:val="0080196E"/>
    <w:rsid w:val="00801985"/>
    <w:rsid w:val="00801E3E"/>
    <w:rsid w:val="008020B8"/>
    <w:rsid w:val="00802115"/>
    <w:rsid w:val="00802187"/>
    <w:rsid w:val="008022D7"/>
    <w:rsid w:val="00802379"/>
    <w:rsid w:val="0080250C"/>
    <w:rsid w:val="008031C8"/>
    <w:rsid w:val="00803779"/>
    <w:rsid w:val="00803F27"/>
    <w:rsid w:val="008046D8"/>
    <w:rsid w:val="00804B3F"/>
    <w:rsid w:val="00804F2E"/>
    <w:rsid w:val="008052B8"/>
    <w:rsid w:val="008058D5"/>
    <w:rsid w:val="00805FAC"/>
    <w:rsid w:val="00807A44"/>
    <w:rsid w:val="008100C9"/>
    <w:rsid w:val="008102BB"/>
    <w:rsid w:val="008108A5"/>
    <w:rsid w:val="00811C7F"/>
    <w:rsid w:val="00811EFE"/>
    <w:rsid w:val="00812146"/>
    <w:rsid w:val="008121D9"/>
    <w:rsid w:val="00812449"/>
    <w:rsid w:val="00812773"/>
    <w:rsid w:val="00812BCA"/>
    <w:rsid w:val="008134B8"/>
    <w:rsid w:val="008135CD"/>
    <w:rsid w:val="00814228"/>
    <w:rsid w:val="008142DB"/>
    <w:rsid w:val="00814462"/>
    <w:rsid w:val="00814AAA"/>
    <w:rsid w:val="00814BA4"/>
    <w:rsid w:val="00814D4C"/>
    <w:rsid w:val="00814EB3"/>
    <w:rsid w:val="0081502A"/>
    <w:rsid w:val="00815304"/>
    <w:rsid w:val="00815B1C"/>
    <w:rsid w:val="0081621D"/>
    <w:rsid w:val="00816F61"/>
    <w:rsid w:val="00817288"/>
    <w:rsid w:val="008178E4"/>
    <w:rsid w:val="00817ADF"/>
    <w:rsid w:val="00817BE1"/>
    <w:rsid w:val="00817F2E"/>
    <w:rsid w:val="00820261"/>
    <w:rsid w:val="008202AE"/>
    <w:rsid w:val="00820DC7"/>
    <w:rsid w:val="0082118D"/>
    <w:rsid w:val="00821327"/>
    <w:rsid w:val="00821641"/>
    <w:rsid w:val="00821986"/>
    <w:rsid w:val="00821989"/>
    <w:rsid w:val="00821A13"/>
    <w:rsid w:val="00821F51"/>
    <w:rsid w:val="00822329"/>
    <w:rsid w:val="00822552"/>
    <w:rsid w:val="008225A9"/>
    <w:rsid w:val="00823556"/>
    <w:rsid w:val="00823F3D"/>
    <w:rsid w:val="00824278"/>
    <w:rsid w:val="00824530"/>
    <w:rsid w:val="008257D6"/>
    <w:rsid w:val="008262B5"/>
    <w:rsid w:val="00826626"/>
    <w:rsid w:val="00826636"/>
    <w:rsid w:val="00826732"/>
    <w:rsid w:val="0082699E"/>
    <w:rsid w:val="00826C1F"/>
    <w:rsid w:val="00827362"/>
    <w:rsid w:val="00827ADB"/>
    <w:rsid w:val="00827C23"/>
    <w:rsid w:val="00827FF7"/>
    <w:rsid w:val="00830693"/>
    <w:rsid w:val="008306FB"/>
    <w:rsid w:val="00830FBB"/>
    <w:rsid w:val="0083175C"/>
    <w:rsid w:val="00831C50"/>
    <w:rsid w:val="00832BC2"/>
    <w:rsid w:val="00833013"/>
    <w:rsid w:val="0083331F"/>
    <w:rsid w:val="008340F9"/>
    <w:rsid w:val="00834B0B"/>
    <w:rsid w:val="00834CD3"/>
    <w:rsid w:val="008351BA"/>
    <w:rsid w:val="00836AA0"/>
    <w:rsid w:val="00837300"/>
    <w:rsid w:val="00840A60"/>
    <w:rsid w:val="00840BCF"/>
    <w:rsid w:val="00840E3D"/>
    <w:rsid w:val="00841008"/>
    <w:rsid w:val="00841282"/>
    <w:rsid w:val="00841539"/>
    <w:rsid w:val="00841750"/>
    <w:rsid w:val="00841CB5"/>
    <w:rsid w:val="00841CF7"/>
    <w:rsid w:val="00841FF8"/>
    <w:rsid w:val="0084231E"/>
    <w:rsid w:val="00842E8A"/>
    <w:rsid w:val="00842EFB"/>
    <w:rsid w:val="00842F9F"/>
    <w:rsid w:val="008431A8"/>
    <w:rsid w:val="008431E8"/>
    <w:rsid w:val="008436BD"/>
    <w:rsid w:val="008437F8"/>
    <w:rsid w:val="008439EE"/>
    <w:rsid w:val="00844126"/>
    <w:rsid w:val="008449CF"/>
    <w:rsid w:val="008458B7"/>
    <w:rsid w:val="00845B5D"/>
    <w:rsid w:val="00845F08"/>
    <w:rsid w:val="00845F57"/>
    <w:rsid w:val="0084622A"/>
    <w:rsid w:val="0084688A"/>
    <w:rsid w:val="0084731D"/>
    <w:rsid w:val="00847F33"/>
    <w:rsid w:val="00850434"/>
    <w:rsid w:val="0085087D"/>
    <w:rsid w:val="00850AE5"/>
    <w:rsid w:val="00851318"/>
    <w:rsid w:val="008517BB"/>
    <w:rsid w:val="008518F4"/>
    <w:rsid w:val="00851B96"/>
    <w:rsid w:val="00851E8A"/>
    <w:rsid w:val="00851F1A"/>
    <w:rsid w:val="00852172"/>
    <w:rsid w:val="00852697"/>
    <w:rsid w:val="00852E3A"/>
    <w:rsid w:val="00852FDD"/>
    <w:rsid w:val="008539C7"/>
    <w:rsid w:val="00853C76"/>
    <w:rsid w:val="008548EA"/>
    <w:rsid w:val="00854A72"/>
    <w:rsid w:val="00854C81"/>
    <w:rsid w:val="00854F81"/>
    <w:rsid w:val="008551E4"/>
    <w:rsid w:val="00855683"/>
    <w:rsid w:val="00856711"/>
    <w:rsid w:val="00856B27"/>
    <w:rsid w:val="00856EB9"/>
    <w:rsid w:val="00857209"/>
    <w:rsid w:val="00857222"/>
    <w:rsid w:val="00857408"/>
    <w:rsid w:val="0085765B"/>
    <w:rsid w:val="00857803"/>
    <w:rsid w:val="00857B60"/>
    <w:rsid w:val="00857BF8"/>
    <w:rsid w:val="00857D36"/>
    <w:rsid w:val="008601B4"/>
    <w:rsid w:val="00860ABA"/>
    <w:rsid w:val="0086115C"/>
    <w:rsid w:val="00861748"/>
    <w:rsid w:val="0086269B"/>
    <w:rsid w:val="008627E8"/>
    <w:rsid w:val="00862B9D"/>
    <w:rsid w:val="00862E13"/>
    <w:rsid w:val="008636BE"/>
    <w:rsid w:val="00863883"/>
    <w:rsid w:val="00863936"/>
    <w:rsid w:val="0086396A"/>
    <w:rsid w:val="00863A5D"/>
    <w:rsid w:val="00864C15"/>
    <w:rsid w:val="00864CE1"/>
    <w:rsid w:val="00864E77"/>
    <w:rsid w:val="00864FBF"/>
    <w:rsid w:val="0086559D"/>
    <w:rsid w:val="00865987"/>
    <w:rsid w:val="00865A27"/>
    <w:rsid w:val="00865E04"/>
    <w:rsid w:val="00865EE2"/>
    <w:rsid w:val="00865EED"/>
    <w:rsid w:val="00866037"/>
    <w:rsid w:val="00866104"/>
    <w:rsid w:val="0086619F"/>
    <w:rsid w:val="008669B3"/>
    <w:rsid w:val="00866A77"/>
    <w:rsid w:val="00870424"/>
    <w:rsid w:val="00870B7D"/>
    <w:rsid w:val="00870E58"/>
    <w:rsid w:val="008710D4"/>
    <w:rsid w:val="00871789"/>
    <w:rsid w:val="00871823"/>
    <w:rsid w:val="00871881"/>
    <w:rsid w:val="008718BA"/>
    <w:rsid w:val="00871971"/>
    <w:rsid w:val="0087358F"/>
    <w:rsid w:val="0087371F"/>
    <w:rsid w:val="0087389E"/>
    <w:rsid w:val="00873F3A"/>
    <w:rsid w:val="008746B9"/>
    <w:rsid w:val="008747D0"/>
    <w:rsid w:val="008750F4"/>
    <w:rsid w:val="008759DA"/>
    <w:rsid w:val="00875F7F"/>
    <w:rsid w:val="008766BE"/>
    <w:rsid w:val="00877564"/>
    <w:rsid w:val="00877601"/>
    <w:rsid w:val="00877E42"/>
    <w:rsid w:val="00880518"/>
    <w:rsid w:val="008805B2"/>
    <w:rsid w:val="008805D2"/>
    <w:rsid w:val="00880BB1"/>
    <w:rsid w:val="00880DDE"/>
    <w:rsid w:val="008810C5"/>
    <w:rsid w:val="008815AF"/>
    <w:rsid w:val="008817EA"/>
    <w:rsid w:val="00881DD4"/>
    <w:rsid w:val="00882009"/>
    <w:rsid w:val="00882C84"/>
    <w:rsid w:val="00882C99"/>
    <w:rsid w:val="0088351D"/>
    <w:rsid w:val="0088398F"/>
    <w:rsid w:val="00883B75"/>
    <w:rsid w:val="00883DA8"/>
    <w:rsid w:val="0088475C"/>
    <w:rsid w:val="008848FC"/>
    <w:rsid w:val="00884950"/>
    <w:rsid w:val="00884E92"/>
    <w:rsid w:val="00886228"/>
    <w:rsid w:val="00886272"/>
    <w:rsid w:val="00886F4E"/>
    <w:rsid w:val="00886F5A"/>
    <w:rsid w:val="0088752D"/>
    <w:rsid w:val="008875F9"/>
    <w:rsid w:val="0089072E"/>
    <w:rsid w:val="008907D3"/>
    <w:rsid w:val="00890809"/>
    <w:rsid w:val="00890D57"/>
    <w:rsid w:val="00890DF2"/>
    <w:rsid w:val="00890E69"/>
    <w:rsid w:val="00891279"/>
    <w:rsid w:val="00891986"/>
    <w:rsid w:val="00891F92"/>
    <w:rsid w:val="00892275"/>
    <w:rsid w:val="00892A06"/>
    <w:rsid w:val="00892AE8"/>
    <w:rsid w:val="00892DCF"/>
    <w:rsid w:val="0089409D"/>
    <w:rsid w:val="008945B0"/>
    <w:rsid w:val="00894B6A"/>
    <w:rsid w:val="00894FCF"/>
    <w:rsid w:val="008954EB"/>
    <w:rsid w:val="008958D4"/>
    <w:rsid w:val="00895C61"/>
    <w:rsid w:val="00896108"/>
    <w:rsid w:val="00896214"/>
    <w:rsid w:val="00896435"/>
    <w:rsid w:val="00896786"/>
    <w:rsid w:val="00896D1F"/>
    <w:rsid w:val="008A005F"/>
    <w:rsid w:val="008A0D06"/>
    <w:rsid w:val="008A1A0D"/>
    <w:rsid w:val="008A1C5A"/>
    <w:rsid w:val="008A1FBF"/>
    <w:rsid w:val="008A2834"/>
    <w:rsid w:val="008A2AB8"/>
    <w:rsid w:val="008A32E9"/>
    <w:rsid w:val="008A3478"/>
    <w:rsid w:val="008A3611"/>
    <w:rsid w:val="008A36D7"/>
    <w:rsid w:val="008A3B59"/>
    <w:rsid w:val="008A3CDF"/>
    <w:rsid w:val="008A4363"/>
    <w:rsid w:val="008A4C13"/>
    <w:rsid w:val="008A4DFC"/>
    <w:rsid w:val="008A4EC2"/>
    <w:rsid w:val="008A51E5"/>
    <w:rsid w:val="008A5207"/>
    <w:rsid w:val="008A526D"/>
    <w:rsid w:val="008A54F6"/>
    <w:rsid w:val="008A5AE2"/>
    <w:rsid w:val="008A6401"/>
    <w:rsid w:val="008A672B"/>
    <w:rsid w:val="008A689F"/>
    <w:rsid w:val="008A69CA"/>
    <w:rsid w:val="008A6BC5"/>
    <w:rsid w:val="008A6D26"/>
    <w:rsid w:val="008A6DCD"/>
    <w:rsid w:val="008A6E18"/>
    <w:rsid w:val="008A6F79"/>
    <w:rsid w:val="008A6FE7"/>
    <w:rsid w:val="008A72BA"/>
    <w:rsid w:val="008A754C"/>
    <w:rsid w:val="008A776A"/>
    <w:rsid w:val="008A784C"/>
    <w:rsid w:val="008A78A2"/>
    <w:rsid w:val="008A7A8B"/>
    <w:rsid w:val="008A7CB6"/>
    <w:rsid w:val="008A7CB8"/>
    <w:rsid w:val="008B0238"/>
    <w:rsid w:val="008B0638"/>
    <w:rsid w:val="008B0848"/>
    <w:rsid w:val="008B1076"/>
    <w:rsid w:val="008B11AB"/>
    <w:rsid w:val="008B1C92"/>
    <w:rsid w:val="008B26B9"/>
    <w:rsid w:val="008B2CC3"/>
    <w:rsid w:val="008B2E02"/>
    <w:rsid w:val="008B34CB"/>
    <w:rsid w:val="008B3770"/>
    <w:rsid w:val="008B3E8D"/>
    <w:rsid w:val="008B3F0E"/>
    <w:rsid w:val="008B3F90"/>
    <w:rsid w:val="008B418E"/>
    <w:rsid w:val="008B4E5A"/>
    <w:rsid w:val="008B5668"/>
    <w:rsid w:val="008B58CC"/>
    <w:rsid w:val="008B6530"/>
    <w:rsid w:val="008B686D"/>
    <w:rsid w:val="008B6946"/>
    <w:rsid w:val="008B6EA3"/>
    <w:rsid w:val="008B7159"/>
    <w:rsid w:val="008B7397"/>
    <w:rsid w:val="008B773E"/>
    <w:rsid w:val="008B7C23"/>
    <w:rsid w:val="008B7C92"/>
    <w:rsid w:val="008B7ED6"/>
    <w:rsid w:val="008C09C6"/>
    <w:rsid w:val="008C15B4"/>
    <w:rsid w:val="008C16A3"/>
    <w:rsid w:val="008C190A"/>
    <w:rsid w:val="008C19F4"/>
    <w:rsid w:val="008C272E"/>
    <w:rsid w:val="008C4057"/>
    <w:rsid w:val="008C44BA"/>
    <w:rsid w:val="008C4B73"/>
    <w:rsid w:val="008C51FD"/>
    <w:rsid w:val="008C52FB"/>
    <w:rsid w:val="008C5ABA"/>
    <w:rsid w:val="008C5D81"/>
    <w:rsid w:val="008C6364"/>
    <w:rsid w:val="008C6611"/>
    <w:rsid w:val="008C7251"/>
    <w:rsid w:val="008C746B"/>
    <w:rsid w:val="008C7A63"/>
    <w:rsid w:val="008D034E"/>
    <w:rsid w:val="008D0C1B"/>
    <w:rsid w:val="008D1147"/>
    <w:rsid w:val="008D166D"/>
    <w:rsid w:val="008D1A0F"/>
    <w:rsid w:val="008D33FF"/>
    <w:rsid w:val="008D3542"/>
    <w:rsid w:val="008D381A"/>
    <w:rsid w:val="008D423D"/>
    <w:rsid w:val="008D44F4"/>
    <w:rsid w:val="008D50EE"/>
    <w:rsid w:val="008D5490"/>
    <w:rsid w:val="008D5CC9"/>
    <w:rsid w:val="008D6558"/>
    <w:rsid w:val="008D6561"/>
    <w:rsid w:val="008D706C"/>
    <w:rsid w:val="008D747C"/>
    <w:rsid w:val="008D77F6"/>
    <w:rsid w:val="008E0286"/>
    <w:rsid w:val="008E0423"/>
    <w:rsid w:val="008E0A79"/>
    <w:rsid w:val="008E0B45"/>
    <w:rsid w:val="008E190D"/>
    <w:rsid w:val="008E2417"/>
    <w:rsid w:val="008E2516"/>
    <w:rsid w:val="008E2595"/>
    <w:rsid w:val="008E334E"/>
    <w:rsid w:val="008E3AD4"/>
    <w:rsid w:val="008E3B01"/>
    <w:rsid w:val="008E3B6E"/>
    <w:rsid w:val="008E425C"/>
    <w:rsid w:val="008E4D90"/>
    <w:rsid w:val="008E4EC6"/>
    <w:rsid w:val="008E55D5"/>
    <w:rsid w:val="008E570B"/>
    <w:rsid w:val="008E58AF"/>
    <w:rsid w:val="008E5E6B"/>
    <w:rsid w:val="008E5ED5"/>
    <w:rsid w:val="008E5F89"/>
    <w:rsid w:val="008E5FB1"/>
    <w:rsid w:val="008E676A"/>
    <w:rsid w:val="008F05AB"/>
    <w:rsid w:val="008F08E9"/>
    <w:rsid w:val="008F0A40"/>
    <w:rsid w:val="008F0AB4"/>
    <w:rsid w:val="008F1674"/>
    <w:rsid w:val="008F1753"/>
    <w:rsid w:val="008F1AA6"/>
    <w:rsid w:val="008F2C30"/>
    <w:rsid w:val="008F2C5E"/>
    <w:rsid w:val="008F2D1A"/>
    <w:rsid w:val="008F2DA6"/>
    <w:rsid w:val="008F3CEB"/>
    <w:rsid w:val="008F3E44"/>
    <w:rsid w:val="008F404C"/>
    <w:rsid w:val="008F41E1"/>
    <w:rsid w:val="008F4261"/>
    <w:rsid w:val="008F46B6"/>
    <w:rsid w:val="008F4730"/>
    <w:rsid w:val="008F4C42"/>
    <w:rsid w:val="008F5009"/>
    <w:rsid w:val="008F523F"/>
    <w:rsid w:val="008F54ED"/>
    <w:rsid w:val="008F54FA"/>
    <w:rsid w:val="008F5D0B"/>
    <w:rsid w:val="008F67A9"/>
    <w:rsid w:val="008F68C3"/>
    <w:rsid w:val="008F70C8"/>
    <w:rsid w:val="008F71D6"/>
    <w:rsid w:val="008F730D"/>
    <w:rsid w:val="008F7992"/>
    <w:rsid w:val="008F7A9B"/>
    <w:rsid w:val="008F7C3B"/>
    <w:rsid w:val="0090019D"/>
    <w:rsid w:val="00900777"/>
    <w:rsid w:val="00900A9D"/>
    <w:rsid w:val="00900BC9"/>
    <w:rsid w:val="00900BD5"/>
    <w:rsid w:val="00900FF1"/>
    <w:rsid w:val="009012C2"/>
    <w:rsid w:val="009020AA"/>
    <w:rsid w:val="0090361D"/>
    <w:rsid w:val="00903C58"/>
    <w:rsid w:val="00904503"/>
    <w:rsid w:val="0090469E"/>
    <w:rsid w:val="00904BB8"/>
    <w:rsid w:val="00905325"/>
    <w:rsid w:val="00905A89"/>
    <w:rsid w:val="00906457"/>
    <w:rsid w:val="00906AD7"/>
    <w:rsid w:val="00906BF7"/>
    <w:rsid w:val="009072F3"/>
    <w:rsid w:val="009078D5"/>
    <w:rsid w:val="00907DBB"/>
    <w:rsid w:val="00910014"/>
    <w:rsid w:val="009105FA"/>
    <w:rsid w:val="00910642"/>
    <w:rsid w:val="00910CDE"/>
    <w:rsid w:val="00911555"/>
    <w:rsid w:val="00911575"/>
    <w:rsid w:val="00912515"/>
    <w:rsid w:val="00912C18"/>
    <w:rsid w:val="0091308F"/>
    <w:rsid w:val="009131BF"/>
    <w:rsid w:val="009133A7"/>
    <w:rsid w:val="00913527"/>
    <w:rsid w:val="00913F1C"/>
    <w:rsid w:val="00914FAB"/>
    <w:rsid w:val="00915975"/>
    <w:rsid w:val="00915C8F"/>
    <w:rsid w:val="00915D26"/>
    <w:rsid w:val="009163C2"/>
    <w:rsid w:val="00916989"/>
    <w:rsid w:val="00916AB7"/>
    <w:rsid w:val="00916CB1"/>
    <w:rsid w:val="00916D4B"/>
    <w:rsid w:val="00916D80"/>
    <w:rsid w:val="00916E0E"/>
    <w:rsid w:val="00916E16"/>
    <w:rsid w:val="009172D3"/>
    <w:rsid w:val="00917400"/>
    <w:rsid w:val="009177FC"/>
    <w:rsid w:val="00917A02"/>
    <w:rsid w:val="00917F39"/>
    <w:rsid w:val="009201E0"/>
    <w:rsid w:val="00920B6E"/>
    <w:rsid w:val="00921116"/>
    <w:rsid w:val="00921EC3"/>
    <w:rsid w:val="00922262"/>
    <w:rsid w:val="0092261B"/>
    <w:rsid w:val="00922A65"/>
    <w:rsid w:val="00922CBD"/>
    <w:rsid w:val="009233F6"/>
    <w:rsid w:val="0092347B"/>
    <w:rsid w:val="009236DC"/>
    <w:rsid w:val="009246BC"/>
    <w:rsid w:val="00924BD7"/>
    <w:rsid w:val="00925430"/>
    <w:rsid w:val="009256EA"/>
    <w:rsid w:val="009257E0"/>
    <w:rsid w:val="00925A1A"/>
    <w:rsid w:val="00925C3B"/>
    <w:rsid w:val="0092686F"/>
    <w:rsid w:val="009268E3"/>
    <w:rsid w:val="00926F51"/>
    <w:rsid w:val="00927706"/>
    <w:rsid w:val="009277EA"/>
    <w:rsid w:val="00927BEB"/>
    <w:rsid w:val="00927D54"/>
    <w:rsid w:val="00930032"/>
    <w:rsid w:val="00930194"/>
    <w:rsid w:val="00930585"/>
    <w:rsid w:val="00930965"/>
    <w:rsid w:val="009311F9"/>
    <w:rsid w:val="00931522"/>
    <w:rsid w:val="00932011"/>
    <w:rsid w:val="009329F1"/>
    <w:rsid w:val="00932CED"/>
    <w:rsid w:val="00932EF8"/>
    <w:rsid w:val="0093302E"/>
    <w:rsid w:val="00933371"/>
    <w:rsid w:val="00933B68"/>
    <w:rsid w:val="009346DE"/>
    <w:rsid w:val="00935139"/>
    <w:rsid w:val="0093584C"/>
    <w:rsid w:val="00935899"/>
    <w:rsid w:val="009358C0"/>
    <w:rsid w:val="009360C8"/>
    <w:rsid w:val="00936BD6"/>
    <w:rsid w:val="00937158"/>
    <w:rsid w:val="009372F5"/>
    <w:rsid w:val="0093783A"/>
    <w:rsid w:val="009378C4"/>
    <w:rsid w:val="00937E94"/>
    <w:rsid w:val="00940589"/>
    <w:rsid w:val="0094082D"/>
    <w:rsid w:val="00940FB4"/>
    <w:rsid w:val="009410EB"/>
    <w:rsid w:val="009418A9"/>
    <w:rsid w:val="00941936"/>
    <w:rsid w:val="00941B52"/>
    <w:rsid w:val="0094259A"/>
    <w:rsid w:val="00942DA3"/>
    <w:rsid w:val="009432BF"/>
    <w:rsid w:val="0094395F"/>
    <w:rsid w:val="00943E16"/>
    <w:rsid w:val="00944210"/>
    <w:rsid w:val="00944281"/>
    <w:rsid w:val="00944635"/>
    <w:rsid w:val="00944871"/>
    <w:rsid w:val="0094489D"/>
    <w:rsid w:val="009448AA"/>
    <w:rsid w:val="0094535C"/>
    <w:rsid w:val="0094565A"/>
    <w:rsid w:val="009456FB"/>
    <w:rsid w:val="009458EC"/>
    <w:rsid w:val="00945A11"/>
    <w:rsid w:val="00945AFB"/>
    <w:rsid w:val="00945F62"/>
    <w:rsid w:val="00945F90"/>
    <w:rsid w:val="0094632E"/>
    <w:rsid w:val="00946744"/>
    <w:rsid w:val="009468E9"/>
    <w:rsid w:val="00946DC9"/>
    <w:rsid w:val="009470B4"/>
    <w:rsid w:val="009471E9"/>
    <w:rsid w:val="009474C8"/>
    <w:rsid w:val="009500CD"/>
    <w:rsid w:val="00950CF7"/>
    <w:rsid w:val="00950F26"/>
    <w:rsid w:val="00950F56"/>
    <w:rsid w:val="00951BBC"/>
    <w:rsid w:val="00952134"/>
    <w:rsid w:val="00952A2E"/>
    <w:rsid w:val="00952B29"/>
    <w:rsid w:val="00952B95"/>
    <w:rsid w:val="00952DE1"/>
    <w:rsid w:val="00953087"/>
    <w:rsid w:val="00953465"/>
    <w:rsid w:val="00953DEC"/>
    <w:rsid w:val="009547A0"/>
    <w:rsid w:val="00954A20"/>
    <w:rsid w:val="00954CFA"/>
    <w:rsid w:val="0095514D"/>
    <w:rsid w:val="00955651"/>
    <w:rsid w:val="00955B6D"/>
    <w:rsid w:val="0095609F"/>
    <w:rsid w:val="009563F4"/>
    <w:rsid w:val="009564DE"/>
    <w:rsid w:val="00956F4D"/>
    <w:rsid w:val="009575CE"/>
    <w:rsid w:val="009578FF"/>
    <w:rsid w:val="00957F1A"/>
    <w:rsid w:val="00957F9F"/>
    <w:rsid w:val="009601EE"/>
    <w:rsid w:val="00960435"/>
    <w:rsid w:val="00961257"/>
    <w:rsid w:val="009614BE"/>
    <w:rsid w:val="00961E0A"/>
    <w:rsid w:val="00961E95"/>
    <w:rsid w:val="00962019"/>
    <w:rsid w:val="00962098"/>
    <w:rsid w:val="0096274D"/>
    <w:rsid w:val="009627FA"/>
    <w:rsid w:val="00962A77"/>
    <w:rsid w:val="00962CE4"/>
    <w:rsid w:val="00962FF3"/>
    <w:rsid w:val="00963875"/>
    <w:rsid w:val="00963D9A"/>
    <w:rsid w:val="00963EE8"/>
    <w:rsid w:val="00964930"/>
    <w:rsid w:val="00964F7F"/>
    <w:rsid w:val="00965F0A"/>
    <w:rsid w:val="00966030"/>
    <w:rsid w:val="009664F6"/>
    <w:rsid w:val="009678AF"/>
    <w:rsid w:val="00967AE2"/>
    <w:rsid w:val="00970527"/>
    <w:rsid w:val="00970D30"/>
    <w:rsid w:val="00970EA2"/>
    <w:rsid w:val="0097158D"/>
    <w:rsid w:val="009715B8"/>
    <w:rsid w:val="009715C7"/>
    <w:rsid w:val="00971A2E"/>
    <w:rsid w:val="00971B1A"/>
    <w:rsid w:val="00971BCD"/>
    <w:rsid w:val="00972051"/>
    <w:rsid w:val="009720FF"/>
    <w:rsid w:val="009721A7"/>
    <w:rsid w:val="009724BA"/>
    <w:rsid w:val="00972889"/>
    <w:rsid w:val="00972BE1"/>
    <w:rsid w:val="00972C08"/>
    <w:rsid w:val="0097300C"/>
    <w:rsid w:val="00973691"/>
    <w:rsid w:val="00973881"/>
    <w:rsid w:val="00973973"/>
    <w:rsid w:val="009739A7"/>
    <w:rsid w:val="00973EA9"/>
    <w:rsid w:val="00973F56"/>
    <w:rsid w:val="009740D8"/>
    <w:rsid w:val="009747E5"/>
    <w:rsid w:val="0097491B"/>
    <w:rsid w:val="00974CCF"/>
    <w:rsid w:val="00975475"/>
    <w:rsid w:val="00975735"/>
    <w:rsid w:val="00975BA6"/>
    <w:rsid w:val="0097601B"/>
    <w:rsid w:val="0097605C"/>
    <w:rsid w:val="009764C8"/>
    <w:rsid w:val="009767C9"/>
    <w:rsid w:val="00976B43"/>
    <w:rsid w:val="00976B5C"/>
    <w:rsid w:val="00976EEA"/>
    <w:rsid w:val="00976EFB"/>
    <w:rsid w:val="009771E8"/>
    <w:rsid w:val="00977207"/>
    <w:rsid w:val="009777F8"/>
    <w:rsid w:val="00977EA9"/>
    <w:rsid w:val="0098017A"/>
    <w:rsid w:val="009802E3"/>
    <w:rsid w:val="00980356"/>
    <w:rsid w:val="0098071E"/>
    <w:rsid w:val="0098096D"/>
    <w:rsid w:val="00980F56"/>
    <w:rsid w:val="0098126F"/>
    <w:rsid w:val="00981319"/>
    <w:rsid w:val="0098180D"/>
    <w:rsid w:val="00981861"/>
    <w:rsid w:val="009818CD"/>
    <w:rsid w:val="00982331"/>
    <w:rsid w:val="0098297C"/>
    <w:rsid w:val="00982B3C"/>
    <w:rsid w:val="00982DAC"/>
    <w:rsid w:val="00983103"/>
    <w:rsid w:val="00983D32"/>
    <w:rsid w:val="00983D4A"/>
    <w:rsid w:val="00984281"/>
    <w:rsid w:val="009844CC"/>
    <w:rsid w:val="00984510"/>
    <w:rsid w:val="009845BB"/>
    <w:rsid w:val="00984BF9"/>
    <w:rsid w:val="009851D9"/>
    <w:rsid w:val="009852A1"/>
    <w:rsid w:val="009858FD"/>
    <w:rsid w:val="009861E2"/>
    <w:rsid w:val="009861EE"/>
    <w:rsid w:val="00986C67"/>
    <w:rsid w:val="00987009"/>
    <w:rsid w:val="0099021A"/>
    <w:rsid w:val="00990276"/>
    <w:rsid w:val="009902FB"/>
    <w:rsid w:val="00990312"/>
    <w:rsid w:val="00990FC2"/>
    <w:rsid w:val="009910FC"/>
    <w:rsid w:val="00991846"/>
    <w:rsid w:val="00992508"/>
    <w:rsid w:val="0099256F"/>
    <w:rsid w:val="0099317C"/>
    <w:rsid w:val="009931A0"/>
    <w:rsid w:val="0099384E"/>
    <w:rsid w:val="009949F5"/>
    <w:rsid w:val="00994C6C"/>
    <w:rsid w:val="00994E9F"/>
    <w:rsid w:val="0099502E"/>
    <w:rsid w:val="00995694"/>
    <w:rsid w:val="009956F3"/>
    <w:rsid w:val="00995860"/>
    <w:rsid w:val="00995A7C"/>
    <w:rsid w:val="00996657"/>
    <w:rsid w:val="009972F8"/>
    <w:rsid w:val="00997742"/>
    <w:rsid w:val="00997788"/>
    <w:rsid w:val="00997F41"/>
    <w:rsid w:val="00997FA2"/>
    <w:rsid w:val="009A0328"/>
    <w:rsid w:val="009A04C5"/>
    <w:rsid w:val="009A0623"/>
    <w:rsid w:val="009A0DED"/>
    <w:rsid w:val="009A1070"/>
    <w:rsid w:val="009A144F"/>
    <w:rsid w:val="009A183A"/>
    <w:rsid w:val="009A1DC1"/>
    <w:rsid w:val="009A2105"/>
    <w:rsid w:val="009A2E15"/>
    <w:rsid w:val="009A2F75"/>
    <w:rsid w:val="009A3185"/>
    <w:rsid w:val="009A31CB"/>
    <w:rsid w:val="009A3539"/>
    <w:rsid w:val="009A36A6"/>
    <w:rsid w:val="009A411D"/>
    <w:rsid w:val="009A4687"/>
    <w:rsid w:val="009A484F"/>
    <w:rsid w:val="009A4A53"/>
    <w:rsid w:val="009A4D26"/>
    <w:rsid w:val="009A51C4"/>
    <w:rsid w:val="009A5757"/>
    <w:rsid w:val="009A5C27"/>
    <w:rsid w:val="009A5CDB"/>
    <w:rsid w:val="009A5FAA"/>
    <w:rsid w:val="009A5FD8"/>
    <w:rsid w:val="009A6C79"/>
    <w:rsid w:val="009A6F87"/>
    <w:rsid w:val="009A73BA"/>
    <w:rsid w:val="009A7402"/>
    <w:rsid w:val="009A7884"/>
    <w:rsid w:val="009A7F52"/>
    <w:rsid w:val="009A7FBA"/>
    <w:rsid w:val="009B00DF"/>
    <w:rsid w:val="009B015C"/>
    <w:rsid w:val="009B0261"/>
    <w:rsid w:val="009B056A"/>
    <w:rsid w:val="009B0955"/>
    <w:rsid w:val="009B09E4"/>
    <w:rsid w:val="009B0C43"/>
    <w:rsid w:val="009B0C8A"/>
    <w:rsid w:val="009B188B"/>
    <w:rsid w:val="009B2619"/>
    <w:rsid w:val="009B2F0C"/>
    <w:rsid w:val="009B314F"/>
    <w:rsid w:val="009B39F3"/>
    <w:rsid w:val="009B3B0D"/>
    <w:rsid w:val="009B41CA"/>
    <w:rsid w:val="009B4370"/>
    <w:rsid w:val="009B44EE"/>
    <w:rsid w:val="009B4920"/>
    <w:rsid w:val="009B4A76"/>
    <w:rsid w:val="009B4C52"/>
    <w:rsid w:val="009B512B"/>
    <w:rsid w:val="009B5BB0"/>
    <w:rsid w:val="009B6640"/>
    <w:rsid w:val="009B6742"/>
    <w:rsid w:val="009B68B1"/>
    <w:rsid w:val="009B6B3D"/>
    <w:rsid w:val="009B6D8E"/>
    <w:rsid w:val="009B71A4"/>
    <w:rsid w:val="009B71D8"/>
    <w:rsid w:val="009B7699"/>
    <w:rsid w:val="009B7757"/>
    <w:rsid w:val="009B7821"/>
    <w:rsid w:val="009B7ED2"/>
    <w:rsid w:val="009B7EFD"/>
    <w:rsid w:val="009B7F05"/>
    <w:rsid w:val="009C05BF"/>
    <w:rsid w:val="009C0D00"/>
    <w:rsid w:val="009C130E"/>
    <w:rsid w:val="009C1956"/>
    <w:rsid w:val="009C195A"/>
    <w:rsid w:val="009C212A"/>
    <w:rsid w:val="009C21E1"/>
    <w:rsid w:val="009C2E50"/>
    <w:rsid w:val="009C2EC9"/>
    <w:rsid w:val="009C308C"/>
    <w:rsid w:val="009C35E2"/>
    <w:rsid w:val="009C406B"/>
    <w:rsid w:val="009C55B5"/>
    <w:rsid w:val="009C5635"/>
    <w:rsid w:val="009C5CB6"/>
    <w:rsid w:val="009C6467"/>
    <w:rsid w:val="009C765E"/>
    <w:rsid w:val="009C79D2"/>
    <w:rsid w:val="009C7ABC"/>
    <w:rsid w:val="009C7AD2"/>
    <w:rsid w:val="009D06E6"/>
    <w:rsid w:val="009D07B2"/>
    <w:rsid w:val="009D15B3"/>
    <w:rsid w:val="009D1890"/>
    <w:rsid w:val="009D19B2"/>
    <w:rsid w:val="009D1B22"/>
    <w:rsid w:val="009D25C4"/>
    <w:rsid w:val="009D2DBF"/>
    <w:rsid w:val="009D2E45"/>
    <w:rsid w:val="009D2E8B"/>
    <w:rsid w:val="009D31CB"/>
    <w:rsid w:val="009D3AC4"/>
    <w:rsid w:val="009D41F4"/>
    <w:rsid w:val="009D452C"/>
    <w:rsid w:val="009D4D32"/>
    <w:rsid w:val="009D5111"/>
    <w:rsid w:val="009D547F"/>
    <w:rsid w:val="009D5AAF"/>
    <w:rsid w:val="009D5C92"/>
    <w:rsid w:val="009D5E14"/>
    <w:rsid w:val="009D6A47"/>
    <w:rsid w:val="009D6AB9"/>
    <w:rsid w:val="009D730A"/>
    <w:rsid w:val="009D7702"/>
    <w:rsid w:val="009D7C19"/>
    <w:rsid w:val="009D7CBA"/>
    <w:rsid w:val="009D7FD2"/>
    <w:rsid w:val="009E08B0"/>
    <w:rsid w:val="009E08F7"/>
    <w:rsid w:val="009E0AF5"/>
    <w:rsid w:val="009E0C41"/>
    <w:rsid w:val="009E1156"/>
    <w:rsid w:val="009E1D60"/>
    <w:rsid w:val="009E21DA"/>
    <w:rsid w:val="009E2977"/>
    <w:rsid w:val="009E2B79"/>
    <w:rsid w:val="009E3017"/>
    <w:rsid w:val="009E3248"/>
    <w:rsid w:val="009E36E0"/>
    <w:rsid w:val="009E415D"/>
    <w:rsid w:val="009E4737"/>
    <w:rsid w:val="009E4F21"/>
    <w:rsid w:val="009E53B7"/>
    <w:rsid w:val="009E5665"/>
    <w:rsid w:val="009E6103"/>
    <w:rsid w:val="009E6613"/>
    <w:rsid w:val="009E69BD"/>
    <w:rsid w:val="009E69EE"/>
    <w:rsid w:val="009E6C2F"/>
    <w:rsid w:val="009E763A"/>
    <w:rsid w:val="009F00F4"/>
    <w:rsid w:val="009F029A"/>
    <w:rsid w:val="009F02C9"/>
    <w:rsid w:val="009F07B5"/>
    <w:rsid w:val="009F07FD"/>
    <w:rsid w:val="009F0A25"/>
    <w:rsid w:val="009F0BA6"/>
    <w:rsid w:val="009F0CEF"/>
    <w:rsid w:val="009F1015"/>
    <w:rsid w:val="009F141B"/>
    <w:rsid w:val="009F1CE6"/>
    <w:rsid w:val="009F1DE7"/>
    <w:rsid w:val="009F2372"/>
    <w:rsid w:val="009F24ED"/>
    <w:rsid w:val="009F26D5"/>
    <w:rsid w:val="009F2A35"/>
    <w:rsid w:val="009F4622"/>
    <w:rsid w:val="009F4C19"/>
    <w:rsid w:val="009F5318"/>
    <w:rsid w:val="009F56B3"/>
    <w:rsid w:val="009F5963"/>
    <w:rsid w:val="009F5DCF"/>
    <w:rsid w:val="009F5F8D"/>
    <w:rsid w:val="009F62F7"/>
    <w:rsid w:val="009F6323"/>
    <w:rsid w:val="009F6985"/>
    <w:rsid w:val="009F6FD5"/>
    <w:rsid w:val="009F7072"/>
    <w:rsid w:val="009F728F"/>
    <w:rsid w:val="009F7F81"/>
    <w:rsid w:val="00A005C1"/>
    <w:rsid w:val="00A0080F"/>
    <w:rsid w:val="00A015C1"/>
    <w:rsid w:val="00A0183F"/>
    <w:rsid w:val="00A01CB1"/>
    <w:rsid w:val="00A01FFC"/>
    <w:rsid w:val="00A02710"/>
    <w:rsid w:val="00A02AAC"/>
    <w:rsid w:val="00A032F5"/>
    <w:rsid w:val="00A036F1"/>
    <w:rsid w:val="00A03737"/>
    <w:rsid w:val="00A039C4"/>
    <w:rsid w:val="00A03A1E"/>
    <w:rsid w:val="00A04186"/>
    <w:rsid w:val="00A042D6"/>
    <w:rsid w:val="00A0449E"/>
    <w:rsid w:val="00A04535"/>
    <w:rsid w:val="00A04A66"/>
    <w:rsid w:val="00A0553F"/>
    <w:rsid w:val="00A056A8"/>
    <w:rsid w:val="00A056F4"/>
    <w:rsid w:val="00A05F3D"/>
    <w:rsid w:val="00A07558"/>
    <w:rsid w:val="00A07AE5"/>
    <w:rsid w:val="00A07D27"/>
    <w:rsid w:val="00A10340"/>
    <w:rsid w:val="00A105C5"/>
    <w:rsid w:val="00A10876"/>
    <w:rsid w:val="00A10DA3"/>
    <w:rsid w:val="00A10ED5"/>
    <w:rsid w:val="00A110D3"/>
    <w:rsid w:val="00A11263"/>
    <w:rsid w:val="00A11C69"/>
    <w:rsid w:val="00A125F9"/>
    <w:rsid w:val="00A12B72"/>
    <w:rsid w:val="00A136E2"/>
    <w:rsid w:val="00A137DB"/>
    <w:rsid w:val="00A13835"/>
    <w:rsid w:val="00A1447B"/>
    <w:rsid w:val="00A148DA"/>
    <w:rsid w:val="00A14EE8"/>
    <w:rsid w:val="00A151AC"/>
    <w:rsid w:val="00A15990"/>
    <w:rsid w:val="00A16256"/>
    <w:rsid w:val="00A16F5C"/>
    <w:rsid w:val="00A16F8F"/>
    <w:rsid w:val="00A1777C"/>
    <w:rsid w:val="00A17AE1"/>
    <w:rsid w:val="00A17FD5"/>
    <w:rsid w:val="00A206C7"/>
    <w:rsid w:val="00A20857"/>
    <w:rsid w:val="00A21BD5"/>
    <w:rsid w:val="00A21CC1"/>
    <w:rsid w:val="00A21EA5"/>
    <w:rsid w:val="00A226CA"/>
    <w:rsid w:val="00A22752"/>
    <w:rsid w:val="00A22EAF"/>
    <w:rsid w:val="00A22FE9"/>
    <w:rsid w:val="00A23145"/>
    <w:rsid w:val="00A23907"/>
    <w:rsid w:val="00A23BA2"/>
    <w:rsid w:val="00A23C62"/>
    <w:rsid w:val="00A2448D"/>
    <w:rsid w:val="00A24FCF"/>
    <w:rsid w:val="00A25BD0"/>
    <w:rsid w:val="00A25DCE"/>
    <w:rsid w:val="00A25F75"/>
    <w:rsid w:val="00A261E9"/>
    <w:rsid w:val="00A26279"/>
    <w:rsid w:val="00A263B3"/>
    <w:rsid w:val="00A26838"/>
    <w:rsid w:val="00A268B2"/>
    <w:rsid w:val="00A26AE3"/>
    <w:rsid w:val="00A26BE5"/>
    <w:rsid w:val="00A27011"/>
    <w:rsid w:val="00A273E6"/>
    <w:rsid w:val="00A276DA"/>
    <w:rsid w:val="00A27766"/>
    <w:rsid w:val="00A30A9E"/>
    <w:rsid w:val="00A30BB6"/>
    <w:rsid w:val="00A30D34"/>
    <w:rsid w:val="00A31105"/>
    <w:rsid w:val="00A314D9"/>
    <w:rsid w:val="00A3197E"/>
    <w:rsid w:val="00A31B5B"/>
    <w:rsid w:val="00A3235A"/>
    <w:rsid w:val="00A329AC"/>
    <w:rsid w:val="00A32D67"/>
    <w:rsid w:val="00A33549"/>
    <w:rsid w:val="00A33BAB"/>
    <w:rsid w:val="00A34599"/>
    <w:rsid w:val="00A34793"/>
    <w:rsid w:val="00A3492A"/>
    <w:rsid w:val="00A34BD7"/>
    <w:rsid w:val="00A34E67"/>
    <w:rsid w:val="00A35123"/>
    <w:rsid w:val="00A35910"/>
    <w:rsid w:val="00A35E0D"/>
    <w:rsid w:val="00A35E42"/>
    <w:rsid w:val="00A36573"/>
    <w:rsid w:val="00A369E5"/>
    <w:rsid w:val="00A37047"/>
    <w:rsid w:val="00A370AB"/>
    <w:rsid w:val="00A371C0"/>
    <w:rsid w:val="00A372DC"/>
    <w:rsid w:val="00A3732F"/>
    <w:rsid w:val="00A376E0"/>
    <w:rsid w:val="00A376F3"/>
    <w:rsid w:val="00A37C72"/>
    <w:rsid w:val="00A40410"/>
    <w:rsid w:val="00A4042A"/>
    <w:rsid w:val="00A4069C"/>
    <w:rsid w:val="00A411D9"/>
    <w:rsid w:val="00A4156E"/>
    <w:rsid w:val="00A41824"/>
    <w:rsid w:val="00A41BF4"/>
    <w:rsid w:val="00A41E4E"/>
    <w:rsid w:val="00A421F8"/>
    <w:rsid w:val="00A4223D"/>
    <w:rsid w:val="00A42690"/>
    <w:rsid w:val="00A42847"/>
    <w:rsid w:val="00A42CDA"/>
    <w:rsid w:val="00A42F84"/>
    <w:rsid w:val="00A43134"/>
    <w:rsid w:val="00A433C1"/>
    <w:rsid w:val="00A439E2"/>
    <w:rsid w:val="00A43A35"/>
    <w:rsid w:val="00A43DE2"/>
    <w:rsid w:val="00A43F67"/>
    <w:rsid w:val="00A44C3B"/>
    <w:rsid w:val="00A44CFB"/>
    <w:rsid w:val="00A45AC8"/>
    <w:rsid w:val="00A46147"/>
    <w:rsid w:val="00A461E6"/>
    <w:rsid w:val="00A4764B"/>
    <w:rsid w:val="00A478CD"/>
    <w:rsid w:val="00A47F92"/>
    <w:rsid w:val="00A5044B"/>
    <w:rsid w:val="00A509ED"/>
    <w:rsid w:val="00A50C28"/>
    <w:rsid w:val="00A50F89"/>
    <w:rsid w:val="00A517E0"/>
    <w:rsid w:val="00A51B31"/>
    <w:rsid w:val="00A51FB5"/>
    <w:rsid w:val="00A5243F"/>
    <w:rsid w:val="00A528F1"/>
    <w:rsid w:val="00A52A04"/>
    <w:rsid w:val="00A52D78"/>
    <w:rsid w:val="00A52D80"/>
    <w:rsid w:val="00A530A7"/>
    <w:rsid w:val="00A535BD"/>
    <w:rsid w:val="00A5364D"/>
    <w:rsid w:val="00A5369F"/>
    <w:rsid w:val="00A53B2A"/>
    <w:rsid w:val="00A558B2"/>
    <w:rsid w:val="00A55AAE"/>
    <w:rsid w:val="00A55D85"/>
    <w:rsid w:val="00A55E5A"/>
    <w:rsid w:val="00A56259"/>
    <w:rsid w:val="00A562DF"/>
    <w:rsid w:val="00A56AAA"/>
    <w:rsid w:val="00A57075"/>
    <w:rsid w:val="00A57A5C"/>
    <w:rsid w:val="00A57E54"/>
    <w:rsid w:val="00A6029D"/>
    <w:rsid w:val="00A6069B"/>
    <w:rsid w:val="00A60A71"/>
    <w:rsid w:val="00A61714"/>
    <w:rsid w:val="00A62808"/>
    <w:rsid w:val="00A6296A"/>
    <w:rsid w:val="00A62EB5"/>
    <w:rsid w:val="00A63305"/>
    <w:rsid w:val="00A636E9"/>
    <w:rsid w:val="00A6376D"/>
    <w:rsid w:val="00A63983"/>
    <w:rsid w:val="00A639D7"/>
    <w:rsid w:val="00A63D03"/>
    <w:rsid w:val="00A63E7E"/>
    <w:rsid w:val="00A6411D"/>
    <w:rsid w:val="00A64185"/>
    <w:rsid w:val="00A657E9"/>
    <w:rsid w:val="00A659FA"/>
    <w:rsid w:val="00A65EBD"/>
    <w:rsid w:val="00A668D6"/>
    <w:rsid w:val="00A66D56"/>
    <w:rsid w:val="00A66E21"/>
    <w:rsid w:val="00A67118"/>
    <w:rsid w:val="00A676F3"/>
    <w:rsid w:val="00A6782B"/>
    <w:rsid w:val="00A700A5"/>
    <w:rsid w:val="00A70174"/>
    <w:rsid w:val="00A703AF"/>
    <w:rsid w:val="00A70970"/>
    <w:rsid w:val="00A709A4"/>
    <w:rsid w:val="00A70DA2"/>
    <w:rsid w:val="00A70DC7"/>
    <w:rsid w:val="00A70E4D"/>
    <w:rsid w:val="00A71347"/>
    <w:rsid w:val="00A717A7"/>
    <w:rsid w:val="00A71C29"/>
    <w:rsid w:val="00A71F5F"/>
    <w:rsid w:val="00A727B8"/>
    <w:rsid w:val="00A72CDD"/>
    <w:rsid w:val="00A72EF3"/>
    <w:rsid w:val="00A732EA"/>
    <w:rsid w:val="00A733A8"/>
    <w:rsid w:val="00A7361C"/>
    <w:rsid w:val="00A7381B"/>
    <w:rsid w:val="00A73A2D"/>
    <w:rsid w:val="00A73A4E"/>
    <w:rsid w:val="00A743D7"/>
    <w:rsid w:val="00A74451"/>
    <w:rsid w:val="00A7528A"/>
    <w:rsid w:val="00A7541A"/>
    <w:rsid w:val="00A7543B"/>
    <w:rsid w:val="00A757C0"/>
    <w:rsid w:val="00A75B74"/>
    <w:rsid w:val="00A75C25"/>
    <w:rsid w:val="00A76C52"/>
    <w:rsid w:val="00A76E37"/>
    <w:rsid w:val="00A77DAD"/>
    <w:rsid w:val="00A77FF4"/>
    <w:rsid w:val="00A80538"/>
    <w:rsid w:val="00A805E7"/>
    <w:rsid w:val="00A807AE"/>
    <w:rsid w:val="00A80C0C"/>
    <w:rsid w:val="00A80CD1"/>
    <w:rsid w:val="00A80D67"/>
    <w:rsid w:val="00A811C3"/>
    <w:rsid w:val="00A8157D"/>
    <w:rsid w:val="00A816B3"/>
    <w:rsid w:val="00A81B42"/>
    <w:rsid w:val="00A81CF4"/>
    <w:rsid w:val="00A81D13"/>
    <w:rsid w:val="00A820C4"/>
    <w:rsid w:val="00A8256A"/>
    <w:rsid w:val="00A82571"/>
    <w:rsid w:val="00A82D17"/>
    <w:rsid w:val="00A8312C"/>
    <w:rsid w:val="00A83B7C"/>
    <w:rsid w:val="00A83DA4"/>
    <w:rsid w:val="00A8402E"/>
    <w:rsid w:val="00A845D6"/>
    <w:rsid w:val="00A84696"/>
    <w:rsid w:val="00A84D5B"/>
    <w:rsid w:val="00A851F5"/>
    <w:rsid w:val="00A852D5"/>
    <w:rsid w:val="00A854B4"/>
    <w:rsid w:val="00A85C21"/>
    <w:rsid w:val="00A861D0"/>
    <w:rsid w:val="00A86C58"/>
    <w:rsid w:val="00A87C7B"/>
    <w:rsid w:val="00A9041F"/>
    <w:rsid w:val="00A90865"/>
    <w:rsid w:val="00A90F71"/>
    <w:rsid w:val="00A910A2"/>
    <w:rsid w:val="00A91864"/>
    <w:rsid w:val="00A9237E"/>
    <w:rsid w:val="00A92FF5"/>
    <w:rsid w:val="00A93835"/>
    <w:rsid w:val="00A9439B"/>
    <w:rsid w:val="00A94423"/>
    <w:rsid w:val="00A94555"/>
    <w:rsid w:val="00A94561"/>
    <w:rsid w:val="00A94932"/>
    <w:rsid w:val="00A94C52"/>
    <w:rsid w:val="00A94D68"/>
    <w:rsid w:val="00A950B4"/>
    <w:rsid w:val="00A950DD"/>
    <w:rsid w:val="00A9543A"/>
    <w:rsid w:val="00A95511"/>
    <w:rsid w:val="00A9599B"/>
    <w:rsid w:val="00A9631F"/>
    <w:rsid w:val="00A96362"/>
    <w:rsid w:val="00A965BD"/>
    <w:rsid w:val="00A96878"/>
    <w:rsid w:val="00A97E32"/>
    <w:rsid w:val="00AA1077"/>
    <w:rsid w:val="00AA129B"/>
    <w:rsid w:val="00AA2492"/>
    <w:rsid w:val="00AA2EBA"/>
    <w:rsid w:val="00AA37D6"/>
    <w:rsid w:val="00AA38CB"/>
    <w:rsid w:val="00AA3CB0"/>
    <w:rsid w:val="00AA459D"/>
    <w:rsid w:val="00AA48CC"/>
    <w:rsid w:val="00AA4D08"/>
    <w:rsid w:val="00AA5244"/>
    <w:rsid w:val="00AA53F3"/>
    <w:rsid w:val="00AA56F8"/>
    <w:rsid w:val="00AA5740"/>
    <w:rsid w:val="00AA5FF1"/>
    <w:rsid w:val="00AA61E1"/>
    <w:rsid w:val="00AA6381"/>
    <w:rsid w:val="00AA648F"/>
    <w:rsid w:val="00AA6942"/>
    <w:rsid w:val="00AA7A5F"/>
    <w:rsid w:val="00AB077B"/>
    <w:rsid w:val="00AB1531"/>
    <w:rsid w:val="00AB15F9"/>
    <w:rsid w:val="00AB1989"/>
    <w:rsid w:val="00AB19EE"/>
    <w:rsid w:val="00AB19F2"/>
    <w:rsid w:val="00AB216D"/>
    <w:rsid w:val="00AB2A2C"/>
    <w:rsid w:val="00AB3671"/>
    <w:rsid w:val="00AB3A82"/>
    <w:rsid w:val="00AB402D"/>
    <w:rsid w:val="00AB44A1"/>
    <w:rsid w:val="00AB4810"/>
    <w:rsid w:val="00AB48E5"/>
    <w:rsid w:val="00AB493C"/>
    <w:rsid w:val="00AB4989"/>
    <w:rsid w:val="00AB5288"/>
    <w:rsid w:val="00AB53D6"/>
    <w:rsid w:val="00AB5CFD"/>
    <w:rsid w:val="00AB5FA7"/>
    <w:rsid w:val="00AB6004"/>
    <w:rsid w:val="00AB61DE"/>
    <w:rsid w:val="00AB69D2"/>
    <w:rsid w:val="00AB6B93"/>
    <w:rsid w:val="00AB6CD7"/>
    <w:rsid w:val="00AB6F7E"/>
    <w:rsid w:val="00AB7599"/>
    <w:rsid w:val="00AB7866"/>
    <w:rsid w:val="00AC029A"/>
    <w:rsid w:val="00AC13EC"/>
    <w:rsid w:val="00AC148E"/>
    <w:rsid w:val="00AC1B68"/>
    <w:rsid w:val="00AC2137"/>
    <w:rsid w:val="00AC283B"/>
    <w:rsid w:val="00AC2855"/>
    <w:rsid w:val="00AC3229"/>
    <w:rsid w:val="00AC329D"/>
    <w:rsid w:val="00AC32C0"/>
    <w:rsid w:val="00AC3855"/>
    <w:rsid w:val="00AC3B06"/>
    <w:rsid w:val="00AC3B20"/>
    <w:rsid w:val="00AC406F"/>
    <w:rsid w:val="00AC4187"/>
    <w:rsid w:val="00AC4420"/>
    <w:rsid w:val="00AC49EE"/>
    <w:rsid w:val="00AC4BC7"/>
    <w:rsid w:val="00AC55AA"/>
    <w:rsid w:val="00AC55B7"/>
    <w:rsid w:val="00AC5D92"/>
    <w:rsid w:val="00AC60E8"/>
    <w:rsid w:val="00AC6540"/>
    <w:rsid w:val="00AC676F"/>
    <w:rsid w:val="00AC6D8B"/>
    <w:rsid w:val="00AC7160"/>
    <w:rsid w:val="00AC7A46"/>
    <w:rsid w:val="00AC7DF3"/>
    <w:rsid w:val="00AD0248"/>
    <w:rsid w:val="00AD0520"/>
    <w:rsid w:val="00AD060E"/>
    <w:rsid w:val="00AD08DF"/>
    <w:rsid w:val="00AD0F99"/>
    <w:rsid w:val="00AD1199"/>
    <w:rsid w:val="00AD11BB"/>
    <w:rsid w:val="00AD1CD5"/>
    <w:rsid w:val="00AD2026"/>
    <w:rsid w:val="00AD22FD"/>
    <w:rsid w:val="00AD28A5"/>
    <w:rsid w:val="00AD3C0A"/>
    <w:rsid w:val="00AD3CA5"/>
    <w:rsid w:val="00AD404A"/>
    <w:rsid w:val="00AD43D6"/>
    <w:rsid w:val="00AD45E3"/>
    <w:rsid w:val="00AD4729"/>
    <w:rsid w:val="00AD4F51"/>
    <w:rsid w:val="00AD523D"/>
    <w:rsid w:val="00AD5339"/>
    <w:rsid w:val="00AD556E"/>
    <w:rsid w:val="00AD5937"/>
    <w:rsid w:val="00AD5E53"/>
    <w:rsid w:val="00AD5F41"/>
    <w:rsid w:val="00AD5F99"/>
    <w:rsid w:val="00AD634A"/>
    <w:rsid w:val="00AD676F"/>
    <w:rsid w:val="00AD69B6"/>
    <w:rsid w:val="00AE023B"/>
    <w:rsid w:val="00AE0B7F"/>
    <w:rsid w:val="00AE0DF6"/>
    <w:rsid w:val="00AE0EA4"/>
    <w:rsid w:val="00AE0FB2"/>
    <w:rsid w:val="00AE1E9A"/>
    <w:rsid w:val="00AE219A"/>
    <w:rsid w:val="00AE23B7"/>
    <w:rsid w:val="00AE2887"/>
    <w:rsid w:val="00AE2A53"/>
    <w:rsid w:val="00AE312F"/>
    <w:rsid w:val="00AE32AB"/>
    <w:rsid w:val="00AE36B9"/>
    <w:rsid w:val="00AE3B3F"/>
    <w:rsid w:val="00AE4232"/>
    <w:rsid w:val="00AE483F"/>
    <w:rsid w:val="00AE4F34"/>
    <w:rsid w:val="00AE4F45"/>
    <w:rsid w:val="00AE4FE8"/>
    <w:rsid w:val="00AE62E7"/>
    <w:rsid w:val="00AE6310"/>
    <w:rsid w:val="00AE701C"/>
    <w:rsid w:val="00AE72BC"/>
    <w:rsid w:val="00AE771B"/>
    <w:rsid w:val="00AF0BD6"/>
    <w:rsid w:val="00AF1A77"/>
    <w:rsid w:val="00AF1C2D"/>
    <w:rsid w:val="00AF2125"/>
    <w:rsid w:val="00AF2AFD"/>
    <w:rsid w:val="00AF2DBD"/>
    <w:rsid w:val="00AF2EA1"/>
    <w:rsid w:val="00AF3734"/>
    <w:rsid w:val="00AF374B"/>
    <w:rsid w:val="00AF3988"/>
    <w:rsid w:val="00AF3CF0"/>
    <w:rsid w:val="00AF3D4D"/>
    <w:rsid w:val="00AF403D"/>
    <w:rsid w:val="00AF4A72"/>
    <w:rsid w:val="00AF5007"/>
    <w:rsid w:val="00AF5020"/>
    <w:rsid w:val="00AF51DB"/>
    <w:rsid w:val="00AF5702"/>
    <w:rsid w:val="00AF584E"/>
    <w:rsid w:val="00AF58A1"/>
    <w:rsid w:val="00AF59BE"/>
    <w:rsid w:val="00AF5AFC"/>
    <w:rsid w:val="00AF67D7"/>
    <w:rsid w:val="00AF69A9"/>
    <w:rsid w:val="00AF6A97"/>
    <w:rsid w:val="00AF6D5A"/>
    <w:rsid w:val="00AF719C"/>
    <w:rsid w:val="00AF7CDB"/>
    <w:rsid w:val="00B0044F"/>
    <w:rsid w:val="00B007EA"/>
    <w:rsid w:val="00B01024"/>
    <w:rsid w:val="00B010F2"/>
    <w:rsid w:val="00B0133C"/>
    <w:rsid w:val="00B016F7"/>
    <w:rsid w:val="00B01950"/>
    <w:rsid w:val="00B01DC1"/>
    <w:rsid w:val="00B01DD6"/>
    <w:rsid w:val="00B0295A"/>
    <w:rsid w:val="00B02BF3"/>
    <w:rsid w:val="00B02EC5"/>
    <w:rsid w:val="00B031B5"/>
    <w:rsid w:val="00B03553"/>
    <w:rsid w:val="00B038EE"/>
    <w:rsid w:val="00B03BEA"/>
    <w:rsid w:val="00B0473B"/>
    <w:rsid w:val="00B04C14"/>
    <w:rsid w:val="00B04F09"/>
    <w:rsid w:val="00B0554D"/>
    <w:rsid w:val="00B057FB"/>
    <w:rsid w:val="00B05A07"/>
    <w:rsid w:val="00B061E3"/>
    <w:rsid w:val="00B066DF"/>
    <w:rsid w:val="00B07904"/>
    <w:rsid w:val="00B07B6D"/>
    <w:rsid w:val="00B10640"/>
    <w:rsid w:val="00B10864"/>
    <w:rsid w:val="00B10D49"/>
    <w:rsid w:val="00B11802"/>
    <w:rsid w:val="00B11991"/>
    <w:rsid w:val="00B11F0A"/>
    <w:rsid w:val="00B1281C"/>
    <w:rsid w:val="00B130E5"/>
    <w:rsid w:val="00B1325D"/>
    <w:rsid w:val="00B135B6"/>
    <w:rsid w:val="00B13A1D"/>
    <w:rsid w:val="00B13BDA"/>
    <w:rsid w:val="00B145AD"/>
    <w:rsid w:val="00B1488F"/>
    <w:rsid w:val="00B14F9C"/>
    <w:rsid w:val="00B1534E"/>
    <w:rsid w:val="00B153A4"/>
    <w:rsid w:val="00B15895"/>
    <w:rsid w:val="00B159D2"/>
    <w:rsid w:val="00B159F9"/>
    <w:rsid w:val="00B15C21"/>
    <w:rsid w:val="00B15CC6"/>
    <w:rsid w:val="00B15D70"/>
    <w:rsid w:val="00B15F07"/>
    <w:rsid w:val="00B1640B"/>
    <w:rsid w:val="00B164E4"/>
    <w:rsid w:val="00B16612"/>
    <w:rsid w:val="00B168F3"/>
    <w:rsid w:val="00B1697D"/>
    <w:rsid w:val="00B16AE6"/>
    <w:rsid w:val="00B1758C"/>
    <w:rsid w:val="00B17FC4"/>
    <w:rsid w:val="00B20009"/>
    <w:rsid w:val="00B20090"/>
    <w:rsid w:val="00B2016B"/>
    <w:rsid w:val="00B21353"/>
    <w:rsid w:val="00B213E5"/>
    <w:rsid w:val="00B21A05"/>
    <w:rsid w:val="00B21C83"/>
    <w:rsid w:val="00B21F4E"/>
    <w:rsid w:val="00B22000"/>
    <w:rsid w:val="00B22AEE"/>
    <w:rsid w:val="00B22C4F"/>
    <w:rsid w:val="00B22CFA"/>
    <w:rsid w:val="00B22D62"/>
    <w:rsid w:val="00B22D6A"/>
    <w:rsid w:val="00B22DD2"/>
    <w:rsid w:val="00B22E99"/>
    <w:rsid w:val="00B231DA"/>
    <w:rsid w:val="00B23621"/>
    <w:rsid w:val="00B2371B"/>
    <w:rsid w:val="00B23995"/>
    <w:rsid w:val="00B23C67"/>
    <w:rsid w:val="00B23F0B"/>
    <w:rsid w:val="00B2419A"/>
    <w:rsid w:val="00B24433"/>
    <w:rsid w:val="00B24AF8"/>
    <w:rsid w:val="00B24EAA"/>
    <w:rsid w:val="00B24EFC"/>
    <w:rsid w:val="00B254FB"/>
    <w:rsid w:val="00B256F4"/>
    <w:rsid w:val="00B25796"/>
    <w:rsid w:val="00B2582D"/>
    <w:rsid w:val="00B25837"/>
    <w:rsid w:val="00B26039"/>
    <w:rsid w:val="00B260BE"/>
    <w:rsid w:val="00B26868"/>
    <w:rsid w:val="00B26C17"/>
    <w:rsid w:val="00B271D9"/>
    <w:rsid w:val="00B27457"/>
    <w:rsid w:val="00B2790D"/>
    <w:rsid w:val="00B27D9B"/>
    <w:rsid w:val="00B3026C"/>
    <w:rsid w:val="00B30AE4"/>
    <w:rsid w:val="00B30D68"/>
    <w:rsid w:val="00B31976"/>
    <w:rsid w:val="00B32068"/>
    <w:rsid w:val="00B326BE"/>
    <w:rsid w:val="00B326E4"/>
    <w:rsid w:val="00B328DF"/>
    <w:rsid w:val="00B32C65"/>
    <w:rsid w:val="00B32F57"/>
    <w:rsid w:val="00B32F73"/>
    <w:rsid w:val="00B33256"/>
    <w:rsid w:val="00B332B1"/>
    <w:rsid w:val="00B337B6"/>
    <w:rsid w:val="00B33B5F"/>
    <w:rsid w:val="00B33CB7"/>
    <w:rsid w:val="00B34309"/>
    <w:rsid w:val="00B34FA1"/>
    <w:rsid w:val="00B35C3C"/>
    <w:rsid w:val="00B360D8"/>
    <w:rsid w:val="00B362D4"/>
    <w:rsid w:val="00B367CD"/>
    <w:rsid w:val="00B36B72"/>
    <w:rsid w:val="00B36CF0"/>
    <w:rsid w:val="00B36FB6"/>
    <w:rsid w:val="00B36FFC"/>
    <w:rsid w:val="00B37443"/>
    <w:rsid w:val="00B37CC2"/>
    <w:rsid w:val="00B409F7"/>
    <w:rsid w:val="00B4114A"/>
    <w:rsid w:val="00B41164"/>
    <w:rsid w:val="00B412AE"/>
    <w:rsid w:val="00B41366"/>
    <w:rsid w:val="00B4186D"/>
    <w:rsid w:val="00B41BF5"/>
    <w:rsid w:val="00B41C5C"/>
    <w:rsid w:val="00B41E26"/>
    <w:rsid w:val="00B41FCB"/>
    <w:rsid w:val="00B42415"/>
    <w:rsid w:val="00B42B4D"/>
    <w:rsid w:val="00B42B93"/>
    <w:rsid w:val="00B435BE"/>
    <w:rsid w:val="00B43C4E"/>
    <w:rsid w:val="00B441A5"/>
    <w:rsid w:val="00B444C3"/>
    <w:rsid w:val="00B44B81"/>
    <w:rsid w:val="00B453A9"/>
    <w:rsid w:val="00B45664"/>
    <w:rsid w:val="00B46E8B"/>
    <w:rsid w:val="00B46E91"/>
    <w:rsid w:val="00B476FA"/>
    <w:rsid w:val="00B47747"/>
    <w:rsid w:val="00B4791A"/>
    <w:rsid w:val="00B47B18"/>
    <w:rsid w:val="00B506B9"/>
    <w:rsid w:val="00B5094C"/>
    <w:rsid w:val="00B5121D"/>
    <w:rsid w:val="00B52A9F"/>
    <w:rsid w:val="00B53596"/>
    <w:rsid w:val="00B53AAE"/>
    <w:rsid w:val="00B53F8C"/>
    <w:rsid w:val="00B541AD"/>
    <w:rsid w:val="00B54260"/>
    <w:rsid w:val="00B542C0"/>
    <w:rsid w:val="00B54312"/>
    <w:rsid w:val="00B54741"/>
    <w:rsid w:val="00B54B75"/>
    <w:rsid w:val="00B55C21"/>
    <w:rsid w:val="00B5666E"/>
    <w:rsid w:val="00B569C9"/>
    <w:rsid w:val="00B56D65"/>
    <w:rsid w:val="00B57501"/>
    <w:rsid w:val="00B57FDC"/>
    <w:rsid w:val="00B602F1"/>
    <w:rsid w:val="00B6063E"/>
    <w:rsid w:val="00B6069A"/>
    <w:rsid w:val="00B60DE6"/>
    <w:rsid w:val="00B60FD8"/>
    <w:rsid w:val="00B61633"/>
    <w:rsid w:val="00B61B94"/>
    <w:rsid w:val="00B61F46"/>
    <w:rsid w:val="00B6207E"/>
    <w:rsid w:val="00B6217A"/>
    <w:rsid w:val="00B62221"/>
    <w:rsid w:val="00B6241D"/>
    <w:rsid w:val="00B62B1C"/>
    <w:rsid w:val="00B62FA3"/>
    <w:rsid w:val="00B6352E"/>
    <w:rsid w:val="00B635C2"/>
    <w:rsid w:val="00B637A3"/>
    <w:rsid w:val="00B6391C"/>
    <w:rsid w:val="00B63B21"/>
    <w:rsid w:val="00B640B1"/>
    <w:rsid w:val="00B64121"/>
    <w:rsid w:val="00B64227"/>
    <w:rsid w:val="00B64499"/>
    <w:rsid w:val="00B64643"/>
    <w:rsid w:val="00B64A1C"/>
    <w:rsid w:val="00B64EAD"/>
    <w:rsid w:val="00B65063"/>
    <w:rsid w:val="00B65578"/>
    <w:rsid w:val="00B659A7"/>
    <w:rsid w:val="00B65FF3"/>
    <w:rsid w:val="00B67841"/>
    <w:rsid w:val="00B67AB2"/>
    <w:rsid w:val="00B67B6C"/>
    <w:rsid w:val="00B70A3B"/>
    <w:rsid w:val="00B7143C"/>
    <w:rsid w:val="00B722B4"/>
    <w:rsid w:val="00B724D0"/>
    <w:rsid w:val="00B727C7"/>
    <w:rsid w:val="00B7301B"/>
    <w:rsid w:val="00B73061"/>
    <w:rsid w:val="00B73A16"/>
    <w:rsid w:val="00B73B1C"/>
    <w:rsid w:val="00B73EC9"/>
    <w:rsid w:val="00B73F40"/>
    <w:rsid w:val="00B7403C"/>
    <w:rsid w:val="00B743AF"/>
    <w:rsid w:val="00B7461A"/>
    <w:rsid w:val="00B74854"/>
    <w:rsid w:val="00B74B1F"/>
    <w:rsid w:val="00B75555"/>
    <w:rsid w:val="00B75565"/>
    <w:rsid w:val="00B757F1"/>
    <w:rsid w:val="00B75AD0"/>
    <w:rsid w:val="00B75D7D"/>
    <w:rsid w:val="00B75F5F"/>
    <w:rsid w:val="00B76CAD"/>
    <w:rsid w:val="00B77E5F"/>
    <w:rsid w:val="00B8010E"/>
    <w:rsid w:val="00B8089A"/>
    <w:rsid w:val="00B80B29"/>
    <w:rsid w:val="00B81056"/>
    <w:rsid w:val="00B815AF"/>
    <w:rsid w:val="00B815D7"/>
    <w:rsid w:val="00B81C97"/>
    <w:rsid w:val="00B81C9E"/>
    <w:rsid w:val="00B821A3"/>
    <w:rsid w:val="00B82669"/>
    <w:rsid w:val="00B82851"/>
    <w:rsid w:val="00B82BC1"/>
    <w:rsid w:val="00B83006"/>
    <w:rsid w:val="00B84E3E"/>
    <w:rsid w:val="00B8508C"/>
    <w:rsid w:val="00B855A7"/>
    <w:rsid w:val="00B85C7C"/>
    <w:rsid w:val="00B85E30"/>
    <w:rsid w:val="00B8600A"/>
    <w:rsid w:val="00B869DA"/>
    <w:rsid w:val="00B86A0F"/>
    <w:rsid w:val="00B8734A"/>
    <w:rsid w:val="00B906DC"/>
    <w:rsid w:val="00B90711"/>
    <w:rsid w:val="00B907CB"/>
    <w:rsid w:val="00B90886"/>
    <w:rsid w:val="00B90E19"/>
    <w:rsid w:val="00B90E63"/>
    <w:rsid w:val="00B90EC1"/>
    <w:rsid w:val="00B90F4F"/>
    <w:rsid w:val="00B9137E"/>
    <w:rsid w:val="00B91470"/>
    <w:rsid w:val="00B91E0A"/>
    <w:rsid w:val="00B9211F"/>
    <w:rsid w:val="00B92684"/>
    <w:rsid w:val="00B92C47"/>
    <w:rsid w:val="00B92D55"/>
    <w:rsid w:val="00B93860"/>
    <w:rsid w:val="00B93C30"/>
    <w:rsid w:val="00B93DA0"/>
    <w:rsid w:val="00B948AF"/>
    <w:rsid w:val="00B95107"/>
    <w:rsid w:val="00B95418"/>
    <w:rsid w:val="00B9601C"/>
    <w:rsid w:val="00B96409"/>
    <w:rsid w:val="00B96AA9"/>
    <w:rsid w:val="00B96E1C"/>
    <w:rsid w:val="00B9749B"/>
    <w:rsid w:val="00B97C2E"/>
    <w:rsid w:val="00B97E52"/>
    <w:rsid w:val="00B97F8B"/>
    <w:rsid w:val="00BA0083"/>
    <w:rsid w:val="00BA02B9"/>
    <w:rsid w:val="00BA0301"/>
    <w:rsid w:val="00BA0327"/>
    <w:rsid w:val="00BA037D"/>
    <w:rsid w:val="00BA056F"/>
    <w:rsid w:val="00BA0C75"/>
    <w:rsid w:val="00BA1257"/>
    <w:rsid w:val="00BA137B"/>
    <w:rsid w:val="00BA1DEA"/>
    <w:rsid w:val="00BA207A"/>
    <w:rsid w:val="00BA264F"/>
    <w:rsid w:val="00BA2AC0"/>
    <w:rsid w:val="00BA2C42"/>
    <w:rsid w:val="00BA2E19"/>
    <w:rsid w:val="00BA33AF"/>
    <w:rsid w:val="00BA3579"/>
    <w:rsid w:val="00BA3985"/>
    <w:rsid w:val="00BA3C77"/>
    <w:rsid w:val="00BA3DB6"/>
    <w:rsid w:val="00BA4BEB"/>
    <w:rsid w:val="00BA5305"/>
    <w:rsid w:val="00BA56A5"/>
    <w:rsid w:val="00BA5B26"/>
    <w:rsid w:val="00BA5EDD"/>
    <w:rsid w:val="00BA612B"/>
    <w:rsid w:val="00BA6695"/>
    <w:rsid w:val="00BA683D"/>
    <w:rsid w:val="00BA69F6"/>
    <w:rsid w:val="00BA69FA"/>
    <w:rsid w:val="00BA6B6B"/>
    <w:rsid w:val="00BA6F22"/>
    <w:rsid w:val="00BA780A"/>
    <w:rsid w:val="00BA7EA0"/>
    <w:rsid w:val="00BB07F3"/>
    <w:rsid w:val="00BB07FB"/>
    <w:rsid w:val="00BB08C5"/>
    <w:rsid w:val="00BB0953"/>
    <w:rsid w:val="00BB0A76"/>
    <w:rsid w:val="00BB0AE7"/>
    <w:rsid w:val="00BB0DE1"/>
    <w:rsid w:val="00BB0E68"/>
    <w:rsid w:val="00BB0F1B"/>
    <w:rsid w:val="00BB1236"/>
    <w:rsid w:val="00BB123A"/>
    <w:rsid w:val="00BB1852"/>
    <w:rsid w:val="00BB1B44"/>
    <w:rsid w:val="00BB1D34"/>
    <w:rsid w:val="00BB1DA2"/>
    <w:rsid w:val="00BB1ED9"/>
    <w:rsid w:val="00BB22EA"/>
    <w:rsid w:val="00BB28B7"/>
    <w:rsid w:val="00BB3DF1"/>
    <w:rsid w:val="00BB3FC2"/>
    <w:rsid w:val="00BB3FF9"/>
    <w:rsid w:val="00BB46BA"/>
    <w:rsid w:val="00BB482E"/>
    <w:rsid w:val="00BB5022"/>
    <w:rsid w:val="00BB5048"/>
    <w:rsid w:val="00BB54AC"/>
    <w:rsid w:val="00BB59E1"/>
    <w:rsid w:val="00BB5B26"/>
    <w:rsid w:val="00BB610C"/>
    <w:rsid w:val="00BB6134"/>
    <w:rsid w:val="00BB6342"/>
    <w:rsid w:val="00BB65E9"/>
    <w:rsid w:val="00BB6830"/>
    <w:rsid w:val="00BB7332"/>
    <w:rsid w:val="00BB7559"/>
    <w:rsid w:val="00BB78CC"/>
    <w:rsid w:val="00BC0610"/>
    <w:rsid w:val="00BC0976"/>
    <w:rsid w:val="00BC0AFD"/>
    <w:rsid w:val="00BC0C4E"/>
    <w:rsid w:val="00BC0F96"/>
    <w:rsid w:val="00BC108F"/>
    <w:rsid w:val="00BC1478"/>
    <w:rsid w:val="00BC1760"/>
    <w:rsid w:val="00BC1B2E"/>
    <w:rsid w:val="00BC31EE"/>
    <w:rsid w:val="00BC3791"/>
    <w:rsid w:val="00BC379C"/>
    <w:rsid w:val="00BC37B7"/>
    <w:rsid w:val="00BC37EE"/>
    <w:rsid w:val="00BC3859"/>
    <w:rsid w:val="00BC4DE4"/>
    <w:rsid w:val="00BC4F9F"/>
    <w:rsid w:val="00BC52C7"/>
    <w:rsid w:val="00BC55D4"/>
    <w:rsid w:val="00BC5736"/>
    <w:rsid w:val="00BC57EB"/>
    <w:rsid w:val="00BC5986"/>
    <w:rsid w:val="00BC5C8C"/>
    <w:rsid w:val="00BC609F"/>
    <w:rsid w:val="00BC62F1"/>
    <w:rsid w:val="00BC691E"/>
    <w:rsid w:val="00BC6C66"/>
    <w:rsid w:val="00BC70BD"/>
    <w:rsid w:val="00BC78AA"/>
    <w:rsid w:val="00BC79E4"/>
    <w:rsid w:val="00BC7D4F"/>
    <w:rsid w:val="00BC7D7A"/>
    <w:rsid w:val="00BC7E10"/>
    <w:rsid w:val="00BD0D60"/>
    <w:rsid w:val="00BD0F41"/>
    <w:rsid w:val="00BD1588"/>
    <w:rsid w:val="00BD159E"/>
    <w:rsid w:val="00BD1B06"/>
    <w:rsid w:val="00BD20DE"/>
    <w:rsid w:val="00BD2104"/>
    <w:rsid w:val="00BD2872"/>
    <w:rsid w:val="00BD29F2"/>
    <w:rsid w:val="00BD2DCD"/>
    <w:rsid w:val="00BD2E9E"/>
    <w:rsid w:val="00BD3411"/>
    <w:rsid w:val="00BD37ED"/>
    <w:rsid w:val="00BD37FB"/>
    <w:rsid w:val="00BD40E4"/>
    <w:rsid w:val="00BD54FE"/>
    <w:rsid w:val="00BD5C41"/>
    <w:rsid w:val="00BD600B"/>
    <w:rsid w:val="00BD621E"/>
    <w:rsid w:val="00BD66CC"/>
    <w:rsid w:val="00BD6E50"/>
    <w:rsid w:val="00BD7543"/>
    <w:rsid w:val="00BD7726"/>
    <w:rsid w:val="00BD7D9D"/>
    <w:rsid w:val="00BD7DA0"/>
    <w:rsid w:val="00BD7E31"/>
    <w:rsid w:val="00BE02A6"/>
    <w:rsid w:val="00BE0458"/>
    <w:rsid w:val="00BE064E"/>
    <w:rsid w:val="00BE104C"/>
    <w:rsid w:val="00BE138E"/>
    <w:rsid w:val="00BE1407"/>
    <w:rsid w:val="00BE18C7"/>
    <w:rsid w:val="00BE1D5B"/>
    <w:rsid w:val="00BE22FF"/>
    <w:rsid w:val="00BE2340"/>
    <w:rsid w:val="00BE2778"/>
    <w:rsid w:val="00BE2A20"/>
    <w:rsid w:val="00BE2C7A"/>
    <w:rsid w:val="00BE2D4A"/>
    <w:rsid w:val="00BE376F"/>
    <w:rsid w:val="00BE3A9C"/>
    <w:rsid w:val="00BE40D9"/>
    <w:rsid w:val="00BE413B"/>
    <w:rsid w:val="00BE44F1"/>
    <w:rsid w:val="00BE4580"/>
    <w:rsid w:val="00BE52F7"/>
    <w:rsid w:val="00BE547D"/>
    <w:rsid w:val="00BE6003"/>
    <w:rsid w:val="00BE623E"/>
    <w:rsid w:val="00BE6482"/>
    <w:rsid w:val="00BE670E"/>
    <w:rsid w:val="00BE69EB"/>
    <w:rsid w:val="00BE7002"/>
    <w:rsid w:val="00BE7F08"/>
    <w:rsid w:val="00BF0336"/>
    <w:rsid w:val="00BF041A"/>
    <w:rsid w:val="00BF0987"/>
    <w:rsid w:val="00BF0EEA"/>
    <w:rsid w:val="00BF1658"/>
    <w:rsid w:val="00BF17C0"/>
    <w:rsid w:val="00BF1852"/>
    <w:rsid w:val="00BF1ABA"/>
    <w:rsid w:val="00BF1ACE"/>
    <w:rsid w:val="00BF1BA3"/>
    <w:rsid w:val="00BF1BEC"/>
    <w:rsid w:val="00BF28B3"/>
    <w:rsid w:val="00BF3265"/>
    <w:rsid w:val="00BF36F8"/>
    <w:rsid w:val="00BF3805"/>
    <w:rsid w:val="00BF3C45"/>
    <w:rsid w:val="00BF3EA9"/>
    <w:rsid w:val="00BF40F3"/>
    <w:rsid w:val="00BF4A62"/>
    <w:rsid w:val="00BF4BC7"/>
    <w:rsid w:val="00BF4D64"/>
    <w:rsid w:val="00BF5139"/>
    <w:rsid w:val="00BF522A"/>
    <w:rsid w:val="00BF56DE"/>
    <w:rsid w:val="00BF6675"/>
    <w:rsid w:val="00BF6AB2"/>
    <w:rsid w:val="00BF788E"/>
    <w:rsid w:val="00BF7CAD"/>
    <w:rsid w:val="00C0065D"/>
    <w:rsid w:val="00C0065E"/>
    <w:rsid w:val="00C01082"/>
    <w:rsid w:val="00C01B05"/>
    <w:rsid w:val="00C01E3A"/>
    <w:rsid w:val="00C023E8"/>
    <w:rsid w:val="00C02762"/>
    <w:rsid w:val="00C02890"/>
    <w:rsid w:val="00C02DBB"/>
    <w:rsid w:val="00C0374A"/>
    <w:rsid w:val="00C03883"/>
    <w:rsid w:val="00C03B51"/>
    <w:rsid w:val="00C03E51"/>
    <w:rsid w:val="00C040B4"/>
    <w:rsid w:val="00C042A5"/>
    <w:rsid w:val="00C04431"/>
    <w:rsid w:val="00C044F3"/>
    <w:rsid w:val="00C04564"/>
    <w:rsid w:val="00C048B2"/>
    <w:rsid w:val="00C04B6E"/>
    <w:rsid w:val="00C05588"/>
    <w:rsid w:val="00C062CB"/>
    <w:rsid w:val="00C065DA"/>
    <w:rsid w:val="00C06CAE"/>
    <w:rsid w:val="00C06EDD"/>
    <w:rsid w:val="00C0760E"/>
    <w:rsid w:val="00C07AF4"/>
    <w:rsid w:val="00C07E1A"/>
    <w:rsid w:val="00C07E66"/>
    <w:rsid w:val="00C07F12"/>
    <w:rsid w:val="00C07F56"/>
    <w:rsid w:val="00C10030"/>
    <w:rsid w:val="00C10620"/>
    <w:rsid w:val="00C10B2A"/>
    <w:rsid w:val="00C1145E"/>
    <w:rsid w:val="00C1194D"/>
    <w:rsid w:val="00C11A13"/>
    <w:rsid w:val="00C11B6A"/>
    <w:rsid w:val="00C127B0"/>
    <w:rsid w:val="00C12CB9"/>
    <w:rsid w:val="00C13039"/>
    <w:rsid w:val="00C13493"/>
    <w:rsid w:val="00C13777"/>
    <w:rsid w:val="00C13826"/>
    <w:rsid w:val="00C138EF"/>
    <w:rsid w:val="00C13A1F"/>
    <w:rsid w:val="00C13A60"/>
    <w:rsid w:val="00C13C66"/>
    <w:rsid w:val="00C13D6B"/>
    <w:rsid w:val="00C13DB3"/>
    <w:rsid w:val="00C142CE"/>
    <w:rsid w:val="00C1439E"/>
    <w:rsid w:val="00C146EC"/>
    <w:rsid w:val="00C14701"/>
    <w:rsid w:val="00C14844"/>
    <w:rsid w:val="00C14DF1"/>
    <w:rsid w:val="00C14E15"/>
    <w:rsid w:val="00C156A2"/>
    <w:rsid w:val="00C15721"/>
    <w:rsid w:val="00C15E05"/>
    <w:rsid w:val="00C1603E"/>
    <w:rsid w:val="00C160F4"/>
    <w:rsid w:val="00C161BE"/>
    <w:rsid w:val="00C163A0"/>
    <w:rsid w:val="00C16726"/>
    <w:rsid w:val="00C1688B"/>
    <w:rsid w:val="00C16A8A"/>
    <w:rsid w:val="00C16AE8"/>
    <w:rsid w:val="00C16B21"/>
    <w:rsid w:val="00C17062"/>
    <w:rsid w:val="00C1717F"/>
    <w:rsid w:val="00C20207"/>
    <w:rsid w:val="00C202B7"/>
    <w:rsid w:val="00C203BC"/>
    <w:rsid w:val="00C20D29"/>
    <w:rsid w:val="00C212A7"/>
    <w:rsid w:val="00C215DC"/>
    <w:rsid w:val="00C216D4"/>
    <w:rsid w:val="00C21A8A"/>
    <w:rsid w:val="00C21C03"/>
    <w:rsid w:val="00C21DBA"/>
    <w:rsid w:val="00C22DEB"/>
    <w:rsid w:val="00C2335A"/>
    <w:rsid w:val="00C234E7"/>
    <w:rsid w:val="00C23C2D"/>
    <w:rsid w:val="00C243D3"/>
    <w:rsid w:val="00C24555"/>
    <w:rsid w:val="00C24632"/>
    <w:rsid w:val="00C24969"/>
    <w:rsid w:val="00C24BE5"/>
    <w:rsid w:val="00C24F41"/>
    <w:rsid w:val="00C261D2"/>
    <w:rsid w:val="00C26D4E"/>
    <w:rsid w:val="00C2700C"/>
    <w:rsid w:val="00C27055"/>
    <w:rsid w:val="00C271D2"/>
    <w:rsid w:val="00C27804"/>
    <w:rsid w:val="00C27B8C"/>
    <w:rsid w:val="00C27C76"/>
    <w:rsid w:val="00C27C84"/>
    <w:rsid w:val="00C30AAA"/>
    <w:rsid w:val="00C30BE4"/>
    <w:rsid w:val="00C30C6B"/>
    <w:rsid w:val="00C30D6D"/>
    <w:rsid w:val="00C30DC5"/>
    <w:rsid w:val="00C30E8F"/>
    <w:rsid w:val="00C311C8"/>
    <w:rsid w:val="00C31700"/>
    <w:rsid w:val="00C319BE"/>
    <w:rsid w:val="00C31A87"/>
    <w:rsid w:val="00C31D26"/>
    <w:rsid w:val="00C327FC"/>
    <w:rsid w:val="00C329A0"/>
    <w:rsid w:val="00C33CF1"/>
    <w:rsid w:val="00C347F3"/>
    <w:rsid w:val="00C354F4"/>
    <w:rsid w:val="00C356DE"/>
    <w:rsid w:val="00C35A88"/>
    <w:rsid w:val="00C35D65"/>
    <w:rsid w:val="00C35FE5"/>
    <w:rsid w:val="00C36987"/>
    <w:rsid w:val="00C369CF"/>
    <w:rsid w:val="00C36B60"/>
    <w:rsid w:val="00C36C09"/>
    <w:rsid w:val="00C36EE5"/>
    <w:rsid w:val="00C36F40"/>
    <w:rsid w:val="00C372A5"/>
    <w:rsid w:val="00C3788C"/>
    <w:rsid w:val="00C40242"/>
    <w:rsid w:val="00C4026C"/>
    <w:rsid w:val="00C403D6"/>
    <w:rsid w:val="00C40564"/>
    <w:rsid w:val="00C40DE4"/>
    <w:rsid w:val="00C411A7"/>
    <w:rsid w:val="00C41327"/>
    <w:rsid w:val="00C413A1"/>
    <w:rsid w:val="00C41538"/>
    <w:rsid w:val="00C41617"/>
    <w:rsid w:val="00C41C4B"/>
    <w:rsid w:val="00C41EDA"/>
    <w:rsid w:val="00C41EEF"/>
    <w:rsid w:val="00C42298"/>
    <w:rsid w:val="00C42538"/>
    <w:rsid w:val="00C42588"/>
    <w:rsid w:val="00C4258C"/>
    <w:rsid w:val="00C426CE"/>
    <w:rsid w:val="00C427D8"/>
    <w:rsid w:val="00C42A36"/>
    <w:rsid w:val="00C42C3F"/>
    <w:rsid w:val="00C42E65"/>
    <w:rsid w:val="00C43021"/>
    <w:rsid w:val="00C43039"/>
    <w:rsid w:val="00C43C45"/>
    <w:rsid w:val="00C448AE"/>
    <w:rsid w:val="00C45178"/>
    <w:rsid w:val="00C45273"/>
    <w:rsid w:val="00C4533B"/>
    <w:rsid w:val="00C4543D"/>
    <w:rsid w:val="00C454E2"/>
    <w:rsid w:val="00C4590F"/>
    <w:rsid w:val="00C45BDB"/>
    <w:rsid w:val="00C45DEE"/>
    <w:rsid w:val="00C465AC"/>
    <w:rsid w:val="00C46CC8"/>
    <w:rsid w:val="00C46E3B"/>
    <w:rsid w:val="00C46F05"/>
    <w:rsid w:val="00C4719D"/>
    <w:rsid w:val="00C473E8"/>
    <w:rsid w:val="00C475A5"/>
    <w:rsid w:val="00C475DD"/>
    <w:rsid w:val="00C47B2C"/>
    <w:rsid w:val="00C47F62"/>
    <w:rsid w:val="00C501C4"/>
    <w:rsid w:val="00C5100A"/>
    <w:rsid w:val="00C514A5"/>
    <w:rsid w:val="00C5159C"/>
    <w:rsid w:val="00C51919"/>
    <w:rsid w:val="00C51B81"/>
    <w:rsid w:val="00C51DA5"/>
    <w:rsid w:val="00C525B4"/>
    <w:rsid w:val="00C52B3B"/>
    <w:rsid w:val="00C53034"/>
    <w:rsid w:val="00C532D2"/>
    <w:rsid w:val="00C542E6"/>
    <w:rsid w:val="00C54431"/>
    <w:rsid w:val="00C54498"/>
    <w:rsid w:val="00C54499"/>
    <w:rsid w:val="00C5542F"/>
    <w:rsid w:val="00C55727"/>
    <w:rsid w:val="00C5583C"/>
    <w:rsid w:val="00C5585A"/>
    <w:rsid w:val="00C568A4"/>
    <w:rsid w:val="00C56A68"/>
    <w:rsid w:val="00C56F27"/>
    <w:rsid w:val="00C57296"/>
    <w:rsid w:val="00C572CA"/>
    <w:rsid w:val="00C574EB"/>
    <w:rsid w:val="00C57832"/>
    <w:rsid w:val="00C57DAA"/>
    <w:rsid w:val="00C57FA5"/>
    <w:rsid w:val="00C600B9"/>
    <w:rsid w:val="00C60416"/>
    <w:rsid w:val="00C615AB"/>
    <w:rsid w:val="00C623D9"/>
    <w:rsid w:val="00C62920"/>
    <w:rsid w:val="00C62F60"/>
    <w:rsid w:val="00C631FC"/>
    <w:rsid w:val="00C634EF"/>
    <w:rsid w:val="00C63831"/>
    <w:rsid w:val="00C63883"/>
    <w:rsid w:val="00C64281"/>
    <w:rsid w:val="00C644E8"/>
    <w:rsid w:val="00C64891"/>
    <w:rsid w:val="00C64A78"/>
    <w:rsid w:val="00C64B1A"/>
    <w:rsid w:val="00C65616"/>
    <w:rsid w:val="00C65CB3"/>
    <w:rsid w:val="00C65E8C"/>
    <w:rsid w:val="00C66344"/>
    <w:rsid w:val="00C66517"/>
    <w:rsid w:val="00C6666F"/>
    <w:rsid w:val="00C66EFC"/>
    <w:rsid w:val="00C67096"/>
    <w:rsid w:val="00C679E2"/>
    <w:rsid w:val="00C67BC1"/>
    <w:rsid w:val="00C67D95"/>
    <w:rsid w:val="00C67DD1"/>
    <w:rsid w:val="00C67DF5"/>
    <w:rsid w:val="00C67EF0"/>
    <w:rsid w:val="00C70684"/>
    <w:rsid w:val="00C706F7"/>
    <w:rsid w:val="00C713A9"/>
    <w:rsid w:val="00C72178"/>
    <w:rsid w:val="00C722E8"/>
    <w:rsid w:val="00C7238F"/>
    <w:rsid w:val="00C72473"/>
    <w:rsid w:val="00C728EE"/>
    <w:rsid w:val="00C72920"/>
    <w:rsid w:val="00C72C5A"/>
    <w:rsid w:val="00C73162"/>
    <w:rsid w:val="00C7338B"/>
    <w:rsid w:val="00C73560"/>
    <w:rsid w:val="00C73C61"/>
    <w:rsid w:val="00C73F24"/>
    <w:rsid w:val="00C74351"/>
    <w:rsid w:val="00C7486F"/>
    <w:rsid w:val="00C74E9C"/>
    <w:rsid w:val="00C75688"/>
    <w:rsid w:val="00C75D2E"/>
    <w:rsid w:val="00C763CE"/>
    <w:rsid w:val="00C765B0"/>
    <w:rsid w:val="00C774C7"/>
    <w:rsid w:val="00C77F36"/>
    <w:rsid w:val="00C804F6"/>
    <w:rsid w:val="00C80707"/>
    <w:rsid w:val="00C80A79"/>
    <w:rsid w:val="00C80C44"/>
    <w:rsid w:val="00C81339"/>
    <w:rsid w:val="00C81677"/>
    <w:rsid w:val="00C818AE"/>
    <w:rsid w:val="00C81A50"/>
    <w:rsid w:val="00C81D53"/>
    <w:rsid w:val="00C81FF5"/>
    <w:rsid w:val="00C823B8"/>
    <w:rsid w:val="00C8362F"/>
    <w:rsid w:val="00C83A35"/>
    <w:rsid w:val="00C84218"/>
    <w:rsid w:val="00C8436D"/>
    <w:rsid w:val="00C843DB"/>
    <w:rsid w:val="00C84DB7"/>
    <w:rsid w:val="00C84FB8"/>
    <w:rsid w:val="00C85760"/>
    <w:rsid w:val="00C858B6"/>
    <w:rsid w:val="00C863A4"/>
    <w:rsid w:val="00C86652"/>
    <w:rsid w:val="00C86A5D"/>
    <w:rsid w:val="00C86BFE"/>
    <w:rsid w:val="00C871E7"/>
    <w:rsid w:val="00C87616"/>
    <w:rsid w:val="00C87B3E"/>
    <w:rsid w:val="00C87C45"/>
    <w:rsid w:val="00C87D77"/>
    <w:rsid w:val="00C90028"/>
    <w:rsid w:val="00C903FF"/>
    <w:rsid w:val="00C90CCA"/>
    <w:rsid w:val="00C90D95"/>
    <w:rsid w:val="00C90E52"/>
    <w:rsid w:val="00C912CE"/>
    <w:rsid w:val="00C91322"/>
    <w:rsid w:val="00C91BC3"/>
    <w:rsid w:val="00C9204B"/>
    <w:rsid w:val="00C92706"/>
    <w:rsid w:val="00C9283A"/>
    <w:rsid w:val="00C92B88"/>
    <w:rsid w:val="00C92F5E"/>
    <w:rsid w:val="00C92FBD"/>
    <w:rsid w:val="00C93533"/>
    <w:rsid w:val="00C9392D"/>
    <w:rsid w:val="00C94286"/>
    <w:rsid w:val="00C94707"/>
    <w:rsid w:val="00C94A29"/>
    <w:rsid w:val="00C94BF8"/>
    <w:rsid w:val="00C94C8E"/>
    <w:rsid w:val="00C94FB4"/>
    <w:rsid w:val="00C953D7"/>
    <w:rsid w:val="00C95528"/>
    <w:rsid w:val="00C95566"/>
    <w:rsid w:val="00C95863"/>
    <w:rsid w:val="00C95A87"/>
    <w:rsid w:val="00C95EB7"/>
    <w:rsid w:val="00C962A2"/>
    <w:rsid w:val="00C9652D"/>
    <w:rsid w:val="00C96650"/>
    <w:rsid w:val="00C96C06"/>
    <w:rsid w:val="00C975D0"/>
    <w:rsid w:val="00CA042A"/>
    <w:rsid w:val="00CA0913"/>
    <w:rsid w:val="00CA0A14"/>
    <w:rsid w:val="00CA0EBF"/>
    <w:rsid w:val="00CA1275"/>
    <w:rsid w:val="00CA1869"/>
    <w:rsid w:val="00CA1F59"/>
    <w:rsid w:val="00CA311C"/>
    <w:rsid w:val="00CA362E"/>
    <w:rsid w:val="00CA3795"/>
    <w:rsid w:val="00CA3F6D"/>
    <w:rsid w:val="00CA48EB"/>
    <w:rsid w:val="00CA50CE"/>
    <w:rsid w:val="00CA52D1"/>
    <w:rsid w:val="00CA535E"/>
    <w:rsid w:val="00CA5549"/>
    <w:rsid w:val="00CA5659"/>
    <w:rsid w:val="00CA5B85"/>
    <w:rsid w:val="00CA5D14"/>
    <w:rsid w:val="00CA5E45"/>
    <w:rsid w:val="00CA622E"/>
    <w:rsid w:val="00CA68FF"/>
    <w:rsid w:val="00CA714D"/>
    <w:rsid w:val="00CA733F"/>
    <w:rsid w:val="00CA7FB6"/>
    <w:rsid w:val="00CB0372"/>
    <w:rsid w:val="00CB07D4"/>
    <w:rsid w:val="00CB0BBF"/>
    <w:rsid w:val="00CB120B"/>
    <w:rsid w:val="00CB14EF"/>
    <w:rsid w:val="00CB230B"/>
    <w:rsid w:val="00CB2727"/>
    <w:rsid w:val="00CB2BE6"/>
    <w:rsid w:val="00CB3346"/>
    <w:rsid w:val="00CB38D0"/>
    <w:rsid w:val="00CB3946"/>
    <w:rsid w:val="00CB3F2A"/>
    <w:rsid w:val="00CB42C6"/>
    <w:rsid w:val="00CB4EA7"/>
    <w:rsid w:val="00CB50CC"/>
    <w:rsid w:val="00CB514E"/>
    <w:rsid w:val="00CB5A7B"/>
    <w:rsid w:val="00CB5B3F"/>
    <w:rsid w:val="00CB601B"/>
    <w:rsid w:val="00CB6F7E"/>
    <w:rsid w:val="00CB73CA"/>
    <w:rsid w:val="00CB764B"/>
    <w:rsid w:val="00CB7B3E"/>
    <w:rsid w:val="00CB7C79"/>
    <w:rsid w:val="00CB7E73"/>
    <w:rsid w:val="00CC0710"/>
    <w:rsid w:val="00CC1405"/>
    <w:rsid w:val="00CC2030"/>
    <w:rsid w:val="00CC20A0"/>
    <w:rsid w:val="00CC2A4F"/>
    <w:rsid w:val="00CC2B7E"/>
    <w:rsid w:val="00CC2E8E"/>
    <w:rsid w:val="00CC3178"/>
    <w:rsid w:val="00CC3888"/>
    <w:rsid w:val="00CC3891"/>
    <w:rsid w:val="00CC3AAE"/>
    <w:rsid w:val="00CC3B9C"/>
    <w:rsid w:val="00CC452B"/>
    <w:rsid w:val="00CC457A"/>
    <w:rsid w:val="00CC482B"/>
    <w:rsid w:val="00CC4873"/>
    <w:rsid w:val="00CC5147"/>
    <w:rsid w:val="00CC5557"/>
    <w:rsid w:val="00CC58A3"/>
    <w:rsid w:val="00CC610E"/>
    <w:rsid w:val="00CC61BD"/>
    <w:rsid w:val="00CC640E"/>
    <w:rsid w:val="00CC65C6"/>
    <w:rsid w:val="00CC67C4"/>
    <w:rsid w:val="00CC6A35"/>
    <w:rsid w:val="00CC730B"/>
    <w:rsid w:val="00CC7946"/>
    <w:rsid w:val="00CC7B93"/>
    <w:rsid w:val="00CC7F47"/>
    <w:rsid w:val="00CD00B9"/>
    <w:rsid w:val="00CD04EE"/>
    <w:rsid w:val="00CD0837"/>
    <w:rsid w:val="00CD1175"/>
    <w:rsid w:val="00CD2123"/>
    <w:rsid w:val="00CD223C"/>
    <w:rsid w:val="00CD2848"/>
    <w:rsid w:val="00CD2889"/>
    <w:rsid w:val="00CD28A0"/>
    <w:rsid w:val="00CD2D98"/>
    <w:rsid w:val="00CD2E66"/>
    <w:rsid w:val="00CD3158"/>
    <w:rsid w:val="00CD31FE"/>
    <w:rsid w:val="00CD3788"/>
    <w:rsid w:val="00CD387D"/>
    <w:rsid w:val="00CD3AEE"/>
    <w:rsid w:val="00CD3CAD"/>
    <w:rsid w:val="00CD3D84"/>
    <w:rsid w:val="00CD44B6"/>
    <w:rsid w:val="00CD49CA"/>
    <w:rsid w:val="00CD53D6"/>
    <w:rsid w:val="00CD555D"/>
    <w:rsid w:val="00CD5BC5"/>
    <w:rsid w:val="00CD5DF2"/>
    <w:rsid w:val="00CD6C5A"/>
    <w:rsid w:val="00CD6CCD"/>
    <w:rsid w:val="00CD73EB"/>
    <w:rsid w:val="00CD7620"/>
    <w:rsid w:val="00CD7C13"/>
    <w:rsid w:val="00CE013B"/>
    <w:rsid w:val="00CE0343"/>
    <w:rsid w:val="00CE0E72"/>
    <w:rsid w:val="00CE1147"/>
    <w:rsid w:val="00CE125E"/>
    <w:rsid w:val="00CE12F3"/>
    <w:rsid w:val="00CE17BF"/>
    <w:rsid w:val="00CE1828"/>
    <w:rsid w:val="00CE1837"/>
    <w:rsid w:val="00CE32C2"/>
    <w:rsid w:val="00CE33B7"/>
    <w:rsid w:val="00CE33C6"/>
    <w:rsid w:val="00CE4816"/>
    <w:rsid w:val="00CE52ED"/>
    <w:rsid w:val="00CE54AB"/>
    <w:rsid w:val="00CE5996"/>
    <w:rsid w:val="00CE5E06"/>
    <w:rsid w:val="00CE5FBF"/>
    <w:rsid w:val="00CE65B1"/>
    <w:rsid w:val="00CE6606"/>
    <w:rsid w:val="00CE7730"/>
    <w:rsid w:val="00CE78DC"/>
    <w:rsid w:val="00CE7B4D"/>
    <w:rsid w:val="00CF0E90"/>
    <w:rsid w:val="00CF1841"/>
    <w:rsid w:val="00CF1BC8"/>
    <w:rsid w:val="00CF1E12"/>
    <w:rsid w:val="00CF1E6E"/>
    <w:rsid w:val="00CF22CE"/>
    <w:rsid w:val="00CF2413"/>
    <w:rsid w:val="00CF2670"/>
    <w:rsid w:val="00CF2E80"/>
    <w:rsid w:val="00CF32DA"/>
    <w:rsid w:val="00CF3596"/>
    <w:rsid w:val="00CF37E6"/>
    <w:rsid w:val="00CF385B"/>
    <w:rsid w:val="00CF3A20"/>
    <w:rsid w:val="00CF3B33"/>
    <w:rsid w:val="00CF3E47"/>
    <w:rsid w:val="00CF3F9E"/>
    <w:rsid w:val="00CF4407"/>
    <w:rsid w:val="00CF4575"/>
    <w:rsid w:val="00CF46F3"/>
    <w:rsid w:val="00CF4CCB"/>
    <w:rsid w:val="00CF4DD3"/>
    <w:rsid w:val="00CF50E0"/>
    <w:rsid w:val="00CF5115"/>
    <w:rsid w:val="00CF516C"/>
    <w:rsid w:val="00CF5239"/>
    <w:rsid w:val="00CF5B52"/>
    <w:rsid w:val="00CF622F"/>
    <w:rsid w:val="00CF698A"/>
    <w:rsid w:val="00CF708E"/>
    <w:rsid w:val="00CF769B"/>
    <w:rsid w:val="00CF7BA0"/>
    <w:rsid w:val="00CF7BE8"/>
    <w:rsid w:val="00D00700"/>
    <w:rsid w:val="00D00A65"/>
    <w:rsid w:val="00D01336"/>
    <w:rsid w:val="00D01A2F"/>
    <w:rsid w:val="00D01BD5"/>
    <w:rsid w:val="00D01D02"/>
    <w:rsid w:val="00D01D22"/>
    <w:rsid w:val="00D02247"/>
    <w:rsid w:val="00D02329"/>
    <w:rsid w:val="00D025B8"/>
    <w:rsid w:val="00D0285C"/>
    <w:rsid w:val="00D0308B"/>
    <w:rsid w:val="00D0318A"/>
    <w:rsid w:val="00D034D5"/>
    <w:rsid w:val="00D04287"/>
    <w:rsid w:val="00D047AD"/>
    <w:rsid w:val="00D04838"/>
    <w:rsid w:val="00D04A4F"/>
    <w:rsid w:val="00D04EC3"/>
    <w:rsid w:val="00D05127"/>
    <w:rsid w:val="00D055C0"/>
    <w:rsid w:val="00D055D4"/>
    <w:rsid w:val="00D0585E"/>
    <w:rsid w:val="00D06653"/>
    <w:rsid w:val="00D0681F"/>
    <w:rsid w:val="00D06820"/>
    <w:rsid w:val="00D06D76"/>
    <w:rsid w:val="00D0795A"/>
    <w:rsid w:val="00D10295"/>
    <w:rsid w:val="00D10431"/>
    <w:rsid w:val="00D109D7"/>
    <w:rsid w:val="00D10B7D"/>
    <w:rsid w:val="00D10C0D"/>
    <w:rsid w:val="00D118ED"/>
    <w:rsid w:val="00D11F3F"/>
    <w:rsid w:val="00D12216"/>
    <w:rsid w:val="00D12394"/>
    <w:rsid w:val="00D1294C"/>
    <w:rsid w:val="00D130C3"/>
    <w:rsid w:val="00D13DF1"/>
    <w:rsid w:val="00D13EF6"/>
    <w:rsid w:val="00D140B3"/>
    <w:rsid w:val="00D14514"/>
    <w:rsid w:val="00D14998"/>
    <w:rsid w:val="00D156C8"/>
    <w:rsid w:val="00D15B9F"/>
    <w:rsid w:val="00D170F4"/>
    <w:rsid w:val="00D17667"/>
    <w:rsid w:val="00D179BC"/>
    <w:rsid w:val="00D17EDF"/>
    <w:rsid w:val="00D20108"/>
    <w:rsid w:val="00D20139"/>
    <w:rsid w:val="00D20518"/>
    <w:rsid w:val="00D209CD"/>
    <w:rsid w:val="00D20D6C"/>
    <w:rsid w:val="00D211DC"/>
    <w:rsid w:val="00D21896"/>
    <w:rsid w:val="00D21F9B"/>
    <w:rsid w:val="00D22B08"/>
    <w:rsid w:val="00D22F85"/>
    <w:rsid w:val="00D22FCC"/>
    <w:rsid w:val="00D23558"/>
    <w:rsid w:val="00D2359B"/>
    <w:rsid w:val="00D238B9"/>
    <w:rsid w:val="00D23997"/>
    <w:rsid w:val="00D23AD6"/>
    <w:rsid w:val="00D2412B"/>
    <w:rsid w:val="00D242F0"/>
    <w:rsid w:val="00D24330"/>
    <w:rsid w:val="00D24407"/>
    <w:rsid w:val="00D2459F"/>
    <w:rsid w:val="00D246E8"/>
    <w:rsid w:val="00D24837"/>
    <w:rsid w:val="00D24B40"/>
    <w:rsid w:val="00D254E2"/>
    <w:rsid w:val="00D258F9"/>
    <w:rsid w:val="00D2596F"/>
    <w:rsid w:val="00D26B74"/>
    <w:rsid w:val="00D26D7A"/>
    <w:rsid w:val="00D26FD8"/>
    <w:rsid w:val="00D27293"/>
    <w:rsid w:val="00D2784C"/>
    <w:rsid w:val="00D27DE2"/>
    <w:rsid w:val="00D27E71"/>
    <w:rsid w:val="00D30643"/>
    <w:rsid w:val="00D30F14"/>
    <w:rsid w:val="00D30FCE"/>
    <w:rsid w:val="00D3149D"/>
    <w:rsid w:val="00D3163D"/>
    <w:rsid w:val="00D31643"/>
    <w:rsid w:val="00D318AB"/>
    <w:rsid w:val="00D318EF"/>
    <w:rsid w:val="00D31C8F"/>
    <w:rsid w:val="00D32206"/>
    <w:rsid w:val="00D323A7"/>
    <w:rsid w:val="00D32412"/>
    <w:rsid w:val="00D32491"/>
    <w:rsid w:val="00D32AAB"/>
    <w:rsid w:val="00D32C18"/>
    <w:rsid w:val="00D33199"/>
    <w:rsid w:val="00D353E5"/>
    <w:rsid w:val="00D364F8"/>
    <w:rsid w:val="00D36B1D"/>
    <w:rsid w:val="00D36E8F"/>
    <w:rsid w:val="00D3734D"/>
    <w:rsid w:val="00D3742F"/>
    <w:rsid w:val="00D3764E"/>
    <w:rsid w:val="00D3777B"/>
    <w:rsid w:val="00D37DC0"/>
    <w:rsid w:val="00D37F59"/>
    <w:rsid w:val="00D40160"/>
    <w:rsid w:val="00D408CD"/>
    <w:rsid w:val="00D40901"/>
    <w:rsid w:val="00D40DBA"/>
    <w:rsid w:val="00D41438"/>
    <w:rsid w:val="00D420BB"/>
    <w:rsid w:val="00D423FD"/>
    <w:rsid w:val="00D4243B"/>
    <w:rsid w:val="00D4263C"/>
    <w:rsid w:val="00D43C9F"/>
    <w:rsid w:val="00D4402E"/>
    <w:rsid w:val="00D444CF"/>
    <w:rsid w:val="00D44B0D"/>
    <w:rsid w:val="00D44D93"/>
    <w:rsid w:val="00D44DB0"/>
    <w:rsid w:val="00D44E5C"/>
    <w:rsid w:val="00D4541D"/>
    <w:rsid w:val="00D45DF0"/>
    <w:rsid w:val="00D460EE"/>
    <w:rsid w:val="00D47479"/>
    <w:rsid w:val="00D47742"/>
    <w:rsid w:val="00D5016C"/>
    <w:rsid w:val="00D50238"/>
    <w:rsid w:val="00D5077B"/>
    <w:rsid w:val="00D50832"/>
    <w:rsid w:val="00D50878"/>
    <w:rsid w:val="00D509BF"/>
    <w:rsid w:val="00D511D8"/>
    <w:rsid w:val="00D5172C"/>
    <w:rsid w:val="00D51CE2"/>
    <w:rsid w:val="00D52899"/>
    <w:rsid w:val="00D52968"/>
    <w:rsid w:val="00D52984"/>
    <w:rsid w:val="00D52A03"/>
    <w:rsid w:val="00D52CDD"/>
    <w:rsid w:val="00D533C6"/>
    <w:rsid w:val="00D5395E"/>
    <w:rsid w:val="00D53D7B"/>
    <w:rsid w:val="00D54403"/>
    <w:rsid w:val="00D544D6"/>
    <w:rsid w:val="00D55169"/>
    <w:rsid w:val="00D5521A"/>
    <w:rsid w:val="00D55B4D"/>
    <w:rsid w:val="00D55F14"/>
    <w:rsid w:val="00D56201"/>
    <w:rsid w:val="00D570F9"/>
    <w:rsid w:val="00D575C4"/>
    <w:rsid w:val="00D5783B"/>
    <w:rsid w:val="00D57DE6"/>
    <w:rsid w:val="00D57FBA"/>
    <w:rsid w:val="00D61032"/>
    <w:rsid w:val="00D61D62"/>
    <w:rsid w:val="00D61D65"/>
    <w:rsid w:val="00D62320"/>
    <w:rsid w:val="00D6252B"/>
    <w:rsid w:val="00D626BC"/>
    <w:rsid w:val="00D62765"/>
    <w:rsid w:val="00D6312F"/>
    <w:rsid w:val="00D634BE"/>
    <w:rsid w:val="00D6372D"/>
    <w:rsid w:val="00D63C84"/>
    <w:rsid w:val="00D63EF0"/>
    <w:rsid w:val="00D63FDB"/>
    <w:rsid w:val="00D63FF8"/>
    <w:rsid w:val="00D6437A"/>
    <w:rsid w:val="00D643A4"/>
    <w:rsid w:val="00D64508"/>
    <w:rsid w:val="00D64AB4"/>
    <w:rsid w:val="00D65736"/>
    <w:rsid w:val="00D65A94"/>
    <w:rsid w:val="00D65E6C"/>
    <w:rsid w:val="00D66487"/>
    <w:rsid w:val="00D6686E"/>
    <w:rsid w:val="00D6692B"/>
    <w:rsid w:val="00D66A82"/>
    <w:rsid w:val="00D66B34"/>
    <w:rsid w:val="00D66C09"/>
    <w:rsid w:val="00D66CD3"/>
    <w:rsid w:val="00D6747E"/>
    <w:rsid w:val="00D67884"/>
    <w:rsid w:val="00D6788F"/>
    <w:rsid w:val="00D67ED8"/>
    <w:rsid w:val="00D701E2"/>
    <w:rsid w:val="00D7065C"/>
    <w:rsid w:val="00D706BA"/>
    <w:rsid w:val="00D70723"/>
    <w:rsid w:val="00D709D9"/>
    <w:rsid w:val="00D70CF5"/>
    <w:rsid w:val="00D71157"/>
    <w:rsid w:val="00D713EE"/>
    <w:rsid w:val="00D71D27"/>
    <w:rsid w:val="00D71FF9"/>
    <w:rsid w:val="00D72850"/>
    <w:rsid w:val="00D72CFF"/>
    <w:rsid w:val="00D7352D"/>
    <w:rsid w:val="00D73977"/>
    <w:rsid w:val="00D73B12"/>
    <w:rsid w:val="00D73D55"/>
    <w:rsid w:val="00D73E1B"/>
    <w:rsid w:val="00D74287"/>
    <w:rsid w:val="00D74545"/>
    <w:rsid w:val="00D74A2A"/>
    <w:rsid w:val="00D74A6C"/>
    <w:rsid w:val="00D7503E"/>
    <w:rsid w:val="00D75114"/>
    <w:rsid w:val="00D7532D"/>
    <w:rsid w:val="00D759B3"/>
    <w:rsid w:val="00D75F24"/>
    <w:rsid w:val="00D76A68"/>
    <w:rsid w:val="00D76DC9"/>
    <w:rsid w:val="00D77618"/>
    <w:rsid w:val="00D77A75"/>
    <w:rsid w:val="00D77B39"/>
    <w:rsid w:val="00D8019A"/>
    <w:rsid w:val="00D80853"/>
    <w:rsid w:val="00D81229"/>
    <w:rsid w:val="00D81289"/>
    <w:rsid w:val="00D81660"/>
    <w:rsid w:val="00D82083"/>
    <w:rsid w:val="00D82381"/>
    <w:rsid w:val="00D82518"/>
    <w:rsid w:val="00D82530"/>
    <w:rsid w:val="00D8259A"/>
    <w:rsid w:val="00D8286E"/>
    <w:rsid w:val="00D828E2"/>
    <w:rsid w:val="00D82916"/>
    <w:rsid w:val="00D82BE2"/>
    <w:rsid w:val="00D82C78"/>
    <w:rsid w:val="00D82EAE"/>
    <w:rsid w:val="00D833F1"/>
    <w:rsid w:val="00D8343C"/>
    <w:rsid w:val="00D8417D"/>
    <w:rsid w:val="00D845BB"/>
    <w:rsid w:val="00D84602"/>
    <w:rsid w:val="00D85328"/>
    <w:rsid w:val="00D853FB"/>
    <w:rsid w:val="00D85422"/>
    <w:rsid w:val="00D856FC"/>
    <w:rsid w:val="00D85817"/>
    <w:rsid w:val="00D8589E"/>
    <w:rsid w:val="00D859CA"/>
    <w:rsid w:val="00D85CB8"/>
    <w:rsid w:val="00D86103"/>
    <w:rsid w:val="00D862CB"/>
    <w:rsid w:val="00D86920"/>
    <w:rsid w:val="00D86AB3"/>
    <w:rsid w:val="00D87C07"/>
    <w:rsid w:val="00D9032D"/>
    <w:rsid w:val="00D90678"/>
    <w:rsid w:val="00D90E00"/>
    <w:rsid w:val="00D912D0"/>
    <w:rsid w:val="00D9158F"/>
    <w:rsid w:val="00D91620"/>
    <w:rsid w:val="00D9192A"/>
    <w:rsid w:val="00D91BDB"/>
    <w:rsid w:val="00D91F05"/>
    <w:rsid w:val="00D92D4D"/>
    <w:rsid w:val="00D93DC7"/>
    <w:rsid w:val="00D93DF9"/>
    <w:rsid w:val="00D93F64"/>
    <w:rsid w:val="00D9401B"/>
    <w:rsid w:val="00D945AF"/>
    <w:rsid w:val="00D94A3D"/>
    <w:rsid w:val="00D9555F"/>
    <w:rsid w:val="00D9599A"/>
    <w:rsid w:val="00D961A1"/>
    <w:rsid w:val="00D9644A"/>
    <w:rsid w:val="00D9655C"/>
    <w:rsid w:val="00D97627"/>
    <w:rsid w:val="00D97C9A"/>
    <w:rsid w:val="00DA02B6"/>
    <w:rsid w:val="00DA037A"/>
    <w:rsid w:val="00DA077C"/>
    <w:rsid w:val="00DA0E64"/>
    <w:rsid w:val="00DA10E7"/>
    <w:rsid w:val="00DA13A6"/>
    <w:rsid w:val="00DA197B"/>
    <w:rsid w:val="00DA2673"/>
    <w:rsid w:val="00DA2763"/>
    <w:rsid w:val="00DA3709"/>
    <w:rsid w:val="00DA3712"/>
    <w:rsid w:val="00DA3DA6"/>
    <w:rsid w:val="00DA41BF"/>
    <w:rsid w:val="00DA4470"/>
    <w:rsid w:val="00DA493E"/>
    <w:rsid w:val="00DA4CD4"/>
    <w:rsid w:val="00DA50D0"/>
    <w:rsid w:val="00DA6691"/>
    <w:rsid w:val="00DA6863"/>
    <w:rsid w:val="00DA6B48"/>
    <w:rsid w:val="00DA6BDE"/>
    <w:rsid w:val="00DA73CB"/>
    <w:rsid w:val="00DA7848"/>
    <w:rsid w:val="00DA7D62"/>
    <w:rsid w:val="00DB072B"/>
    <w:rsid w:val="00DB0859"/>
    <w:rsid w:val="00DB08AA"/>
    <w:rsid w:val="00DB0921"/>
    <w:rsid w:val="00DB16B9"/>
    <w:rsid w:val="00DB1812"/>
    <w:rsid w:val="00DB30D5"/>
    <w:rsid w:val="00DB3874"/>
    <w:rsid w:val="00DB39CB"/>
    <w:rsid w:val="00DB3CA1"/>
    <w:rsid w:val="00DB41BE"/>
    <w:rsid w:val="00DB4210"/>
    <w:rsid w:val="00DB4290"/>
    <w:rsid w:val="00DB4627"/>
    <w:rsid w:val="00DB4686"/>
    <w:rsid w:val="00DB46AF"/>
    <w:rsid w:val="00DB53C5"/>
    <w:rsid w:val="00DB56C9"/>
    <w:rsid w:val="00DB56E2"/>
    <w:rsid w:val="00DB57D1"/>
    <w:rsid w:val="00DB57E3"/>
    <w:rsid w:val="00DB5A42"/>
    <w:rsid w:val="00DB5A8D"/>
    <w:rsid w:val="00DB6848"/>
    <w:rsid w:val="00DB698F"/>
    <w:rsid w:val="00DB6ED7"/>
    <w:rsid w:val="00DB6F14"/>
    <w:rsid w:val="00DB6F93"/>
    <w:rsid w:val="00DB71E0"/>
    <w:rsid w:val="00DB7414"/>
    <w:rsid w:val="00DB7426"/>
    <w:rsid w:val="00DB7581"/>
    <w:rsid w:val="00DB7741"/>
    <w:rsid w:val="00DB7ABA"/>
    <w:rsid w:val="00DB7BEA"/>
    <w:rsid w:val="00DC08F4"/>
    <w:rsid w:val="00DC0C5B"/>
    <w:rsid w:val="00DC1060"/>
    <w:rsid w:val="00DC153F"/>
    <w:rsid w:val="00DC1558"/>
    <w:rsid w:val="00DC17BA"/>
    <w:rsid w:val="00DC1ECF"/>
    <w:rsid w:val="00DC21CB"/>
    <w:rsid w:val="00DC25D7"/>
    <w:rsid w:val="00DC296D"/>
    <w:rsid w:val="00DC3270"/>
    <w:rsid w:val="00DC32D7"/>
    <w:rsid w:val="00DC368F"/>
    <w:rsid w:val="00DC3DC6"/>
    <w:rsid w:val="00DC3E55"/>
    <w:rsid w:val="00DC4D54"/>
    <w:rsid w:val="00DC5293"/>
    <w:rsid w:val="00DC5572"/>
    <w:rsid w:val="00DC5A91"/>
    <w:rsid w:val="00DC5C44"/>
    <w:rsid w:val="00DC66A1"/>
    <w:rsid w:val="00DC6F0F"/>
    <w:rsid w:val="00DC7740"/>
    <w:rsid w:val="00DC7CE0"/>
    <w:rsid w:val="00DD009E"/>
    <w:rsid w:val="00DD023B"/>
    <w:rsid w:val="00DD063B"/>
    <w:rsid w:val="00DD080E"/>
    <w:rsid w:val="00DD0B35"/>
    <w:rsid w:val="00DD12D1"/>
    <w:rsid w:val="00DD141F"/>
    <w:rsid w:val="00DD1F02"/>
    <w:rsid w:val="00DD211A"/>
    <w:rsid w:val="00DD247C"/>
    <w:rsid w:val="00DD2BF1"/>
    <w:rsid w:val="00DD2C35"/>
    <w:rsid w:val="00DD3286"/>
    <w:rsid w:val="00DD374C"/>
    <w:rsid w:val="00DD5928"/>
    <w:rsid w:val="00DD5990"/>
    <w:rsid w:val="00DD5A91"/>
    <w:rsid w:val="00DD5A9E"/>
    <w:rsid w:val="00DD5C4D"/>
    <w:rsid w:val="00DD5E7D"/>
    <w:rsid w:val="00DD600B"/>
    <w:rsid w:val="00DD6471"/>
    <w:rsid w:val="00DD66EB"/>
    <w:rsid w:val="00DD73E5"/>
    <w:rsid w:val="00DD743B"/>
    <w:rsid w:val="00DD7A35"/>
    <w:rsid w:val="00DE16F8"/>
    <w:rsid w:val="00DE1918"/>
    <w:rsid w:val="00DE2018"/>
    <w:rsid w:val="00DE2064"/>
    <w:rsid w:val="00DE22CB"/>
    <w:rsid w:val="00DE28EF"/>
    <w:rsid w:val="00DE2D55"/>
    <w:rsid w:val="00DE372E"/>
    <w:rsid w:val="00DE3AC6"/>
    <w:rsid w:val="00DE470E"/>
    <w:rsid w:val="00DE4A00"/>
    <w:rsid w:val="00DE4E2A"/>
    <w:rsid w:val="00DE5C80"/>
    <w:rsid w:val="00DE5DCE"/>
    <w:rsid w:val="00DE7E69"/>
    <w:rsid w:val="00DE7E6D"/>
    <w:rsid w:val="00DF0689"/>
    <w:rsid w:val="00DF0E9C"/>
    <w:rsid w:val="00DF13DF"/>
    <w:rsid w:val="00DF14C7"/>
    <w:rsid w:val="00DF17F8"/>
    <w:rsid w:val="00DF1DF2"/>
    <w:rsid w:val="00DF1E2C"/>
    <w:rsid w:val="00DF2011"/>
    <w:rsid w:val="00DF211F"/>
    <w:rsid w:val="00DF2A51"/>
    <w:rsid w:val="00DF2B22"/>
    <w:rsid w:val="00DF2FF4"/>
    <w:rsid w:val="00DF3497"/>
    <w:rsid w:val="00DF3522"/>
    <w:rsid w:val="00DF36E5"/>
    <w:rsid w:val="00DF38FF"/>
    <w:rsid w:val="00DF3938"/>
    <w:rsid w:val="00DF396D"/>
    <w:rsid w:val="00DF4560"/>
    <w:rsid w:val="00DF491F"/>
    <w:rsid w:val="00DF4E7F"/>
    <w:rsid w:val="00DF5719"/>
    <w:rsid w:val="00DF5958"/>
    <w:rsid w:val="00DF5EBD"/>
    <w:rsid w:val="00DF695A"/>
    <w:rsid w:val="00DF7051"/>
    <w:rsid w:val="00DF7383"/>
    <w:rsid w:val="00DF77BB"/>
    <w:rsid w:val="00DF7A09"/>
    <w:rsid w:val="00DF7B99"/>
    <w:rsid w:val="00E0043A"/>
    <w:rsid w:val="00E00744"/>
    <w:rsid w:val="00E00B14"/>
    <w:rsid w:val="00E010DB"/>
    <w:rsid w:val="00E01BD5"/>
    <w:rsid w:val="00E01C79"/>
    <w:rsid w:val="00E01DAC"/>
    <w:rsid w:val="00E02153"/>
    <w:rsid w:val="00E02284"/>
    <w:rsid w:val="00E0229A"/>
    <w:rsid w:val="00E02A4A"/>
    <w:rsid w:val="00E02B13"/>
    <w:rsid w:val="00E02C02"/>
    <w:rsid w:val="00E036B4"/>
    <w:rsid w:val="00E037FC"/>
    <w:rsid w:val="00E03CC3"/>
    <w:rsid w:val="00E03FFB"/>
    <w:rsid w:val="00E0406A"/>
    <w:rsid w:val="00E04480"/>
    <w:rsid w:val="00E0454F"/>
    <w:rsid w:val="00E04569"/>
    <w:rsid w:val="00E04D2A"/>
    <w:rsid w:val="00E055D0"/>
    <w:rsid w:val="00E05F2F"/>
    <w:rsid w:val="00E061A4"/>
    <w:rsid w:val="00E06791"/>
    <w:rsid w:val="00E06BEF"/>
    <w:rsid w:val="00E072F0"/>
    <w:rsid w:val="00E07490"/>
    <w:rsid w:val="00E07C24"/>
    <w:rsid w:val="00E104BE"/>
    <w:rsid w:val="00E104F0"/>
    <w:rsid w:val="00E10764"/>
    <w:rsid w:val="00E10C17"/>
    <w:rsid w:val="00E10E37"/>
    <w:rsid w:val="00E113D4"/>
    <w:rsid w:val="00E11440"/>
    <w:rsid w:val="00E1161F"/>
    <w:rsid w:val="00E11C7B"/>
    <w:rsid w:val="00E11D5B"/>
    <w:rsid w:val="00E12057"/>
    <w:rsid w:val="00E12630"/>
    <w:rsid w:val="00E12BEB"/>
    <w:rsid w:val="00E12EF5"/>
    <w:rsid w:val="00E130EC"/>
    <w:rsid w:val="00E133B2"/>
    <w:rsid w:val="00E1346E"/>
    <w:rsid w:val="00E13841"/>
    <w:rsid w:val="00E139C7"/>
    <w:rsid w:val="00E146FD"/>
    <w:rsid w:val="00E1483D"/>
    <w:rsid w:val="00E15738"/>
    <w:rsid w:val="00E15D77"/>
    <w:rsid w:val="00E162A4"/>
    <w:rsid w:val="00E162A5"/>
    <w:rsid w:val="00E1700A"/>
    <w:rsid w:val="00E17223"/>
    <w:rsid w:val="00E172F4"/>
    <w:rsid w:val="00E200FB"/>
    <w:rsid w:val="00E20B2B"/>
    <w:rsid w:val="00E20F8C"/>
    <w:rsid w:val="00E21B47"/>
    <w:rsid w:val="00E21C44"/>
    <w:rsid w:val="00E22114"/>
    <w:rsid w:val="00E225C9"/>
    <w:rsid w:val="00E227CC"/>
    <w:rsid w:val="00E22E7E"/>
    <w:rsid w:val="00E2318D"/>
    <w:rsid w:val="00E234F6"/>
    <w:rsid w:val="00E2391F"/>
    <w:rsid w:val="00E23E19"/>
    <w:rsid w:val="00E25676"/>
    <w:rsid w:val="00E25752"/>
    <w:rsid w:val="00E25A53"/>
    <w:rsid w:val="00E25F05"/>
    <w:rsid w:val="00E26936"/>
    <w:rsid w:val="00E27494"/>
    <w:rsid w:val="00E2757F"/>
    <w:rsid w:val="00E277D6"/>
    <w:rsid w:val="00E279A2"/>
    <w:rsid w:val="00E306B9"/>
    <w:rsid w:val="00E306D2"/>
    <w:rsid w:val="00E30C95"/>
    <w:rsid w:val="00E30D8C"/>
    <w:rsid w:val="00E30EC0"/>
    <w:rsid w:val="00E31008"/>
    <w:rsid w:val="00E31303"/>
    <w:rsid w:val="00E315DF"/>
    <w:rsid w:val="00E31704"/>
    <w:rsid w:val="00E317E3"/>
    <w:rsid w:val="00E3203D"/>
    <w:rsid w:val="00E32200"/>
    <w:rsid w:val="00E323BD"/>
    <w:rsid w:val="00E32463"/>
    <w:rsid w:val="00E326FE"/>
    <w:rsid w:val="00E3292E"/>
    <w:rsid w:val="00E329F5"/>
    <w:rsid w:val="00E32DFA"/>
    <w:rsid w:val="00E32E75"/>
    <w:rsid w:val="00E32FB3"/>
    <w:rsid w:val="00E3304B"/>
    <w:rsid w:val="00E332B2"/>
    <w:rsid w:val="00E33423"/>
    <w:rsid w:val="00E33CDF"/>
    <w:rsid w:val="00E33E24"/>
    <w:rsid w:val="00E3488D"/>
    <w:rsid w:val="00E34A74"/>
    <w:rsid w:val="00E34ACE"/>
    <w:rsid w:val="00E34C8D"/>
    <w:rsid w:val="00E352BA"/>
    <w:rsid w:val="00E35538"/>
    <w:rsid w:val="00E356AB"/>
    <w:rsid w:val="00E3573C"/>
    <w:rsid w:val="00E358C4"/>
    <w:rsid w:val="00E36E50"/>
    <w:rsid w:val="00E36FCE"/>
    <w:rsid w:val="00E370F8"/>
    <w:rsid w:val="00E37402"/>
    <w:rsid w:val="00E377B5"/>
    <w:rsid w:val="00E37C89"/>
    <w:rsid w:val="00E403E8"/>
    <w:rsid w:val="00E40843"/>
    <w:rsid w:val="00E40869"/>
    <w:rsid w:val="00E40AD3"/>
    <w:rsid w:val="00E40CCA"/>
    <w:rsid w:val="00E412B8"/>
    <w:rsid w:val="00E41656"/>
    <w:rsid w:val="00E4177A"/>
    <w:rsid w:val="00E41C95"/>
    <w:rsid w:val="00E41CD5"/>
    <w:rsid w:val="00E4202E"/>
    <w:rsid w:val="00E42141"/>
    <w:rsid w:val="00E421BA"/>
    <w:rsid w:val="00E42713"/>
    <w:rsid w:val="00E4274E"/>
    <w:rsid w:val="00E42881"/>
    <w:rsid w:val="00E42C1D"/>
    <w:rsid w:val="00E42E32"/>
    <w:rsid w:val="00E42F57"/>
    <w:rsid w:val="00E436D8"/>
    <w:rsid w:val="00E43916"/>
    <w:rsid w:val="00E43966"/>
    <w:rsid w:val="00E43F50"/>
    <w:rsid w:val="00E43F70"/>
    <w:rsid w:val="00E442B1"/>
    <w:rsid w:val="00E4443B"/>
    <w:rsid w:val="00E44945"/>
    <w:rsid w:val="00E44F11"/>
    <w:rsid w:val="00E45599"/>
    <w:rsid w:val="00E4589A"/>
    <w:rsid w:val="00E45E20"/>
    <w:rsid w:val="00E4640F"/>
    <w:rsid w:val="00E469DF"/>
    <w:rsid w:val="00E4740D"/>
    <w:rsid w:val="00E47C69"/>
    <w:rsid w:val="00E47D52"/>
    <w:rsid w:val="00E47FB6"/>
    <w:rsid w:val="00E5060F"/>
    <w:rsid w:val="00E50BFD"/>
    <w:rsid w:val="00E50E4B"/>
    <w:rsid w:val="00E517C8"/>
    <w:rsid w:val="00E51EA0"/>
    <w:rsid w:val="00E51F37"/>
    <w:rsid w:val="00E52A59"/>
    <w:rsid w:val="00E52BD8"/>
    <w:rsid w:val="00E52D4F"/>
    <w:rsid w:val="00E52DAE"/>
    <w:rsid w:val="00E52F7A"/>
    <w:rsid w:val="00E53628"/>
    <w:rsid w:val="00E53AB5"/>
    <w:rsid w:val="00E5408F"/>
    <w:rsid w:val="00E545E0"/>
    <w:rsid w:val="00E547DF"/>
    <w:rsid w:val="00E5505C"/>
    <w:rsid w:val="00E55123"/>
    <w:rsid w:val="00E55BAD"/>
    <w:rsid w:val="00E56278"/>
    <w:rsid w:val="00E56AA3"/>
    <w:rsid w:val="00E56C98"/>
    <w:rsid w:val="00E56E00"/>
    <w:rsid w:val="00E60182"/>
    <w:rsid w:val="00E6031F"/>
    <w:rsid w:val="00E603AB"/>
    <w:rsid w:val="00E606CD"/>
    <w:rsid w:val="00E60E5B"/>
    <w:rsid w:val="00E6106D"/>
    <w:rsid w:val="00E6124F"/>
    <w:rsid w:val="00E612B9"/>
    <w:rsid w:val="00E61707"/>
    <w:rsid w:val="00E6187C"/>
    <w:rsid w:val="00E6228F"/>
    <w:rsid w:val="00E623AE"/>
    <w:rsid w:val="00E62565"/>
    <w:rsid w:val="00E63276"/>
    <w:rsid w:val="00E639A8"/>
    <w:rsid w:val="00E63C4A"/>
    <w:rsid w:val="00E63D72"/>
    <w:rsid w:val="00E64072"/>
    <w:rsid w:val="00E64F20"/>
    <w:rsid w:val="00E65087"/>
    <w:rsid w:val="00E651F7"/>
    <w:rsid w:val="00E652CE"/>
    <w:rsid w:val="00E653BB"/>
    <w:rsid w:val="00E6579B"/>
    <w:rsid w:val="00E6610F"/>
    <w:rsid w:val="00E66B9C"/>
    <w:rsid w:val="00E67740"/>
    <w:rsid w:val="00E67790"/>
    <w:rsid w:val="00E67AE9"/>
    <w:rsid w:val="00E67BE4"/>
    <w:rsid w:val="00E67C42"/>
    <w:rsid w:val="00E70156"/>
    <w:rsid w:val="00E706BF"/>
    <w:rsid w:val="00E70813"/>
    <w:rsid w:val="00E70A8B"/>
    <w:rsid w:val="00E70B90"/>
    <w:rsid w:val="00E70E4F"/>
    <w:rsid w:val="00E713FB"/>
    <w:rsid w:val="00E73ACE"/>
    <w:rsid w:val="00E73C96"/>
    <w:rsid w:val="00E73FA2"/>
    <w:rsid w:val="00E743EF"/>
    <w:rsid w:val="00E7461D"/>
    <w:rsid w:val="00E74761"/>
    <w:rsid w:val="00E749BF"/>
    <w:rsid w:val="00E750F9"/>
    <w:rsid w:val="00E75DED"/>
    <w:rsid w:val="00E75F88"/>
    <w:rsid w:val="00E7628F"/>
    <w:rsid w:val="00E76967"/>
    <w:rsid w:val="00E76E2C"/>
    <w:rsid w:val="00E77139"/>
    <w:rsid w:val="00E77B1F"/>
    <w:rsid w:val="00E77E57"/>
    <w:rsid w:val="00E77E95"/>
    <w:rsid w:val="00E8008C"/>
    <w:rsid w:val="00E80589"/>
    <w:rsid w:val="00E8148A"/>
    <w:rsid w:val="00E81D1D"/>
    <w:rsid w:val="00E823E5"/>
    <w:rsid w:val="00E82DA6"/>
    <w:rsid w:val="00E839C3"/>
    <w:rsid w:val="00E83D41"/>
    <w:rsid w:val="00E83EDB"/>
    <w:rsid w:val="00E8523C"/>
    <w:rsid w:val="00E856C5"/>
    <w:rsid w:val="00E8594D"/>
    <w:rsid w:val="00E85E6E"/>
    <w:rsid w:val="00E85FF1"/>
    <w:rsid w:val="00E865F9"/>
    <w:rsid w:val="00E868D2"/>
    <w:rsid w:val="00E86EB3"/>
    <w:rsid w:val="00E87630"/>
    <w:rsid w:val="00E878FA"/>
    <w:rsid w:val="00E87B05"/>
    <w:rsid w:val="00E87B14"/>
    <w:rsid w:val="00E87BCA"/>
    <w:rsid w:val="00E87F70"/>
    <w:rsid w:val="00E90A4A"/>
    <w:rsid w:val="00E90A92"/>
    <w:rsid w:val="00E91420"/>
    <w:rsid w:val="00E927F1"/>
    <w:rsid w:val="00E92933"/>
    <w:rsid w:val="00E9332B"/>
    <w:rsid w:val="00E93BA5"/>
    <w:rsid w:val="00E93BB6"/>
    <w:rsid w:val="00E93EA7"/>
    <w:rsid w:val="00E9417B"/>
    <w:rsid w:val="00E946FF"/>
    <w:rsid w:val="00E94CE1"/>
    <w:rsid w:val="00E94F2B"/>
    <w:rsid w:val="00E9584B"/>
    <w:rsid w:val="00E95882"/>
    <w:rsid w:val="00E95A7E"/>
    <w:rsid w:val="00E95E68"/>
    <w:rsid w:val="00E965C4"/>
    <w:rsid w:val="00E96A1A"/>
    <w:rsid w:val="00E97331"/>
    <w:rsid w:val="00E974FF"/>
    <w:rsid w:val="00E9765E"/>
    <w:rsid w:val="00E97AEC"/>
    <w:rsid w:val="00E97DFE"/>
    <w:rsid w:val="00EA03FF"/>
    <w:rsid w:val="00EA10A0"/>
    <w:rsid w:val="00EA1436"/>
    <w:rsid w:val="00EA1560"/>
    <w:rsid w:val="00EA184B"/>
    <w:rsid w:val="00EA23A7"/>
    <w:rsid w:val="00EA24EE"/>
    <w:rsid w:val="00EA27FD"/>
    <w:rsid w:val="00EA302F"/>
    <w:rsid w:val="00EA379B"/>
    <w:rsid w:val="00EA3B40"/>
    <w:rsid w:val="00EA3EB5"/>
    <w:rsid w:val="00EA4092"/>
    <w:rsid w:val="00EA4181"/>
    <w:rsid w:val="00EA41AB"/>
    <w:rsid w:val="00EA4244"/>
    <w:rsid w:val="00EA47DB"/>
    <w:rsid w:val="00EA48E7"/>
    <w:rsid w:val="00EA4F66"/>
    <w:rsid w:val="00EA51DF"/>
    <w:rsid w:val="00EA5296"/>
    <w:rsid w:val="00EA579E"/>
    <w:rsid w:val="00EA649B"/>
    <w:rsid w:val="00EA65FE"/>
    <w:rsid w:val="00EA679D"/>
    <w:rsid w:val="00EA6930"/>
    <w:rsid w:val="00EA6EFA"/>
    <w:rsid w:val="00EA7321"/>
    <w:rsid w:val="00EA7D20"/>
    <w:rsid w:val="00EA7FD3"/>
    <w:rsid w:val="00EB010C"/>
    <w:rsid w:val="00EB0947"/>
    <w:rsid w:val="00EB0B13"/>
    <w:rsid w:val="00EB0B37"/>
    <w:rsid w:val="00EB1219"/>
    <w:rsid w:val="00EB1831"/>
    <w:rsid w:val="00EB1A9A"/>
    <w:rsid w:val="00EB23FC"/>
    <w:rsid w:val="00EB288C"/>
    <w:rsid w:val="00EB2927"/>
    <w:rsid w:val="00EB2AC9"/>
    <w:rsid w:val="00EB3286"/>
    <w:rsid w:val="00EB3953"/>
    <w:rsid w:val="00EB3F11"/>
    <w:rsid w:val="00EB4380"/>
    <w:rsid w:val="00EB4980"/>
    <w:rsid w:val="00EB56A0"/>
    <w:rsid w:val="00EB5B43"/>
    <w:rsid w:val="00EB5EA4"/>
    <w:rsid w:val="00EB63E7"/>
    <w:rsid w:val="00EB6464"/>
    <w:rsid w:val="00EB64A0"/>
    <w:rsid w:val="00EB6580"/>
    <w:rsid w:val="00EB6E64"/>
    <w:rsid w:val="00EB7331"/>
    <w:rsid w:val="00EB78AF"/>
    <w:rsid w:val="00EB78B9"/>
    <w:rsid w:val="00EC035E"/>
    <w:rsid w:val="00EC037C"/>
    <w:rsid w:val="00EC0A11"/>
    <w:rsid w:val="00EC1099"/>
    <w:rsid w:val="00EC19D6"/>
    <w:rsid w:val="00EC250B"/>
    <w:rsid w:val="00EC2BD8"/>
    <w:rsid w:val="00EC2BFD"/>
    <w:rsid w:val="00EC2F2A"/>
    <w:rsid w:val="00EC3276"/>
    <w:rsid w:val="00EC36C0"/>
    <w:rsid w:val="00EC3F93"/>
    <w:rsid w:val="00EC42AB"/>
    <w:rsid w:val="00EC488B"/>
    <w:rsid w:val="00EC4956"/>
    <w:rsid w:val="00EC4C32"/>
    <w:rsid w:val="00EC4D01"/>
    <w:rsid w:val="00EC5649"/>
    <w:rsid w:val="00EC5839"/>
    <w:rsid w:val="00EC59B1"/>
    <w:rsid w:val="00EC5E4F"/>
    <w:rsid w:val="00EC604D"/>
    <w:rsid w:val="00EC63FA"/>
    <w:rsid w:val="00EC654B"/>
    <w:rsid w:val="00EC74A7"/>
    <w:rsid w:val="00EC7869"/>
    <w:rsid w:val="00EC7A9A"/>
    <w:rsid w:val="00EC7F0A"/>
    <w:rsid w:val="00ED00F3"/>
    <w:rsid w:val="00ED09E5"/>
    <w:rsid w:val="00ED1298"/>
    <w:rsid w:val="00ED150D"/>
    <w:rsid w:val="00ED152E"/>
    <w:rsid w:val="00ED1535"/>
    <w:rsid w:val="00ED168F"/>
    <w:rsid w:val="00ED17A5"/>
    <w:rsid w:val="00ED19E2"/>
    <w:rsid w:val="00ED19F9"/>
    <w:rsid w:val="00ED1B0B"/>
    <w:rsid w:val="00ED2373"/>
    <w:rsid w:val="00ED2575"/>
    <w:rsid w:val="00ED25C2"/>
    <w:rsid w:val="00ED2986"/>
    <w:rsid w:val="00ED2A0B"/>
    <w:rsid w:val="00ED2D72"/>
    <w:rsid w:val="00ED2DFF"/>
    <w:rsid w:val="00ED36C9"/>
    <w:rsid w:val="00ED37F3"/>
    <w:rsid w:val="00ED3AF4"/>
    <w:rsid w:val="00ED3BC0"/>
    <w:rsid w:val="00ED4421"/>
    <w:rsid w:val="00ED4797"/>
    <w:rsid w:val="00ED4F69"/>
    <w:rsid w:val="00ED4FED"/>
    <w:rsid w:val="00ED540A"/>
    <w:rsid w:val="00ED54FF"/>
    <w:rsid w:val="00ED5DCF"/>
    <w:rsid w:val="00ED61A4"/>
    <w:rsid w:val="00ED6800"/>
    <w:rsid w:val="00ED7074"/>
    <w:rsid w:val="00ED708D"/>
    <w:rsid w:val="00ED7313"/>
    <w:rsid w:val="00ED7402"/>
    <w:rsid w:val="00EE1EBA"/>
    <w:rsid w:val="00EE1F60"/>
    <w:rsid w:val="00EE2494"/>
    <w:rsid w:val="00EE2640"/>
    <w:rsid w:val="00EE27EA"/>
    <w:rsid w:val="00EE2E28"/>
    <w:rsid w:val="00EE2F2E"/>
    <w:rsid w:val="00EE2FF5"/>
    <w:rsid w:val="00EE327A"/>
    <w:rsid w:val="00EE335D"/>
    <w:rsid w:val="00EE34F3"/>
    <w:rsid w:val="00EE3C89"/>
    <w:rsid w:val="00EE3CFE"/>
    <w:rsid w:val="00EE3EAE"/>
    <w:rsid w:val="00EE427B"/>
    <w:rsid w:val="00EE4954"/>
    <w:rsid w:val="00EE4FD2"/>
    <w:rsid w:val="00EE536A"/>
    <w:rsid w:val="00EE57A0"/>
    <w:rsid w:val="00EE67FF"/>
    <w:rsid w:val="00EE6829"/>
    <w:rsid w:val="00EE6DFC"/>
    <w:rsid w:val="00EE76F8"/>
    <w:rsid w:val="00EE794F"/>
    <w:rsid w:val="00EE7CF8"/>
    <w:rsid w:val="00EE7ECB"/>
    <w:rsid w:val="00EF041C"/>
    <w:rsid w:val="00EF0653"/>
    <w:rsid w:val="00EF0CE7"/>
    <w:rsid w:val="00EF0E4E"/>
    <w:rsid w:val="00EF112F"/>
    <w:rsid w:val="00EF173B"/>
    <w:rsid w:val="00EF2019"/>
    <w:rsid w:val="00EF2186"/>
    <w:rsid w:val="00EF2D90"/>
    <w:rsid w:val="00EF355E"/>
    <w:rsid w:val="00EF3CA9"/>
    <w:rsid w:val="00EF3E6E"/>
    <w:rsid w:val="00EF4724"/>
    <w:rsid w:val="00EF4CD3"/>
    <w:rsid w:val="00EF4CF1"/>
    <w:rsid w:val="00EF50B2"/>
    <w:rsid w:val="00EF51B1"/>
    <w:rsid w:val="00EF5593"/>
    <w:rsid w:val="00EF58C3"/>
    <w:rsid w:val="00EF58FE"/>
    <w:rsid w:val="00EF6140"/>
    <w:rsid w:val="00EF62F6"/>
    <w:rsid w:val="00EF63AF"/>
    <w:rsid w:val="00EF6573"/>
    <w:rsid w:val="00EF67BC"/>
    <w:rsid w:val="00EF6EE0"/>
    <w:rsid w:val="00EF6F3A"/>
    <w:rsid w:val="00EF6F6A"/>
    <w:rsid w:val="00EF7343"/>
    <w:rsid w:val="00EF7D30"/>
    <w:rsid w:val="00F00291"/>
    <w:rsid w:val="00F01646"/>
    <w:rsid w:val="00F021D6"/>
    <w:rsid w:val="00F0257E"/>
    <w:rsid w:val="00F02734"/>
    <w:rsid w:val="00F02EA7"/>
    <w:rsid w:val="00F0327C"/>
    <w:rsid w:val="00F03457"/>
    <w:rsid w:val="00F04595"/>
    <w:rsid w:val="00F04794"/>
    <w:rsid w:val="00F04820"/>
    <w:rsid w:val="00F04A65"/>
    <w:rsid w:val="00F054BA"/>
    <w:rsid w:val="00F05B3C"/>
    <w:rsid w:val="00F07A4D"/>
    <w:rsid w:val="00F07DFA"/>
    <w:rsid w:val="00F07EBA"/>
    <w:rsid w:val="00F103B1"/>
    <w:rsid w:val="00F1075F"/>
    <w:rsid w:val="00F10A20"/>
    <w:rsid w:val="00F10ABD"/>
    <w:rsid w:val="00F11353"/>
    <w:rsid w:val="00F1139E"/>
    <w:rsid w:val="00F117FF"/>
    <w:rsid w:val="00F1191A"/>
    <w:rsid w:val="00F11B7F"/>
    <w:rsid w:val="00F1234C"/>
    <w:rsid w:val="00F1250D"/>
    <w:rsid w:val="00F13379"/>
    <w:rsid w:val="00F13691"/>
    <w:rsid w:val="00F137FA"/>
    <w:rsid w:val="00F139EF"/>
    <w:rsid w:val="00F13C90"/>
    <w:rsid w:val="00F13CC9"/>
    <w:rsid w:val="00F13E99"/>
    <w:rsid w:val="00F14523"/>
    <w:rsid w:val="00F14C22"/>
    <w:rsid w:val="00F15063"/>
    <w:rsid w:val="00F15256"/>
    <w:rsid w:val="00F159FA"/>
    <w:rsid w:val="00F15D75"/>
    <w:rsid w:val="00F15EF3"/>
    <w:rsid w:val="00F1614D"/>
    <w:rsid w:val="00F1657D"/>
    <w:rsid w:val="00F16594"/>
    <w:rsid w:val="00F16E64"/>
    <w:rsid w:val="00F172D3"/>
    <w:rsid w:val="00F174EE"/>
    <w:rsid w:val="00F17759"/>
    <w:rsid w:val="00F17BB2"/>
    <w:rsid w:val="00F20A24"/>
    <w:rsid w:val="00F20B48"/>
    <w:rsid w:val="00F21181"/>
    <w:rsid w:val="00F212A2"/>
    <w:rsid w:val="00F21641"/>
    <w:rsid w:val="00F21A67"/>
    <w:rsid w:val="00F21BC4"/>
    <w:rsid w:val="00F222CA"/>
    <w:rsid w:val="00F226A8"/>
    <w:rsid w:val="00F22AE4"/>
    <w:rsid w:val="00F22F54"/>
    <w:rsid w:val="00F234D5"/>
    <w:rsid w:val="00F23A1F"/>
    <w:rsid w:val="00F23DFE"/>
    <w:rsid w:val="00F23F50"/>
    <w:rsid w:val="00F23FD6"/>
    <w:rsid w:val="00F24086"/>
    <w:rsid w:val="00F24342"/>
    <w:rsid w:val="00F245B9"/>
    <w:rsid w:val="00F24637"/>
    <w:rsid w:val="00F249A5"/>
    <w:rsid w:val="00F24F82"/>
    <w:rsid w:val="00F25A93"/>
    <w:rsid w:val="00F25B67"/>
    <w:rsid w:val="00F2616B"/>
    <w:rsid w:val="00F26F42"/>
    <w:rsid w:val="00F26F8C"/>
    <w:rsid w:val="00F27054"/>
    <w:rsid w:val="00F27351"/>
    <w:rsid w:val="00F27893"/>
    <w:rsid w:val="00F27972"/>
    <w:rsid w:val="00F279EC"/>
    <w:rsid w:val="00F27F09"/>
    <w:rsid w:val="00F3001D"/>
    <w:rsid w:val="00F30C14"/>
    <w:rsid w:val="00F311DF"/>
    <w:rsid w:val="00F313FF"/>
    <w:rsid w:val="00F31AC9"/>
    <w:rsid w:val="00F31B43"/>
    <w:rsid w:val="00F31DA8"/>
    <w:rsid w:val="00F31E37"/>
    <w:rsid w:val="00F31FF3"/>
    <w:rsid w:val="00F32176"/>
    <w:rsid w:val="00F33379"/>
    <w:rsid w:val="00F33484"/>
    <w:rsid w:val="00F33B3E"/>
    <w:rsid w:val="00F33E48"/>
    <w:rsid w:val="00F33F0A"/>
    <w:rsid w:val="00F3422B"/>
    <w:rsid w:val="00F342D9"/>
    <w:rsid w:val="00F34576"/>
    <w:rsid w:val="00F34886"/>
    <w:rsid w:val="00F34E26"/>
    <w:rsid w:val="00F34F6D"/>
    <w:rsid w:val="00F34FB4"/>
    <w:rsid w:val="00F350E2"/>
    <w:rsid w:val="00F3567A"/>
    <w:rsid w:val="00F356CC"/>
    <w:rsid w:val="00F35E80"/>
    <w:rsid w:val="00F35FFE"/>
    <w:rsid w:val="00F3689B"/>
    <w:rsid w:val="00F36940"/>
    <w:rsid w:val="00F36AB1"/>
    <w:rsid w:val="00F36F9E"/>
    <w:rsid w:val="00F372CA"/>
    <w:rsid w:val="00F3744E"/>
    <w:rsid w:val="00F37688"/>
    <w:rsid w:val="00F37A9B"/>
    <w:rsid w:val="00F40346"/>
    <w:rsid w:val="00F403C9"/>
    <w:rsid w:val="00F4105D"/>
    <w:rsid w:val="00F411D6"/>
    <w:rsid w:val="00F42247"/>
    <w:rsid w:val="00F423B3"/>
    <w:rsid w:val="00F426CD"/>
    <w:rsid w:val="00F42C00"/>
    <w:rsid w:val="00F42EEF"/>
    <w:rsid w:val="00F438BB"/>
    <w:rsid w:val="00F43D2B"/>
    <w:rsid w:val="00F4482E"/>
    <w:rsid w:val="00F44A83"/>
    <w:rsid w:val="00F44C50"/>
    <w:rsid w:val="00F44C7F"/>
    <w:rsid w:val="00F44E5B"/>
    <w:rsid w:val="00F460E1"/>
    <w:rsid w:val="00F462C0"/>
    <w:rsid w:val="00F473F8"/>
    <w:rsid w:val="00F4747A"/>
    <w:rsid w:val="00F477C0"/>
    <w:rsid w:val="00F47A55"/>
    <w:rsid w:val="00F47C3B"/>
    <w:rsid w:val="00F500B5"/>
    <w:rsid w:val="00F50279"/>
    <w:rsid w:val="00F50619"/>
    <w:rsid w:val="00F50A23"/>
    <w:rsid w:val="00F50B2A"/>
    <w:rsid w:val="00F50C23"/>
    <w:rsid w:val="00F50C5C"/>
    <w:rsid w:val="00F510A7"/>
    <w:rsid w:val="00F513A4"/>
    <w:rsid w:val="00F51D9B"/>
    <w:rsid w:val="00F5218F"/>
    <w:rsid w:val="00F52CE5"/>
    <w:rsid w:val="00F52D10"/>
    <w:rsid w:val="00F52F13"/>
    <w:rsid w:val="00F53BDA"/>
    <w:rsid w:val="00F53C52"/>
    <w:rsid w:val="00F53E67"/>
    <w:rsid w:val="00F54358"/>
    <w:rsid w:val="00F54AAA"/>
    <w:rsid w:val="00F54B3A"/>
    <w:rsid w:val="00F54CD8"/>
    <w:rsid w:val="00F552E5"/>
    <w:rsid w:val="00F557E3"/>
    <w:rsid w:val="00F55F68"/>
    <w:rsid w:val="00F56225"/>
    <w:rsid w:val="00F5650A"/>
    <w:rsid w:val="00F56585"/>
    <w:rsid w:val="00F56626"/>
    <w:rsid w:val="00F5668B"/>
    <w:rsid w:val="00F56AF1"/>
    <w:rsid w:val="00F56C84"/>
    <w:rsid w:val="00F57205"/>
    <w:rsid w:val="00F575E2"/>
    <w:rsid w:val="00F5793B"/>
    <w:rsid w:val="00F57C0D"/>
    <w:rsid w:val="00F57E20"/>
    <w:rsid w:val="00F57E58"/>
    <w:rsid w:val="00F604C0"/>
    <w:rsid w:val="00F604FF"/>
    <w:rsid w:val="00F60778"/>
    <w:rsid w:val="00F6112C"/>
    <w:rsid w:val="00F611FC"/>
    <w:rsid w:val="00F6190C"/>
    <w:rsid w:val="00F61BBE"/>
    <w:rsid w:val="00F62861"/>
    <w:rsid w:val="00F62C41"/>
    <w:rsid w:val="00F63929"/>
    <w:rsid w:val="00F63B52"/>
    <w:rsid w:val="00F63C7C"/>
    <w:rsid w:val="00F63D2A"/>
    <w:rsid w:val="00F6423C"/>
    <w:rsid w:val="00F642EB"/>
    <w:rsid w:val="00F649A5"/>
    <w:rsid w:val="00F64EE5"/>
    <w:rsid w:val="00F65142"/>
    <w:rsid w:val="00F655A8"/>
    <w:rsid w:val="00F65B65"/>
    <w:rsid w:val="00F66C12"/>
    <w:rsid w:val="00F66D0C"/>
    <w:rsid w:val="00F67158"/>
    <w:rsid w:val="00F67213"/>
    <w:rsid w:val="00F67403"/>
    <w:rsid w:val="00F678C5"/>
    <w:rsid w:val="00F67BDB"/>
    <w:rsid w:val="00F67C71"/>
    <w:rsid w:val="00F67DD3"/>
    <w:rsid w:val="00F700BE"/>
    <w:rsid w:val="00F70278"/>
    <w:rsid w:val="00F70A35"/>
    <w:rsid w:val="00F71A6F"/>
    <w:rsid w:val="00F7325C"/>
    <w:rsid w:val="00F73620"/>
    <w:rsid w:val="00F737DF"/>
    <w:rsid w:val="00F743EE"/>
    <w:rsid w:val="00F74CE6"/>
    <w:rsid w:val="00F75054"/>
    <w:rsid w:val="00F7555D"/>
    <w:rsid w:val="00F75B79"/>
    <w:rsid w:val="00F75DB4"/>
    <w:rsid w:val="00F75F53"/>
    <w:rsid w:val="00F75F65"/>
    <w:rsid w:val="00F75FCE"/>
    <w:rsid w:val="00F765FC"/>
    <w:rsid w:val="00F772B2"/>
    <w:rsid w:val="00F77A20"/>
    <w:rsid w:val="00F77AB9"/>
    <w:rsid w:val="00F77C1F"/>
    <w:rsid w:val="00F77D1F"/>
    <w:rsid w:val="00F81214"/>
    <w:rsid w:val="00F81B6F"/>
    <w:rsid w:val="00F82ADD"/>
    <w:rsid w:val="00F82C19"/>
    <w:rsid w:val="00F82E5E"/>
    <w:rsid w:val="00F837CA"/>
    <w:rsid w:val="00F83838"/>
    <w:rsid w:val="00F83846"/>
    <w:rsid w:val="00F83DC7"/>
    <w:rsid w:val="00F84080"/>
    <w:rsid w:val="00F847FE"/>
    <w:rsid w:val="00F848D6"/>
    <w:rsid w:val="00F850C0"/>
    <w:rsid w:val="00F8510C"/>
    <w:rsid w:val="00F85833"/>
    <w:rsid w:val="00F85B00"/>
    <w:rsid w:val="00F85EBD"/>
    <w:rsid w:val="00F86314"/>
    <w:rsid w:val="00F86A60"/>
    <w:rsid w:val="00F8726D"/>
    <w:rsid w:val="00F8773A"/>
    <w:rsid w:val="00F87896"/>
    <w:rsid w:val="00F87A82"/>
    <w:rsid w:val="00F90B0A"/>
    <w:rsid w:val="00F90BDF"/>
    <w:rsid w:val="00F90C24"/>
    <w:rsid w:val="00F90F19"/>
    <w:rsid w:val="00F91288"/>
    <w:rsid w:val="00F91651"/>
    <w:rsid w:val="00F91837"/>
    <w:rsid w:val="00F91873"/>
    <w:rsid w:val="00F91EBC"/>
    <w:rsid w:val="00F91F02"/>
    <w:rsid w:val="00F91FAE"/>
    <w:rsid w:val="00F9202D"/>
    <w:rsid w:val="00F92882"/>
    <w:rsid w:val="00F92890"/>
    <w:rsid w:val="00F92D4D"/>
    <w:rsid w:val="00F93729"/>
    <w:rsid w:val="00F9385F"/>
    <w:rsid w:val="00F94500"/>
    <w:rsid w:val="00F947D1"/>
    <w:rsid w:val="00F9484A"/>
    <w:rsid w:val="00F94D43"/>
    <w:rsid w:val="00F9571E"/>
    <w:rsid w:val="00F957D0"/>
    <w:rsid w:val="00F95A37"/>
    <w:rsid w:val="00F9607D"/>
    <w:rsid w:val="00F96366"/>
    <w:rsid w:val="00F9685B"/>
    <w:rsid w:val="00F972B7"/>
    <w:rsid w:val="00F977F9"/>
    <w:rsid w:val="00F97AB5"/>
    <w:rsid w:val="00F97FA2"/>
    <w:rsid w:val="00FA0017"/>
    <w:rsid w:val="00FA10DD"/>
    <w:rsid w:val="00FA158D"/>
    <w:rsid w:val="00FA17CC"/>
    <w:rsid w:val="00FA1ACC"/>
    <w:rsid w:val="00FA29C9"/>
    <w:rsid w:val="00FA316F"/>
    <w:rsid w:val="00FA3289"/>
    <w:rsid w:val="00FA5251"/>
    <w:rsid w:val="00FA57CB"/>
    <w:rsid w:val="00FA5DAC"/>
    <w:rsid w:val="00FA66C4"/>
    <w:rsid w:val="00FA672B"/>
    <w:rsid w:val="00FA6BEE"/>
    <w:rsid w:val="00FA6F25"/>
    <w:rsid w:val="00FA70AA"/>
    <w:rsid w:val="00FA7168"/>
    <w:rsid w:val="00FA71A4"/>
    <w:rsid w:val="00FA73FE"/>
    <w:rsid w:val="00FB0001"/>
    <w:rsid w:val="00FB0156"/>
    <w:rsid w:val="00FB0739"/>
    <w:rsid w:val="00FB0781"/>
    <w:rsid w:val="00FB0C5F"/>
    <w:rsid w:val="00FB1DEC"/>
    <w:rsid w:val="00FB1F16"/>
    <w:rsid w:val="00FB231D"/>
    <w:rsid w:val="00FB3012"/>
    <w:rsid w:val="00FB32C9"/>
    <w:rsid w:val="00FB3B16"/>
    <w:rsid w:val="00FB3E94"/>
    <w:rsid w:val="00FB4033"/>
    <w:rsid w:val="00FB495E"/>
    <w:rsid w:val="00FB4B9F"/>
    <w:rsid w:val="00FB55C0"/>
    <w:rsid w:val="00FB671E"/>
    <w:rsid w:val="00FB6F16"/>
    <w:rsid w:val="00FB71B2"/>
    <w:rsid w:val="00FB7433"/>
    <w:rsid w:val="00FB774F"/>
    <w:rsid w:val="00FC0460"/>
    <w:rsid w:val="00FC080D"/>
    <w:rsid w:val="00FC0E17"/>
    <w:rsid w:val="00FC13E3"/>
    <w:rsid w:val="00FC158F"/>
    <w:rsid w:val="00FC2082"/>
    <w:rsid w:val="00FC20C2"/>
    <w:rsid w:val="00FC26B3"/>
    <w:rsid w:val="00FC2BEF"/>
    <w:rsid w:val="00FC2D79"/>
    <w:rsid w:val="00FC301B"/>
    <w:rsid w:val="00FC30CE"/>
    <w:rsid w:val="00FC39A4"/>
    <w:rsid w:val="00FC4000"/>
    <w:rsid w:val="00FC41A2"/>
    <w:rsid w:val="00FC45C0"/>
    <w:rsid w:val="00FC4E90"/>
    <w:rsid w:val="00FC521A"/>
    <w:rsid w:val="00FC5B04"/>
    <w:rsid w:val="00FC6A13"/>
    <w:rsid w:val="00FC6C18"/>
    <w:rsid w:val="00FC6FEA"/>
    <w:rsid w:val="00FC7223"/>
    <w:rsid w:val="00FC7286"/>
    <w:rsid w:val="00FC768F"/>
    <w:rsid w:val="00FC7726"/>
    <w:rsid w:val="00FC7B2D"/>
    <w:rsid w:val="00FD086D"/>
    <w:rsid w:val="00FD13FE"/>
    <w:rsid w:val="00FD1812"/>
    <w:rsid w:val="00FD1A8F"/>
    <w:rsid w:val="00FD1AC5"/>
    <w:rsid w:val="00FD1D41"/>
    <w:rsid w:val="00FD1DB4"/>
    <w:rsid w:val="00FD2F53"/>
    <w:rsid w:val="00FD3016"/>
    <w:rsid w:val="00FD4094"/>
    <w:rsid w:val="00FD4318"/>
    <w:rsid w:val="00FD48E5"/>
    <w:rsid w:val="00FD4AB1"/>
    <w:rsid w:val="00FD51B3"/>
    <w:rsid w:val="00FD5A37"/>
    <w:rsid w:val="00FD5AF7"/>
    <w:rsid w:val="00FD653C"/>
    <w:rsid w:val="00FD6B3C"/>
    <w:rsid w:val="00FD745A"/>
    <w:rsid w:val="00FE072F"/>
    <w:rsid w:val="00FE0BA6"/>
    <w:rsid w:val="00FE1593"/>
    <w:rsid w:val="00FE1596"/>
    <w:rsid w:val="00FE1941"/>
    <w:rsid w:val="00FE2062"/>
    <w:rsid w:val="00FE2194"/>
    <w:rsid w:val="00FE26B1"/>
    <w:rsid w:val="00FE29B2"/>
    <w:rsid w:val="00FE34A3"/>
    <w:rsid w:val="00FE3C2B"/>
    <w:rsid w:val="00FE451E"/>
    <w:rsid w:val="00FE47A6"/>
    <w:rsid w:val="00FE4A93"/>
    <w:rsid w:val="00FE4DB0"/>
    <w:rsid w:val="00FE513D"/>
    <w:rsid w:val="00FE5209"/>
    <w:rsid w:val="00FE52C3"/>
    <w:rsid w:val="00FE555B"/>
    <w:rsid w:val="00FE6000"/>
    <w:rsid w:val="00FE6140"/>
    <w:rsid w:val="00FE624F"/>
    <w:rsid w:val="00FE690B"/>
    <w:rsid w:val="00FE6B6B"/>
    <w:rsid w:val="00FE6D0F"/>
    <w:rsid w:val="00FE7A53"/>
    <w:rsid w:val="00FE7B47"/>
    <w:rsid w:val="00FF0198"/>
    <w:rsid w:val="00FF064B"/>
    <w:rsid w:val="00FF0966"/>
    <w:rsid w:val="00FF0DA2"/>
    <w:rsid w:val="00FF109A"/>
    <w:rsid w:val="00FF1148"/>
    <w:rsid w:val="00FF1850"/>
    <w:rsid w:val="00FF1BB1"/>
    <w:rsid w:val="00FF24D8"/>
    <w:rsid w:val="00FF27C5"/>
    <w:rsid w:val="00FF2A60"/>
    <w:rsid w:val="00FF2B16"/>
    <w:rsid w:val="00FF2DA5"/>
    <w:rsid w:val="00FF3181"/>
    <w:rsid w:val="00FF341A"/>
    <w:rsid w:val="00FF35E5"/>
    <w:rsid w:val="00FF413D"/>
    <w:rsid w:val="00FF428F"/>
    <w:rsid w:val="00FF49C7"/>
    <w:rsid w:val="00FF4A53"/>
    <w:rsid w:val="00FF4D8E"/>
    <w:rsid w:val="00FF4F42"/>
    <w:rsid w:val="00FF5BB7"/>
    <w:rsid w:val="00FF5E38"/>
    <w:rsid w:val="00FF6455"/>
    <w:rsid w:val="00FF7781"/>
    <w:rsid w:val="00FF7878"/>
    <w:rsid w:val="00FF7C31"/>
    <w:rsid w:val="00FF7D9E"/>
    <w:rsid w:val="01662DB6"/>
    <w:rsid w:val="03BCC4EF"/>
    <w:rsid w:val="042C5B32"/>
    <w:rsid w:val="04F4E8FB"/>
    <w:rsid w:val="08981AA6"/>
    <w:rsid w:val="08CD7D56"/>
    <w:rsid w:val="0AAAD81D"/>
    <w:rsid w:val="12219E76"/>
    <w:rsid w:val="15A0C11D"/>
    <w:rsid w:val="167504BF"/>
    <w:rsid w:val="17954FBC"/>
    <w:rsid w:val="17B0FB14"/>
    <w:rsid w:val="17BDF706"/>
    <w:rsid w:val="18EFF051"/>
    <w:rsid w:val="19EAB55F"/>
    <w:rsid w:val="1AC3233C"/>
    <w:rsid w:val="1ACC3411"/>
    <w:rsid w:val="1D110016"/>
    <w:rsid w:val="1F1B852B"/>
    <w:rsid w:val="2078965E"/>
    <w:rsid w:val="2205E911"/>
    <w:rsid w:val="24DED24C"/>
    <w:rsid w:val="29B97607"/>
    <w:rsid w:val="29E7213F"/>
    <w:rsid w:val="2B6A0CDB"/>
    <w:rsid w:val="2BF671D6"/>
    <w:rsid w:val="2CA93BCD"/>
    <w:rsid w:val="2D88AEBF"/>
    <w:rsid w:val="2DB87A49"/>
    <w:rsid w:val="2DD84687"/>
    <w:rsid w:val="2F6650C4"/>
    <w:rsid w:val="2FD8E679"/>
    <w:rsid w:val="30A4BDA5"/>
    <w:rsid w:val="327AE8D1"/>
    <w:rsid w:val="34DCA477"/>
    <w:rsid w:val="3517F191"/>
    <w:rsid w:val="3B014A25"/>
    <w:rsid w:val="3B4E85E6"/>
    <w:rsid w:val="3B8B916F"/>
    <w:rsid w:val="3BADEA51"/>
    <w:rsid w:val="3CE4BF9D"/>
    <w:rsid w:val="3D71900F"/>
    <w:rsid w:val="3DE56EE7"/>
    <w:rsid w:val="3E879602"/>
    <w:rsid w:val="42A351F4"/>
    <w:rsid w:val="43FD9644"/>
    <w:rsid w:val="44B35550"/>
    <w:rsid w:val="45963D8D"/>
    <w:rsid w:val="46200C07"/>
    <w:rsid w:val="46A6671C"/>
    <w:rsid w:val="490DC24B"/>
    <w:rsid w:val="4982E54D"/>
    <w:rsid w:val="4A297400"/>
    <w:rsid w:val="4AA7FF15"/>
    <w:rsid w:val="4C4120D5"/>
    <w:rsid w:val="4E97FBB4"/>
    <w:rsid w:val="4F11FA85"/>
    <w:rsid w:val="51403DEE"/>
    <w:rsid w:val="52A16F85"/>
    <w:rsid w:val="55AFE7DD"/>
    <w:rsid w:val="58797AC7"/>
    <w:rsid w:val="588F95D7"/>
    <w:rsid w:val="58A56CE2"/>
    <w:rsid w:val="5A1B92C6"/>
    <w:rsid w:val="5C3E898D"/>
    <w:rsid w:val="5D4738A1"/>
    <w:rsid w:val="5E019C4F"/>
    <w:rsid w:val="5F222833"/>
    <w:rsid w:val="5F656DCE"/>
    <w:rsid w:val="5FE15CED"/>
    <w:rsid w:val="62187082"/>
    <w:rsid w:val="633DC06A"/>
    <w:rsid w:val="638FF3BB"/>
    <w:rsid w:val="63E2ED1C"/>
    <w:rsid w:val="64B8F452"/>
    <w:rsid w:val="69904B08"/>
    <w:rsid w:val="6A6D6E5C"/>
    <w:rsid w:val="6AC70B58"/>
    <w:rsid w:val="6E607C7B"/>
    <w:rsid w:val="6F67A31F"/>
    <w:rsid w:val="70488784"/>
    <w:rsid w:val="72DAFE02"/>
    <w:rsid w:val="75282ABE"/>
    <w:rsid w:val="752E79DE"/>
    <w:rsid w:val="75629E73"/>
    <w:rsid w:val="76B54D05"/>
    <w:rsid w:val="785DF830"/>
    <w:rsid w:val="7872DA34"/>
    <w:rsid w:val="78B7E5F9"/>
    <w:rsid w:val="7BC8192D"/>
    <w:rsid w:val="7CA5825F"/>
    <w:rsid w:val="7CCA74CE"/>
    <w:rsid w:val="7CD588CE"/>
    <w:rsid w:val="7D2875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514FF2"/>
  <w15:docId w15:val="{DA4F59BC-EBCE-4356-AF18-5C1874BEC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9" w:unhideWhenUsed="1" w:qFormat="1"/>
    <w:lsdException w:name="heading 5" w:semiHidden="1" w:uiPriority="1"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0B58"/>
    <w:pPr>
      <w:spacing w:after="120" w:line="240" w:lineRule="auto"/>
    </w:pPr>
    <w:rPr>
      <w:rFonts w:ascii="Segoe UI" w:hAnsi="Segoe UI"/>
      <w:sz w:val="19"/>
      <w:lang w:val="en-AU"/>
    </w:rPr>
  </w:style>
  <w:style w:type="paragraph" w:styleId="Heading1">
    <w:name w:val="heading 1"/>
    <w:basedOn w:val="Normal"/>
    <w:next w:val="Normal"/>
    <w:link w:val="Heading1Char"/>
    <w:uiPriority w:val="1"/>
    <w:qFormat/>
    <w:rsid w:val="00BE138E"/>
    <w:pPr>
      <w:keepNext/>
      <w:numPr>
        <w:numId w:val="4"/>
      </w:numPr>
      <w:spacing w:after="400" w:line="440" w:lineRule="exact"/>
      <w:ind w:left="431" w:hanging="431"/>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
    <w:qFormat/>
    <w:rsid w:val="00A73A2D"/>
    <w:pPr>
      <w:keepNext/>
      <w:numPr>
        <w:ilvl w:val="1"/>
        <w:numId w:val="4"/>
      </w:numPr>
      <w:spacing w:before="480" w:after="180"/>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
    <w:qFormat/>
    <w:rsid w:val="00BA3DB6"/>
    <w:pPr>
      <w:keepNext/>
      <w:numPr>
        <w:ilvl w:val="2"/>
        <w:numId w:val="4"/>
      </w:numPr>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
    <w:qFormat/>
    <w:rsid w:val="00857803"/>
    <w:pPr>
      <w:keepNext/>
      <w:numPr>
        <w:ilvl w:val="3"/>
        <w:numId w:val="4"/>
      </w:numPr>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
    <w:qFormat/>
    <w:rsid w:val="00857803"/>
    <w:pPr>
      <w:keepNext/>
      <w:numPr>
        <w:ilvl w:val="4"/>
        <w:numId w:val="4"/>
      </w:numPr>
      <w:spacing w:before="240" w:after="60"/>
      <w:outlineLvl w:val="4"/>
    </w:pPr>
    <w:rPr>
      <w:rFonts w:eastAsia="Times New Roman" w:cs="Times New Roman"/>
      <w:b/>
      <w:color w:val="808080" w:themeColor="background1" w:themeShade="80"/>
      <w:sz w:val="20"/>
      <w:szCs w:val="24"/>
      <w:lang w:eastAsia="en-AU"/>
    </w:rPr>
  </w:style>
  <w:style w:type="paragraph" w:styleId="Heading6">
    <w:name w:val="heading 6"/>
    <w:basedOn w:val="Normal"/>
    <w:next w:val="Normal"/>
    <w:link w:val="Heading6Char"/>
    <w:uiPriority w:val="19"/>
    <w:qFormat/>
    <w:rsid w:val="00BA3DB6"/>
    <w:pPr>
      <w:keepNext/>
      <w:keepLines/>
      <w:numPr>
        <w:ilvl w:val="5"/>
        <w:numId w:val="4"/>
      </w:numPr>
      <w:spacing w:before="200" w:after="60"/>
      <w:outlineLvl w:val="5"/>
    </w:pPr>
    <w:rPr>
      <w:rFonts w:eastAsiaTheme="majorEastAsia" w:cstheme="majorBidi"/>
      <w:b/>
      <w:i/>
      <w:iCs/>
      <w:color w:val="00264D"/>
      <w:szCs w:val="19"/>
      <w:lang w:eastAsia="en-AU"/>
    </w:rPr>
  </w:style>
  <w:style w:type="paragraph" w:styleId="Heading7">
    <w:name w:val="heading 7"/>
    <w:basedOn w:val="Normal"/>
    <w:next w:val="Normal"/>
    <w:link w:val="Heading7Char"/>
    <w:uiPriority w:val="19"/>
    <w:semiHidden/>
    <w:rsid w:val="000137F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0137F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usTable">
    <w:name w:val="Nous Table"/>
    <w:basedOn w:val="TableNormal"/>
    <w:uiPriority w:val="99"/>
    <w:rsid w:val="00653916"/>
    <w:pPr>
      <w:spacing w:after="0" w:line="240" w:lineRule="auto"/>
    </w:pPr>
    <w:rPr>
      <w:rFonts w:eastAsia="Times New Roman"/>
      <w:lang w:val="en-AU" w:eastAsia="en-AU"/>
    </w:rPr>
    <w:tblPr>
      <w:tblStyleRowBandSize w:val="1"/>
      <w:jc w:val="center"/>
      <w:tblBorders>
        <w:insideH w:val="single" w:sz="4" w:space="0" w:color="FF888B" w:themeColor="accent1" w:themeTint="99"/>
        <w:insideV w:val="single" w:sz="4" w:space="0" w:color="FF888B" w:themeColor="accent1" w:themeTint="99"/>
      </w:tblBorders>
    </w:tblPr>
    <w:trPr>
      <w:cantSplit/>
      <w:jc w:val="center"/>
    </w:trPr>
    <w:tcPr>
      <w:tcMar>
        <w:top w:w="57" w:type="dxa"/>
        <w:left w:w="57" w:type="dxa"/>
        <w:bottom w:w="57" w:type="dxa"/>
        <w:right w:w="57" w:type="dxa"/>
      </w:tcMar>
      <w:vAlign w:val="center"/>
    </w:tcPr>
    <w:tblStylePr w:type="firstRow">
      <w:pPr>
        <w:keepNext/>
        <w:wordWrap/>
      </w:pPr>
      <w:rPr>
        <w:b w:val="0"/>
        <w:color w:val="FFFFFF" w:themeColor="background1"/>
      </w:rPr>
      <w:tblPr/>
      <w:trPr>
        <w:tblHeader/>
      </w:trPr>
      <w:tcPr>
        <w:shd w:val="clear" w:color="auto" w:fill="FF3A40" w:themeFill="accent1"/>
      </w:tcPr>
    </w:tblStylePr>
    <w:tblStylePr w:type="lastRow">
      <w:tblPr/>
      <w:tcPr>
        <w:tcBorders>
          <w:top w:val="double" w:sz="4" w:space="0" w:color="FF3A40" w:themeColor="accent1"/>
        </w:tcBorders>
      </w:tcPr>
    </w:tblStylePr>
    <w:tblStylePr w:type="firstCol">
      <w:rPr>
        <w:b w:val="0"/>
        <w:color w:val="FFFFFF" w:themeColor="background1"/>
      </w:rPr>
      <w:tblPr/>
      <w:tcPr>
        <w:shd w:val="clear" w:color="auto" w:fill="FF3A40" w:themeFill="accent1"/>
      </w:tcPr>
    </w:tblStylePr>
    <w:tblStylePr w:type="lastCol">
      <w:tblPr/>
      <w:tcPr>
        <w:tcBorders>
          <w:left w:val="double" w:sz="4" w:space="0" w:color="FF3A40" w:themeColor="accent1"/>
        </w:tcBorders>
      </w:tcPr>
    </w:tblStylePr>
  </w:style>
  <w:style w:type="character" w:customStyle="1" w:styleId="Heading1Char">
    <w:name w:val="Heading 1 Char"/>
    <w:basedOn w:val="DefaultParagraphFont"/>
    <w:link w:val="Heading1"/>
    <w:uiPriority w:val="1"/>
    <w:rsid w:val="00BE138E"/>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
    <w:rsid w:val="008C19F4"/>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
    <w:rsid w:val="008C19F4"/>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
    <w:rsid w:val="008C19F4"/>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
    <w:rsid w:val="008C19F4"/>
    <w:rPr>
      <w:rFonts w:ascii="Segoe UI" w:eastAsia="Times New Roman" w:hAnsi="Segoe UI" w:cs="Times New Roman"/>
      <w:b/>
      <w:color w:val="808080" w:themeColor="background1" w:themeShade="80"/>
      <w:sz w:val="20"/>
      <w:szCs w:val="24"/>
      <w:lang w:val="en-AU" w:eastAsia="en-AU"/>
    </w:rPr>
  </w:style>
  <w:style w:type="character" w:customStyle="1" w:styleId="Heading6Char">
    <w:name w:val="Heading 6 Char"/>
    <w:basedOn w:val="DefaultParagraphFont"/>
    <w:link w:val="Heading6"/>
    <w:uiPriority w:val="19"/>
    <w:rsid w:val="008C19F4"/>
    <w:rPr>
      <w:rFonts w:ascii="Segoe UI" w:eastAsiaTheme="majorEastAsia" w:hAnsi="Segoe UI" w:cstheme="majorBidi"/>
      <w:b/>
      <w:i/>
      <w:iCs/>
      <w:color w:val="00264D"/>
      <w:sz w:val="19"/>
      <w:szCs w:val="19"/>
      <w:lang w:val="en-AU" w:eastAsia="en-AU"/>
    </w:rPr>
  </w:style>
  <w:style w:type="paragraph" w:customStyle="1" w:styleId="Bullet">
    <w:name w:val="Bullet"/>
    <w:aliases w:val="b,Body,bullet,bu,B,b Char Char Char Char Char Char Char Char,b Char Char Char,b Char Char Char Char Char Char,b Char Char,Body Char1 Char1,b Char,A,Text,Block,First,Indent,Macro,Plain,ba,Body1,Bullet List (a,c),b Char Char Char Char Char,Body..."/>
    <w:basedOn w:val="Normal"/>
    <w:link w:val="BulletChar"/>
    <w:uiPriority w:val="2"/>
    <w:qFormat/>
    <w:rsid w:val="00E20B2B"/>
    <w:pPr>
      <w:numPr>
        <w:numId w:val="2"/>
      </w:numPr>
      <w:suppressAutoHyphens/>
    </w:pPr>
    <w:rPr>
      <w:rFonts w:eastAsia="Times New Roman" w:cs="Times New Roman"/>
      <w:szCs w:val="19"/>
      <w:lang w:eastAsia="en-AU"/>
    </w:rPr>
  </w:style>
  <w:style w:type="paragraph" w:customStyle="1" w:styleId="TableNheader">
    <w:name w:val="Table N header"/>
    <w:basedOn w:val="Heading5"/>
    <w:uiPriority w:val="2"/>
    <w:qFormat/>
    <w:rsid w:val="00294C7F"/>
    <w:pPr>
      <w:numPr>
        <w:ilvl w:val="0"/>
        <w:numId w:val="0"/>
      </w:numPr>
      <w:spacing w:before="40" w:after="40"/>
    </w:pPr>
    <w:rPr>
      <w:rFonts w:ascii="Segoe UI Semibold" w:hAnsi="Segoe UI Semibold"/>
      <w:b w:val="0"/>
      <w:color w:val="00264D" w:themeColor="background2"/>
      <w:sz w:val="18"/>
    </w:rPr>
  </w:style>
  <w:style w:type="paragraph" w:customStyle="1" w:styleId="TableNText">
    <w:name w:val="Table N Text"/>
    <w:basedOn w:val="TableNheader"/>
    <w:uiPriority w:val="2"/>
    <w:qFormat/>
    <w:rsid w:val="00294C7F"/>
    <w:rPr>
      <w:rFonts w:ascii="Segoe UI" w:hAnsi="Segoe UI"/>
      <w:color w:val="auto"/>
      <w:sz w:val="17"/>
    </w:rPr>
  </w:style>
  <w:style w:type="table" w:customStyle="1" w:styleId="NousTableStyletopandsideheading">
    <w:name w:val="Nous Table Style top and side heading"/>
    <w:basedOn w:val="TableNormal"/>
    <w:uiPriority w:val="99"/>
    <w:rsid w:val="00E234F6"/>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Yu Gothic Light" w:hAnsi="Yu Gothic Light"/>
        <w:b/>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Yu Gothic Light" w:hAnsi="Yu Gothic Light"/>
        <w:b/>
        <w:color w:val="00264D" w:themeColor="background2"/>
        <w:sz w:val="18"/>
      </w:rPr>
      <w:tblPr/>
      <w:tcPr>
        <w:tcBorders>
          <w:left w:val="nil"/>
        </w:tcBorders>
        <w:shd w:val="clear" w:color="auto" w:fill="E6E6E1" w:themeFill="accent5"/>
      </w:tcPr>
    </w:tblStylePr>
  </w:style>
  <w:style w:type="paragraph" w:styleId="Footer">
    <w:name w:val="footer"/>
    <w:aliases w:val="Foot note"/>
    <w:basedOn w:val="Normal"/>
    <w:link w:val="FooterChar"/>
    <w:uiPriority w:val="89"/>
    <w:unhideWhenUsed/>
    <w:rsid w:val="00865A27"/>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865A27"/>
    <w:rPr>
      <w:rFonts w:ascii="Segoe UI" w:hAnsi="Segoe UI"/>
      <w:sz w:val="15"/>
    </w:rPr>
  </w:style>
  <w:style w:type="paragraph" w:styleId="Caption">
    <w:name w:val="caption"/>
    <w:basedOn w:val="Normal"/>
    <w:next w:val="Normal"/>
    <w:uiPriority w:val="35"/>
    <w:qFormat/>
    <w:rsid w:val="00865A27"/>
    <w:pPr>
      <w:keepNext/>
      <w:spacing w:before="360" w:after="165" w:line="259" w:lineRule="auto"/>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9"/>
    <w:qFormat/>
    <w:rsid w:val="0073030E"/>
    <w:pPr>
      <w:numPr>
        <w:numId w:val="5"/>
      </w:numPr>
      <w:spacing w:before="40" w:after="40"/>
    </w:pPr>
    <w:rPr>
      <w:sz w:val="17"/>
    </w:rPr>
  </w:style>
  <w:style w:type="paragraph" w:customStyle="1" w:styleId="TableNListnumbered">
    <w:name w:val="Table N List (numbered)"/>
    <w:basedOn w:val="TableNBullet"/>
    <w:uiPriority w:val="2"/>
    <w:qFormat/>
    <w:rsid w:val="00865A27"/>
    <w:pPr>
      <w:numPr>
        <w:numId w:val="6"/>
      </w:numPr>
    </w:pPr>
  </w:style>
  <w:style w:type="paragraph" w:customStyle="1" w:styleId="xAppendixLevel1">
    <w:name w:val="xAppendix Level 1"/>
    <w:basedOn w:val="Heading1"/>
    <w:next w:val="Normal"/>
    <w:uiPriority w:val="98"/>
    <w:qFormat/>
    <w:rsid w:val="0004033A"/>
    <w:pPr>
      <w:pageBreakBefore/>
      <w:numPr>
        <w:numId w:val="1"/>
      </w:numPr>
      <w:ind w:left="431" w:hanging="431"/>
      <w:jc w:val="both"/>
    </w:pPr>
    <w:rPr>
      <w:rFonts w:cs="Segoe UI"/>
      <w:bCs/>
      <w:color w:val="00264D" w:themeColor="background2"/>
      <w:szCs w:val="36"/>
    </w:rPr>
  </w:style>
  <w:style w:type="paragraph" w:customStyle="1" w:styleId="xAppendixLevel2">
    <w:name w:val="xAppendix Level 2"/>
    <w:basedOn w:val="Heading2"/>
    <w:next w:val="Normal"/>
    <w:uiPriority w:val="98"/>
    <w:qFormat/>
    <w:rsid w:val="002B5822"/>
    <w:pPr>
      <w:numPr>
        <w:numId w:val="1"/>
      </w:numPr>
    </w:pPr>
    <w:rPr>
      <w:bCs/>
      <w:sz w:val="34"/>
    </w:rPr>
  </w:style>
  <w:style w:type="paragraph" w:customStyle="1" w:styleId="xAppendixLevel3">
    <w:name w:val="xAppendix Level 3"/>
    <w:basedOn w:val="Heading3"/>
    <w:next w:val="Normal"/>
    <w:uiPriority w:val="98"/>
    <w:qFormat/>
    <w:rsid w:val="002B5822"/>
    <w:pPr>
      <w:numPr>
        <w:numId w:val="1"/>
      </w:numPr>
    </w:pPr>
    <w:rPr>
      <w:bCs/>
    </w:rPr>
  </w:style>
  <w:style w:type="paragraph" w:customStyle="1" w:styleId="Listnumbered">
    <w:name w:val="List (numbered)"/>
    <w:basedOn w:val="Normal"/>
    <w:uiPriority w:val="1"/>
    <w:qFormat/>
    <w:rsid w:val="00294C7F"/>
    <w:pPr>
      <w:numPr>
        <w:numId w:val="3"/>
      </w:numPr>
    </w:pPr>
  </w:style>
  <w:style w:type="paragraph" w:customStyle="1" w:styleId="Source">
    <w:name w:val="Source"/>
    <w:basedOn w:val="Normal"/>
    <w:next w:val="Normal"/>
    <w:link w:val="SourceChar"/>
    <w:uiPriority w:val="39"/>
    <w:rsid w:val="0020000D"/>
    <w:pPr>
      <w:spacing w:before="120" w:after="240"/>
      <w:jc w:val="center"/>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20000D"/>
    <w:rPr>
      <w:rFonts w:ascii="Segoe UI" w:eastAsia="Times New Roman" w:hAnsi="Segoe UI" w:cs="Times New Roman"/>
      <w:i/>
      <w:sz w:val="17"/>
      <w:szCs w:val="19"/>
      <w:lang w:val="en-AU" w:eastAsia="en-AU"/>
    </w:rPr>
  </w:style>
  <w:style w:type="paragraph" w:customStyle="1" w:styleId="TableExpBullet">
    <w:name w:val="Table Exp Bullet"/>
    <w:basedOn w:val="TableNBullet"/>
    <w:uiPriority w:val="3"/>
    <w:qFormat/>
    <w:rsid w:val="00865A27"/>
  </w:style>
  <w:style w:type="paragraph" w:customStyle="1" w:styleId="Tableexpheader">
    <w:name w:val="Table exp header"/>
    <w:basedOn w:val="TableNheader"/>
    <w:uiPriority w:val="3"/>
    <w:qFormat/>
    <w:rsid w:val="0029320C"/>
    <w:rPr>
      <w:sz w:val="17"/>
    </w:rPr>
  </w:style>
  <w:style w:type="paragraph" w:customStyle="1" w:styleId="TableexpListnumbered">
    <w:name w:val="Table exp List (numbered)"/>
    <w:basedOn w:val="TableNListnumbered"/>
    <w:uiPriority w:val="3"/>
    <w:qFormat/>
    <w:rsid w:val="0029320C"/>
    <w:rPr>
      <w:sz w:val="16"/>
    </w:rPr>
  </w:style>
  <w:style w:type="paragraph" w:customStyle="1" w:styleId="TableExpText">
    <w:name w:val="Table Exp Text"/>
    <w:basedOn w:val="TableNText"/>
    <w:uiPriority w:val="3"/>
    <w:qFormat/>
    <w:rsid w:val="0029320C"/>
    <w:rPr>
      <w:sz w:val="16"/>
    </w:rPr>
  </w:style>
  <w:style w:type="character" w:customStyle="1" w:styleId="Heading7Char">
    <w:name w:val="Heading 7 Char"/>
    <w:basedOn w:val="DefaultParagraphFont"/>
    <w:link w:val="Heading7"/>
    <w:uiPriority w:val="19"/>
    <w:semiHidden/>
    <w:rsid w:val="000137FA"/>
    <w:rPr>
      <w:rFonts w:ascii="Segoe UI" w:eastAsiaTheme="majorEastAsia" w:hAnsi="Segoe UI" w:cstheme="majorBidi"/>
      <w:i/>
      <w:iCs/>
      <w:color w:val="404040" w:themeColor="text1" w:themeTint="BF"/>
      <w:sz w:val="19"/>
    </w:rPr>
  </w:style>
  <w:style w:type="paragraph" w:customStyle="1" w:styleId="TableText">
    <w:name w:val="Table Text"/>
    <w:link w:val="TableTextChar"/>
    <w:uiPriority w:val="2"/>
    <w:rsid w:val="00653916"/>
    <w:pPr>
      <w:spacing w:before="40" w:after="40" w:line="240" w:lineRule="auto"/>
    </w:pPr>
    <w:rPr>
      <w:rFonts w:ascii="Segoe UI" w:eastAsia="Times New Roman" w:hAnsi="Segoe UI" w:cs="Times New Roman"/>
      <w:sz w:val="17"/>
      <w:szCs w:val="19"/>
      <w:lang w:val="en-AU" w:eastAsia="en-AU"/>
    </w:rPr>
  </w:style>
  <w:style w:type="paragraph" w:customStyle="1" w:styleId="Tablecolumnheading">
    <w:name w:val="Table column heading"/>
    <w:basedOn w:val="Normal"/>
    <w:link w:val="TablecolumnheadingChar"/>
    <w:uiPriority w:val="2"/>
    <w:rsid w:val="00653916"/>
    <w:pPr>
      <w:keepNext/>
      <w:spacing w:before="40" w:after="40"/>
    </w:pPr>
    <w:rPr>
      <w:rFonts w:ascii="Segoe UI Semibold" w:eastAsia="Times New Roman" w:hAnsi="Segoe UI Semibold" w:cs="Times New Roman"/>
      <w:color w:val="00264D"/>
      <w:sz w:val="18"/>
      <w:szCs w:val="17"/>
      <w:lang w:eastAsia="en-AU"/>
    </w:rPr>
  </w:style>
  <w:style w:type="character" w:customStyle="1" w:styleId="TableTextChar">
    <w:name w:val="Table Text Char"/>
    <w:basedOn w:val="DefaultParagraphFont"/>
    <w:link w:val="TableText"/>
    <w:uiPriority w:val="2"/>
    <w:rsid w:val="00865A27"/>
    <w:rPr>
      <w:rFonts w:ascii="Segoe UI" w:eastAsia="Times New Roman" w:hAnsi="Segoe UI" w:cs="Times New Roman"/>
      <w:sz w:val="17"/>
      <w:szCs w:val="19"/>
      <w:lang w:val="en-AU" w:eastAsia="en-AU"/>
    </w:rPr>
  </w:style>
  <w:style w:type="character" w:customStyle="1" w:styleId="TablecolumnheadingChar">
    <w:name w:val="Table column heading Char"/>
    <w:basedOn w:val="DefaultParagraphFont"/>
    <w:link w:val="Tablecolumnheading"/>
    <w:uiPriority w:val="2"/>
    <w:rsid w:val="00865A27"/>
    <w:rPr>
      <w:rFonts w:ascii="Segoe UI Semibold" w:eastAsia="Times New Roman" w:hAnsi="Segoe UI Semibold" w:cs="Times New Roman"/>
      <w:color w:val="00264D"/>
      <w:sz w:val="18"/>
      <w:szCs w:val="17"/>
      <w:lang w:val="en-AU" w:eastAsia="en-AU"/>
    </w:rPr>
  </w:style>
  <w:style w:type="table" w:customStyle="1" w:styleId="Style1">
    <w:name w:val="Style1"/>
    <w:basedOn w:val="TableNormal"/>
    <w:uiPriority w:val="99"/>
    <w:rsid w:val="00653916"/>
    <w:pPr>
      <w:spacing w:after="0" w:line="240" w:lineRule="auto"/>
    </w:pPr>
    <w:tblPr/>
    <w:tcPr>
      <w:shd w:val="clear" w:color="auto" w:fill="E6E6E1" w:themeFill="accent5"/>
    </w:tcPr>
  </w:style>
  <w:style w:type="paragraph" w:styleId="BalloonText">
    <w:name w:val="Balloon Text"/>
    <w:basedOn w:val="Normal"/>
    <w:link w:val="BalloonTextChar"/>
    <w:uiPriority w:val="99"/>
    <w:semiHidden/>
    <w:unhideWhenUsed/>
    <w:rsid w:val="00037C0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C03"/>
    <w:rPr>
      <w:rFonts w:ascii="Tahoma" w:hAnsi="Tahoma" w:cs="Tahoma"/>
      <w:sz w:val="16"/>
      <w:szCs w:val="16"/>
    </w:rPr>
  </w:style>
  <w:style w:type="paragraph" w:customStyle="1" w:styleId="URL-groupcomau">
    <w:name w:val="URL - group.com.au"/>
    <w:basedOn w:val="Normal"/>
    <w:link w:val="URL-groupcomauChar"/>
    <w:uiPriority w:val="89"/>
    <w:semiHidden/>
    <w:qFormat/>
    <w:rsid w:val="00FD4AB1"/>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FD4AB1"/>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FD4AB1"/>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FD4AB1"/>
    <w:rPr>
      <w:rFonts w:ascii="Segoe UI" w:eastAsia="Times New Roman" w:hAnsi="Segoe UI" w:cs="Times New Roman"/>
      <w:color w:val="FF3A40" w:themeColor="accent1"/>
      <w:spacing w:val="20"/>
      <w:sz w:val="14"/>
      <w:szCs w:val="19"/>
      <w:lang w:val="en-AU" w:eastAsia="en-AU"/>
    </w:rPr>
  </w:style>
  <w:style w:type="paragraph" w:customStyle="1" w:styleId="ContentsHeading">
    <w:name w:val="Contents Heading"/>
    <w:basedOn w:val="Normal"/>
    <w:rsid w:val="00CF7BA0"/>
    <w:pPr>
      <w:spacing w:before="360" w:after="600"/>
    </w:pPr>
    <w:rPr>
      <w:rFonts w:eastAsia="Times New Roman" w:cs="Segoe UI"/>
      <w:b/>
      <w:color w:val="00264D"/>
      <w:sz w:val="36"/>
      <w:szCs w:val="36"/>
      <w:lang w:eastAsia="en-AU"/>
    </w:rPr>
  </w:style>
  <w:style w:type="character" w:customStyle="1" w:styleId="BulletChar">
    <w:name w:val="Bullet Char"/>
    <w:aliases w:val="Body text Char,Bullet- First level Char,Figure_name Char,List NUmber Char,List Paragraph Number Char,1 heading Char,Dot point 1.5 line spacing Char,List Paragraph - bullets Char,NFP GP Bulleted List Char,bullet point list Char,Dot pt Char"/>
    <w:basedOn w:val="DefaultParagraphFont"/>
    <w:link w:val="Bullet"/>
    <w:uiPriority w:val="2"/>
    <w:qFormat/>
    <w:rsid w:val="00E20B2B"/>
    <w:rPr>
      <w:rFonts w:ascii="Segoe UI" w:eastAsia="Times New Roman" w:hAnsi="Segoe UI" w:cs="Times New Roman"/>
      <w:sz w:val="19"/>
      <w:szCs w:val="19"/>
      <w:lang w:val="en-AU" w:eastAsia="en-AU"/>
    </w:rPr>
  </w:style>
  <w:style w:type="paragraph" w:customStyle="1" w:styleId="Sectiondividerheading">
    <w:name w:val="Section divider heading"/>
    <w:basedOn w:val="Normal"/>
    <w:link w:val="SectiondividerheadingChar"/>
    <w:uiPriority w:val="99"/>
    <w:rsid w:val="00A10340"/>
    <w:pPr>
      <w:spacing w:after="0"/>
    </w:pPr>
    <w:rPr>
      <w:rFonts w:eastAsia="Source Sans Pro" w:cs="Segoe UI"/>
      <w:b/>
      <w:bCs/>
      <w:color w:val="F8981D"/>
      <w:sz w:val="56"/>
      <w:szCs w:val="56"/>
      <w:lang w:eastAsia="en-AU"/>
    </w:rPr>
  </w:style>
  <w:style w:type="character" w:customStyle="1" w:styleId="SectiondividerheadingChar">
    <w:name w:val="Section divider heading Char"/>
    <w:basedOn w:val="DefaultParagraphFont"/>
    <w:link w:val="Sectiondividerheading"/>
    <w:uiPriority w:val="99"/>
    <w:rsid w:val="00865A27"/>
    <w:rPr>
      <w:rFonts w:ascii="Segoe UI" w:eastAsia="Source Sans Pro" w:hAnsi="Segoe UI" w:cs="Segoe UI"/>
      <w:b/>
      <w:bCs/>
      <w:color w:val="F8981D"/>
      <w:sz w:val="56"/>
      <w:szCs w:val="56"/>
      <w:lang w:val="en-AU" w:eastAsia="en-AU"/>
    </w:rPr>
  </w:style>
  <w:style w:type="paragraph" w:styleId="TOC2">
    <w:name w:val="toc 2"/>
    <w:basedOn w:val="Normal"/>
    <w:next w:val="Normal"/>
    <w:autoRedefine/>
    <w:uiPriority w:val="39"/>
    <w:unhideWhenUsed/>
    <w:rsid w:val="00186FB8"/>
    <w:pPr>
      <w:tabs>
        <w:tab w:val="left" w:pos="660"/>
        <w:tab w:val="right" w:leader="dot" w:pos="8920"/>
      </w:tabs>
      <w:spacing w:after="100"/>
      <w:ind w:left="190"/>
    </w:pPr>
  </w:style>
  <w:style w:type="paragraph" w:styleId="TOC1">
    <w:name w:val="toc 1"/>
    <w:basedOn w:val="Normal"/>
    <w:next w:val="Normal"/>
    <w:autoRedefine/>
    <w:uiPriority w:val="39"/>
    <w:unhideWhenUsed/>
    <w:rsid w:val="002F5E98"/>
    <w:pPr>
      <w:tabs>
        <w:tab w:val="left" w:pos="380"/>
        <w:tab w:val="right" w:leader="dot" w:pos="8920"/>
      </w:tabs>
      <w:spacing w:after="100"/>
    </w:pPr>
  </w:style>
  <w:style w:type="character" w:styleId="Hyperlink">
    <w:name w:val="Hyperlink"/>
    <w:basedOn w:val="DefaultParagraphFont"/>
    <w:uiPriority w:val="99"/>
    <w:unhideWhenUsed/>
    <w:rsid w:val="008A4363"/>
    <w:rPr>
      <w:color w:val="0048C7" w:themeColor="hyperlink"/>
      <w:u w:val="single"/>
    </w:rPr>
  </w:style>
  <w:style w:type="table" w:styleId="TableGrid">
    <w:name w:val="Table Grid"/>
    <w:basedOn w:val="TableNormal"/>
    <w:uiPriority w:val="39"/>
    <w:rsid w:val="00547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insideH w:val="single" w:sz="8" w:space="0" w:color="E6E6E1" w:themeColor="accent5"/>
        <w:insideV w:val="single" w:sz="8" w:space="0" w:color="E6E6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18" w:space="0" w:color="E6E6E1" w:themeColor="accent5"/>
          <w:right w:val="single" w:sz="8" w:space="0" w:color="E6E6E1" w:themeColor="accent5"/>
          <w:insideH w:val="nil"/>
          <w:insideV w:val="single" w:sz="8" w:space="0" w:color="E6E6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insideH w:val="nil"/>
          <w:insideV w:val="single" w:sz="8" w:space="0" w:color="E6E6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shd w:val="clear" w:color="auto" w:fill="F8F8F7" w:themeFill="accent5" w:themeFillTint="3F"/>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shd w:val="clear" w:color="auto" w:fill="F8F8F7" w:themeFill="accent5" w:themeFillTint="3F"/>
      </w:tcPr>
    </w:tblStylePr>
    <w:tblStylePr w:type="band2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tcPr>
    </w:tblStylePr>
  </w:style>
  <w:style w:type="table" w:styleId="LightList-Accent5">
    <w:name w:val="Light List Accent 5"/>
    <w:basedOn w:val="TableNormal"/>
    <w:uiPriority w:val="61"/>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071DFF"/>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9"/>
    <w:rsid w:val="0073030E"/>
    <w:rPr>
      <w:rFonts w:ascii="Segoe UI" w:eastAsia="Times New Roman" w:hAnsi="Segoe UI" w:cs="Times New Roman"/>
      <w:sz w:val="17"/>
      <w:szCs w:val="19"/>
      <w:lang w:val="en-AU" w:eastAsia="en-AU"/>
    </w:rPr>
  </w:style>
  <w:style w:type="table" w:customStyle="1" w:styleId="NOUSSideHeader">
    <w:name w:val="NOUS Side Header"/>
    <w:basedOn w:val="TableNormal"/>
    <w:uiPriority w:val="99"/>
    <w:rsid w:val="008C272E"/>
    <w:pPr>
      <w:spacing w:after="0" w:line="240" w:lineRule="auto"/>
      <w:ind w:left="57"/>
    </w:pPr>
    <w:rPr>
      <w:rFonts w:ascii="Segoe UI" w:hAnsi="Segoe UI"/>
      <w:sz w:val="17"/>
    </w:rPr>
    <w:tblPr>
      <w:tblBorders>
        <w:insideH w:val="single" w:sz="8" w:space="0" w:color="E6E6E1" w:themeColor="accent5"/>
      </w:tblBorders>
      <w:tblCellMar>
        <w:top w:w="57" w:type="dxa"/>
        <w:left w:w="85" w:type="dxa"/>
        <w:bottom w:w="57" w:type="dxa"/>
        <w:right w:w="85" w:type="dxa"/>
      </w:tblCellMar>
    </w:tblPr>
    <w:tblStylePr w:type="firstCol">
      <w:pPr>
        <w:wordWrap/>
        <w:jc w:val="center"/>
      </w:pPr>
      <w:rPr>
        <w:rFonts w:ascii="Yu Gothic Light" w:hAnsi="Yu Gothic Light"/>
        <w:b/>
        <w:color w:val="00264D" w:themeColor="background2"/>
        <w:sz w:val="18"/>
      </w:rPr>
      <w:tblPr/>
      <w:tcPr>
        <w:tcBorders>
          <w:top w:val="nil"/>
          <w:left w:val="single" w:sz="24" w:space="0" w:color="F8981D" w:themeColor="accent3"/>
          <w:bottom w:val="nil"/>
          <w:right w:val="nil"/>
          <w:insideH w:val="nil"/>
          <w:insideV w:val="nil"/>
          <w:tl2br w:val="nil"/>
          <w:tr2bl w:val="nil"/>
        </w:tcBorders>
        <w:shd w:val="clear" w:color="auto" w:fill="E6E6E1" w:themeFill="accent5"/>
      </w:tcPr>
    </w:tblStylePr>
  </w:style>
  <w:style w:type="table" w:customStyle="1" w:styleId="NOUS">
    <w:name w:val="NOUS"/>
    <w:basedOn w:val="TableNormal"/>
    <w:uiPriority w:val="99"/>
    <w:rsid w:val="00A83B7C"/>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Yu Gothic Light" w:hAnsi="Yu Gothic Light"/>
        <w:b/>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0137FA"/>
    <w:rPr>
      <w:rFonts w:ascii="Segoe UI" w:eastAsiaTheme="majorEastAsia" w:hAnsi="Segoe UI" w:cstheme="majorBidi"/>
      <w:color w:val="404040" w:themeColor="text1" w:themeTint="BF"/>
      <w:sz w:val="20"/>
      <w:szCs w:val="20"/>
    </w:rPr>
  </w:style>
  <w:style w:type="paragraph" w:customStyle="1" w:styleId="Covertitle">
    <w:name w:val="Cover title"/>
    <w:basedOn w:val="Normal"/>
    <w:link w:val="CovertitleChar"/>
    <w:uiPriority w:val="99"/>
    <w:semiHidden/>
    <w:rsid w:val="00865A27"/>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865A27"/>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865A27"/>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865A27"/>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865A27"/>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865A27"/>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865A27"/>
    <w:rPr>
      <w:color w:val="808080"/>
    </w:rPr>
  </w:style>
  <w:style w:type="paragraph" w:customStyle="1" w:styleId="BioHeading">
    <w:name w:val="Bio Heading"/>
    <w:basedOn w:val="Normal"/>
    <w:uiPriority w:val="97"/>
    <w:qFormat/>
    <w:rsid w:val="00865A27"/>
    <w:pPr>
      <w:spacing w:after="165" w:line="259" w:lineRule="auto"/>
    </w:pPr>
    <w:rPr>
      <w:rFonts w:ascii="Segoe UI Semibold" w:hAnsi="Segoe UI Semibold"/>
      <w:color w:val="00264D" w:themeColor="background2"/>
      <w:sz w:val="26"/>
    </w:rPr>
  </w:style>
  <w:style w:type="paragraph" w:styleId="Header">
    <w:name w:val="header"/>
    <w:basedOn w:val="Normal"/>
    <w:link w:val="HeaderChar"/>
    <w:uiPriority w:val="99"/>
    <w:unhideWhenUsed/>
    <w:rsid w:val="001051E0"/>
    <w:pPr>
      <w:tabs>
        <w:tab w:val="center" w:pos="4513"/>
        <w:tab w:val="right" w:pos="9026"/>
      </w:tabs>
      <w:spacing w:after="0"/>
    </w:pPr>
  </w:style>
  <w:style w:type="character" w:customStyle="1" w:styleId="HeaderChar">
    <w:name w:val="Header Char"/>
    <w:basedOn w:val="DefaultParagraphFont"/>
    <w:link w:val="Header"/>
    <w:uiPriority w:val="99"/>
    <w:rsid w:val="001051E0"/>
    <w:rPr>
      <w:rFonts w:ascii="Segoe UI" w:hAnsi="Segoe UI"/>
      <w:sz w:val="19"/>
    </w:rPr>
  </w:style>
  <w:style w:type="paragraph" w:styleId="TOC3">
    <w:name w:val="toc 3"/>
    <w:basedOn w:val="Normal"/>
    <w:next w:val="Normal"/>
    <w:autoRedefine/>
    <w:uiPriority w:val="39"/>
    <w:unhideWhenUsed/>
    <w:rsid w:val="00BB3FC2"/>
    <w:pPr>
      <w:spacing w:after="100"/>
      <w:ind w:left="380"/>
    </w:pPr>
  </w:style>
  <w:style w:type="character" w:styleId="CommentReference">
    <w:name w:val="annotation reference"/>
    <w:basedOn w:val="DefaultParagraphFont"/>
    <w:uiPriority w:val="99"/>
    <w:semiHidden/>
    <w:unhideWhenUsed/>
    <w:rsid w:val="002F0EBF"/>
    <w:rPr>
      <w:sz w:val="16"/>
      <w:szCs w:val="16"/>
    </w:rPr>
  </w:style>
  <w:style w:type="paragraph" w:styleId="CommentText">
    <w:name w:val="annotation text"/>
    <w:basedOn w:val="Normal"/>
    <w:link w:val="CommentTextChar"/>
    <w:uiPriority w:val="99"/>
    <w:unhideWhenUsed/>
    <w:rsid w:val="002F0EBF"/>
    <w:rPr>
      <w:sz w:val="20"/>
      <w:szCs w:val="20"/>
    </w:rPr>
  </w:style>
  <w:style w:type="character" w:customStyle="1" w:styleId="CommentTextChar">
    <w:name w:val="Comment Text Char"/>
    <w:basedOn w:val="DefaultParagraphFont"/>
    <w:link w:val="CommentText"/>
    <w:uiPriority w:val="99"/>
    <w:rsid w:val="002F0EBF"/>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2F0EBF"/>
    <w:rPr>
      <w:b/>
      <w:bCs/>
    </w:rPr>
  </w:style>
  <w:style w:type="character" w:customStyle="1" w:styleId="CommentSubjectChar">
    <w:name w:val="Comment Subject Char"/>
    <w:basedOn w:val="CommentTextChar"/>
    <w:link w:val="CommentSubject"/>
    <w:uiPriority w:val="99"/>
    <w:semiHidden/>
    <w:rsid w:val="002F0EBF"/>
    <w:rPr>
      <w:rFonts w:ascii="Segoe UI" w:hAnsi="Segoe UI"/>
      <w:b/>
      <w:bCs/>
      <w:sz w:val="20"/>
      <w:szCs w:val="20"/>
    </w:rPr>
  </w:style>
  <w:style w:type="paragraph" w:customStyle="1" w:styleId="Callout">
    <w:name w:val="Call out"/>
    <w:basedOn w:val="Normal"/>
    <w:uiPriority w:val="98"/>
    <w:qFormat/>
    <w:rsid w:val="00B367CD"/>
    <w:pPr>
      <w:pBdr>
        <w:top w:val="single" w:sz="18" w:space="4" w:color="E6E6E1" w:themeColor="accent5"/>
      </w:pBdr>
      <w:spacing w:line="256" w:lineRule="auto"/>
    </w:pPr>
    <w:rPr>
      <w:rFonts w:ascii="Segoe UI Semilight" w:hAnsi="Segoe UI Semilight"/>
      <w:color w:val="F8981D" w:themeColor="accent3"/>
      <w:kern w:val="24"/>
      <w:sz w:val="22"/>
    </w:rPr>
  </w:style>
  <w:style w:type="paragraph" w:customStyle="1" w:styleId="Default">
    <w:name w:val="Default"/>
    <w:rsid w:val="003B6052"/>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basedOn w:val="Normal"/>
    <w:link w:val="FootnoteTextChar"/>
    <w:uiPriority w:val="99"/>
    <w:semiHidden/>
    <w:unhideWhenUsed/>
    <w:rsid w:val="00E104BE"/>
    <w:pPr>
      <w:spacing w:after="0"/>
    </w:pPr>
    <w:rPr>
      <w:sz w:val="20"/>
      <w:szCs w:val="20"/>
    </w:rPr>
  </w:style>
  <w:style w:type="character" w:customStyle="1" w:styleId="FootnoteTextChar">
    <w:name w:val="Footnote Text Char"/>
    <w:basedOn w:val="DefaultParagraphFont"/>
    <w:link w:val="FootnoteText"/>
    <w:uiPriority w:val="99"/>
    <w:semiHidden/>
    <w:rsid w:val="00E104BE"/>
    <w:rPr>
      <w:rFonts w:ascii="Segoe UI" w:hAnsi="Segoe UI"/>
      <w:sz w:val="20"/>
      <w:szCs w:val="20"/>
    </w:rPr>
  </w:style>
  <w:style w:type="character" w:styleId="FootnoteReference">
    <w:name w:val="footnote reference"/>
    <w:basedOn w:val="DefaultParagraphFont"/>
    <w:uiPriority w:val="99"/>
    <w:semiHidden/>
    <w:unhideWhenUsed/>
    <w:rsid w:val="00E104BE"/>
    <w:rPr>
      <w:vertAlign w:val="superscript"/>
    </w:rPr>
  </w:style>
  <w:style w:type="paragraph" w:styleId="Revision">
    <w:name w:val="Revision"/>
    <w:hidden/>
    <w:uiPriority w:val="99"/>
    <w:semiHidden/>
    <w:rsid w:val="00537FAF"/>
    <w:pPr>
      <w:spacing w:after="0" w:line="240" w:lineRule="auto"/>
    </w:pPr>
    <w:rPr>
      <w:rFonts w:ascii="Segoe UI" w:hAnsi="Segoe UI"/>
      <w:sz w:val="19"/>
    </w:rPr>
  </w:style>
  <w:style w:type="character" w:styleId="HTMLCite">
    <w:name w:val="HTML Cite"/>
    <w:basedOn w:val="DefaultParagraphFont"/>
    <w:uiPriority w:val="99"/>
    <w:semiHidden/>
    <w:unhideWhenUsed/>
    <w:rsid w:val="000B4A69"/>
    <w:rPr>
      <w:i/>
      <w:iCs/>
    </w:rPr>
  </w:style>
  <w:style w:type="character" w:customStyle="1" w:styleId="cs1-format">
    <w:name w:val="cs1-format"/>
    <w:basedOn w:val="DefaultParagraphFont"/>
    <w:rsid w:val="000B4A69"/>
  </w:style>
  <w:style w:type="character" w:customStyle="1" w:styleId="reference-accessdate">
    <w:name w:val="reference-accessdate"/>
    <w:basedOn w:val="DefaultParagraphFont"/>
    <w:rsid w:val="000B4A69"/>
  </w:style>
  <w:style w:type="character" w:styleId="UnresolvedMention">
    <w:name w:val="Unresolved Mention"/>
    <w:basedOn w:val="DefaultParagraphFont"/>
    <w:uiPriority w:val="99"/>
    <w:unhideWhenUsed/>
    <w:rsid w:val="00EB2AC9"/>
    <w:rPr>
      <w:color w:val="605E5C"/>
      <w:shd w:val="clear" w:color="auto" w:fill="E1DFDD"/>
    </w:rPr>
  </w:style>
  <w:style w:type="character" w:styleId="FollowedHyperlink">
    <w:name w:val="FollowedHyperlink"/>
    <w:basedOn w:val="DefaultParagraphFont"/>
    <w:uiPriority w:val="99"/>
    <w:semiHidden/>
    <w:unhideWhenUsed/>
    <w:rsid w:val="001E327C"/>
    <w:rPr>
      <w:color w:val="0048C7" w:themeColor="followedHyperlink"/>
      <w:u w:val="single"/>
    </w:rPr>
  </w:style>
  <w:style w:type="paragraph" w:styleId="ListParagraph">
    <w:name w:val="List Paragraph"/>
    <w:basedOn w:val="Normal"/>
    <w:uiPriority w:val="34"/>
    <w:qFormat/>
    <w:rsid w:val="00AB53D6"/>
    <w:pPr>
      <w:ind w:left="720"/>
      <w:contextualSpacing/>
    </w:pPr>
  </w:style>
  <w:style w:type="paragraph" w:customStyle="1" w:styleId="TableExpbullet0">
    <w:name w:val="Table Exp bullet"/>
    <w:basedOn w:val="TableNBullet"/>
    <w:uiPriority w:val="3"/>
    <w:qFormat/>
    <w:rsid w:val="00373288"/>
    <w:rPr>
      <w:sz w:val="16"/>
    </w:rPr>
  </w:style>
  <w:style w:type="numbering" w:customStyle="1" w:styleId="HeadingList">
    <w:name w:val="Heading List"/>
    <w:uiPriority w:val="99"/>
    <w:rsid w:val="00AF2AFD"/>
    <w:pPr>
      <w:numPr>
        <w:numId w:val="7"/>
      </w:numPr>
    </w:pPr>
  </w:style>
  <w:style w:type="paragraph" w:styleId="NormalWeb">
    <w:name w:val="Normal (Web)"/>
    <w:basedOn w:val="Normal"/>
    <w:uiPriority w:val="99"/>
    <w:semiHidden/>
    <w:unhideWhenUsed/>
    <w:rsid w:val="00ED2D72"/>
    <w:pPr>
      <w:spacing w:before="100" w:beforeAutospacing="1" w:after="100" w:afterAutospacing="1"/>
    </w:pPr>
    <w:rPr>
      <w:rFonts w:ascii="Times New Roman" w:eastAsia="Times New Roman" w:hAnsi="Times New Roman" w:cs="Times New Roman"/>
      <w:sz w:val="24"/>
      <w:szCs w:val="24"/>
    </w:rPr>
  </w:style>
  <w:style w:type="character" w:styleId="Mention">
    <w:name w:val="Mention"/>
    <w:basedOn w:val="DefaultParagraphFont"/>
    <w:uiPriority w:val="99"/>
    <w:unhideWhenUsed/>
    <w:rsid w:val="00E01DA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93943">
      <w:bodyDiv w:val="1"/>
      <w:marLeft w:val="0"/>
      <w:marRight w:val="0"/>
      <w:marTop w:val="0"/>
      <w:marBottom w:val="0"/>
      <w:divBdr>
        <w:top w:val="none" w:sz="0" w:space="0" w:color="auto"/>
        <w:left w:val="none" w:sz="0" w:space="0" w:color="auto"/>
        <w:bottom w:val="none" w:sz="0" w:space="0" w:color="auto"/>
        <w:right w:val="none" w:sz="0" w:space="0" w:color="auto"/>
      </w:divBdr>
      <w:divsChild>
        <w:div w:id="711423059">
          <w:marLeft w:val="274"/>
          <w:marRight w:val="0"/>
          <w:marTop w:val="240"/>
          <w:marBottom w:val="0"/>
          <w:divBdr>
            <w:top w:val="none" w:sz="0" w:space="0" w:color="auto"/>
            <w:left w:val="none" w:sz="0" w:space="0" w:color="auto"/>
            <w:bottom w:val="none" w:sz="0" w:space="0" w:color="auto"/>
            <w:right w:val="none" w:sz="0" w:space="0" w:color="auto"/>
          </w:divBdr>
        </w:div>
        <w:div w:id="1285576063">
          <w:marLeft w:val="274"/>
          <w:marRight w:val="0"/>
          <w:marTop w:val="240"/>
          <w:marBottom w:val="0"/>
          <w:divBdr>
            <w:top w:val="none" w:sz="0" w:space="0" w:color="auto"/>
            <w:left w:val="none" w:sz="0" w:space="0" w:color="auto"/>
            <w:bottom w:val="none" w:sz="0" w:space="0" w:color="auto"/>
            <w:right w:val="none" w:sz="0" w:space="0" w:color="auto"/>
          </w:divBdr>
        </w:div>
        <w:div w:id="1612274331">
          <w:marLeft w:val="274"/>
          <w:marRight w:val="0"/>
          <w:marTop w:val="240"/>
          <w:marBottom w:val="0"/>
          <w:divBdr>
            <w:top w:val="none" w:sz="0" w:space="0" w:color="auto"/>
            <w:left w:val="none" w:sz="0" w:space="0" w:color="auto"/>
            <w:bottom w:val="none" w:sz="0" w:space="0" w:color="auto"/>
            <w:right w:val="none" w:sz="0" w:space="0" w:color="auto"/>
          </w:divBdr>
        </w:div>
      </w:divsChild>
    </w:div>
    <w:div w:id="25034893">
      <w:bodyDiv w:val="1"/>
      <w:marLeft w:val="0"/>
      <w:marRight w:val="0"/>
      <w:marTop w:val="0"/>
      <w:marBottom w:val="0"/>
      <w:divBdr>
        <w:top w:val="none" w:sz="0" w:space="0" w:color="auto"/>
        <w:left w:val="none" w:sz="0" w:space="0" w:color="auto"/>
        <w:bottom w:val="none" w:sz="0" w:space="0" w:color="auto"/>
        <w:right w:val="none" w:sz="0" w:space="0" w:color="auto"/>
      </w:divBdr>
    </w:div>
    <w:div w:id="393041676">
      <w:bodyDiv w:val="1"/>
      <w:marLeft w:val="0"/>
      <w:marRight w:val="0"/>
      <w:marTop w:val="0"/>
      <w:marBottom w:val="0"/>
      <w:divBdr>
        <w:top w:val="none" w:sz="0" w:space="0" w:color="auto"/>
        <w:left w:val="none" w:sz="0" w:space="0" w:color="auto"/>
        <w:bottom w:val="none" w:sz="0" w:space="0" w:color="auto"/>
        <w:right w:val="none" w:sz="0" w:space="0" w:color="auto"/>
      </w:divBdr>
      <w:divsChild>
        <w:div w:id="6955374">
          <w:marLeft w:val="547"/>
          <w:marRight w:val="0"/>
          <w:marTop w:val="80"/>
          <w:marBottom w:val="0"/>
          <w:divBdr>
            <w:top w:val="none" w:sz="0" w:space="0" w:color="auto"/>
            <w:left w:val="none" w:sz="0" w:space="0" w:color="auto"/>
            <w:bottom w:val="none" w:sz="0" w:space="0" w:color="auto"/>
            <w:right w:val="none" w:sz="0" w:space="0" w:color="auto"/>
          </w:divBdr>
        </w:div>
        <w:div w:id="57897693">
          <w:marLeft w:val="446"/>
          <w:marRight w:val="0"/>
          <w:marTop w:val="240"/>
          <w:marBottom w:val="0"/>
          <w:divBdr>
            <w:top w:val="none" w:sz="0" w:space="0" w:color="auto"/>
            <w:left w:val="none" w:sz="0" w:space="0" w:color="auto"/>
            <w:bottom w:val="none" w:sz="0" w:space="0" w:color="auto"/>
            <w:right w:val="none" w:sz="0" w:space="0" w:color="auto"/>
          </w:divBdr>
        </w:div>
        <w:div w:id="313534800">
          <w:marLeft w:val="547"/>
          <w:marRight w:val="0"/>
          <w:marTop w:val="80"/>
          <w:marBottom w:val="0"/>
          <w:divBdr>
            <w:top w:val="none" w:sz="0" w:space="0" w:color="auto"/>
            <w:left w:val="none" w:sz="0" w:space="0" w:color="auto"/>
            <w:bottom w:val="none" w:sz="0" w:space="0" w:color="auto"/>
            <w:right w:val="none" w:sz="0" w:space="0" w:color="auto"/>
          </w:divBdr>
        </w:div>
        <w:div w:id="379599884">
          <w:marLeft w:val="446"/>
          <w:marRight w:val="0"/>
          <w:marTop w:val="240"/>
          <w:marBottom w:val="0"/>
          <w:divBdr>
            <w:top w:val="none" w:sz="0" w:space="0" w:color="auto"/>
            <w:left w:val="none" w:sz="0" w:space="0" w:color="auto"/>
            <w:bottom w:val="none" w:sz="0" w:space="0" w:color="auto"/>
            <w:right w:val="none" w:sz="0" w:space="0" w:color="auto"/>
          </w:divBdr>
        </w:div>
        <w:div w:id="574897084">
          <w:marLeft w:val="547"/>
          <w:marRight w:val="0"/>
          <w:marTop w:val="80"/>
          <w:marBottom w:val="0"/>
          <w:divBdr>
            <w:top w:val="none" w:sz="0" w:space="0" w:color="auto"/>
            <w:left w:val="none" w:sz="0" w:space="0" w:color="auto"/>
            <w:bottom w:val="none" w:sz="0" w:space="0" w:color="auto"/>
            <w:right w:val="none" w:sz="0" w:space="0" w:color="auto"/>
          </w:divBdr>
        </w:div>
        <w:div w:id="1012800695">
          <w:marLeft w:val="547"/>
          <w:marRight w:val="0"/>
          <w:marTop w:val="80"/>
          <w:marBottom w:val="0"/>
          <w:divBdr>
            <w:top w:val="none" w:sz="0" w:space="0" w:color="auto"/>
            <w:left w:val="none" w:sz="0" w:space="0" w:color="auto"/>
            <w:bottom w:val="none" w:sz="0" w:space="0" w:color="auto"/>
            <w:right w:val="none" w:sz="0" w:space="0" w:color="auto"/>
          </w:divBdr>
        </w:div>
        <w:div w:id="1204443689">
          <w:marLeft w:val="547"/>
          <w:marRight w:val="0"/>
          <w:marTop w:val="80"/>
          <w:marBottom w:val="0"/>
          <w:divBdr>
            <w:top w:val="none" w:sz="0" w:space="0" w:color="auto"/>
            <w:left w:val="none" w:sz="0" w:space="0" w:color="auto"/>
            <w:bottom w:val="none" w:sz="0" w:space="0" w:color="auto"/>
            <w:right w:val="none" w:sz="0" w:space="0" w:color="auto"/>
          </w:divBdr>
        </w:div>
        <w:div w:id="1578519747">
          <w:marLeft w:val="547"/>
          <w:marRight w:val="0"/>
          <w:marTop w:val="80"/>
          <w:marBottom w:val="0"/>
          <w:divBdr>
            <w:top w:val="none" w:sz="0" w:space="0" w:color="auto"/>
            <w:left w:val="none" w:sz="0" w:space="0" w:color="auto"/>
            <w:bottom w:val="none" w:sz="0" w:space="0" w:color="auto"/>
            <w:right w:val="none" w:sz="0" w:space="0" w:color="auto"/>
          </w:divBdr>
        </w:div>
        <w:div w:id="2020546191">
          <w:marLeft w:val="547"/>
          <w:marRight w:val="0"/>
          <w:marTop w:val="80"/>
          <w:marBottom w:val="0"/>
          <w:divBdr>
            <w:top w:val="none" w:sz="0" w:space="0" w:color="auto"/>
            <w:left w:val="none" w:sz="0" w:space="0" w:color="auto"/>
            <w:bottom w:val="none" w:sz="0" w:space="0" w:color="auto"/>
            <w:right w:val="none" w:sz="0" w:space="0" w:color="auto"/>
          </w:divBdr>
        </w:div>
        <w:div w:id="2039307041">
          <w:marLeft w:val="446"/>
          <w:marRight w:val="0"/>
          <w:marTop w:val="240"/>
          <w:marBottom w:val="0"/>
          <w:divBdr>
            <w:top w:val="none" w:sz="0" w:space="0" w:color="auto"/>
            <w:left w:val="none" w:sz="0" w:space="0" w:color="auto"/>
            <w:bottom w:val="none" w:sz="0" w:space="0" w:color="auto"/>
            <w:right w:val="none" w:sz="0" w:space="0" w:color="auto"/>
          </w:divBdr>
        </w:div>
        <w:div w:id="2064668042">
          <w:marLeft w:val="547"/>
          <w:marRight w:val="0"/>
          <w:marTop w:val="80"/>
          <w:marBottom w:val="0"/>
          <w:divBdr>
            <w:top w:val="none" w:sz="0" w:space="0" w:color="auto"/>
            <w:left w:val="none" w:sz="0" w:space="0" w:color="auto"/>
            <w:bottom w:val="none" w:sz="0" w:space="0" w:color="auto"/>
            <w:right w:val="none" w:sz="0" w:space="0" w:color="auto"/>
          </w:divBdr>
        </w:div>
      </w:divsChild>
    </w:div>
    <w:div w:id="460609383">
      <w:bodyDiv w:val="1"/>
      <w:marLeft w:val="0"/>
      <w:marRight w:val="0"/>
      <w:marTop w:val="0"/>
      <w:marBottom w:val="0"/>
      <w:divBdr>
        <w:top w:val="none" w:sz="0" w:space="0" w:color="auto"/>
        <w:left w:val="none" w:sz="0" w:space="0" w:color="auto"/>
        <w:bottom w:val="none" w:sz="0" w:space="0" w:color="auto"/>
        <w:right w:val="none" w:sz="0" w:space="0" w:color="auto"/>
      </w:divBdr>
    </w:div>
    <w:div w:id="576593399">
      <w:bodyDiv w:val="1"/>
      <w:marLeft w:val="0"/>
      <w:marRight w:val="0"/>
      <w:marTop w:val="0"/>
      <w:marBottom w:val="0"/>
      <w:divBdr>
        <w:top w:val="none" w:sz="0" w:space="0" w:color="auto"/>
        <w:left w:val="none" w:sz="0" w:space="0" w:color="auto"/>
        <w:bottom w:val="none" w:sz="0" w:space="0" w:color="auto"/>
        <w:right w:val="none" w:sz="0" w:space="0" w:color="auto"/>
      </w:divBdr>
    </w:div>
    <w:div w:id="706954538">
      <w:bodyDiv w:val="1"/>
      <w:marLeft w:val="0"/>
      <w:marRight w:val="0"/>
      <w:marTop w:val="0"/>
      <w:marBottom w:val="0"/>
      <w:divBdr>
        <w:top w:val="none" w:sz="0" w:space="0" w:color="auto"/>
        <w:left w:val="none" w:sz="0" w:space="0" w:color="auto"/>
        <w:bottom w:val="none" w:sz="0" w:space="0" w:color="auto"/>
        <w:right w:val="none" w:sz="0" w:space="0" w:color="auto"/>
      </w:divBdr>
      <w:divsChild>
        <w:div w:id="187570901">
          <w:marLeft w:val="274"/>
          <w:marRight w:val="0"/>
          <w:marTop w:val="240"/>
          <w:marBottom w:val="0"/>
          <w:divBdr>
            <w:top w:val="none" w:sz="0" w:space="0" w:color="auto"/>
            <w:left w:val="none" w:sz="0" w:space="0" w:color="auto"/>
            <w:bottom w:val="none" w:sz="0" w:space="0" w:color="auto"/>
            <w:right w:val="none" w:sz="0" w:space="0" w:color="auto"/>
          </w:divBdr>
        </w:div>
        <w:div w:id="299963435">
          <w:marLeft w:val="547"/>
          <w:marRight w:val="0"/>
          <w:marTop w:val="80"/>
          <w:marBottom w:val="0"/>
          <w:divBdr>
            <w:top w:val="none" w:sz="0" w:space="0" w:color="auto"/>
            <w:left w:val="none" w:sz="0" w:space="0" w:color="auto"/>
            <w:bottom w:val="none" w:sz="0" w:space="0" w:color="auto"/>
            <w:right w:val="none" w:sz="0" w:space="0" w:color="auto"/>
          </w:divBdr>
        </w:div>
        <w:div w:id="387219299">
          <w:marLeft w:val="547"/>
          <w:marRight w:val="0"/>
          <w:marTop w:val="80"/>
          <w:marBottom w:val="0"/>
          <w:divBdr>
            <w:top w:val="none" w:sz="0" w:space="0" w:color="auto"/>
            <w:left w:val="none" w:sz="0" w:space="0" w:color="auto"/>
            <w:bottom w:val="none" w:sz="0" w:space="0" w:color="auto"/>
            <w:right w:val="none" w:sz="0" w:space="0" w:color="auto"/>
          </w:divBdr>
        </w:div>
        <w:div w:id="996491725">
          <w:marLeft w:val="274"/>
          <w:marRight w:val="0"/>
          <w:marTop w:val="240"/>
          <w:marBottom w:val="0"/>
          <w:divBdr>
            <w:top w:val="none" w:sz="0" w:space="0" w:color="auto"/>
            <w:left w:val="none" w:sz="0" w:space="0" w:color="auto"/>
            <w:bottom w:val="none" w:sz="0" w:space="0" w:color="auto"/>
            <w:right w:val="none" w:sz="0" w:space="0" w:color="auto"/>
          </w:divBdr>
        </w:div>
        <w:div w:id="1153527919">
          <w:marLeft w:val="274"/>
          <w:marRight w:val="0"/>
          <w:marTop w:val="240"/>
          <w:marBottom w:val="0"/>
          <w:divBdr>
            <w:top w:val="none" w:sz="0" w:space="0" w:color="auto"/>
            <w:left w:val="none" w:sz="0" w:space="0" w:color="auto"/>
            <w:bottom w:val="none" w:sz="0" w:space="0" w:color="auto"/>
            <w:right w:val="none" w:sz="0" w:space="0" w:color="auto"/>
          </w:divBdr>
        </w:div>
        <w:div w:id="1289968717">
          <w:marLeft w:val="547"/>
          <w:marRight w:val="0"/>
          <w:marTop w:val="80"/>
          <w:marBottom w:val="0"/>
          <w:divBdr>
            <w:top w:val="none" w:sz="0" w:space="0" w:color="auto"/>
            <w:left w:val="none" w:sz="0" w:space="0" w:color="auto"/>
            <w:bottom w:val="none" w:sz="0" w:space="0" w:color="auto"/>
            <w:right w:val="none" w:sz="0" w:space="0" w:color="auto"/>
          </w:divBdr>
        </w:div>
      </w:divsChild>
    </w:div>
    <w:div w:id="732776147">
      <w:bodyDiv w:val="1"/>
      <w:marLeft w:val="0"/>
      <w:marRight w:val="0"/>
      <w:marTop w:val="0"/>
      <w:marBottom w:val="0"/>
      <w:divBdr>
        <w:top w:val="none" w:sz="0" w:space="0" w:color="auto"/>
        <w:left w:val="none" w:sz="0" w:space="0" w:color="auto"/>
        <w:bottom w:val="none" w:sz="0" w:space="0" w:color="auto"/>
        <w:right w:val="none" w:sz="0" w:space="0" w:color="auto"/>
      </w:divBdr>
      <w:divsChild>
        <w:div w:id="101267204">
          <w:marLeft w:val="446"/>
          <w:marRight w:val="0"/>
          <w:marTop w:val="240"/>
          <w:marBottom w:val="0"/>
          <w:divBdr>
            <w:top w:val="none" w:sz="0" w:space="0" w:color="auto"/>
            <w:left w:val="none" w:sz="0" w:space="0" w:color="auto"/>
            <w:bottom w:val="none" w:sz="0" w:space="0" w:color="auto"/>
            <w:right w:val="none" w:sz="0" w:space="0" w:color="auto"/>
          </w:divBdr>
        </w:div>
        <w:div w:id="150561751">
          <w:marLeft w:val="1066"/>
          <w:marRight w:val="0"/>
          <w:marTop w:val="80"/>
          <w:marBottom w:val="0"/>
          <w:divBdr>
            <w:top w:val="none" w:sz="0" w:space="0" w:color="auto"/>
            <w:left w:val="none" w:sz="0" w:space="0" w:color="auto"/>
            <w:bottom w:val="none" w:sz="0" w:space="0" w:color="auto"/>
            <w:right w:val="none" w:sz="0" w:space="0" w:color="auto"/>
          </w:divBdr>
        </w:div>
        <w:div w:id="368384316">
          <w:marLeft w:val="547"/>
          <w:marRight w:val="0"/>
          <w:marTop w:val="80"/>
          <w:marBottom w:val="0"/>
          <w:divBdr>
            <w:top w:val="none" w:sz="0" w:space="0" w:color="auto"/>
            <w:left w:val="none" w:sz="0" w:space="0" w:color="auto"/>
            <w:bottom w:val="none" w:sz="0" w:space="0" w:color="auto"/>
            <w:right w:val="none" w:sz="0" w:space="0" w:color="auto"/>
          </w:divBdr>
        </w:div>
        <w:div w:id="823936366">
          <w:marLeft w:val="547"/>
          <w:marRight w:val="0"/>
          <w:marTop w:val="80"/>
          <w:marBottom w:val="0"/>
          <w:divBdr>
            <w:top w:val="none" w:sz="0" w:space="0" w:color="auto"/>
            <w:left w:val="none" w:sz="0" w:space="0" w:color="auto"/>
            <w:bottom w:val="none" w:sz="0" w:space="0" w:color="auto"/>
            <w:right w:val="none" w:sz="0" w:space="0" w:color="auto"/>
          </w:divBdr>
        </w:div>
        <w:div w:id="943423269">
          <w:marLeft w:val="547"/>
          <w:marRight w:val="0"/>
          <w:marTop w:val="80"/>
          <w:marBottom w:val="0"/>
          <w:divBdr>
            <w:top w:val="none" w:sz="0" w:space="0" w:color="auto"/>
            <w:left w:val="none" w:sz="0" w:space="0" w:color="auto"/>
            <w:bottom w:val="none" w:sz="0" w:space="0" w:color="auto"/>
            <w:right w:val="none" w:sz="0" w:space="0" w:color="auto"/>
          </w:divBdr>
        </w:div>
        <w:div w:id="1595091159">
          <w:marLeft w:val="446"/>
          <w:marRight w:val="0"/>
          <w:marTop w:val="240"/>
          <w:marBottom w:val="0"/>
          <w:divBdr>
            <w:top w:val="none" w:sz="0" w:space="0" w:color="auto"/>
            <w:left w:val="none" w:sz="0" w:space="0" w:color="auto"/>
            <w:bottom w:val="none" w:sz="0" w:space="0" w:color="auto"/>
            <w:right w:val="none" w:sz="0" w:space="0" w:color="auto"/>
          </w:divBdr>
        </w:div>
        <w:div w:id="1673068594">
          <w:marLeft w:val="547"/>
          <w:marRight w:val="0"/>
          <w:marTop w:val="80"/>
          <w:marBottom w:val="0"/>
          <w:divBdr>
            <w:top w:val="none" w:sz="0" w:space="0" w:color="auto"/>
            <w:left w:val="none" w:sz="0" w:space="0" w:color="auto"/>
            <w:bottom w:val="none" w:sz="0" w:space="0" w:color="auto"/>
            <w:right w:val="none" w:sz="0" w:space="0" w:color="auto"/>
          </w:divBdr>
        </w:div>
        <w:div w:id="1850824127">
          <w:marLeft w:val="1066"/>
          <w:marRight w:val="0"/>
          <w:marTop w:val="80"/>
          <w:marBottom w:val="0"/>
          <w:divBdr>
            <w:top w:val="none" w:sz="0" w:space="0" w:color="auto"/>
            <w:left w:val="none" w:sz="0" w:space="0" w:color="auto"/>
            <w:bottom w:val="none" w:sz="0" w:space="0" w:color="auto"/>
            <w:right w:val="none" w:sz="0" w:space="0" w:color="auto"/>
          </w:divBdr>
        </w:div>
        <w:div w:id="1980912983">
          <w:marLeft w:val="547"/>
          <w:marRight w:val="0"/>
          <w:marTop w:val="80"/>
          <w:marBottom w:val="0"/>
          <w:divBdr>
            <w:top w:val="none" w:sz="0" w:space="0" w:color="auto"/>
            <w:left w:val="none" w:sz="0" w:space="0" w:color="auto"/>
            <w:bottom w:val="none" w:sz="0" w:space="0" w:color="auto"/>
            <w:right w:val="none" w:sz="0" w:space="0" w:color="auto"/>
          </w:divBdr>
        </w:div>
      </w:divsChild>
    </w:div>
    <w:div w:id="759452315">
      <w:bodyDiv w:val="1"/>
      <w:marLeft w:val="0"/>
      <w:marRight w:val="0"/>
      <w:marTop w:val="0"/>
      <w:marBottom w:val="0"/>
      <w:divBdr>
        <w:top w:val="none" w:sz="0" w:space="0" w:color="auto"/>
        <w:left w:val="none" w:sz="0" w:space="0" w:color="auto"/>
        <w:bottom w:val="none" w:sz="0" w:space="0" w:color="auto"/>
        <w:right w:val="none" w:sz="0" w:space="0" w:color="auto"/>
      </w:divBdr>
    </w:div>
    <w:div w:id="866984801">
      <w:bodyDiv w:val="1"/>
      <w:marLeft w:val="0"/>
      <w:marRight w:val="0"/>
      <w:marTop w:val="0"/>
      <w:marBottom w:val="0"/>
      <w:divBdr>
        <w:top w:val="none" w:sz="0" w:space="0" w:color="auto"/>
        <w:left w:val="none" w:sz="0" w:space="0" w:color="auto"/>
        <w:bottom w:val="none" w:sz="0" w:space="0" w:color="auto"/>
        <w:right w:val="none" w:sz="0" w:space="0" w:color="auto"/>
      </w:divBdr>
    </w:div>
    <w:div w:id="962885646">
      <w:bodyDiv w:val="1"/>
      <w:marLeft w:val="0"/>
      <w:marRight w:val="0"/>
      <w:marTop w:val="0"/>
      <w:marBottom w:val="0"/>
      <w:divBdr>
        <w:top w:val="none" w:sz="0" w:space="0" w:color="auto"/>
        <w:left w:val="none" w:sz="0" w:space="0" w:color="auto"/>
        <w:bottom w:val="none" w:sz="0" w:space="0" w:color="auto"/>
        <w:right w:val="none" w:sz="0" w:space="0" w:color="auto"/>
      </w:divBdr>
      <w:divsChild>
        <w:div w:id="187374617">
          <w:marLeft w:val="274"/>
          <w:marRight w:val="0"/>
          <w:marTop w:val="120"/>
          <w:marBottom w:val="0"/>
          <w:divBdr>
            <w:top w:val="none" w:sz="0" w:space="0" w:color="auto"/>
            <w:left w:val="none" w:sz="0" w:space="0" w:color="auto"/>
            <w:bottom w:val="none" w:sz="0" w:space="0" w:color="auto"/>
            <w:right w:val="none" w:sz="0" w:space="0" w:color="auto"/>
          </w:divBdr>
        </w:div>
        <w:div w:id="431635879">
          <w:marLeft w:val="274"/>
          <w:marRight w:val="0"/>
          <w:marTop w:val="120"/>
          <w:marBottom w:val="0"/>
          <w:divBdr>
            <w:top w:val="none" w:sz="0" w:space="0" w:color="auto"/>
            <w:left w:val="none" w:sz="0" w:space="0" w:color="auto"/>
            <w:bottom w:val="none" w:sz="0" w:space="0" w:color="auto"/>
            <w:right w:val="none" w:sz="0" w:space="0" w:color="auto"/>
          </w:divBdr>
        </w:div>
        <w:div w:id="565147026">
          <w:marLeft w:val="274"/>
          <w:marRight w:val="0"/>
          <w:marTop w:val="120"/>
          <w:marBottom w:val="0"/>
          <w:divBdr>
            <w:top w:val="none" w:sz="0" w:space="0" w:color="auto"/>
            <w:left w:val="none" w:sz="0" w:space="0" w:color="auto"/>
            <w:bottom w:val="none" w:sz="0" w:space="0" w:color="auto"/>
            <w:right w:val="none" w:sz="0" w:space="0" w:color="auto"/>
          </w:divBdr>
        </w:div>
        <w:div w:id="1796172990">
          <w:marLeft w:val="274"/>
          <w:marRight w:val="0"/>
          <w:marTop w:val="120"/>
          <w:marBottom w:val="0"/>
          <w:divBdr>
            <w:top w:val="none" w:sz="0" w:space="0" w:color="auto"/>
            <w:left w:val="none" w:sz="0" w:space="0" w:color="auto"/>
            <w:bottom w:val="none" w:sz="0" w:space="0" w:color="auto"/>
            <w:right w:val="none" w:sz="0" w:space="0" w:color="auto"/>
          </w:divBdr>
        </w:div>
      </w:divsChild>
    </w:div>
    <w:div w:id="1017660854">
      <w:bodyDiv w:val="1"/>
      <w:marLeft w:val="0"/>
      <w:marRight w:val="0"/>
      <w:marTop w:val="0"/>
      <w:marBottom w:val="0"/>
      <w:divBdr>
        <w:top w:val="none" w:sz="0" w:space="0" w:color="auto"/>
        <w:left w:val="none" w:sz="0" w:space="0" w:color="auto"/>
        <w:bottom w:val="none" w:sz="0" w:space="0" w:color="auto"/>
        <w:right w:val="none" w:sz="0" w:space="0" w:color="auto"/>
      </w:divBdr>
    </w:div>
    <w:div w:id="1038702228">
      <w:bodyDiv w:val="1"/>
      <w:marLeft w:val="0"/>
      <w:marRight w:val="0"/>
      <w:marTop w:val="0"/>
      <w:marBottom w:val="0"/>
      <w:divBdr>
        <w:top w:val="none" w:sz="0" w:space="0" w:color="auto"/>
        <w:left w:val="none" w:sz="0" w:space="0" w:color="auto"/>
        <w:bottom w:val="none" w:sz="0" w:space="0" w:color="auto"/>
        <w:right w:val="none" w:sz="0" w:space="0" w:color="auto"/>
      </w:divBdr>
      <w:divsChild>
        <w:div w:id="349600044">
          <w:marLeft w:val="274"/>
          <w:marRight w:val="0"/>
          <w:marTop w:val="0"/>
          <w:marBottom w:val="120"/>
          <w:divBdr>
            <w:top w:val="none" w:sz="0" w:space="0" w:color="auto"/>
            <w:left w:val="none" w:sz="0" w:space="0" w:color="auto"/>
            <w:bottom w:val="none" w:sz="0" w:space="0" w:color="auto"/>
            <w:right w:val="none" w:sz="0" w:space="0" w:color="auto"/>
          </w:divBdr>
        </w:div>
        <w:div w:id="762913922">
          <w:marLeft w:val="274"/>
          <w:marRight w:val="0"/>
          <w:marTop w:val="0"/>
          <w:marBottom w:val="120"/>
          <w:divBdr>
            <w:top w:val="none" w:sz="0" w:space="0" w:color="auto"/>
            <w:left w:val="none" w:sz="0" w:space="0" w:color="auto"/>
            <w:bottom w:val="none" w:sz="0" w:space="0" w:color="auto"/>
            <w:right w:val="none" w:sz="0" w:space="0" w:color="auto"/>
          </w:divBdr>
        </w:div>
        <w:div w:id="1068380449">
          <w:marLeft w:val="274"/>
          <w:marRight w:val="0"/>
          <w:marTop w:val="0"/>
          <w:marBottom w:val="120"/>
          <w:divBdr>
            <w:top w:val="none" w:sz="0" w:space="0" w:color="auto"/>
            <w:left w:val="none" w:sz="0" w:space="0" w:color="auto"/>
            <w:bottom w:val="none" w:sz="0" w:space="0" w:color="auto"/>
            <w:right w:val="none" w:sz="0" w:space="0" w:color="auto"/>
          </w:divBdr>
        </w:div>
        <w:div w:id="1113328015">
          <w:marLeft w:val="274"/>
          <w:marRight w:val="0"/>
          <w:marTop w:val="0"/>
          <w:marBottom w:val="120"/>
          <w:divBdr>
            <w:top w:val="none" w:sz="0" w:space="0" w:color="auto"/>
            <w:left w:val="none" w:sz="0" w:space="0" w:color="auto"/>
            <w:bottom w:val="none" w:sz="0" w:space="0" w:color="auto"/>
            <w:right w:val="none" w:sz="0" w:space="0" w:color="auto"/>
          </w:divBdr>
        </w:div>
        <w:div w:id="1132210969">
          <w:marLeft w:val="274"/>
          <w:marRight w:val="0"/>
          <w:marTop w:val="0"/>
          <w:marBottom w:val="120"/>
          <w:divBdr>
            <w:top w:val="none" w:sz="0" w:space="0" w:color="auto"/>
            <w:left w:val="none" w:sz="0" w:space="0" w:color="auto"/>
            <w:bottom w:val="none" w:sz="0" w:space="0" w:color="auto"/>
            <w:right w:val="none" w:sz="0" w:space="0" w:color="auto"/>
          </w:divBdr>
        </w:div>
        <w:div w:id="1728527973">
          <w:marLeft w:val="274"/>
          <w:marRight w:val="0"/>
          <w:marTop w:val="0"/>
          <w:marBottom w:val="120"/>
          <w:divBdr>
            <w:top w:val="none" w:sz="0" w:space="0" w:color="auto"/>
            <w:left w:val="none" w:sz="0" w:space="0" w:color="auto"/>
            <w:bottom w:val="none" w:sz="0" w:space="0" w:color="auto"/>
            <w:right w:val="none" w:sz="0" w:space="0" w:color="auto"/>
          </w:divBdr>
        </w:div>
        <w:div w:id="1836410596">
          <w:marLeft w:val="274"/>
          <w:marRight w:val="0"/>
          <w:marTop w:val="0"/>
          <w:marBottom w:val="120"/>
          <w:divBdr>
            <w:top w:val="none" w:sz="0" w:space="0" w:color="auto"/>
            <w:left w:val="none" w:sz="0" w:space="0" w:color="auto"/>
            <w:bottom w:val="none" w:sz="0" w:space="0" w:color="auto"/>
            <w:right w:val="none" w:sz="0" w:space="0" w:color="auto"/>
          </w:divBdr>
        </w:div>
        <w:div w:id="1991250845">
          <w:marLeft w:val="274"/>
          <w:marRight w:val="0"/>
          <w:marTop w:val="0"/>
          <w:marBottom w:val="120"/>
          <w:divBdr>
            <w:top w:val="none" w:sz="0" w:space="0" w:color="auto"/>
            <w:left w:val="none" w:sz="0" w:space="0" w:color="auto"/>
            <w:bottom w:val="none" w:sz="0" w:space="0" w:color="auto"/>
            <w:right w:val="none" w:sz="0" w:space="0" w:color="auto"/>
          </w:divBdr>
        </w:div>
      </w:divsChild>
    </w:div>
    <w:div w:id="1053819568">
      <w:bodyDiv w:val="1"/>
      <w:marLeft w:val="0"/>
      <w:marRight w:val="0"/>
      <w:marTop w:val="0"/>
      <w:marBottom w:val="0"/>
      <w:divBdr>
        <w:top w:val="none" w:sz="0" w:space="0" w:color="auto"/>
        <w:left w:val="none" w:sz="0" w:space="0" w:color="auto"/>
        <w:bottom w:val="none" w:sz="0" w:space="0" w:color="auto"/>
        <w:right w:val="none" w:sz="0" w:space="0" w:color="auto"/>
      </w:divBdr>
    </w:div>
    <w:div w:id="1072972507">
      <w:bodyDiv w:val="1"/>
      <w:marLeft w:val="0"/>
      <w:marRight w:val="0"/>
      <w:marTop w:val="0"/>
      <w:marBottom w:val="0"/>
      <w:divBdr>
        <w:top w:val="none" w:sz="0" w:space="0" w:color="auto"/>
        <w:left w:val="none" w:sz="0" w:space="0" w:color="auto"/>
        <w:bottom w:val="none" w:sz="0" w:space="0" w:color="auto"/>
        <w:right w:val="none" w:sz="0" w:space="0" w:color="auto"/>
      </w:divBdr>
    </w:div>
    <w:div w:id="1086850384">
      <w:bodyDiv w:val="1"/>
      <w:marLeft w:val="0"/>
      <w:marRight w:val="0"/>
      <w:marTop w:val="0"/>
      <w:marBottom w:val="0"/>
      <w:divBdr>
        <w:top w:val="none" w:sz="0" w:space="0" w:color="auto"/>
        <w:left w:val="none" w:sz="0" w:space="0" w:color="auto"/>
        <w:bottom w:val="none" w:sz="0" w:space="0" w:color="auto"/>
        <w:right w:val="none" w:sz="0" w:space="0" w:color="auto"/>
      </w:divBdr>
    </w:div>
    <w:div w:id="1106080394">
      <w:bodyDiv w:val="1"/>
      <w:marLeft w:val="0"/>
      <w:marRight w:val="0"/>
      <w:marTop w:val="0"/>
      <w:marBottom w:val="0"/>
      <w:divBdr>
        <w:top w:val="none" w:sz="0" w:space="0" w:color="auto"/>
        <w:left w:val="none" w:sz="0" w:space="0" w:color="auto"/>
        <w:bottom w:val="none" w:sz="0" w:space="0" w:color="auto"/>
        <w:right w:val="none" w:sz="0" w:space="0" w:color="auto"/>
      </w:divBdr>
    </w:div>
    <w:div w:id="1201433458">
      <w:bodyDiv w:val="1"/>
      <w:marLeft w:val="0"/>
      <w:marRight w:val="0"/>
      <w:marTop w:val="0"/>
      <w:marBottom w:val="0"/>
      <w:divBdr>
        <w:top w:val="none" w:sz="0" w:space="0" w:color="auto"/>
        <w:left w:val="none" w:sz="0" w:space="0" w:color="auto"/>
        <w:bottom w:val="none" w:sz="0" w:space="0" w:color="auto"/>
        <w:right w:val="none" w:sz="0" w:space="0" w:color="auto"/>
      </w:divBdr>
    </w:div>
    <w:div w:id="1241595180">
      <w:bodyDiv w:val="1"/>
      <w:marLeft w:val="0"/>
      <w:marRight w:val="0"/>
      <w:marTop w:val="0"/>
      <w:marBottom w:val="0"/>
      <w:divBdr>
        <w:top w:val="none" w:sz="0" w:space="0" w:color="auto"/>
        <w:left w:val="none" w:sz="0" w:space="0" w:color="auto"/>
        <w:bottom w:val="none" w:sz="0" w:space="0" w:color="auto"/>
        <w:right w:val="none" w:sz="0" w:space="0" w:color="auto"/>
      </w:divBdr>
    </w:div>
    <w:div w:id="1291941402">
      <w:bodyDiv w:val="1"/>
      <w:marLeft w:val="0"/>
      <w:marRight w:val="0"/>
      <w:marTop w:val="0"/>
      <w:marBottom w:val="0"/>
      <w:divBdr>
        <w:top w:val="none" w:sz="0" w:space="0" w:color="auto"/>
        <w:left w:val="none" w:sz="0" w:space="0" w:color="auto"/>
        <w:bottom w:val="none" w:sz="0" w:space="0" w:color="auto"/>
        <w:right w:val="none" w:sz="0" w:space="0" w:color="auto"/>
      </w:divBdr>
    </w:div>
    <w:div w:id="1297644749">
      <w:bodyDiv w:val="1"/>
      <w:marLeft w:val="0"/>
      <w:marRight w:val="0"/>
      <w:marTop w:val="0"/>
      <w:marBottom w:val="0"/>
      <w:divBdr>
        <w:top w:val="none" w:sz="0" w:space="0" w:color="auto"/>
        <w:left w:val="none" w:sz="0" w:space="0" w:color="auto"/>
        <w:bottom w:val="none" w:sz="0" w:space="0" w:color="auto"/>
        <w:right w:val="none" w:sz="0" w:space="0" w:color="auto"/>
      </w:divBdr>
    </w:div>
    <w:div w:id="1305741182">
      <w:bodyDiv w:val="1"/>
      <w:marLeft w:val="0"/>
      <w:marRight w:val="0"/>
      <w:marTop w:val="0"/>
      <w:marBottom w:val="0"/>
      <w:divBdr>
        <w:top w:val="none" w:sz="0" w:space="0" w:color="auto"/>
        <w:left w:val="none" w:sz="0" w:space="0" w:color="auto"/>
        <w:bottom w:val="none" w:sz="0" w:space="0" w:color="auto"/>
        <w:right w:val="none" w:sz="0" w:space="0" w:color="auto"/>
      </w:divBdr>
    </w:div>
    <w:div w:id="1354189944">
      <w:bodyDiv w:val="1"/>
      <w:marLeft w:val="0"/>
      <w:marRight w:val="0"/>
      <w:marTop w:val="0"/>
      <w:marBottom w:val="0"/>
      <w:divBdr>
        <w:top w:val="none" w:sz="0" w:space="0" w:color="auto"/>
        <w:left w:val="none" w:sz="0" w:space="0" w:color="auto"/>
        <w:bottom w:val="none" w:sz="0" w:space="0" w:color="auto"/>
        <w:right w:val="none" w:sz="0" w:space="0" w:color="auto"/>
      </w:divBdr>
      <w:divsChild>
        <w:div w:id="208541154">
          <w:marLeft w:val="274"/>
          <w:marRight w:val="0"/>
          <w:marTop w:val="0"/>
          <w:marBottom w:val="120"/>
          <w:divBdr>
            <w:top w:val="none" w:sz="0" w:space="0" w:color="auto"/>
            <w:left w:val="none" w:sz="0" w:space="0" w:color="auto"/>
            <w:bottom w:val="none" w:sz="0" w:space="0" w:color="auto"/>
            <w:right w:val="none" w:sz="0" w:space="0" w:color="auto"/>
          </w:divBdr>
        </w:div>
        <w:div w:id="211426133">
          <w:marLeft w:val="274"/>
          <w:marRight w:val="0"/>
          <w:marTop w:val="0"/>
          <w:marBottom w:val="120"/>
          <w:divBdr>
            <w:top w:val="none" w:sz="0" w:space="0" w:color="auto"/>
            <w:left w:val="none" w:sz="0" w:space="0" w:color="auto"/>
            <w:bottom w:val="none" w:sz="0" w:space="0" w:color="auto"/>
            <w:right w:val="none" w:sz="0" w:space="0" w:color="auto"/>
          </w:divBdr>
        </w:div>
        <w:div w:id="498932038">
          <w:marLeft w:val="274"/>
          <w:marRight w:val="0"/>
          <w:marTop w:val="0"/>
          <w:marBottom w:val="120"/>
          <w:divBdr>
            <w:top w:val="none" w:sz="0" w:space="0" w:color="auto"/>
            <w:left w:val="none" w:sz="0" w:space="0" w:color="auto"/>
            <w:bottom w:val="none" w:sz="0" w:space="0" w:color="auto"/>
            <w:right w:val="none" w:sz="0" w:space="0" w:color="auto"/>
          </w:divBdr>
        </w:div>
        <w:div w:id="591202233">
          <w:marLeft w:val="274"/>
          <w:marRight w:val="0"/>
          <w:marTop w:val="0"/>
          <w:marBottom w:val="120"/>
          <w:divBdr>
            <w:top w:val="none" w:sz="0" w:space="0" w:color="auto"/>
            <w:left w:val="none" w:sz="0" w:space="0" w:color="auto"/>
            <w:bottom w:val="none" w:sz="0" w:space="0" w:color="auto"/>
            <w:right w:val="none" w:sz="0" w:space="0" w:color="auto"/>
          </w:divBdr>
        </w:div>
        <w:div w:id="1088768321">
          <w:marLeft w:val="274"/>
          <w:marRight w:val="0"/>
          <w:marTop w:val="0"/>
          <w:marBottom w:val="120"/>
          <w:divBdr>
            <w:top w:val="none" w:sz="0" w:space="0" w:color="auto"/>
            <w:left w:val="none" w:sz="0" w:space="0" w:color="auto"/>
            <w:bottom w:val="none" w:sz="0" w:space="0" w:color="auto"/>
            <w:right w:val="none" w:sz="0" w:space="0" w:color="auto"/>
          </w:divBdr>
        </w:div>
        <w:div w:id="1185367847">
          <w:marLeft w:val="274"/>
          <w:marRight w:val="0"/>
          <w:marTop w:val="0"/>
          <w:marBottom w:val="120"/>
          <w:divBdr>
            <w:top w:val="none" w:sz="0" w:space="0" w:color="auto"/>
            <w:left w:val="none" w:sz="0" w:space="0" w:color="auto"/>
            <w:bottom w:val="none" w:sz="0" w:space="0" w:color="auto"/>
            <w:right w:val="none" w:sz="0" w:space="0" w:color="auto"/>
          </w:divBdr>
        </w:div>
        <w:div w:id="1454710995">
          <w:marLeft w:val="274"/>
          <w:marRight w:val="0"/>
          <w:marTop w:val="0"/>
          <w:marBottom w:val="120"/>
          <w:divBdr>
            <w:top w:val="none" w:sz="0" w:space="0" w:color="auto"/>
            <w:left w:val="none" w:sz="0" w:space="0" w:color="auto"/>
            <w:bottom w:val="none" w:sz="0" w:space="0" w:color="auto"/>
            <w:right w:val="none" w:sz="0" w:space="0" w:color="auto"/>
          </w:divBdr>
        </w:div>
        <w:div w:id="1707100052">
          <w:marLeft w:val="274"/>
          <w:marRight w:val="0"/>
          <w:marTop w:val="0"/>
          <w:marBottom w:val="120"/>
          <w:divBdr>
            <w:top w:val="none" w:sz="0" w:space="0" w:color="auto"/>
            <w:left w:val="none" w:sz="0" w:space="0" w:color="auto"/>
            <w:bottom w:val="none" w:sz="0" w:space="0" w:color="auto"/>
            <w:right w:val="none" w:sz="0" w:space="0" w:color="auto"/>
          </w:divBdr>
        </w:div>
      </w:divsChild>
    </w:div>
    <w:div w:id="1396510064">
      <w:bodyDiv w:val="1"/>
      <w:marLeft w:val="0"/>
      <w:marRight w:val="0"/>
      <w:marTop w:val="0"/>
      <w:marBottom w:val="0"/>
      <w:divBdr>
        <w:top w:val="none" w:sz="0" w:space="0" w:color="auto"/>
        <w:left w:val="none" w:sz="0" w:space="0" w:color="auto"/>
        <w:bottom w:val="none" w:sz="0" w:space="0" w:color="auto"/>
        <w:right w:val="none" w:sz="0" w:space="0" w:color="auto"/>
      </w:divBdr>
      <w:divsChild>
        <w:div w:id="58021630">
          <w:marLeft w:val="274"/>
          <w:marRight w:val="0"/>
          <w:marTop w:val="240"/>
          <w:marBottom w:val="0"/>
          <w:divBdr>
            <w:top w:val="none" w:sz="0" w:space="0" w:color="auto"/>
            <w:left w:val="none" w:sz="0" w:space="0" w:color="auto"/>
            <w:bottom w:val="none" w:sz="0" w:space="0" w:color="auto"/>
            <w:right w:val="none" w:sz="0" w:space="0" w:color="auto"/>
          </w:divBdr>
        </w:div>
        <w:div w:id="240796206">
          <w:marLeft w:val="274"/>
          <w:marRight w:val="0"/>
          <w:marTop w:val="240"/>
          <w:marBottom w:val="0"/>
          <w:divBdr>
            <w:top w:val="none" w:sz="0" w:space="0" w:color="auto"/>
            <w:left w:val="none" w:sz="0" w:space="0" w:color="auto"/>
            <w:bottom w:val="none" w:sz="0" w:space="0" w:color="auto"/>
            <w:right w:val="none" w:sz="0" w:space="0" w:color="auto"/>
          </w:divBdr>
        </w:div>
        <w:div w:id="366681827">
          <w:marLeft w:val="274"/>
          <w:marRight w:val="0"/>
          <w:marTop w:val="240"/>
          <w:marBottom w:val="0"/>
          <w:divBdr>
            <w:top w:val="none" w:sz="0" w:space="0" w:color="auto"/>
            <w:left w:val="none" w:sz="0" w:space="0" w:color="auto"/>
            <w:bottom w:val="none" w:sz="0" w:space="0" w:color="auto"/>
            <w:right w:val="none" w:sz="0" w:space="0" w:color="auto"/>
          </w:divBdr>
        </w:div>
        <w:div w:id="1366905921">
          <w:marLeft w:val="274"/>
          <w:marRight w:val="0"/>
          <w:marTop w:val="240"/>
          <w:marBottom w:val="0"/>
          <w:divBdr>
            <w:top w:val="none" w:sz="0" w:space="0" w:color="auto"/>
            <w:left w:val="none" w:sz="0" w:space="0" w:color="auto"/>
            <w:bottom w:val="none" w:sz="0" w:space="0" w:color="auto"/>
            <w:right w:val="none" w:sz="0" w:space="0" w:color="auto"/>
          </w:divBdr>
        </w:div>
      </w:divsChild>
    </w:div>
    <w:div w:id="1569077916">
      <w:bodyDiv w:val="1"/>
      <w:marLeft w:val="0"/>
      <w:marRight w:val="0"/>
      <w:marTop w:val="0"/>
      <w:marBottom w:val="0"/>
      <w:divBdr>
        <w:top w:val="none" w:sz="0" w:space="0" w:color="auto"/>
        <w:left w:val="none" w:sz="0" w:space="0" w:color="auto"/>
        <w:bottom w:val="none" w:sz="0" w:space="0" w:color="auto"/>
        <w:right w:val="none" w:sz="0" w:space="0" w:color="auto"/>
      </w:divBdr>
    </w:div>
    <w:div w:id="1586449421">
      <w:bodyDiv w:val="1"/>
      <w:marLeft w:val="0"/>
      <w:marRight w:val="0"/>
      <w:marTop w:val="0"/>
      <w:marBottom w:val="0"/>
      <w:divBdr>
        <w:top w:val="none" w:sz="0" w:space="0" w:color="auto"/>
        <w:left w:val="none" w:sz="0" w:space="0" w:color="auto"/>
        <w:bottom w:val="none" w:sz="0" w:space="0" w:color="auto"/>
        <w:right w:val="none" w:sz="0" w:space="0" w:color="auto"/>
      </w:divBdr>
    </w:div>
    <w:div w:id="1629505563">
      <w:bodyDiv w:val="1"/>
      <w:marLeft w:val="0"/>
      <w:marRight w:val="0"/>
      <w:marTop w:val="0"/>
      <w:marBottom w:val="0"/>
      <w:divBdr>
        <w:top w:val="none" w:sz="0" w:space="0" w:color="auto"/>
        <w:left w:val="none" w:sz="0" w:space="0" w:color="auto"/>
        <w:bottom w:val="none" w:sz="0" w:space="0" w:color="auto"/>
        <w:right w:val="none" w:sz="0" w:space="0" w:color="auto"/>
      </w:divBdr>
      <w:divsChild>
        <w:div w:id="1458912533">
          <w:marLeft w:val="274"/>
          <w:marRight w:val="0"/>
          <w:marTop w:val="240"/>
          <w:marBottom w:val="0"/>
          <w:divBdr>
            <w:top w:val="none" w:sz="0" w:space="0" w:color="auto"/>
            <w:left w:val="none" w:sz="0" w:space="0" w:color="auto"/>
            <w:bottom w:val="none" w:sz="0" w:space="0" w:color="auto"/>
            <w:right w:val="none" w:sz="0" w:space="0" w:color="auto"/>
          </w:divBdr>
        </w:div>
      </w:divsChild>
    </w:div>
    <w:div w:id="1722943991">
      <w:bodyDiv w:val="1"/>
      <w:marLeft w:val="0"/>
      <w:marRight w:val="0"/>
      <w:marTop w:val="0"/>
      <w:marBottom w:val="0"/>
      <w:divBdr>
        <w:top w:val="none" w:sz="0" w:space="0" w:color="auto"/>
        <w:left w:val="none" w:sz="0" w:space="0" w:color="auto"/>
        <w:bottom w:val="none" w:sz="0" w:space="0" w:color="auto"/>
        <w:right w:val="none" w:sz="0" w:space="0" w:color="auto"/>
      </w:divBdr>
      <w:divsChild>
        <w:div w:id="401148903">
          <w:marLeft w:val="274"/>
          <w:marRight w:val="0"/>
          <w:marTop w:val="0"/>
          <w:marBottom w:val="120"/>
          <w:divBdr>
            <w:top w:val="none" w:sz="0" w:space="0" w:color="auto"/>
            <w:left w:val="none" w:sz="0" w:space="0" w:color="auto"/>
            <w:bottom w:val="none" w:sz="0" w:space="0" w:color="auto"/>
            <w:right w:val="none" w:sz="0" w:space="0" w:color="auto"/>
          </w:divBdr>
        </w:div>
        <w:div w:id="724528724">
          <w:marLeft w:val="274"/>
          <w:marRight w:val="0"/>
          <w:marTop w:val="0"/>
          <w:marBottom w:val="120"/>
          <w:divBdr>
            <w:top w:val="none" w:sz="0" w:space="0" w:color="auto"/>
            <w:left w:val="none" w:sz="0" w:space="0" w:color="auto"/>
            <w:bottom w:val="none" w:sz="0" w:space="0" w:color="auto"/>
            <w:right w:val="none" w:sz="0" w:space="0" w:color="auto"/>
          </w:divBdr>
        </w:div>
        <w:div w:id="733551120">
          <w:marLeft w:val="274"/>
          <w:marRight w:val="0"/>
          <w:marTop w:val="0"/>
          <w:marBottom w:val="120"/>
          <w:divBdr>
            <w:top w:val="none" w:sz="0" w:space="0" w:color="auto"/>
            <w:left w:val="none" w:sz="0" w:space="0" w:color="auto"/>
            <w:bottom w:val="none" w:sz="0" w:space="0" w:color="auto"/>
            <w:right w:val="none" w:sz="0" w:space="0" w:color="auto"/>
          </w:divBdr>
        </w:div>
        <w:div w:id="869149444">
          <w:marLeft w:val="274"/>
          <w:marRight w:val="0"/>
          <w:marTop w:val="0"/>
          <w:marBottom w:val="120"/>
          <w:divBdr>
            <w:top w:val="none" w:sz="0" w:space="0" w:color="auto"/>
            <w:left w:val="none" w:sz="0" w:space="0" w:color="auto"/>
            <w:bottom w:val="none" w:sz="0" w:space="0" w:color="auto"/>
            <w:right w:val="none" w:sz="0" w:space="0" w:color="auto"/>
          </w:divBdr>
        </w:div>
        <w:div w:id="942767407">
          <w:marLeft w:val="274"/>
          <w:marRight w:val="0"/>
          <w:marTop w:val="0"/>
          <w:marBottom w:val="120"/>
          <w:divBdr>
            <w:top w:val="none" w:sz="0" w:space="0" w:color="auto"/>
            <w:left w:val="none" w:sz="0" w:space="0" w:color="auto"/>
            <w:bottom w:val="none" w:sz="0" w:space="0" w:color="auto"/>
            <w:right w:val="none" w:sz="0" w:space="0" w:color="auto"/>
          </w:divBdr>
        </w:div>
        <w:div w:id="998461341">
          <w:marLeft w:val="274"/>
          <w:marRight w:val="0"/>
          <w:marTop w:val="0"/>
          <w:marBottom w:val="120"/>
          <w:divBdr>
            <w:top w:val="none" w:sz="0" w:space="0" w:color="auto"/>
            <w:left w:val="none" w:sz="0" w:space="0" w:color="auto"/>
            <w:bottom w:val="none" w:sz="0" w:space="0" w:color="auto"/>
            <w:right w:val="none" w:sz="0" w:space="0" w:color="auto"/>
          </w:divBdr>
        </w:div>
        <w:div w:id="1327830195">
          <w:marLeft w:val="274"/>
          <w:marRight w:val="0"/>
          <w:marTop w:val="0"/>
          <w:marBottom w:val="120"/>
          <w:divBdr>
            <w:top w:val="none" w:sz="0" w:space="0" w:color="auto"/>
            <w:left w:val="none" w:sz="0" w:space="0" w:color="auto"/>
            <w:bottom w:val="none" w:sz="0" w:space="0" w:color="auto"/>
            <w:right w:val="none" w:sz="0" w:space="0" w:color="auto"/>
          </w:divBdr>
        </w:div>
        <w:div w:id="1523084615">
          <w:marLeft w:val="274"/>
          <w:marRight w:val="0"/>
          <w:marTop w:val="0"/>
          <w:marBottom w:val="120"/>
          <w:divBdr>
            <w:top w:val="none" w:sz="0" w:space="0" w:color="auto"/>
            <w:left w:val="none" w:sz="0" w:space="0" w:color="auto"/>
            <w:bottom w:val="none" w:sz="0" w:space="0" w:color="auto"/>
            <w:right w:val="none" w:sz="0" w:space="0" w:color="auto"/>
          </w:divBdr>
        </w:div>
        <w:div w:id="1668752765">
          <w:marLeft w:val="274"/>
          <w:marRight w:val="0"/>
          <w:marTop w:val="0"/>
          <w:marBottom w:val="120"/>
          <w:divBdr>
            <w:top w:val="none" w:sz="0" w:space="0" w:color="auto"/>
            <w:left w:val="none" w:sz="0" w:space="0" w:color="auto"/>
            <w:bottom w:val="none" w:sz="0" w:space="0" w:color="auto"/>
            <w:right w:val="none" w:sz="0" w:space="0" w:color="auto"/>
          </w:divBdr>
        </w:div>
      </w:divsChild>
    </w:div>
    <w:div w:id="1724020887">
      <w:bodyDiv w:val="1"/>
      <w:marLeft w:val="0"/>
      <w:marRight w:val="0"/>
      <w:marTop w:val="0"/>
      <w:marBottom w:val="0"/>
      <w:divBdr>
        <w:top w:val="none" w:sz="0" w:space="0" w:color="auto"/>
        <w:left w:val="none" w:sz="0" w:space="0" w:color="auto"/>
        <w:bottom w:val="none" w:sz="0" w:space="0" w:color="auto"/>
        <w:right w:val="none" w:sz="0" w:space="0" w:color="auto"/>
      </w:divBdr>
    </w:div>
    <w:div w:id="1824160307">
      <w:bodyDiv w:val="1"/>
      <w:marLeft w:val="0"/>
      <w:marRight w:val="0"/>
      <w:marTop w:val="0"/>
      <w:marBottom w:val="0"/>
      <w:divBdr>
        <w:top w:val="none" w:sz="0" w:space="0" w:color="auto"/>
        <w:left w:val="none" w:sz="0" w:space="0" w:color="auto"/>
        <w:bottom w:val="none" w:sz="0" w:space="0" w:color="auto"/>
        <w:right w:val="none" w:sz="0" w:space="0" w:color="auto"/>
      </w:divBdr>
      <w:divsChild>
        <w:div w:id="664432330">
          <w:marLeft w:val="274"/>
          <w:marRight w:val="0"/>
          <w:marTop w:val="240"/>
          <w:marBottom w:val="0"/>
          <w:divBdr>
            <w:top w:val="none" w:sz="0" w:space="0" w:color="auto"/>
            <w:left w:val="none" w:sz="0" w:space="0" w:color="auto"/>
            <w:bottom w:val="none" w:sz="0" w:space="0" w:color="auto"/>
            <w:right w:val="none" w:sz="0" w:space="0" w:color="auto"/>
          </w:divBdr>
        </w:div>
        <w:div w:id="750350176">
          <w:marLeft w:val="274"/>
          <w:marRight w:val="0"/>
          <w:marTop w:val="240"/>
          <w:marBottom w:val="0"/>
          <w:divBdr>
            <w:top w:val="none" w:sz="0" w:space="0" w:color="auto"/>
            <w:left w:val="none" w:sz="0" w:space="0" w:color="auto"/>
            <w:bottom w:val="none" w:sz="0" w:space="0" w:color="auto"/>
            <w:right w:val="none" w:sz="0" w:space="0" w:color="auto"/>
          </w:divBdr>
        </w:div>
        <w:div w:id="1559248627">
          <w:marLeft w:val="274"/>
          <w:marRight w:val="0"/>
          <w:marTop w:val="240"/>
          <w:marBottom w:val="0"/>
          <w:divBdr>
            <w:top w:val="none" w:sz="0" w:space="0" w:color="auto"/>
            <w:left w:val="none" w:sz="0" w:space="0" w:color="auto"/>
            <w:bottom w:val="none" w:sz="0" w:space="0" w:color="auto"/>
            <w:right w:val="none" w:sz="0" w:space="0" w:color="auto"/>
          </w:divBdr>
        </w:div>
      </w:divsChild>
    </w:div>
    <w:div w:id="1838570782">
      <w:bodyDiv w:val="1"/>
      <w:marLeft w:val="0"/>
      <w:marRight w:val="0"/>
      <w:marTop w:val="0"/>
      <w:marBottom w:val="0"/>
      <w:divBdr>
        <w:top w:val="none" w:sz="0" w:space="0" w:color="auto"/>
        <w:left w:val="none" w:sz="0" w:space="0" w:color="auto"/>
        <w:bottom w:val="none" w:sz="0" w:space="0" w:color="auto"/>
        <w:right w:val="none" w:sz="0" w:space="0" w:color="auto"/>
      </w:divBdr>
      <w:divsChild>
        <w:div w:id="51077026">
          <w:marLeft w:val="274"/>
          <w:marRight w:val="0"/>
          <w:marTop w:val="0"/>
          <w:marBottom w:val="120"/>
          <w:divBdr>
            <w:top w:val="none" w:sz="0" w:space="0" w:color="auto"/>
            <w:left w:val="none" w:sz="0" w:space="0" w:color="auto"/>
            <w:bottom w:val="none" w:sz="0" w:space="0" w:color="auto"/>
            <w:right w:val="none" w:sz="0" w:space="0" w:color="auto"/>
          </w:divBdr>
        </w:div>
        <w:div w:id="744062086">
          <w:marLeft w:val="274"/>
          <w:marRight w:val="0"/>
          <w:marTop w:val="0"/>
          <w:marBottom w:val="120"/>
          <w:divBdr>
            <w:top w:val="none" w:sz="0" w:space="0" w:color="auto"/>
            <w:left w:val="none" w:sz="0" w:space="0" w:color="auto"/>
            <w:bottom w:val="none" w:sz="0" w:space="0" w:color="auto"/>
            <w:right w:val="none" w:sz="0" w:space="0" w:color="auto"/>
          </w:divBdr>
        </w:div>
        <w:div w:id="2090349687">
          <w:marLeft w:val="274"/>
          <w:marRight w:val="0"/>
          <w:marTop w:val="0"/>
          <w:marBottom w:val="120"/>
          <w:divBdr>
            <w:top w:val="none" w:sz="0" w:space="0" w:color="auto"/>
            <w:left w:val="none" w:sz="0" w:space="0" w:color="auto"/>
            <w:bottom w:val="none" w:sz="0" w:space="0" w:color="auto"/>
            <w:right w:val="none" w:sz="0" w:space="0" w:color="auto"/>
          </w:divBdr>
        </w:div>
      </w:divsChild>
    </w:div>
    <w:div w:id="1865560630">
      <w:bodyDiv w:val="1"/>
      <w:marLeft w:val="0"/>
      <w:marRight w:val="0"/>
      <w:marTop w:val="0"/>
      <w:marBottom w:val="0"/>
      <w:divBdr>
        <w:top w:val="none" w:sz="0" w:space="0" w:color="auto"/>
        <w:left w:val="none" w:sz="0" w:space="0" w:color="auto"/>
        <w:bottom w:val="none" w:sz="0" w:space="0" w:color="auto"/>
        <w:right w:val="none" w:sz="0" w:space="0" w:color="auto"/>
      </w:divBdr>
      <w:divsChild>
        <w:div w:id="103547288">
          <w:marLeft w:val="274"/>
          <w:marRight w:val="0"/>
          <w:marTop w:val="0"/>
          <w:marBottom w:val="120"/>
          <w:divBdr>
            <w:top w:val="none" w:sz="0" w:space="0" w:color="auto"/>
            <w:left w:val="none" w:sz="0" w:space="0" w:color="auto"/>
            <w:bottom w:val="none" w:sz="0" w:space="0" w:color="auto"/>
            <w:right w:val="none" w:sz="0" w:space="0" w:color="auto"/>
          </w:divBdr>
        </w:div>
        <w:div w:id="391348180">
          <w:marLeft w:val="274"/>
          <w:marRight w:val="0"/>
          <w:marTop w:val="0"/>
          <w:marBottom w:val="120"/>
          <w:divBdr>
            <w:top w:val="none" w:sz="0" w:space="0" w:color="auto"/>
            <w:left w:val="none" w:sz="0" w:space="0" w:color="auto"/>
            <w:bottom w:val="none" w:sz="0" w:space="0" w:color="auto"/>
            <w:right w:val="none" w:sz="0" w:space="0" w:color="auto"/>
          </w:divBdr>
        </w:div>
        <w:div w:id="395780556">
          <w:marLeft w:val="274"/>
          <w:marRight w:val="0"/>
          <w:marTop w:val="0"/>
          <w:marBottom w:val="120"/>
          <w:divBdr>
            <w:top w:val="none" w:sz="0" w:space="0" w:color="auto"/>
            <w:left w:val="none" w:sz="0" w:space="0" w:color="auto"/>
            <w:bottom w:val="none" w:sz="0" w:space="0" w:color="auto"/>
            <w:right w:val="none" w:sz="0" w:space="0" w:color="auto"/>
          </w:divBdr>
        </w:div>
        <w:div w:id="547184314">
          <w:marLeft w:val="274"/>
          <w:marRight w:val="0"/>
          <w:marTop w:val="0"/>
          <w:marBottom w:val="120"/>
          <w:divBdr>
            <w:top w:val="none" w:sz="0" w:space="0" w:color="auto"/>
            <w:left w:val="none" w:sz="0" w:space="0" w:color="auto"/>
            <w:bottom w:val="none" w:sz="0" w:space="0" w:color="auto"/>
            <w:right w:val="none" w:sz="0" w:space="0" w:color="auto"/>
          </w:divBdr>
        </w:div>
        <w:div w:id="821890092">
          <w:marLeft w:val="274"/>
          <w:marRight w:val="0"/>
          <w:marTop w:val="0"/>
          <w:marBottom w:val="120"/>
          <w:divBdr>
            <w:top w:val="none" w:sz="0" w:space="0" w:color="auto"/>
            <w:left w:val="none" w:sz="0" w:space="0" w:color="auto"/>
            <w:bottom w:val="none" w:sz="0" w:space="0" w:color="auto"/>
            <w:right w:val="none" w:sz="0" w:space="0" w:color="auto"/>
          </w:divBdr>
        </w:div>
        <w:div w:id="1022783531">
          <w:marLeft w:val="274"/>
          <w:marRight w:val="0"/>
          <w:marTop w:val="0"/>
          <w:marBottom w:val="120"/>
          <w:divBdr>
            <w:top w:val="none" w:sz="0" w:space="0" w:color="auto"/>
            <w:left w:val="none" w:sz="0" w:space="0" w:color="auto"/>
            <w:bottom w:val="none" w:sz="0" w:space="0" w:color="auto"/>
            <w:right w:val="none" w:sz="0" w:space="0" w:color="auto"/>
          </w:divBdr>
        </w:div>
        <w:div w:id="2055539996">
          <w:marLeft w:val="274"/>
          <w:marRight w:val="0"/>
          <w:marTop w:val="0"/>
          <w:marBottom w:val="120"/>
          <w:divBdr>
            <w:top w:val="none" w:sz="0" w:space="0" w:color="auto"/>
            <w:left w:val="none" w:sz="0" w:space="0" w:color="auto"/>
            <w:bottom w:val="none" w:sz="0" w:space="0" w:color="auto"/>
            <w:right w:val="none" w:sz="0" w:space="0" w:color="auto"/>
          </w:divBdr>
        </w:div>
        <w:div w:id="2068599512">
          <w:marLeft w:val="274"/>
          <w:marRight w:val="0"/>
          <w:marTop w:val="0"/>
          <w:marBottom w:val="120"/>
          <w:divBdr>
            <w:top w:val="none" w:sz="0" w:space="0" w:color="auto"/>
            <w:left w:val="none" w:sz="0" w:space="0" w:color="auto"/>
            <w:bottom w:val="none" w:sz="0" w:space="0" w:color="auto"/>
            <w:right w:val="none" w:sz="0" w:space="0" w:color="auto"/>
          </w:divBdr>
        </w:div>
      </w:divsChild>
    </w:div>
    <w:div w:id="1916355363">
      <w:bodyDiv w:val="1"/>
      <w:marLeft w:val="0"/>
      <w:marRight w:val="0"/>
      <w:marTop w:val="0"/>
      <w:marBottom w:val="0"/>
      <w:divBdr>
        <w:top w:val="none" w:sz="0" w:space="0" w:color="auto"/>
        <w:left w:val="none" w:sz="0" w:space="0" w:color="auto"/>
        <w:bottom w:val="none" w:sz="0" w:space="0" w:color="auto"/>
        <w:right w:val="none" w:sz="0" w:space="0" w:color="auto"/>
      </w:divBdr>
    </w:div>
    <w:div w:id="1954356864">
      <w:bodyDiv w:val="1"/>
      <w:marLeft w:val="0"/>
      <w:marRight w:val="0"/>
      <w:marTop w:val="0"/>
      <w:marBottom w:val="0"/>
      <w:divBdr>
        <w:top w:val="none" w:sz="0" w:space="0" w:color="auto"/>
        <w:left w:val="none" w:sz="0" w:space="0" w:color="auto"/>
        <w:bottom w:val="none" w:sz="0" w:space="0" w:color="auto"/>
        <w:right w:val="none" w:sz="0" w:space="0" w:color="auto"/>
      </w:divBdr>
      <w:divsChild>
        <w:div w:id="207183479">
          <w:marLeft w:val="274"/>
          <w:marRight w:val="0"/>
          <w:marTop w:val="0"/>
          <w:marBottom w:val="120"/>
          <w:divBdr>
            <w:top w:val="none" w:sz="0" w:space="0" w:color="auto"/>
            <w:left w:val="none" w:sz="0" w:space="0" w:color="auto"/>
            <w:bottom w:val="none" w:sz="0" w:space="0" w:color="auto"/>
            <w:right w:val="none" w:sz="0" w:space="0" w:color="auto"/>
          </w:divBdr>
        </w:div>
        <w:div w:id="390081579">
          <w:marLeft w:val="274"/>
          <w:marRight w:val="0"/>
          <w:marTop w:val="0"/>
          <w:marBottom w:val="120"/>
          <w:divBdr>
            <w:top w:val="none" w:sz="0" w:space="0" w:color="auto"/>
            <w:left w:val="none" w:sz="0" w:space="0" w:color="auto"/>
            <w:bottom w:val="none" w:sz="0" w:space="0" w:color="auto"/>
            <w:right w:val="none" w:sz="0" w:space="0" w:color="auto"/>
          </w:divBdr>
        </w:div>
        <w:div w:id="540872384">
          <w:marLeft w:val="274"/>
          <w:marRight w:val="0"/>
          <w:marTop w:val="0"/>
          <w:marBottom w:val="120"/>
          <w:divBdr>
            <w:top w:val="none" w:sz="0" w:space="0" w:color="auto"/>
            <w:left w:val="none" w:sz="0" w:space="0" w:color="auto"/>
            <w:bottom w:val="none" w:sz="0" w:space="0" w:color="auto"/>
            <w:right w:val="none" w:sz="0" w:space="0" w:color="auto"/>
          </w:divBdr>
        </w:div>
        <w:div w:id="617879877">
          <w:marLeft w:val="274"/>
          <w:marRight w:val="0"/>
          <w:marTop w:val="0"/>
          <w:marBottom w:val="120"/>
          <w:divBdr>
            <w:top w:val="none" w:sz="0" w:space="0" w:color="auto"/>
            <w:left w:val="none" w:sz="0" w:space="0" w:color="auto"/>
            <w:bottom w:val="none" w:sz="0" w:space="0" w:color="auto"/>
            <w:right w:val="none" w:sz="0" w:space="0" w:color="auto"/>
          </w:divBdr>
        </w:div>
        <w:div w:id="656692082">
          <w:marLeft w:val="274"/>
          <w:marRight w:val="0"/>
          <w:marTop w:val="0"/>
          <w:marBottom w:val="120"/>
          <w:divBdr>
            <w:top w:val="none" w:sz="0" w:space="0" w:color="auto"/>
            <w:left w:val="none" w:sz="0" w:space="0" w:color="auto"/>
            <w:bottom w:val="none" w:sz="0" w:space="0" w:color="auto"/>
            <w:right w:val="none" w:sz="0" w:space="0" w:color="auto"/>
          </w:divBdr>
        </w:div>
        <w:div w:id="1276904134">
          <w:marLeft w:val="274"/>
          <w:marRight w:val="0"/>
          <w:marTop w:val="0"/>
          <w:marBottom w:val="120"/>
          <w:divBdr>
            <w:top w:val="none" w:sz="0" w:space="0" w:color="auto"/>
            <w:left w:val="none" w:sz="0" w:space="0" w:color="auto"/>
            <w:bottom w:val="none" w:sz="0" w:space="0" w:color="auto"/>
            <w:right w:val="none" w:sz="0" w:space="0" w:color="auto"/>
          </w:divBdr>
        </w:div>
      </w:divsChild>
    </w:div>
    <w:div w:id="2057973377">
      <w:bodyDiv w:val="1"/>
      <w:marLeft w:val="0"/>
      <w:marRight w:val="0"/>
      <w:marTop w:val="0"/>
      <w:marBottom w:val="0"/>
      <w:divBdr>
        <w:top w:val="none" w:sz="0" w:space="0" w:color="auto"/>
        <w:left w:val="none" w:sz="0" w:space="0" w:color="auto"/>
        <w:bottom w:val="none" w:sz="0" w:space="0" w:color="auto"/>
        <w:right w:val="none" w:sz="0" w:space="0" w:color="auto"/>
      </w:divBdr>
    </w:div>
    <w:div w:id="2071463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image" Target="media/image17.png"/><Relationship Id="rId42" Type="http://schemas.openxmlformats.org/officeDocument/2006/relationships/image" Target="media/image23.e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8.emf"/><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12.png"/><Relationship Id="rId41" Type="http://schemas.openxmlformats.org/officeDocument/2006/relationships/hyperlink" Target="https://core.ac.uk/download/pdf/30680988.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s://www.lowitja.org.au/content/Document/Lowitja-Publishing/FAR-Report.pdf"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oter" Target="footer5.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core.ac.uk/download/pdf/30680988.pdf" TargetMode="External"/><Relationship Id="rId13" Type="http://schemas.openxmlformats.org/officeDocument/2006/relationships/hyperlink" Target="https://core.ac.uk/download/pdf/30680988.pdf" TargetMode="External"/><Relationship Id="rId18" Type="http://schemas.openxmlformats.org/officeDocument/2006/relationships/hyperlink" Target="https://www.lowitja.org.au/content/Document/Lowitja-Publishing/FAR-Report.pdf" TargetMode="External"/><Relationship Id="rId26" Type="http://schemas.openxmlformats.org/officeDocument/2006/relationships/hyperlink" Target="https://core.ac.uk/download/pdf/30680988.pdf" TargetMode="External"/><Relationship Id="rId39" Type="http://schemas.openxmlformats.org/officeDocument/2006/relationships/hyperlink" Target="https://www.lowitja.org.au/content/Document/Lowitja-Publishing/FAR-Report.pdf" TargetMode="External"/><Relationship Id="rId3" Type="http://schemas.openxmlformats.org/officeDocument/2006/relationships/hyperlink" Target="https://www.who.int/teams/health-promotion/enhanced-wellbeing/first-global-conference" TargetMode="External"/><Relationship Id="rId21" Type="http://schemas.openxmlformats.org/officeDocument/2006/relationships/hyperlink" Target="https://www.lowitja.org.au/content/Document/Lowitja-Publishing/FAR-Report.pdf" TargetMode="External"/><Relationship Id="rId34" Type="http://schemas.openxmlformats.org/officeDocument/2006/relationships/hyperlink" Target="https://www.lowitja.org.au/content/Document/Lowitja-Publishing/FAR-Report.pdf" TargetMode="External"/><Relationship Id="rId42" Type="http://schemas.openxmlformats.org/officeDocument/2006/relationships/hyperlink" Target="https://apo.org.au/sites/default/files/resource-files/2008-04/apo-nid8664.pdf" TargetMode="External"/><Relationship Id="rId7" Type="http://schemas.openxmlformats.org/officeDocument/2006/relationships/hyperlink" Target="https://healthinfonet.ecu.edu.au/learn/health-system/community-controlled-health-sector/" TargetMode="External"/><Relationship Id="rId12" Type="http://schemas.openxmlformats.org/officeDocument/2006/relationships/hyperlink" Target="https://www.lowitja.org.au/content/Document/Lowitja-Publishing/FAR-Report.pdf" TargetMode="External"/><Relationship Id="rId17" Type="http://schemas.openxmlformats.org/officeDocument/2006/relationships/hyperlink" Target="https://www.lowitja.org.au/content/Document/Lowitja-Publishing/FAR-Summary-Report.pdf" TargetMode="External"/><Relationship Id="rId25" Type="http://schemas.openxmlformats.org/officeDocument/2006/relationships/hyperlink" Target="https://www.lowitja.org.au/content/Document/Lowitja-Publishing/FAR-Report.pdf" TargetMode="External"/><Relationship Id="rId33" Type="http://schemas.openxmlformats.org/officeDocument/2006/relationships/hyperlink" Target="https://www.lowitja.org.au/content/Document/Lowitja-Publishing/FAR-Report.pdf" TargetMode="External"/><Relationship Id="rId38" Type="http://schemas.openxmlformats.org/officeDocument/2006/relationships/hyperlink" Target="https://core.ac.uk/download/pdf/30680988.pdf" TargetMode="External"/><Relationship Id="rId2" Type="http://schemas.openxmlformats.org/officeDocument/2006/relationships/hyperlink" Target="https://www.who.int/teams/social-determinants-of-health/declaration-of-alma-ata" TargetMode="External"/><Relationship Id="rId16" Type="http://schemas.openxmlformats.org/officeDocument/2006/relationships/hyperlink" Target="https://www.lowitja.org.au/content/Document/Lowitja-Publishing/FAR-Summary-Report.pdf" TargetMode="External"/><Relationship Id="rId20" Type="http://schemas.openxmlformats.org/officeDocument/2006/relationships/hyperlink" Target="https://www.lowitja.org.au/page/research/research-categories/health-policy-and-systems/monitoring-and-evaluation/completed-projects/ABCD" TargetMode="External"/><Relationship Id="rId29" Type="http://schemas.openxmlformats.org/officeDocument/2006/relationships/hyperlink" Target="https://www.lowitja.org.au/content/Document/Lowitja-Publishing/FAR-Report.pdf" TargetMode="External"/><Relationship Id="rId41" Type="http://schemas.openxmlformats.org/officeDocument/2006/relationships/hyperlink" Target="https://bmcprimcare.biomedcentral.com/track/pdf/10.1186/s12875-020-01300-z.pdf" TargetMode="External"/><Relationship Id="rId1" Type="http://schemas.openxmlformats.org/officeDocument/2006/relationships/hyperlink" Target="https://catalogue.nla.gov.au/Record/668993" TargetMode="External"/><Relationship Id="rId6" Type="http://schemas.openxmlformats.org/officeDocument/2006/relationships/hyperlink" Target="https://www.naccho.org.au/our-story" TargetMode="External"/><Relationship Id="rId11" Type="http://schemas.openxmlformats.org/officeDocument/2006/relationships/hyperlink" Target="https://www.lowitja.org.au/content/Document/Lowitja-Publishing/FAR-Summary-Report.pdf" TargetMode="External"/><Relationship Id="rId24" Type="http://schemas.openxmlformats.org/officeDocument/2006/relationships/hyperlink" Target="https://www.lowitja.org.au/content/Document/Lowitja-Publishing/FAR-Report.pdf" TargetMode="External"/><Relationship Id="rId32" Type="http://schemas.openxmlformats.org/officeDocument/2006/relationships/hyperlink" Target="https://www.lowitja.org.au/content/Document/Lowitja-Publishing/FAR-Report.pdf" TargetMode="External"/><Relationship Id="rId37" Type="http://schemas.openxmlformats.org/officeDocument/2006/relationships/hyperlink" Target="https://www.lowitja.org.au/content/Document/Lowitja-Publishing/FAR-Report.pdf" TargetMode="External"/><Relationship Id="rId40" Type="http://schemas.openxmlformats.org/officeDocument/2006/relationships/hyperlink" Target="https://bmcprimcare.biomedcentral.com/track/pdf/10.1186/s12875-020-01300-z.pdf" TargetMode="External"/><Relationship Id="rId5" Type="http://schemas.openxmlformats.org/officeDocument/2006/relationships/hyperlink" Target="http://apps.who.int/iris/bitstream/handle/10665/43943/9789241563703_eng.pdf;jsessionid=FBEA9902430B9739EF81F66EF9E2B568?sequence=1" TargetMode="External"/><Relationship Id="rId15" Type="http://schemas.openxmlformats.org/officeDocument/2006/relationships/hyperlink" Target="http://www.amsant.org.au/wp-content/uploads/2019/12/2009_Final_Pathways-to-Community-Control.pdf" TargetMode="External"/><Relationship Id="rId23" Type="http://schemas.openxmlformats.org/officeDocument/2006/relationships/hyperlink" Target="https://www.lowitja.org.au/content/Document/Lowitja-Publishing/FAR-NTAHF.pdf" TargetMode="External"/><Relationship Id="rId28" Type="http://schemas.openxmlformats.org/officeDocument/2006/relationships/hyperlink" Target="https://www.lowitja.org.au/content/Document/Lowitja-Publishing/FAR-Report.pdf" TargetMode="External"/><Relationship Id="rId36" Type="http://schemas.openxmlformats.org/officeDocument/2006/relationships/hyperlink" Target="https://core.ac.uk/download/pdf/30680988.pdf" TargetMode="External"/><Relationship Id="rId10" Type="http://schemas.openxmlformats.org/officeDocument/2006/relationships/hyperlink" Target="https://www.lowitja.org.au/page/research/research-categories/health-policy-and-systems/monitoring-and-evaluation/completed-projects/ABCD" TargetMode="External"/><Relationship Id="rId19" Type="http://schemas.openxmlformats.org/officeDocument/2006/relationships/hyperlink" Target="https://www.lowitja.org.au/content/Document/Lowitja-Publishing/FAR-Report.pdf" TargetMode="External"/><Relationship Id="rId31" Type="http://schemas.openxmlformats.org/officeDocument/2006/relationships/hyperlink" Target="https://www.lowitja.org.au/content/Document/Lowitja-Publishing/FAR-Report.pdf" TargetMode="External"/><Relationship Id="rId4" Type="http://schemas.openxmlformats.org/officeDocument/2006/relationships/hyperlink" Target="https://www.euro.who.int/__data/assets/pdf_file/0005/98438/e81384.pdf" TargetMode="External"/><Relationship Id="rId9" Type="http://schemas.openxmlformats.org/officeDocument/2006/relationships/hyperlink" Target="https://www.publish.csiro.au/ah/AH030031" TargetMode="External"/><Relationship Id="rId14" Type="http://schemas.openxmlformats.org/officeDocument/2006/relationships/hyperlink" Target="http://www.amsant.org.au/wp-content/uploads/2019/12/2009_Final_Pathways-to-Community-Control.pdf" TargetMode="External"/><Relationship Id="rId22" Type="http://schemas.openxmlformats.org/officeDocument/2006/relationships/hyperlink" Target="https://www.lowitja.org.au/content/Document/Lowitja-Publishing/FAR-NTAHF.pdf" TargetMode="External"/><Relationship Id="rId27" Type="http://schemas.openxmlformats.org/officeDocument/2006/relationships/hyperlink" Target="https://core.ac.uk/download/pdf/30680988.pdf" TargetMode="External"/><Relationship Id="rId30" Type="http://schemas.openxmlformats.org/officeDocument/2006/relationships/hyperlink" Target="https://www.lowitja.org.au/content/Document/Lowitja-Publishing/FAR-Report.pdf" TargetMode="External"/><Relationship Id="rId35" Type="http://schemas.openxmlformats.org/officeDocument/2006/relationships/hyperlink" Target="https://www.lowitja.org.au/content/Document/Lowitja-Publishing/FAR-Report.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ca.gill\AppData\Roaming\Microsoft\Templates\2%20Report\Report%20template%20-%20Portrait.dotm" TargetMode="External"/></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2022-04-08T00:00:00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E0A442D77E7DC44B6BF47AAE02FC19E" ma:contentTypeVersion="4" ma:contentTypeDescription="Create a new document." ma:contentTypeScope="" ma:versionID="81d93fd916562316267c569ea9645dd0">
  <xsd:schema xmlns:xsd="http://www.w3.org/2001/XMLSchema" xmlns:xs="http://www.w3.org/2001/XMLSchema" xmlns:p="http://schemas.microsoft.com/office/2006/metadata/properties" xmlns:ns2="3fdae027-3555-414b-a898-fb1dc2cb2088" targetNamespace="http://schemas.microsoft.com/office/2006/metadata/properties" ma:root="true" ma:fieldsID="c0b5df3cebd0de8b7784224741b2e00b" ns2:_="">
    <xsd:import namespace="3fdae027-3555-414b-a898-fb1dc2cb208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dae027-3555-414b-a898-fb1dc2cb20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75B17F-0DB6-4FF5-A0B5-36D245B956A8}">
  <ds:schemaRefs>
    <ds:schemaRef ds:uri="http://schemas.openxmlformats.org/officeDocument/2006/bibliography"/>
  </ds:schemaRefs>
</ds:datastoreItem>
</file>

<file path=customXml/itemProps3.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4.xml><?xml version="1.0" encoding="utf-8"?>
<ds:datastoreItem xmlns:ds="http://schemas.openxmlformats.org/officeDocument/2006/customXml" ds:itemID="{B64AC1D8-2AEE-4DE8-84A2-650A7772B1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dae027-3555-414b-a898-fb1dc2cb20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CB462EA-10A7-4754-94DC-A6846B7C0C55}">
  <ds:schemaRef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3fdae027-3555-414b-a898-fb1dc2cb2088"/>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Report template - Portrait.dotm</Template>
  <TotalTime>0</TotalTime>
  <Pages>49</Pages>
  <Words>19811</Words>
  <Characters>112929</Characters>
  <Application>Microsoft Office Word</Application>
  <DocSecurity>4</DocSecurity>
  <Lines>941</Lines>
  <Paragraphs>264</Paragraphs>
  <ScaleCrop>false</ScaleCrop>
  <HeadingPairs>
    <vt:vector size="2" baseType="variant">
      <vt:variant>
        <vt:lpstr>Title</vt:lpstr>
      </vt:variant>
      <vt:variant>
        <vt:i4>1</vt:i4>
      </vt:variant>
    </vt:vector>
  </HeadingPairs>
  <TitlesOfParts>
    <vt:vector size="1" baseType="lpstr">
      <vt:lpstr>Evaluation of the Pathways to Community Control program</vt:lpstr>
    </vt:vector>
  </TitlesOfParts>
  <Company/>
  <LinksUpToDate>false</LinksUpToDate>
  <CharactersWithSpaces>132476</CharactersWithSpaces>
  <SharedDoc>false</SharedDoc>
  <HLinks>
    <vt:vector size="348" baseType="variant">
      <vt:variant>
        <vt:i4>5898269</vt:i4>
      </vt:variant>
      <vt:variant>
        <vt:i4>234</vt:i4>
      </vt:variant>
      <vt:variant>
        <vt:i4>0</vt:i4>
      </vt:variant>
      <vt:variant>
        <vt:i4>5</vt:i4>
      </vt:variant>
      <vt:variant>
        <vt:lpwstr>https://core.ac.uk/download/pdf/30680988.pdf</vt:lpwstr>
      </vt:variant>
      <vt:variant>
        <vt:lpwstr/>
      </vt:variant>
      <vt:variant>
        <vt:i4>2031687</vt:i4>
      </vt:variant>
      <vt:variant>
        <vt:i4>231</vt:i4>
      </vt:variant>
      <vt:variant>
        <vt:i4>0</vt:i4>
      </vt:variant>
      <vt:variant>
        <vt:i4>5</vt:i4>
      </vt:variant>
      <vt:variant>
        <vt:lpwstr>https://www.lowitja.org.au/content/Document/Lowitja-Publishing/FAR-Report.pdf</vt:lpwstr>
      </vt:variant>
      <vt:variant>
        <vt:lpwstr/>
      </vt:variant>
      <vt:variant>
        <vt:i4>1507379</vt:i4>
      </vt:variant>
      <vt:variant>
        <vt:i4>92</vt:i4>
      </vt:variant>
      <vt:variant>
        <vt:i4>0</vt:i4>
      </vt:variant>
      <vt:variant>
        <vt:i4>5</vt:i4>
      </vt:variant>
      <vt:variant>
        <vt:lpwstr/>
      </vt:variant>
      <vt:variant>
        <vt:lpwstr>_Toc100333108</vt:lpwstr>
      </vt:variant>
      <vt:variant>
        <vt:i4>1507379</vt:i4>
      </vt:variant>
      <vt:variant>
        <vt:i4>86</vt:i4>
      </vt:variant>
      <vt:variant>
        <vt:i4>0</vt:i4>
      </vt:variant>
      <vt:variant>
        <vt:i4>5</vt:i4>
      </vt:variant>
      <vt:variant>
        <vt:lpwstr/>
      </vt:variant>
      <vt:variant>
        <vt:lpwstr>_Toc100333107</vt:lpwstr>
      </vt:variant>
      <vt:variant>
        <vt:i4>1507379</vt:i4>
      </vt:variant>
      <vt:variant>
        <vt:i4>80</vt:i4>
      </vt:variant>
      <vt:variant>
        <vt:i4>0</vt:i4>
      </vt:variant>
      <vt:variant>
        <vt:i4>5</vt:i4>
      </vt:variant>
      <vt:variant>
        <vt:lpwstr/>
      </vt:variant>
      <vt:variant>
        <vt:lpwstr>_Toc100333106</vt:lpwstr>
      </vt:variant>
      <vt:variant>
        <vt:i4>1507379</vt:i4>
      </vt:variant>
      <vt:variant>
        <vt:i4>74</vt:i4>
      </vt:variant>
      <vt:variant>
        <vt:i4>0</vt:i4>
      </vt:variant>
      <vt:variant>
        <vt:i4>5</vt:i4>
      </vt:variant>
      <vt:variant>
        <vt:lpwstr/>
      </vt:variant>
      <vt:variant>
        <vt:lpwstr>_Toc100333105</vt:lpwstr>
      </vt:variant>
      <vt:variant>
        <vt:i4>1507379</vt:i4>
      </vt:variant>
      <vt:variant>
        <vt:i4>68</vt:i4>
      </vt:variant>
      <vt:variant>
        <vt:i4>0</vt:i4>
      </vt:variant>
      <vt:variant>
        <vt:i4>5</vt:i4>
      </vt:variant>
      <vt:variant>
        <vt:lpwstr/>
      </vt:variant>
      <vt:variant>
        <vt:lpwstr>_Toc100333104</vt:lpwstr>
      </vt:variant>
      <vt:variant>
        <vt:i4>1507379</vt:i4>
      </vt:variant>
      <vt:variant>
        <vt:i4>62</vt:i4>
      </vt:variant>
      <vt:variant>
        <vt:i4>0</vt:i4>
      </vt:variant>
      <vt:variant>
        <vt:i4>5</vt:i4>
      </vt:variant>
      <vt:variant>
        <vt:lpwstr/>
      </vt:variant>
      <vt:variant>
        <vt:lpwstr>_Toc100333103</vt:lpwstr>
      </vt:variant>
      <vt:variant>
        <vt:i4>1507379</vt:i4>
      </vt:variant>
      <vt:variant>
        <vt:i4>56</vt:i4>
      </vt:variant>
      <vt:variant>
        <vt:i4>0</vt:i4>
      </vt:variant>
      <vt:variant>
        <vt:i4>5</vt:i4>
      </vt:variant>
      <vt:variant>
        <vt:lpwstr/>
      </vt:variant>
      <vt:variant>
        <vt:lpwstr>_Toc100333102</vt:lpwstr>
      </vt:variant>
      <vt:variant>
        <vt:i4>1507379</vt:i4>
      </vt:variant>
      <vt:variant>
        <vt:i4>50</vt:i4>
      </vt:variant>
      <vt:variant>
        <vt:i4>0</vt:i4>
      </vt:variant>
      <vt:variant>
        <vt:i4>5</vt:i4>
      </vt:variant>
      <vt:variant>
        <vt:lpwstr/>
      </vt:variant>
      <vt:variant>
        <vt:lpwstr>_Toc100333101</vt:lpwstr>
      </vt:variant>
      <vt:variant>
        <vt:i4>1507379</vt:i4>
      </vt:variant>
      <vt:variant>
        <vt:i4>44</vt:i4>
      </vt:variant>
      <vt:variant>
        <vt:i4>0</vt:i4>
      </vt:variant>
      <vt:variant>
        <vt:i4>5</vt:i4>
      </vt:variant>
      <vt:variant>
        <vt:lpwstr/>
      </vt:variant>
      <vt:variant>
        <vt:lpwstr>_Toc100333100</vt:lpwstr>
      </vt:variant>
      <vt:variant>
        <vt:i4>1966130</vt:i4>
      </vt:variant>
      <vt:variant>
        <vt:i4>38</vt:i4>
      </vt:variant>
      <vt:variant>
        <vt:i4>0</vt:i4>
      </vt:variant>
      <vt:variant>
        <vt:i4>5</vt:i4>
      </vt:variant>
      <vt:variant>
        <vt:lpwstr/>
      </vt:variant>
      <vt:variant>
        <vt:lpwstr>_Toc100333099</vt:lpwstr>
      </vt:variant>
      <vt:variant>
        <vt:i4>1966130</vt:i4>
      </vt:variant>
      <vt:variant>
        <vt:i4>32</vt:i4>
      </vt:variant>
      <vt:variant>
        <vt:i4>0</vt:i4>
      </vt:variant>
      <vt:variant>
        <vt:i4>5</vt:i4>
      </vt:variant>
      <vt:variant>
        <vt:lpwstr/>
      </vt:variant>
      <vt:variant>
        <vt:lpwstr>_Toc100333098</vt:lpwstr>
      </vt:variant>
      <vt:variant>
        <vt:i4>1966130</vt:i4>
      </vt:variant>
      <vt:variant>
        <vt:i4>26</vt:i4>
      </vt:variant>
      <vt:variant>
        <vt:i4>0</vt:i4>
      </vt:variant>
      <vt:variant>
        <vt:i4>5</vt:i4>
      </vt:variant>
      <vt:variant>
        <vt:lpwstr/>
      </vt:variant>
      <vt:variant>
        <vt:lpwstr>_Toc100333097</vt:lpwstr>
      </vt:variant>
      <vt:variant>
        <vt:i4>1966130</vt:i4>
      </vt:variant>
      <vt:variant>
        <vt:i4>20</vt:i4>
      </vt:variant>
      <vt:variant>
        <vt:i4>0</vt:i4>
      </vt:variant>
      <vt:variant>
        <vt:i4>5</vt:i4>
      </vt:variant>
      <vt:variant>
        <vt:lpwstr/>
      </vt:variant>
      <vt:variant>
        <vt:lpwstr>_Toc100333096</vt:lpwstr>
      </vt:variant>
      <vt:variant>
        <vt:i4>1966130</vt:i4>
      </vt:variant>
      <vt:variant>
        <vt:i4>14</vt:i4>
      </vt:variant>
      <vt:variant>
        <vt:i4>0</vt:i4>
      </vt:variant>
      <vt:variant>
        <vt:i4>5</vt:i4>
      </vt:variant>
      <vt:variant>
        <vt:lpwstr/>
      </vt:variant>
      <vt:variant>
        <vt:lpwstr>_Toc100333095</vt:lpwstr>
      </vt:variant>
      <vt:variant>
        <vt:i4>1966130</vt:i4>
      </vt:variant>
      <vt:variant>
        <vt:i4>8</vt:i4>
      </vt:variant>
      <vt:variant>
        <vt:i4>0</vt:i4>
      </vt:variant>
      <vt:variant>
        <vt:i4>5</vt:i4>
      </vt:variant>
      <vt:variant>
        <vt:lpwstr/>
      </vt:variant>
      <vt:variant>
        <vt:lpwstr>_Toc100333094</vt:lpwstr>
      </vt:variant>
      <vt:variant>
        <vt:i4>1966130</vt:i4>
      </vt:variant>
      <vt:variant>
        <vt:i4>2</vt:i4>
      </vt:variant>
      <vt:variant>
        <vt:i4>0</vt:i4>
      </vt:variant>
      <vt:variant>
        <vt:i4>5</vt:i4>
      </vt:variant>
      <vt:variant>
        <vt:lpwstr/>
      </vt:variant>
      <vt:variant>
        <vt:lpwstr>_Toc100333093</vt:lpwstr>
      </vt:variant>
      <vt:variant>
        <vt:i4>1441862</vt:i4>
      </vt:variant>
      <vt:variant>
        <vt:i4>120</vt:i4>
      </vt:variant>
      <vt:variant>
        <vt:i4>0</vt:i4>
      </vt:variant>
      <vt:variant>
        <vt:i4>5</vt:i4>
      </vt:variant>
      <vt:variant>
        <vt:lpwstr>https://apo.org.au/sites/default/files/resource-files/2008-04/apo-nid8664.pdf</vt:lpwstr>
      </vt:variant>
      <vt:variant>
        <vt:lpwstr/>
      </vt:variant>
      <vt:variant>
        <vt:i4>2359421</vt:i4>
      </vt:variant>
      <vt:variant>
        <vt:i4>117</vt:i4>
      </vt:variant>
      <vt:variant>
        <vt:i4>0</vt:i4>
      </vt:variant>
      <vt:variant>
        <vt:i4>5</vt:i4>
      </vt:variant>
      <vt:variant>
        <vt:lpwstr>https://bmcprimcare.biomedcentral.com/track/pdf/10.1186/s12875-020-01300-z.pdf</vt:lpwstr>
      </vt:variant>
      <vt:variant>
        <vt:lpwstr/>
      </vt:variant>
      <vt:variant>
        <vt:i4>2359421</vt:i4>
      </vt:variant>
      <vt:variant>
        <vt:i4>114</vt:i4>
      </vt:variant>
      <vt:variant>
        <vt:i4>0</vt:i4>
      </vt:variant>
      <vt:variant>
        <vt:i4>5</vt:i4>
      </vt:variant>
      <vt:variant>
        <vt:lpwstr>https://bmcprimcare.biomedcentral.com/track/pdf/10.1186/s12875-020-01300-z.pdf</vt:lpwstr>
      </vt:variant>
      <vt:variant>
        <vt:lpwstr/>
      </vt:variant>
      <vt:variant>
        <vt:i4>2031687</vt:i4>
      </vt:variant>
      <vt:variant>
        <vt:i4>111</vt:i4>
      </vt:variant>
      <vt:variant>
        <vt:i4>0</vt:i4>
      </vt:variant>
      <vt:variant>
        <vt:i4>5</vt:i4>
      </vt:variant>
      <vt:variant>
        <vt:lpwstr>https://www.lowitja.org.au/content/Document/Lowitja-Publishing/FAR-Report.pdf</vt:lpwstr>
      </vt:variant>
      <vt:variant>
        <vt:lpwstr/>
      </vt:variant>
      <vt:variant>
        <vt:i4>5898269</vt:i4>
      </vt:variant>
      <vt:variant>
        <vt:i4>108</vt:i4>
      </vt:variant>
      <vt:variant>
        <vt:i4>0</vt:i4>
      </vt:variant>
      <vt:variant>
        <vt:i4>5</vt:i4>
      </vt:variant>
      <vt:variant>
        <vt:lpwstr>https://core.ac.uk/download/pdf/30680988.pdf</vt:lpwstr>
      </vt:variant>
      <vt:variant>
        <vt:lpwstr/>
      </vt:variant>
      <vt:variant>
        <vt:i4>2031687</vt:i4>
      </vt:variant>
      <vt:variant>
        <vt:i4>105</vt:i4>
      </vt:variant>
      <vt:variant>
        <vt:i4>0</vt:i4>
      </vt:variant>
      <vt:variant>
        <vt:i4>5</vt:i4>
      </vt:variant>
      <vt:variant>
        <vt:lpwstr>https://www.lowitja.org.au/content/Document/Lowitja-Publishing/FAR-Report.pdf</vt:lpwstr>
      </vt:variant>
      <vt:variant>
        <vt:lpwstr/>
      </vt:variant>
      <vt:variant>
        <vt:i4>5898269</vt:i4>
      </vt:variant>
      <vt:variant>
        <vt:i4>102</vt:i4>
      </vt:variant>
      <vt:variant>
        <vt:i4>0</vt:i4>
      </vt:variant>
      <vt:variant>
        <vt:i4>5</vt:i4>
      </vt:variant>
      <vt:variant>
        <vt:lpwstr>https://core.ac.uk/download/pdf/30680988.pdf</vt:lpwstr>
      </vt:variant>
      <vt:variant>
        <vt:lpwstr/>
      </vt:variant>
      <vt:variant>
        <vt:i4>2031687</vt:i4>
      </vt:variant>
      <vt:variant>
        <vt:i4>99</vt:i4>
      </vt:variant>
      <vt:variant>
        <vt:i4>0</vt:i4>
      </vt:variant>
      <vt:variant>
        <vt:i4>5</vt:i4>
      </vt:variant>
      <vt:variant>
        <vt:lpwstr>https://www.lowitja.org.au/content/Document/Lowitja-Publishing/FAR-Report.pdf</vt:lpwstr>
      </vt:variant>
      <vt:variant>
        <vt:lpwstr/>
      </vt:variant>
      <vt:variant>
        <vt:i4>2031687</vt:i4>
      </vt:variant>
      <vt:variant>
        <vt:i4>96</vt:i4>
      </vt:variant>
      <vt:variant>
        <vt:i4>0</vt:i4>
      </vt:variant>
      <vt:variant>
        <vt:i4>5</vt:i4>
      </vt:variant>
      <vt:variant>
        <vt:lpwstr>https://www.lowitja.org.au/content/Document/Lowitja-Publishing/FAR-Report.pdf</vt:lpwstr>
      </vt:variant>
      <vt:variant>
        <vt:lpwstr/>
      </vt:variant>
      <vt:variant>
        <vt:i4>2031687</vt:i4>
      </vt:variant>
      <vt:variant>
        <vt:i4>93</vt:i4>
      </vt:variant>
      <vt:variant>
        <vt:i4>0</vt:i4>
      </vt:variant>
      <vt:variant>
        <vt:i4>5</vt:i4>
      </vt:variant>
      <vt:variant>
        <vt:lpwstr>https://www.lowitja.org.au/content/Document/Lowitja-Publishing/FAR-Report.pdf</vt:lpwstr>
      </vt:variant>
      <vt:variant>
        <vt:lpwstr/>
      </vt:variant>
      <vt:variant>
        <vt:i4>2031687</vt:i4>
      </vt:variant>
      <vt:variant>
        <vt:i4>90</vt:i4>
      </vt:variant>
      <vt:variant>
        <vt:i4>0</vt:i4>
      </vt:variant>
      <vt:variant>
        <vt:i4>5</vt:i4>
      </vt:variant>
      <vt:variant>
        <vt:lpwstr>https://www.lowitja.org.au/content/Document/Lowitja-Publishing/FAR-Report.pdf</vt:lpwstr>
      </vt:variant>
      <vt:variant>
        <vt:lpwstr/>
      </vt:variant>
      <vt:variant>
        <vt:i4>2031687</vt:i4>
      </vt:variant>
      <vt:variant>
        <vt:i4>87</vt:i4>
      </vt:variant>
      <vt:variant>
        <vt:i4>0</vt:i4>
      </vt:variant>
      <vt:variant>
        <vt:i4>5</vt:i4>
      </vt:variant>
      <vt:variant>
        <vt:lpwstr>https://www.lowitja.org.au/content/Document/Lowitja-Publishing/FAR-Report.pdf</vt:lpwstr>
      </vt:variant>
      <vt:variant>
        <vt:lpwstr/>
      </vt:variant>
      <vt:variant>
        <vt:i4>2031687</vt:i4>
      </vt:variant>
      <vt:variant>
        <vt:i4>84</vt:i4>
      </vt:variant>
      <vt:variant>
        <vt:i4>0</vt:i4>
      </vt:variant>
      <vt:variant>
        <vt:i4>5</vt:i4>
      </vt:variant>
      <vt:variant>
        <vt:lpwstr>https://www.lowitja.org.au/content/Document/Lowitja-Publishing/FAR-Report.pdf</vt:lpwstr>
      </vt:variant>
      <vt:variant>
        <vt:lpwstr/>
      </vt:variant>
      <vt:variant>
        <vt:i4>5898269</vt:i4>
      </vt:variant>
      <vt:variant>
        <vt:i4>81</vt:i4>
      </vt:variant>
      <vt:variant>
        <vt:i4>0</vt:i4>
      </vt:variant>
      <vt:variant>
        <vt:i4>5</vt:i4>
      </vt:variant>
      <vt:variant>
        <vt:lpwstr>https://core.ac.uk/download/pdf/30680988.pdf</vt:lpwstr>
      </vt:variant>
      <vt:variant>
        <vt:lpwstr/>
      </vt:variant>
      <vt:variant>
        <vt:i4>5898269</vt:i4>
      </vt:variant>
      <vt:variant>
        <vt:i4>78</vt:i4>
      </vt:variant>
      <vt:variant>
        <vt:i4>0</vt:i4>
      </vt:variant>
      <vt:variant>
        <vt:i4>5</vt:i4>
      </vt:variant>
      <vt:variant>
        <vt:lpwstr>https://core.ac.uk/download/pdf/30680988.pdf</vt:lpwstr>
      </vt:variant>
      <vt:variant>
        <vt:lpwstr/>
      </vt:variant>
      <vt:variant>
        <vt:i4>2031687</vt:i4>
      </vt:variant>
      <vt:variant>
        <vt:i4>75</vt:i4>
      </vt:variant>
      <vt:variant>
        <vt:i4>0</vt:i4>
      </vt:variant>
      <vt:variant>
        <vt:i4>5</vt:i4>
      </vt:variant>
      <vt:variant>
        <vt:lpwstr>https://www.lowitja.org.au/content/Document/Lowitja-Publishing/FAR-Report.pdf</vt:lpwstr>
      </vt:variant>
      <vt:variant>
        <vt:lpwstr/>
      </vt:variant>
      <vt:variant>
        <vt:i4>2031687</vt:i4>
      </vt:variant>
      <vt:variant>
        <vt:i4>72</vt:i4>
      </vt:variant>
      <vt:variant>
        <vt:i4>0</vt:i4>
      </vt:variant>
      <vt:variant>
        <vt:i4>5</vt:i4>
      </vt:variant>
      <vt:variant>
        <vt:lpwstr>https://www.lowitja.org.au/content/Document/Lowitja-Publishing/FAR-Report.pdf</vt:lpwstr>
      </vt:variant>
      <vt:variant>
        <vt:lpwstr/>
      </vt:variant>
      <vt:variant>
        <vt:i4>5898271</vt:i4>
      </vt:variant>
      <vt:variant>
        <vt:i4>69</vt:i4>
      </vt:variant>
      <vt:variant>
        <vt:i4>0</vt:i4>
      </vt:variant>
      <vt:variant>
        <vt:i4>5</vt:i4>
      </vt:variant>
      <vt:variant>
        <vt:lpwstr>https://www.lowitja.org.au/content/Document/Lowitja-Publishing/FAR-NTAHF.pdf</vt:lpwstr>
      </vt:variant>
      <vt:variant>
        <vt:lpwstr/>
      </vt:variant>
      <vt:variant>
        <vt:i4>5898271</vt:i4>
      </vt:variant>
      <vt:variant>
        <vt:i4>66</vt:i4>
      </vt:variant>
      <vt:variant>
        <vt:i4>0</vt:i4>
      </vt:variant>
      <vt:variant>
        <vt:i4>5</vt:i4>
      </vt:variant>
      <vt:variant>
        <vt:lpwstr>https://www.lowitja.org.au/content/Document/Lowitja-Publishing/FAR-NTAHF.pdf</vt:lpwstr>
      </vt:variant>
      <vt:variant>
        <vt:lpwstr/>
      </vt:variant>
      <vt:variant>
        <vt:i4>2031687</vt:i4>
      </vt:variant>
      <vt:variant>
        <vt:i4>63</vt:i4>
      </vt:variant>
      <vt:variant>
        <vt:i4>0</vt:i4>
      </vt:variant>
      <vt:variant>
        <vt:i4>5</vt:i4>
      </vt:variant>
      <vt:variant>
        <vt:lpwstr>https://www.lowitja.org.au/content/Document/Lowitja-Publishing/FAR-Report.pdf</vt:lpwstr>
      </vt:variant>
      <vt:variant>
        <vt:lpwstr/>
      </vt:variant>
      <vt:variant>
        <vt:i4>5111890</vt:i4>
      </vt:variant>
      <vt:variant>
        <vt:i4>60</vt:i4>
      </vt:variant>
      <vt:variant>
        <vt:i4>0</vt:i4>
      </vt:variant>
      <vt:variant>
        <vt:i4>5</vt:i4>
      </vt:variant>
      <vt:variant>
        <vt:lpwstr>https://www.lowitja.org.au/page/research/research-categories/health-policy-and-systems/monitoring-and-evaluation/completed-projects/ABCD</vt:lpwstr>
      </vt:variant>
      <vt:variant>
        <vt:lpwstr/>
      </vt:variant>
      <vt:variant>
        <vt:i4>2031687</vt:i4>
      </vt:variant>
      <vt:variant>
        <vt:i4>57</vt:i4>
      </vt:variant>
      <vt:variant>
        <vt:i4>0</vt:i4>
      </vt:variant>
      <vt:variant>
        <vt:i4>5</vt:i4>
      </vt:variant>
      <vt:variant>
        <vt:lpwstr>https://www.lowitja.org.au/content/Document/Lowitja-Publishing/FAR-Report.pdf</vt:lpwstr>
      </vt:variant>
      <vt:variant>
        <vt:lpwstr/>
      </vt:variant>
      <vt:variant>
        <vt:i4>2031687</vt:i4>
      </vt:variant>
      <vt:variant>
        <vt:i4>54</vt:i4>
      </vt:variant>
      <vt:variant>
        <vt:i4>0</vt:i4>
      </vt:variant>
      <vt:variant>
        <vt:i4>5</vt:i4>
      </vt:variant>
      <vt:variant>
        <vt:lpwstr>https://www.lowitja.org.au/content/Document/Lowitja-Publishing/FAR-Report.pdf</vt:lpwstr>
      </vt:variant>
      <vt:variant>
        <vt:lpwstr/>
      </vt:variant>
      <vt:variant>
        <vt:i4>1638400</vt:i4>
      </vt:variant>
      <vt:variant>
        <vt:i4>51</vt:i4>
      </vt:variant>
      <vt:variant>
        <vt:i4>0</vt:i4>
      </vt:variant>
      <vt:variant>
        <vt:i4>5</vt:i4>
      </vt:variant>
      <vt:variant>
        <vt:lpwstr>https://www.lowitja.org.au/content/Document/Lowitja-Publishing/FAR-Summary-Report.pdf</vt:lpwstr>
      </vt:variant>
      <vt:variant>
        <vt:lpwstr/>
      </vt:variant>
      <vt:variant>
        <vt:i4>1638400</vt:i4>
      </vt:variant>
      <vt:variant>
        <vt:i4>48</vt:i4>
      </vt:variant>
      <vt:variant>
        <vt:i4>0</vt:i4>
      </vt:variant>
      <vt:variant>
        <vt:i4>5</vt:i4>
      </vt:variant>
      <vt:variant>
        <vt:lpwstr>https://www.lowitja.org.au/content/Document/Lowitja-Publishing/FAR-Summary-Report.pdf</vt:lpwstr>
      </vt:variant>
      <vt:variant>
        <vt:lpwstr/>
      </vt:variant>
      <vt:variant>
        <vt:i4>5767252</vt:i4>
      </vt:variant>
      <vt:variant>
        <vt:i4>45</vt:i4>
      </vt:variant>
      <vt:variant>
        <vt:i4>0</vt:i4>
      </vt:variant>
      <vt:variant>
        <vt:i4>5</vt:i4>
      </vt:variant>
      <vt:variant>
        <vt:lpwstr>http://www.amsant.org.au/wp-content/uploads/2019/12/2009_Final_Pathways-to-Community-Control.pdf</vt:lpwstr>
      </vt:variant>
      <vt:variant>
        <vt:lpwstr/>
      </vt:variant>
      <vt:variant>
        <vt:i4>5767252</vt:i4>
      </vt:variant>
      <vt:variant>
        <vt:i4>42</vt:i4>
      </vt:variant>
      <vt:variant>
        <vt:i4>0</vt:i4>
      </vt:variant>
      <vt:variant>
        <vt:i4>5</vt:i4>
      </vt:variant>
      <vt:variant>
        <vt:lpwstr>http://www.amsant.org.au/wp-content/uploads/2019/12/2009_Final_Pathways-to-Community-Control.pdf</vt:lpwstr>
      </vt:variant>
      <vt:variant>
        <vt:lpwstr/>
      </vt:variant>
      <vt:variant>
        <vt:i4>5898269</vt:i4>
      </vt:variant>
      <vt:variant>
        <vt:i4>36</vt:i4>
      </vt:variant>
      <vt:variant>
        <vt:i4>0</vt:i4>
      </vt:variant>
      <vt:variant>
        <vt:i4>5</vt:i4>
      </vt:variant>
      <vt:variant>
        <vt:lpwstr>https://core.ac.uk/download/pdf/30680988.pdf</vt:lpwstr>
      </vt:variant>
      <vt:variant>
        <vt:lpwstr/>
      </vt:variant>
      <vt:variant>
        <vt:i4>2031687</vt:i4>
      </vt:variant>
      <vt:variant>
        <vt:i4>33</vt:i4>
      </vt:variant>
      <vt:variant>
        <vt:i4>0</vt:i4>
      </vt:variant>
      <vt:variant>
        <vt:i4>5</vt:i4>
      </vt:variant>
      <vt:variant>
        <vt:lpwstr>https://www.lowitja.org.au/content/Document/Lowitja-Publishing/FAR-Report.pdf</vt:lpwstr>
      </vt:variant>
      <vt:variant>
        <vt:lpwstr/>
      </vt:variant>
      <vt:variant>
        <vt:i4>1638400</vt:i4>
      </vt:variant>
      <vt:variant>
        <vt:i4>30</vt:i4>
      </vt:variant>
      <vt:variant>
        <vt:i4>0</vt:i4>
      </vt:variant>
      <vt:variant>
        <vt:i4>5</vt:i4>
      </vt:variant>
      <vt:variant>
        <vt:lpwstr>https://www.lowitja.org.au/content/Document/Lowitja-Publishing/FAR-Summary-Report.pdf</vt:lpwstr>
      </vt:variant>
      <vt:variant>
        <vt:lpwstr/>
      </vt:variant>
      <vt:variant>
        <vt:i4>5111890</vt:i4>
      </vt:variant>
      <vt:variant>
        <vt:i4>27</vt:i4>
      </vt:variant>
      <vt:variant>
        <vt:i4>0</vt:i4>
      </vt:variant>
      <vt:variant>
        <vt:i4>5</vt:i4>
      </vt:variant>
      <vt:variant>
        <vt:lpwstr>https://www.lowitja.org.au/page/research/research-categories/health-policy-and-systems/monitoring-and-evaluation/completed-projects/ABCD</vt:lpwstr>
      </vt:variant>
      <vt:variant>
        <vt:lpwstr/>
      </vt:variant>
      <vt:variant>
        <vt:i4>4325442</vt:i4>
      </vt:variant>
      <vt:variant>
        <vt:i4>24</vt:i4>
      </vt:variant>
      <vt:variant>
        <vt:i4>0</vt:i4>
      </vt:variant>
      <vt:variant>
        <vt:i4>5</vt:i4>
      </vt:variant>
      <vt:variant>
        <vt:lpwstr>https://www.publish.csiro.au/ah/AH030031</vt:lpwstr>
      </vt:variant>
      <vt:variant>
        <vt:lpwstr/>
      </vt:variant>
      <vt:variant>
        <vt:i4>5898269</vt:i4>
      </vt:variant>
      <vt:variant>
        <vt:i4>21</vt:i4>
      </vt:variant>
      <vt:variant>
        <vt:i4>0</vt:i4>
      </vt:variant>
      <vt:variant>
        <vt:i4>5</vt:i4>
      </vt:variant>
      <vt:variant>
        <vt:lpwstr>https://core.ac.uk/download/pdf/30680988.pdf</vt:lpwstr>
      </vt:variant>
      <vt:variant>
        <vt:lpwstr/>
      </vt:variant>
      <vt:variant>
        <vt:i4>1703951</vt:i4>
      </vt:variant>
      <vt:variant>
        <vt:i4>18</vt:i4>
      </vt:variant>
      <vt:variant>
        <vt:i4>0</vt:i4>
      </vt:variant>
      <vt:variant>
        <vt:i4>5</vt:i4>
      </vt:variant>
      <vt:variant>
        <vt:lpwstr>https://healthinfonet.ecu.edu.au/learn/health-system/community-controlled-health-sector/</vt:lpwstr>
      </vt:variant>
      <vt:variant>
        <vt:lpwstr/>
      </vt:variant>
      <vt:variant>
        <vt:i4>3997731</vt:i4>
      </vt:variant>
      <vt:variant>
        <vt:i4>15</vt:i4>
      </vt:variant>
      <vt:variant>
        <vt:i4>0</vt:i4>
      </vt:variant>
      <vt:variant>
        <vt:i4>5</vt:i4>
      </vt:variant>
      <vt:variant>
        <vt:lpwstr>https://www.naccho.org.au/our-story</vt:lpwstr>
      </vt:variant>
      <vt:variant>
        <vt:lpwstr/>
      </vt:variant>
      <vt:variant>
        <vt:i4>5767269</vt:i4>
      </vt:variant>
      <vt:variant>
        <vt:i4>12</vt:i4>
      </vt:variant>
      <vt:variant>
        <vt:i4>0</vt:i4>
      </vt:variant>
      <vt:variant>
        <vt:i4>5</vt:i4>
      </vt:variant>
      <vt:variant>
        <vt:lpwstr>http://apps.who.int/iris/bitstream/handle/10665/43943/9789241563703_eng.pdf;jsessionid=FBEA9902430B9739EF81F66EF9E2B568?sequence=1</vt:lpwstr>
      </vt:variant>
      <vt:variant>
        <vt:lpwstr/>
      </vt:variant>
      <vt:variant>
        <vt:i4>7798811</vt:i4>
      </vt:variant>
      <vt:variant>
        <vt:i4>9</vt:i4>
      </vt:variant>
      <vt:variant>
        <vt:i4>0</vt:i4>
      </vt:variant>
      <vt:variant>
        <vt:i4>5</vt:i4>
      </vt:variant>
      <vt:variant>
        <vt:lpwstr>https://www.euro.who.int/__data/assets/pdf_file/0005/98438/e81384.pdf</vt:lpwstr>
      </vt:variant>
      <vt:variant>
        <vt:lpwstr/>
      </vt:variant>
      <vt:variant>
        <vt:i4>4390934</vt:i4>
      </vt:variant>
      <vt:variant>
        <vt:i4>6</vt:i4>
      </vt:variant>
      <vt:variant>
        <vt:i4>0</vt:i4>
      </vt:variant>
      <vt:variant>
        <vt:i4>5</vt:i4>
      </vt:variant>
      <vt:variant>
        <vt:lpwstr>https://www.who.int/teams/health-promotion/enhanced-wellbeing/first-global-conference</vt:lpwstr>
      </vt:variant>
      <vt:variant>
        <vt:lpwstr/>
      </vt:variant>
      <vt:variant>
        <vt:i4>8061036</vt:i4>
      </vt:variant>
      <vt:variant>
        <vt:i4>3</vt:i4>
      </vt:variant>
      <vt:variant>
        <vt:i4>0</vt:i4>
      </vt:variant>
      <vt:variant>
        <vt:i4>5</vt:i4>
      </vt:variant>
      <vt:variant>
        <vt:lpwstr>https://www.who.int/teams/social-determinants-of-health/declaration-of-alma-ata</vt:lpwstr>
      </vt:variant>
      <vt:variant>
        <vt:lpwstr/>
      </vt:variant>
      <vt:variant>
        <vt:i4>2293808</vt:i4>
      </vt:variant>
      <vt:variant>
        <vt:i4>0</vt:i4>
      </vt:variant>
      <vt:variant>
        <vt:i4>0</vt:i4>
      </vt:variant>
      <vt:variant>
        <vt:i4>5</vt:i4>
      </vt:variant>
      <vt:variant>
        <vt:lpwstr>https://catalogue.nla.gov.au/Record/668993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Pathways to Community Control program</dc:title>
  <dc:subject>Aboriginal and Torres Strait Islander Health</dc:subject>
  <dc:creator>Australian Government Department of Health and Aged Care</dc:creator>
  <cp:keywords>Aboriginal and Torres Strait Islander, First Nations, Transition to Community Control</cp:keywords>
  <cp:lastModifiedBy>HAMLEY, Erynn</cp:lastModifiedBy>
  <cp:revision>2</cp:revision>
  <cp:lastPrinted>2022-06-16T08:31:00Z</cp:lastPrinted>
  <dcterms:created xsi:type="dcterms:W3CDTF">2022-12-15T02:30:00Z</dcterms:created>
  <dcterms:modified xsi:type="dcterms:W3CDTF">2022-12-15T02:30:00Z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0x0101003E0A442D77E7DC44B6BF47AAE02FC19E</vt:lpwstr>
  </property>
</Properties>
</file>