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00FD" w14:textId="77777777" w:rsidR="003F5DCC" w:rsidRPr="00112643" w:rsidRDefault="00112643" w:rsidP="003A4DBC">
      <w:pPr>
        <w:spacing w:before="120"/>
        <w:rPr>
          <w:rFonts w:eastAsia="Times New Roman" w:cs="Arial"/>
          <w:color w:val="1B1F6C"/>
          <w:sz w:val="44"/>
          <w:szCs w:val="46"/>
          <w:lang w:val="en-US"/>
        </w:rPr>
      </w:pPr>
      <w:r w:rsidRPr="00112643">
        <w:rPr>
          <w:rFonts w:cs="Arial"/>
          <w:b/>
          <w:color w:val="1B1F6C"/>
          <w:sz w:val="44"/>
          <w:szCs w:val="46"/>
        </w:rPr>
        <w:t>Fact sheet</w:t>
      </w:r>
      <w:r w:rsidR="003F5DCC" w:rsidRPr="00112643">
        <w:rPr>
          <w:rFonts w:cs="Arial"/>
          <w:b/>
          <w:color w:val="1B1F6C"/>
          <w:sz w:val="44"/>
          <w:szCs w:val="46"/>
        </w:rPr>
        <w:t xml:space="preserve"> -</w:t>
      </w:r>
      <w:r w:rsidR="003F5DCC" w:rsidRPr="00112643">
        <w:rPr>
          <w:rFonts w:cs="Arial"/>
          <w:color w:val="1B1F6C"/>
          <w:sz w:val="44"/>
          <w:szCs w:val="46"/>
        </w:rPr>
        <w:t xml:space="preserve"> </w:t>
      </w:r>
      <w:r>
        <w:rPr>
          <w:rFonts w:cs="Arial"/>
          <w:b/>
          <w:bCs/>
          <w:color w:val="1B1F6C"/>
          <w:sz w:val="44"/>
          <w:szCs w:val="46"/>
          <w:bdr w:val="none" w:sz="0" w:space="0" w:color="auto" w:frame="1"/>
          <w:lang w:val="en"/>
        </w:rPr>
        <w:t>C</w:t>
      </w:r>
      <w:r w:rsidR="00224196">
        <w:rPr>
          <w:rFonts w:cs="Arial"/>
          <w:b/>
          <w:bCs/>
          <w:color w:val="1B1F6C"/>
          <w:sz w:val="44"/>
          <w:szCs w:val="46"/>
          <w:bdr w:val="none" w:sz="0" w:space="0" w:color="auto" w:frame="1"/>
          <w:lang w:val="en"/>
        </w:rPr>
        <w:t>OVID</w:t>
      </w:r>
      <w:r>
        <w:rPr>
          <w:rFonts w:cs="Arial"/>
          <w:b/>
          <w:bCs/>
          <w:color w:val="1B1F6C"/>
          <w:sz w:val="44"/>
          <w:szCs w:val="46"/>
          <w:bdr w:val="none" w:sz="0" w:space="0" w:color="auto" w:frame="1"/>
          <w:lang w:val="en"/>
        </w:rPr>
        <w:t>-19 G</w:t>
      </w:r>
      <w:r w:rsidRPr="00112643">
        <w:rPr>
          <w:rFonts w:cs="Arial"/>
          <w:b/>
          <w:bCs/>
          <w:color w:val="1B1F6C"/>
          <w:sz w:val="44"/>
          <w:szCs w:val="46"/>
          <w:bdr w:val="none" w:sz="0" w:space="0" w:color="auto" w:frame="1"/>
          <w:lang w:val="en"/>
        </w:rPr>
        <w:t>uidance for using human remains for teaching, scientific and research purposes</w:t>
      </w:r>
    </w:p>
    <w:p w14:paraId="5B47D25C" w14:textId="77777777" w:rsidR="003F5DCC" w:rsidRPr="001B4D65" w:rsidRDefault="003F5DCC" w:rsidP="003F5DCC">
      <w:pPr>
        <w:pStyle w:val="Subtitle"/>
        <w:tabs>
          <w:tab w:val="center" w:pos="4535"/>
        </w:tabs>
        <w:rPr>
          <w:sz w:val="46"/>
          <w:szCs w:val="46"/>
        </w:rPr>
      </w:pPr>
    </w:p>
    <w:p w14:paraId="6D5DF55A" w14:textId="77777777" w:rsidR="003F5DCC" w:rsidRPr="001B4D65" w:rsidRDefault="00F52695" w:rsidP="00940B15">
      <w:pPr>
        <w:spacing w:after="480"/>
        <w:jc w:val="right"/>
        <w:rPr>
          <w:rFonts w:cs="Arial"/>
        </w:rPr>
      </w:pPr>
      <w:r>
        <w:rPr>
          <w:rFonts w:cs="Arial"/>
        </w:rPr>
        <w:t>16/09</w:t>
      </w:r>
      <w:r w:rsidR="003F5DCC">
        <w:rPr>
          <w:rFonts w:cs="Arial"/>
        </w:rPr>
        <w:t>/2020</w:t>
      </w:r>
    </w:p>
    <w:p w14:paraId="489A670B" w14:textId="77777777" w:rsidR="00F52695" w:rsidRDefault="00F52695" w:rsidP="00F52695">
      <w:pPr>
        <w:rPr>
          <w:lang w:eastAsia="en-AU"/>
        </w:rPr>
      </w:pPr>
      <w:r>
        <w:rPr>
          <w:lang w:eastAsia="en-AU"/>
        </w:rPr>
        <w:t xml:space="preserve">This fact sheet provides information and advice for using human remains with suspected or confirmed COVID-19 for teaching, scientific and research purposes. </w:t>
      </w:r>
    </w:p>
    <w:p w14:paraId="666FF9D2" w14:textId="5676366E" w:rsidR="00F52695" w:rsidRDefault="00F52695" w:rsidP="00F52695">
      <w:pPr>
        <w:rPr>
          <w:lang w:eastAsia="en-AU"/>
        </w:rPr>
      </w:pPr>
      <w:r>
        <w:rPr>
          <w:lang w:eastAsia="en-AU"/>
        </w:rPr>
        <w:t xml:space="preserve">For general guidance on bringing human remains into Australia, visit the Department of Health’s </w:t>
      </w:r>
      <w:hyperlink r:id="rId8" w:history="1">
        <w:r w:rsidRPr="001B5628">
          <w:rPr>
            <w:rStyle w:val="Hyperlink"/>
            <w:lang w:eastAsia="en-AU"/>
          </w:rPr>
          <w:t>website</w:t>
        </w:r>
      </w:hyperlink>
      <w:r>
        <w:rPr>
          <w:lang w:eastAsia="en-AU"/>
        </w:rPr>
        <w:t>.</w:t>
      </w:r>
    </w:p>
    <w:p w14:paraId="70CFCB8C" w14:textId="77777777" w:rsidR="00F52695" w:rsidRDefault="00F52695" w:rsidP="00F52695">
      <w:pPr>
        <w:rPr>
          <w:lang w:eastAsia="en-AU"/>
        </w:rPr>
      </w:pPr>
      <w:r>
        <w:rPr>
          <w:lang w:eastAsia="en-AU"/>
        </w:rPr>
        <w:t>When drafting required statements to send with human remains into Australia, consider COVID-19 infection risks.</w:t>
      </w:r>
    </w:p>
    <w:p w14:paraId="6EC0A707" w14:textId="77777777" w:rsidR="00F52695" w:rsidRPr="001B5628" w:rsidRDefault="00F52695" w:rsidP="001B5628">
      <w:pPr>
        <w:pStyle w:val="Heading2"/>
        <w:numPr>
          <w:ilvl w:val="0"/>
          <w:numId w:val="0"/>
        </w:numPr>
        <w:rPr>
          <w:rStyle w:val="Strong"/>
          <w:b w:val="0"/>
          <w:lang w:eastAsia="en-AU"/>
        </w:rPr>
      </w:pPr>
      <w:r w:rsidRPr="001B5628">
        <w:rPr>
          <w:rStyle w:val="Strong"/>
          <w:b w:val="0"/>
          <w:lang w:eastAsia="en-AU"/>
        </w:rPr>
        <w:t>Guidance for the use of Class 2 human remains in relation to COVID-19 risk</w:t>
      </w:r>
    </w:p>
    <w:p w14:paraId="6FD4AA68" w14:textId="77777777" w:rsidR="00F52695" w:rsidRDefault="00F52695" w:rsidP="00F52695">
      <w:pPr>
        <w:rPr>
          <w:lang w:eastAsia="en-AU"/>
        </w:rPr>
      </w:pPr>
      <w:r>
        <w:rPr>
          <w:lang w:eastAsia="en-AU"/>
        </w:rPr>
        <w:t>Human remains used for teaching and training purposes should be:</w:t>
      </w:r>
    </w:p>
    <w:p w14:paraId="4C9A4327" w14:textId="77777777" w:rsidR="00F52695" w:rsidRDefault="00F52695" w:rsidP="001B5628">
      <w:pPr>
        <w:pStyle w:val="ListParagraph"/>
        <w:rPr>
          <w:lang w:eastAsia="en-AU"/>
        </w:rPr>
      </w:pPr>
      <w:r>
        <w:rPr>
          <w:lang w:eastAsia="en-AU"/>
        </w:rPr>
        <w:t>from those who died in November 2019 or before, or</w:t>
      </w:r>
    </w:p>
    <w:p w14:paraId="550F143F" w14:textId="1B69395A" w:rsidR="00F52695" w:rsidRDefault="00F52695" w:rsidP="001B5628">
      <w:pPr>
        <w:pStyle w:val="ListParagraph"/>
        <w:rPr>
          <w:lang w:eastAsia="en-AU"/>
        </w:rPr>
      </w:pPr>
      <w:r>
        <w:rPr>
          <w:lang w:eastAsia="en-AU"/>
        </w:rPr>
        <w:t xml:space="preserve">from persons who had a confirmed negative COVID-19 test at death per the </w:t>
      </w:r>
      <w:hyperlink r:id="rId9" w:history="1">
        <w:r w:rsidRPr="001B5628">
          <w:rPr>
            <w:rStyle w:val="Hyperlink"/>
            <w:lang w:eastAsia="en-AU"/>
          </w:rPr>
          <w:t>Coronavirus Disease 2019 (COVID-19) CDNA National Guidelines for Public Health Units</w:t>
        </w:r>
      </w:hyperlink>
      <w:r>
        <w:rPr>
          <w:lang w:eastAsia="en-AU"/>
        </w:rPr>
        <w:t>, or</w:t>
      </w:r>
    </w:p>
    <w:p w14:paraId="3E889000" w14:textId="77777777" w:rsidR="00F52695" w:rsidRDefault="00F52695" w:rsidP="001B5628">
      <w:pPr>
        <w:pStyle w:val="ListParagraph"/>
        <w:rPr>
          <w:lang w:eastAsia="en-AU"/>
        </w:rPr>
      </w:pPr>
      <w:r>
        <w:rPr>
          <w:lang w:eastAsia="en-AU"/>
        </w:rPr>
        <w:t>embalmed prior to importation.</w:t>
      </w:r>
    </w:p>
    <w:p w14:paraId="1809250C" w14:textId="77777777" w:rsidR="00F52695" w:rsidRDefault="00F52695" w:rsidP="00F52695">
      <w:pPr>
        <w:rPr>
          <w:lang w:eastAsia="en-AU"/>
        </w:rPr>
      </w:pPr>
      <w:r>
        <w:rPr>
          <w:lang w:eastAsia="en-AU"/>
        </w:rPr>
        <w:t xml:space="preserve">Standard precautions to manage the biosecurity risk of human remains which meet the above </w:t>
      </w:r>
      <w:r w:rsidR="00954A7C">
        <w:rPr>
          <w:lang w:eastAsia="en-AU"/>
        </w:rPr>
        <w:t>measures</w:t>
      </w:r>
      <w:r>
        <w:rPr>
          <w:lang w:eastAsia="en-AU"/>
        </w:rPr>
        <w:t xml:space="preserve"> are:</w:t>
      </w:r>
    </w:p>
    <w:p w14:paraId="31DEF70E" w14:textId="77777777" w:rsidR="00F52695" w:rsidRDefault="00F52695" w:rsidP="001B5628">
      <w:pPr>
        <w:pStyle w:val="ListParagraph"/>
        <w:rPr>
          <w:lang w:eastAsia="en-AU"/>
        </w:rPr>
      </w:pPr>
      <w:r>
        <w:rPr>
          <w:lang w:eastAsia="en-AU"/>
        </w:rPr>
        <w:t xml:space="preserve">Handle human remains using standard precautions within the </w:t>
      </w:r>
      <w:hyperlink r:id="rId10" w:history="1">
        <w:r w:rsidRPr="001B5628">
          <w:rPr>
            <w:rStyle w:val="Hyperlink"/>
            <w:i/>
          </w:rPr>
          <w:t>Australian Guidelines for the Prevention and Control of Infection in Healthcare</w:t>
        </w:r>
      </w:hyperlink>
    </w:p>
    <w:p w14:paraId="51B8A8AE" w14:textId="77777777" w:rsidR="00F52695" w:rsidRDefault="00F52695" w:rsidP="001B5628">
      <w:pPr>
        <w:pStyle w:val="ListParagraph"/>
        <w:rPr>
          <w:lang w:eastAsia="en-AU"/>
        </w:rPr>
      </w:pPr>
      <w:r>
        <w:rPr>
          <w:lang w:eastAsia="en-AU"/>
        </w:rPr>
        <w:t>Practise thorough hand hygiene using soap and water after interacting with the body or body parts</w:t>
      </w:r>
    </w:p>
    <w:p w14:paraId="342BF7D3" w14:textId="77777777" w:rsidR="00F52695" w:rsidRDefault="00F52695" w:rsidP="001B5628">
      <w:pPr>
        <w:pStyle w:val="ListParagraph"/>
        <w:rPr>
          <w:lang w:eastAsia="en-AU"/>
        </w:rPr>
      </w:pPr>
      <w:r>
        <w:rPr>
          <w:lang w:eastAsia="en-AU"/>
        </w:rPr>
        <w:t>Undertake all aerosol generating procedures using contact and airborne precautions with eye protection (</w:t>
      </w:r>
      <w:proofErr w:type="gramStart"/>
      <w:r>
        <w:rPr>
          <w:lang w:eastAsia="en-AU"/>
        </w:rPr>
        <w:t>e.g.</w:t>
      </w:r>
      <w:proofErr w:type="gramEnd"/>
      <w:r>
        <w:rPr>
          <w:lang w:eastAsia="en-AU"/>
        </w:rPr>
        <w:t xml:space="preserve"> goggles or a face shield)</w:t>
      </w:r>
    </w:p>
    <w:p w14:paraId="15CF209D" w14:textId="77777777" w:rsidR="00F52695" w:rsidRDefault="00F52695" w:rsidP="001B5628">
      <w:pPr>
        <w:pStyle w:val="ListParagraph"/>
        <w:rPr>
          <w:lang w:eastAsia="en-AU"/>
        </w:rPr>
      </w:pPr>
      <w:r>
        <w:rPr>
          <w:lang w:eastAsia="en-AU"/>
        </w:rPr>
        <w:t>Clean frequently touched surfaces often or when visibly soiled in addition to routine cleaning. Use disinfectant wipes or a detergent product, with a one-use or laundry safe cloth.</w:t>
      </w:r>
    </w:p>
    <w:p w14:paraId="4622DB09" w14:textId="77777777" w:rsidR="00F52695" w:rsidRDefault="00F52695" w:rsidP="001B5628">
      <w:pPr>
        <w:pStyle w:val="Heading2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lastRenderedPageBreak/>
        <w:t>Using human remains with suspected or confirmed COVID-19 or where COVID-19 risk is likely to be present</w:t>
      </w:r>
    </w:p>
    <w:p w14:paraId="4239C45B" w14:textId="77777777" w:rsidR="00F52695" w:rsidRDefault="00F52695" w:rsidP="00F52695">
      <w:pPr>
        <w:rPr>
          <w:lang w:eastAsia="en-AU"/>
        </w:rPr>
      </w:pPr>
      <w:r>
        <w:rPr>
          <w:lang w:eastAsia="en-AU"/>
        </w:rPr>
        <w:t>Human remains with suspected or confirmed COVID-19 prior to death, or where COVID-19 risk is likely (</w:t>
      </w:r>
      <w:proofErr w:type="gramStart"/>
      <w:r>
        <w:rPr>
          <w:lang w:eastAsia="en-AU"/>
        </w:rPr>
        <w:t>e.g.</w:t>
      </w:r>
      <w:proofErr w:type="gramEnd"/>
      <w:r>
        <w:rPr>
          <w:lang w:eastAsia="en-AU"/>
        </w:rPr>
        <w:t xml:space="preserve"> sourced from countries with high COVID-19 incidence), presents a risk of infection for those who handle the remains. This can be through respiratory secretions, excretions and aerosol generating procedures.</w:t>
      </w:r>
    </w:p>
    <w:p w14:paraId="3D2EB9F7" w14:textId="77777777" w:rsidR="00F52695" w:rsidRDefault="00F52695" w:rsidP="00F52695">
      <w:pPr>
        <w:rPr>
          <w:lang w:eastAsia="en-AU"/>
        </w:rPr>
      </w:pPr>
      <w:r>
        <w:rPr>
          <w:lang w:eastAsia="en-AU"/>
        </w:rPr>
        <w:t xml:space="preserve">It is recommended that these remains are not used for teaching or training purposes. </w:t>
      </w:r>
    </w:p>
    <w:p w14:paraId="44A10994" w14:textId="77777777" w:rsidR="00F52695" w:rsidRDefault="00F52695" w:rsidP="00F52695">
      <w:pPr>
        <w:rPr>
          <w:lang w:eastAsia="en-AU"/>
        </w:rPr>
      </w:pPr>
      <w:r>
        <w:rPr>
          <w:lang w:eastAsia="en-AU"/>
        </w:rPr>
        <w:t xml:space="preserve">If using the remains for other scientific and research </w:t>
      </w:r>
      <w:proofErr w:type="gramStart"/>
      <w:r>
        <w:rPr>
          <w:lang w:eastAsia="en-AU"/>
        </w:rPr>
        <w:t>purposes</w:t>
      </w:r>
      <w:proofErr w:type="gramEnd"/>
      <w:r>
        <w:rPr>
          <w:lang w:eastAsia="en-AU"/>
        </w:rPr>
        <w:t xml:space="preserve"> follow the below to reduce the risk of COVID-19 infection:</w:t>
      </w:r>
    </w:p>
    <w:p w14:paraId="70F94C3A" w14:textId="77777777" w:rsidR="00F52695" w:rsidRDefault="00F52695" w:rsidP="001B5628">
      <w:pPr>
        <w:pStyle w:val="ListParagraph"/>
        <w:rPr>
          <w:lang w:eastAsia="en-AU"/>
        </w:rPr>
      </w:pPr>
      <w:r>
        <w:rPr>
          <w:lang w:eastAsia="en-AU"/>
        </w:rPr>
        <w:t>Conduct a risk assessment to identify hazards and manage risks of the activity by using personal protective equipment (PPE) and other measures</w:t>
      </w:r>
    </w:p>
    <w:p w14:paraId="26EE48A1" w14:textId="77777777" w:rsidR="00F52695" w:rsidRDefault="00F52695" w:rsidP="001B5628">
      <w:pPr>
        <w:pStyle w:val="ListParagraph"/>
        <w:rPr>
          <w:lang w:eastAsia="en-AU"/>
        </w:rPr>
      </w:pPr>
      <w:r>
        <w:rPr>
          <w:lang w:eastAsia="en-AU"/>
        </w:rPr>
        <w:t>Only people with appropriate infection prevention and control training should handle human remains. This includes using standard precautions (gloves, waterproof disposable gown, surgical mask and eye protection)</w:t>
      </w:r>
    </w:p>
    <w:p w14:paraId="1E651032" w14:textId="77777777" w:rsidR="001B5628" w:rsidRPr="00460805" w:rsidRDefault="00F52695" w:rsidP="001B5628">
      <w:pPr>
        <w:pStyle w:val="BulletPoint2-Level2"/>
        <w:rPr>
          <w:i/>
          <w:lang w:eastAsia="en-AU"/>
        </w:rPr>
      </w:pPr>
      <w:r>
        <w:rPr>
          <w:lang w:eastAsia="en-AU"/>
        </w:rPr>
        <w:t xml:space="preserve">Further guidance on handling COVID-19 infected remains is in the Department of Health website information sheet </w:t>
      </w:r>
      <w:hyperlink r:id="rId11" w:history="1">
        <w:r w:rsidRPr="00460805">
          <w:rPr>
            <w:rStyle w:val="Hyperlink"/>
            <w:i/>
            <w:lang w:eastAsia="en-AU"/>
          </w:rPr>
          <w:t>Coronavirus (COVID-19) – Advice for funeral directors</w:t>
        </w:r>
      </w:hyperlink>
    </w:p>
    <w:p w14:paraId="262B217C" w14:textId="77777777" w:rsidR="00F52695" w:rsidRDefault="00F52695" w:rsidP="00460805">
      <w:pPr>
        <w:pStyle w:val="ListParagraph"/>
        <w:rPr>
          <w:lang w:eastAsia="en-AU"/>
        </w:rPr>
      </w:pPr>
      <w:r>
        <w:rPr>
          <w:lang w:eastAsia="en-AU"/>
        </w:rPr>
        <w:t>Place a surgical mask over the deceased’s mouth and nose to prevent risk of aerosol generation, especially when moving the body</w:t>
      </w:r>
    </w:p>
    <w:p w14:paraId="5FB06B49" w14:textId="77777777" w:rsidR="00F52695" w:rsidRDefault="00F52695" w:rsidP="00460805">
      <w:pPr>
        <w:pStyle w:val="ListParagraph"/>
        <w:rPr>
          <w:lang w:eastAsia="en-AU"/>
        </w:rPr>
      </w:pPr>
      <w:r>
        <w:rPr>
          <w:lang w:eastAsia="en-AU"/>
        </w:rPr>
        <w:t>Adults over 60 years and people with a weak or suppressed immune system should not interact with the body</w:t>
      </w:r>
    </w:p>
    <w:p w14:paraId="0E10B62D" w14:textId="77777777" w:rsidR="00F52695" w:rsidRDefault="00F52695" w:rsidP="00460805">
      <w:pPr>
        <w:pStyle w:val="ListParagraph"/>
        <w:rPr>
          <w:lang w:eastAsia="en-AU"/>
        </w:rPr>
      </w:pPr>
      <w:r>
        <w:rPr>
          <w:lang w:eastAsia="en-AU"/>
        </w:rPr>
        <w:t>Practice thorough hand hygiene using soap and water after interacting with the body or body parts</w:t>
      </w:r>
    </w:p>
    <w:p w14:paraId="322989FB" w14:textId="77777777" w:rsidR="00F52695" w:rsidRDefault="00F52695" w:rsidP="00460805">
      <w:pPr>
        <w:pStyle w:val="ListParagraph"/>
        <w:rPr>
          <w:lang w:eastAsia="en-AU"/>
        </w:rPr>
      </w:pPr>
      <w:r>
        <w:rPr>
          <w:lang w:eastAsia="en-AU"/>
        </w:rPr>
        <w:t>Avoid all aerosol generating procedures or undertake using contact and airborne precautions with eye protection (</w:t>
      </w:r>
      <w:proofErr w:type="gramStart"/>
      <w:r>
        <w:rPr>
          <w:lang w:eastAsia="en-AU"/>
        </w:rPr>
        <w:t>e.g.</w:t>
      </w:r>
      <w:proofErr w:type="gramEnd"/>
      <w:r>
        <w:rPr>
          <w:lang w:eastAsia="en-AU"/>
        </w:rPr>
        <w:t xml:space="preserve"> goggles or a face shield)</w:t>
      </w:r>
    </w:p>
    <w:p w14:paraId="7E9F2D68" w14:textId="77777777" w:rsidR="00F52695" w:rsidRDefault="00F52695" w:rsidP="00460805">
      <w:pPr>
        <w:pStyle w:val="ListParagraph"/>
        <w:rPr>
          <w:lang w:eastAsia="en-AU"/>
        </w:rPr>
      </w:pPr>
      <w:r>
        <w:rPr>
          <w:lang w:eastAsia="en-AU"/>
        </w:rPr>
        <w:t xml:space="preserve">Use contact and airborne precautions with eye protection when manipulating lungs or </w:t>
      </w:r>
      <w:r w:rsidR="009C14BB">
        <w:rPr>
          <w:lang w:eastAsia="en-AU"/>
        </w:rPr>
        <w:t>per</w:t>
      </w:r>
      <w:r>
        <w:rPr>
          <w:lang w:eastAsia="en-AU"/>
        </w:rPr>
        <w:t>for</w:t>
      </w:r>
      <w:r w:rsidR="009C14BB">
        <w:rPr>
          <w:lang w:eastAsia="en-AU"/>
        </w:rPr>
        <w:t>ming</w:t>
      </w:r>
      <w:r>
        <w:rPr>
          <w:lang w:eastAsia="en-AU"/>
        </w:rPr>
        <w:t xml:space="preserve"> invasive procedures. </w:t>
      </w:r>
      <w:r w:rsidR="009C14BB">
        <w:rPr>
          <w:lang w:eastAsia="en-AU"/>
        </w:rPr>
        <w:t>Complete this</w:t>
      </w:r>
      <w:r>
        <w:rPr>
          <w:lang w:eastAsia="en-AU"/>
        </w:rPr>
        <w:t xml:space="preserve"> in line with existing guidelines for any autopsies of people who have died from an acute respiratory illness</w:t>
      </w:r>
    </w:p>
    <w:p w14:paraId="3B9DFD12" w14:textId="77777777" w:rsidR="00F52695" w:rsidRDefault="00F52695" w:rsidP="00460805">
      <w:pPr>
        <w:pStyle w:val="ListParagraph"/>
        <w:rPr>
          <w:lang w:eastAsia="en-AU"/>
        </w:rPr>
      </w:pPr>
      <w:r>
        <w:rPr>
          <w:lang w:eastAsia="en-AU"/>
        </w:rPr>
        <w:t>When cleaning and disinfecting surfaces, use water and soap (or a detergent solution). Then apply a Therapeutic Goods Administration (TGA) listed disinfectant with claim of activity against enveloped viruses.</w:t>
      </w:r>
    </w:p>
    <w:p w14:paraId="370272FB" w14:textId="77777777" w:rsidR="00F52695" w:rsidRDefault="00F52695" w:rsidP="00C06D3C">
      <w:pPr>
        <w:pStyle w:val="Heading2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Fluid, cell or tissue-level work </w:t>
      </w:r>
    </w:p>
    <w:p w14:paraId="7401E00C" w14:textId="77777777" w:rsidR="00F52695" w:rsidRDefault="00F52695" w:rsidP="00F52695">
      <w:pPr>
        <w:rPr>
          <w:lang w:eastAsia="en-AU"/>
        </w:rPr>
      </w:pPr>
      <w:r>
        <w:rPr>
          <w:lang w:eastAsia="en-AU"/>
        </w:rPr>
        <w:t>Isolating fluids, cells or tissues from remains with COVID-19 risk is not recommended. However, if required, follow the below guidance.</w:t>
      </w:r>
    </w:p>
    <w:p w14:paraId="06FD1689" w14:textId="77777777" w:rsidR="00F52695" w:rsidRDefault="00F52695" w:rsidP="00F52695">
      <w:pPr>
        <w:rPr>
          <w:lang w:eastAsia="en-AU"/>
        </w:rPr>
      </w:pPr>
      <w:r>
        <w:rPr>
          <w:lang w:eastAsia="en-AU"/>
        </w:rPr>
        <w:lastRenderedPageBreak/>
        <w:t>Ensure the relevant state, territory or a human biosecurity officer (HBO) has not prohibited the isolation of fluids, cells or tissues from remains with COVID-19 infection risk.</w:t>
      </w:r>
    </w:p>
    <w:p w14:paraId="36564815" w14:textId="77777777" w:rsidR="00F52695" w:rsidRDefault="00F52695" w:rsidP="00F52695">
      <w:pPr>
        <w:rPr>
          <w:lang w:eastAsia="en-AU"/>
        </w:rPr>
      </w:pPr>
      <w:r>
        <w:rPr>
          <w:lang w:eastAsia="en-AU"/>
        </w:rPr>
        <w:t>Carry out a risk assessment and develop mitigation strategies to manage risks, before commencing work.</w:t>
      </w:r>
    </w:p>
    <w:p w14:paraId="27181DF4" w14:textId="77777777" w:rsidR="00F52695" w:rsidRDefault="00F52695" w:rsidP="00F52695">
      <w:pPr>
        <w:rPr>
          <w:lang w:eastAsia="en-AU"/>
        </w:rPr>
      </w:pPr>
      <w:r>
        <w:rPr>
          <w:lang w:eastAsia="en-AU"/>
        </w:rPr>
        <w:t>Depending on sample type and procedure, handle all suspected or confirmed COVID-19 material in a Physical Containment (PC), Level 2 (PC2), or PC Level 3 (PC3) laboratory. Follow all state and territory requirements for this type of work, including for isolating materials from human remains.</w:t>
      </w:r>
    </w:p>
    <w:p w14:paraId="6341E8B0" w14:textId="77777777" w:rsidR="00F52695" w:rsidRDefault="00F52695" w:rsidP="00F52695">
      <w:pPr>
        <w:rPr>
          <w:lang w:eastAsia="en-AU"/>
        </w:rPr>
      </w:pPr>
      <w:r>
        <w:rPr>
          <w:lang w:eastAsia="en-AU"/>
        </w:rPr>
        <w:t>The main points to note are:</w:t>
      </w:r>
    </w:p>
    <w:p w14:paraId="728899FA" w14:textId="77777777" w:rsidR="00F52695" w:rsidRDefault="00F52695" w:rsidP="006B43AE">
      <w:pPr>
        <w:pStyle w:val="ListParagraph"/>
        <w:rPr>
          <w:lang w:eastAsia="en-AU"/>
        </w:rPr>
      </w:pPr>
      <w:r>
        <w:rPr>
          <w:lang w:eastAsia="en-AU"/>
        </w:rPr>
        <w:t>Handle isolated human tissues, cells and fluids in at least a PC2 facility using standard precautions for work not involving viral propagation</w:t>
      </w:r>
    </w:p>
    <w:p w14:paraId="7D87F730" w14:textId="77777777" w:rsidR="00F52695" w:rsidRDefault="00F52695" w:rsidP="006B43AE">
      <w:pPr>
        <w:pStyle w:val="ListParagraph"/>
        <w:rPr>
          <w:lang w:eastAsia="en-AU"/>
        </w:rPr>
      </w:pPr>
      <w:r>
        <w:rPr>
          <w:lang w:eastAsia="en-AU"/>
        </w:rPr>
        <w:t xml:space="preserve">Conduct work relating to isolating viruses in cell culture or isolated SARS-CoV-2, the infective agent of COVID-19, in a PC3 facility. Use PC3 work practices as recommended under the Australian/New Zealand Standard Safety in laboratories Part 3: Microbiological safety and containment (AS/NZS 2243.3:2010). Manage the handling or manipulating of viruses in a Class II Biological safety cabinet (BSC). </w:t>
      </w:r>
      <w:r w:rsidRPr="002A1031">
        <w:rPr>
          <w:rStyle w:val="Strong"/>
        </w:rPr>
        <w:t>Experienced personnel must conduct this work</w:t>
      </w:r>
      <w:r>
        <w:rPr>
          <w:lang w:eastAsia="en-AU"/>
        </w:rPr>
        <w:t>.</w:t>
      </w:r>
    </w:p>
    <w:p w14:paraId="6422F7E1" w14:textId="77777777" w:rsidR="00F52695" w:rsidRDefault="00F52695" w:rsidP="00F52695">
      <w:pPr>
        <w:rPr>
          <w:lang w:eastAsia="en-AU"/>
        </w:rPr>
      </w:pPr>
      <w:r>
        <w:rPr>
          <w:lang w:eastAsia="en-AU"/>
        </w:rPr>
        <w:t xml:space="preserve">The World Health Organization (WHO) provides interim guidance on </w:t>
      </w:r>
      <w:hyperlink r:id="rId12" w:history="1">
        <w:r w:rsidRPr="00C50A00">
          <w:rPr>
            <w:rStyle w:val="Hyperlink"/>
            <w:lang w:eastAsia="en-AU"/>
          </w:rPr>
          <w:t>laboratory biosafety practices for COVID-19</w:t>
        </w:r>
      </w:hyperlink>
      <w:r>
        <w:rPr>
          <w:lang w:eastAsia="en-AU"/>
        </w:rPr>
        <w:t>.</w:t>
      </w:r>
    </w:p>
    <w:p w14:paraId="2C8C4DED" w14:textId="77777777" w:rsidR="00F52695" w:rsidRDefault="00F52695" w:rsidP="00C50A00">
      <w:pPr>
        <w:pStyle w:val="Heading2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Further information </w:t>
      </w:r>
    </w:p>
    <w:p w14:paraId="1D96591D" w14:textId="358740F9" w:rsidR="00F52695" w:rsidRDefault="00F52695" w:rsidP="00F52695">
      <w:pPr>
        <w:rPr>
          <w:lang w:eastAsia="en-AU"/>
        </w:rPr>
      </w:pPr>
      <w:r>
        <w:rPr>
          <w:lang w:eastAsia="en-AU"/>
        </w:rPr>
        <w:t xml:space="preserve">Australian Government Department of Health’s </w:t>
      </w:r>
      <w:hyperlink r:id="rId13" w:history="1">
        <w:r w:rsidRPr="00FB5B4C">
          <w:rPr>
            <w:rStyle w:val="Hyperlink"/>
            <w:lang w:eastAsia="en-AU"/>
          </w:rPr>
          <w:t>human remains information</w:t>
        </w:r>
      </w:hyperlink>
    </w:p>
    <w:p w14:paraId="2BE5631C" w14:textId="77777777" w:rsidR="00F52695" w:rsidRDefault="0035769B" w:rsidP="00F52695">
      <w:pPr>
        <w:rPr>
          <w:lang w:eastAsia="en-AU"/>
        </w:rPr>
      </w:pPr>
      <w:hyperlink r:id="rId14" w:history="1">
        <w:r w:rsidR="00F52695" w:rsidRPr="00FB5B4C">
          <w:rPr>
            <w:rStyle w:val="Hyperlink"/>
            <w:lang w:eastAsia="en-AU"/>
          </w:rPr>
          <w:t>Contact details</w:t>
        </w:r>
      </w:hyperlink>
      <w:r w:rsidR="00F52695">
        <w:rPr>
          <w:lang w:eastAsia="en-AU"/>
        </w:rPr>
        <w:t xml:space="preserve"> for each state or territory health departments</w:t>
      </w:r>
    </w:p>
    <w:p w14:paraId="1A17FE25" w14:textId="77777777" w:rsidR="00E421D6" w:rsidRDefault="00F52695" w:rsidP="00F52695">
      <w:pPr>
        <w:rPr>
          <w:lang w:eastAsia="en-AU"/>
        </w:rPr>
      </w:pPr>
      <w:r>
        <w:rPr>
          <w:lang w:eastAsia="en-AU"/>
        </w:rPr>
        <w:t xml:space="preserve">Department of Agriculture, Water and the Environment’s </w:t>
      </w:r>
      <w:hyperlink r:id="rId15" w:history="1">
        <w:r w:rsidRPr="00FB5B4C">
          <w:rPr>
            <w:rStyle w:val="Hyperlink"/>
            <w:lang w:eastAsia="en-AU"/>
          </w:rPr>
          <w:t>requirements of importing human fluids, cells and tissues (BICON system)</w:t>
        </w:r>
      </w:hyperlink>
    </w:p>
    <w:sectPr w:rsidR="00E421D6" w:rsidSect="00940B15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F5DE" w14:textId="77777777" w:rsidR="006B63B0" w:rsidRDefault="006B63B0" w:rsidP="003F5DCC">
      <w:pPr>
        <w:spacing w:after="0" w:line="240" w:lineRule="auto"/>
      </w:pPr>
      <w:r>
        <w:separator/>
      </w:r>
    </w:p>
  </w:endnote>
  <w:endnote w:type="continuationSeparator" w:id="0">
    <w:p w14:paraId="545B71A6" w14:textId="77777777" w:rsidR="006B63B0" w:rsidRDefault="006B63B0" w:rsidP="003F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AEB1" w14:textId="77777777" w:rsidR="007E6D8E" w:rsidRPr="006A4BBC" w:rsidRDefault="006D5BC7" w:rsidP="003977D6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954A7C">
      <w:rPr>
        <w:rStyle w:val="PageNumber"/>
        <w:noProof/>
        <w:color w:val="auto"/>
      </w:rPr>
      <w:t>3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842B" w14:textId="77777777" w:rsidR="006B63B0" w:rsidRDefault="006B63B0" w:rsidP="003F5DCC">
      <w:pPr>
        <w:spacing w:after="0" w:line="240" w:lineRule="auto"/>
      </w:pPr>
      <w:r>
        <w:separator/>
      </w:r>
    </w:p>
  </w:footnote>
  <w:footnote w:type="continuationSeparator" w:id="0">
    <w:p w14:paraId="6418457A" w14:textId="77777777" w:rsidR="006B63B0" w:rsidRDefault="006B63B0" w:rsidP="003F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8A1D" w14:textId="77777777" w:rsidR="007E6D8E" w:rsidRDefault="006D5BC7" w:rsidP="003977D6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5D308F" w14:textId="77777777" w:rsidR="007E6D8E" w:rsidRDefault="0035769B" w:rsidP="003977D6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F483" w14:textId="77777777" w:rsidR="007E6D8E" w:rsidRDefault="006D5BC7" w:rsidP="003977D6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542293AC" wp14:editId="4CF033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5BA9" w14:textId="77777777" w:rsidR="007E6D8E" w:rsidRDefault="006D5BC7" w:rsidP="003977D6">
    <w:pPr>
      <w:pStyle w:val="Header"/>
      <w:ind w:right="360"/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79148FB9" wp14:editId="35F925EA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7309B5FE" wp14:editId="323062F7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F765D"/>
    <w:multiLevelType w:val="hybridMultilevel"/>
    <w:tmpl w:val="DD8862C2"/>
    <w:lvl w:ilvl="0" w:tplc="04EE58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C43"/>
    <w:multiLevelType w:val="multilevel"/>
    <w:tmpl w:val="6758FD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B5F29"/>
    <w:multiLevelType w:val="hybridMultilevel"/>
    <w:tmpl w:val="9D2404C2"/>
    <w:lvl w:ilvl="0" w:tplc="A3489C32">
      <w:start w:val="1"/>
      <w:numFmt w:val="bullet"/>
      <w:pStyle w:val="BulletPoint2-Level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CC"/>
    <w:rsid w:val="0010335F"/>
    <w:rsid w:val="00112643"/>
    <w:rsid w:val="001B5628"/>
    <w:rsid w:val="001D2FEF"/>
    <w:rsid w:val="00224196"/>
    <w:rsid w:val="0024135B"/>
    <w:rsid w:val="00256C08"/>
    <w:rsid w:val="00263F02"/>
    <w:rsid w:val="002A1031"/>
    <w:rsid w:val="0035769B"/>
    <w:rsid w:val="003A4DBC"/>
    <w:rsid w:val="003D509D"/>
    <w:rsid w:val="003F5DCC"/>
    <w:rsid w:val="00460805"/>
    <w:rsid w:val="004E376B"/>
    <w:rsid w:val="005040A5"/>
    <w:rsid w:val="00582E1D"/>
    <w:rsid w:val="006A2F59"/>
    <w:rsid w:val="006B16B1"/>
    <w:rsid w:val="006B43AE"/>
    <w:rsid w:val="006B63B0"/>
    <w:rsid w:val="006D5BC7"/>
    <w:rsid w:val="00771686"/>
    <w:rsid w:val="007770BD"/>
    <w:rsid w:val="00827705"/>
    <w:rsid w:val="00894401"/>
    <w:rsid w:val="00940B15"/>
    <w:rsid w:val="0095330F"/>
    <w:rsid w:val="00954A7C"/>
    <w:rsid w:val="009C14BB"/>
    <w:rsid w:val="00A845B5"/>
    <w:rsid w:val="00AF45AC"/>
    <w:rsid w:val="00B24CAE"/>
    <w:rsid w:val="00B365FB"/>
    <w:rsid w:val="00C06D3C"/>
    <w:rsid w:val="00C50A00"/>
    <w:rsid w:val="00D91363"/>
    <w:rsid w:val="00E421D6"/>
    <w:rsid w:val="00E47B8E"/>
    <w:rsid w:val="00E820A3"/>
    <w:rsid w:val="00F52695"/>
    <w:rsid w:val="00F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A097240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aliases w:val="Sub-Heading 1"/>
    <w:basedOn w:val="Normal"/>
    <w:next w:val="Subtitle"/>
    <w:link w:val="Heading1Char"/>
    <w:autoRedefine/>
    <w:uiPriority w:val="9"/>
    <w:qFormat/>
    <w:rsid w:val="001B5628"/>
    <w:pPr>
      <w:keepNext/>
      <w:keepLines/>
      <w:numPr>
        <w:numId w:val="11"/>
      </w:numPr>
      <w:spacing w:before="100" w:beforeAutospacing="1" w:after="100" w:afterAutospacing="1" w:line="276" w:lineRule="auto"/>
      <w:contextualSpacing/>
      <w:outlineLvl w:val="0"/>
    </w:pPr>
    <w:rPr>
      <w:rFonts w:eastAsiaTheme="majorEastAsia" w:cs="Arial"/>
      <w:bCs/>
      <w:color w:val="002060"/>
      <w:sz w:val="40"/>
      <w:szCs w:val="52"/>
    </w:rPr>
  </w:style>
  <w:style w:type="paragraph" w:styleId="Heading2">
    <w:name w:val="heading 2"/>
    <w:aliases w:val="Sub-Heading 2"/>
    <w:next w:val="Subtitle"/>
    <w:link w:val="Heading2Char"/>
    <w:uiPriority w:val="9"/>
    <w:unhideWhenUsed/>
    <w:qFormat/>
    <w:rsid w:val="001B5628"/>
    <w:pPr>
      <w:keepLines/>
      <w:numPr>
        <w:ilvl w:val="1"/>
        <w:numId w:val="11"/>
      </w:numPr>
      <w:spacing w:before="200" w:after="120" w:line="259" w:lineRule="auto"/>
      <w:outlineLvl w:val="1"/>
    </w:pPr>
    <w:rPr>
      <w:rFonts w:ascii="Arial" w:eastAsiaTheme="majorEastAsia" w:hAnsi="Arial" w:cs="Arial"/>
      <w:bCs/>
      <w:color w:val="002060"/>
      <w:sz w:val="32"/>
      <w:szCs w:val="40"/>
    </w:rPr>
  </w:style>
  <w:style w:type="paragraph" w:styleId="Heading3">
    <w:name w:val="heading 3"/>
    <w:aliases w:val="Sub - Heading"/>
    <w:basedOn w:val="Normal"/>
    <w:next w:val="Normal"/>
    <w:link w:val="Heading3Char"/>
    <w:uiPriority w:val="9"/>
    <w:unhideWhenUsed/>
    <w:qFormat/>
    <w:rsid w:val="001B5628"/>
    <w:pPr>
      <w:keepNext/>
      <w:keepLines/>
      <w:numPr>
        <w:ilvl w:val="2"/>
        <w:numId w:val="11"/>
      </w:numPr>
      <w:spacing w:before="200" w:after="120"/>
      <w:outlineLvl w:val="2"/>
    </w:pPr>
    <w:rPr>
      <w:rFonts w:eastAsiaTheme="majorEastAsia" w:cs="Arial"/>
      <w:bCs/>
      <w:sz w:val="32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B5628"/>
    <w:pPr>
      <w:keepNext/>
      <w:keepLines/>
      <w:numPr>
        <w:ilvl w:val="3"/>
        <w:numId w:val="11"/>
      </w:numPr>
      <w:spacing w:before="240" w:after="120"/>
      <w:outlineLvl w:val="3"/>
    </w:pPr>
    <w:rPr>
      <w:rFonts w:eastAsiaTheme="majorEastAsia" w:cstheme="majorBidi"/>
      <w:b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5628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5628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628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628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628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ind w:left="426" w:hanging="426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3F5DCC"/>
    <w:pPr>
      <w:numPr>
        <w:ilvl w:val="1"/>
      </w:numPr>
      <w:spacing w:after="0" w:line="240" w:lineRule="auto"/>
    </w:pPr>
    <w:rPr>
      <w:rFonts w:eastAsiaTheme="majorEastAsia" w:cs="Arial"/>
      <w:b/>
      <w:iCs/>
      <w:cap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3F5DCC"/>
    <w:rPr>
      <w:rFonts w:ascii="Arial" w:eastAsiaTheme="majorEastAsia" w:hAnsi="Arial" w:cs="Arial"/>
      <w:b/>
      <w:iCs/>
      <w:cap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character" w:styleId="Strong">
    <w:name w:val="Strong"/>
    <w:basedOn w:val="DefaultParagraphFont"/>
    <w:uiPriority w:val="22"/>
    <w:qFormat/>
    <w:rsid w:val="00F52695"/>
    <w:rPr>
      <w:b/>
      <w:bCs/>
    </w:rPr>
  </w:style>
  <w:style w:type="character" w:customStyle="1" w:styleId="Heading1Char">
    <w:name w:val="Heading 1 Char"/>
    <w:aliases w:val="Sub-Heading 1 Char"/>
    <w:basedOn w:val="DefaultParagraphFont"/>
    <w:link w:val="Heading1"/>
    <w:uiPriority w:val="9"/>
    <w:rsid w:val="001B5628"/>
    <w:rPr>
      <w:rFonts w:ascii="Arial" w:eastAsiaTheme="majorEastAsia" w:hAnsi="Arial" w:cs="Arial"/>
      <w:bCs/>
      <w:color w:val="002060"/>
      <w:sz w:val="40"/>
      <w:szCs w:val="52"/>
    </w:rPr>
  </w:style>
  <w:style w:type="character" w:customStyle="1" w:styleId="Heading2Char">
    <w:name w:val="Heading 2 Char"/>
    <w:aliases w:val="Sub-Heading 2 Char"/>
    <w:basedOn w:val="DefaultParagraphFont"/>
    <w:link w:val="Heading2"/>
    <w:uiPriority w:val="9"/>
    <w:rsid w:val="001B5628"/>
    <w:rPr>
      <w:rFonts w:ascii="Arial" w:eastAsiaTheme="majorEastAsia" w:hAnsi="Arial" w:cs="Arial"/>
      <w:bCs/>
      <w:color w:val="002060"/>
      <w:sz w:val="32"/>
      <w:szCs w:val="40"/>
    </w:rPr>
  </w:style>
  <w:style w:type="character" w:customStyle="1" w:styleId="Heading3Char">
    <w:name w:val="Heading 3 Char"/>
    <w:aliases w:val="Sub - Heading Char"/>
    <w:basedOn w:val="DefaultParagraphFont"/>
    <w:link w:val="Heading3"/>
    <w:uiPriority w:val="9"/>
    <w:rsid w:val="001B5628"/>
    <w:rPr>
      <w:rFonts w:ascii="Arial" w:eastAsiaTheme="majorEastAsia" w:hAnsi="Arial" w:cs="Arial"/>
      <w:bCs/>
      <w:color w:val="000000" w:themeColor="text1"/>
      <w:sz w:val="32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B5628"/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B562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B56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6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6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6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1B5628"/>
    <w:rPr>
      <w:i/>
      <w:iCs/>
    </w:rPr>
  </w:style>
  <w:style w:type="paragraph" w:customStyle="1" w:styleId="BulletPoint2-Level2">
    <w:name w:val="Bullet Point 2 - Level 2"/>
    <w:basedOn w:val="ListParagraph"/>
    <w:qFormat/>
    <w:rsid w:val="001B5628"/>
    <w:pPr>
      <w:numPr>
        <w:numId w:val="12"/>
      </w:numPr>
      <w:tabs>
        <w:tab w:val="left" w:leader="dot" w:pos="454"/>
        <w:tab w:val="left" w:pos="567"/>
      </w:tabs>
      <w:spacing w:before="40" w:line="240" w:lineRule="auto"/>
      <w:ind w:left="867" w:hanging="357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topics/communicable-diseases/biosecurity-and-communicable-diseases/importing-human-remains-and-biosecurity" TargetMode="External"/><Relationship Id="rId13" Type="http://schemas.openxmlformats.org/officeDocument/2006/relationships/hyperlink" Target="https://www.health.gov.au/topics/communicable-diseases/biosecurity-and-communicable-diseases/importing-human-remains-and-biosecurit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ho.int/publications/i/item/laboratory-biosafety-guidance-related-to-coronavirus-disease-(covid-19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publications/coronavirus-covid-19-advice-for-funeral-directo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con.agriculture.gov.au/BiconWeb4.0" TargetMode="External"/><Relationship Id="rId10" Type="http://schemas.openxmlformats.org/officeDocument/2006/relationships/hyperlink" Target="https://www.nhmrc.gov.au/sites/default/files/documents/infection-control-guidelines-feb2020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coronavirus-covid-19-cdna-national-guidelines-for-public-health-units" TargetMode="External"/><Relationship Id="rId14" Type="http://schemas.openxmlformats.org/officeDocument/2006/relationships/hyperlink" Target="https://www.health.gov.au/about-us/contact-us/local-state-and-territory-health-depart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711B-AB71-43F1-BB08-CE9E6CE6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941</Words>
  <Characters>5369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COVID-19 Guidance for using human remains for teaching, scientific and research purposes</vt:lpstr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COVID-19 Guidance for using human remains for teaching, scientific and research purposes</dc:title>
  <dc:subject/>
  <cp:keywords>COVID-19, communicable diseases</cp:keywords>
  <dc:description/>
  <dcterms:created xsi:type="dcterms:W3CDTF">2020-09-16T05:57:00Z</dcterms:created>
  <dcterms:modified xsi:type="dcterms:W3CDTF">2022-12-08T03:45:00Z</dcterms:modified>
</cp:coreProperties>
</file>