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553B7" w14:textId="6933CA72" w:rsidR="00492B6F" w:rsidRDefault="00492B6F" w:rsidP="00FB72D5">
      <w:pPr>
        <w:pStyle w:val="Title"/>
        <w:jc w:val="center"/>
      </w:pPr>
      <w:bookmarkStart w:id="0" w:name="_Hlk121393608"/>
      <w:r>
        <w:t>Commonwealth Home Support Programme provider update</w:t>
      </w:r>
    </w:p>
    <w:p w14:paraId="43797EEE" w14:textId="40035529" w:rsidR="00492B6F" w:rsidRDefault="00FB72D5" w:rsidP="00FB72D5">
      <w:pPr>
        <w:pStyle w:val="Title"/>
        <w:jc w:val="center"/>
      </w:pPr>
      <w:r>
        <w:t xml:space="preserve">2023-24 </w:t>
      </w:r>
      <w:r w:rsidR="00106EA4">
        <w:t>Extension</w:t>
      </w:r>
    </w:p>
    <w:bookmarkEnd w:id="0"/>
    <w:p w14:paraId="4366D950" w14:textId="43DCE28C" w:rsidR="00492B6F" w:rsidRPr="00EF4702" w:rsidRDefault="006D0DB1" w:rsidP="00EF4702">
      <w:pPr>
        <w:spacing w:before="360"/>
        <w:rPr>
          <w:b/>
          <w:bCs/>
        </w:rPr>
      </w:pPr>
      <w:r>
        <w:rPr>
          <w:b/>
          <w:bCs/>
        </w:rPr>
        <w:t xml:space="preserve">December </w:t>
      </w:r>
      <w:r w:rsidR="00492B6F" w:rsidRPr="00EF4702">
        <w:rPr>
          <w:b/>
          <w:bCs/>
        </w:rPr>
        <w:t>2022</w:t>
      </w:r>
    </w:p>
    <w:p w14:paraId="3C9F53AB" w14:textId="784254D2" w:rsidR="00B5781C" w:rsidRDefault="004B5F3D" w:rsidP="00F92475">
      <w:pPr>
        <w:spacing w:before="160" w:after="160"/>
        <w:rPr>
          <w:rFonts w:cs="Arial"/>
          <w:szCs w:val="18"/>
        </w:rPr>
      </w:pPr>
      <w:bookmarkStart w:id="1" w:name="_Hlk121393692"/>
      <w:bookmarkStart w:id="2" w:name="_Hlk121393754"/>
      <w:r>
        <w:t xml:space="preserve">Following the October Budget, the </w:t>
      </w:r>
      <w:r w:rsidR="0070789B" w:rsidRPr="0070789B">
        <w:t>Commonwealth Home Support Programme (</w:t>
      </w:r>
      <w:r w:rsidR="00492B6F">
        <w:t>CHSP</w:t>
      </w:r>
      <w:r w:rsidR="0070789B">
        <w:t>)</w:t>
      </w:r>
      <w:r w:rsidR="00492B6F">
        <w:t xml:space="preserve"> </w:t>
      </w:r>
      <w:r>
        <w:t>has been extended until 30 June 20</w:t>
      </w:r>
      <w:r w:rsidR="00FB72D5">
        <w:t>24</w:t>
      </w:r>
      <w:r>
        <w:t>. This fact</w:t>
      </w:r>
      <w:r w:rsidR="003C0A0E">
        <w:t xml:space="preserve"> </w:t>
      </w:r>
      <w:r>
        <w:t xml:space="preserve">sheet outlines what providers need to know about the 2023-24 </w:t>
      </w:r>
      <w:r w:rsidR="000A78A0">
        <w:t>E</w:t>
      </w:r>
      <w:r w:rsidR="00FB72D5">
        <w:t xml:space="preserve">xtension and </w:t>
      </w:r>
      <w:r w:rsidR="00FD7620">
        <w:t>associated program changes</w:t>
      </w:r>
      <w:r w:rsidR="00FB72D5">
        <w:t>.</w:t>
      </w:r>
      <w:bookmarkEnd w:id="1"/>
      <w:bookmarkEnd w:id="2"/>
    </w:p>
    <w:p w14:paraId="5EA826DD" w14:textId="60430472" w:rsidR="00B5781C" w:rsidRDefault="00B5781C" w:rsidP="00F92475">
      <w:pPr>
        <w:spacing w:before="160" w:after="160"/>
        <w:rPr>
          <w:rFonts w:cs="Arial"/>
          <w:szCs w:val="18"/>
        </w:rPr>
      </w:pPr>
      <w:r>
        <w:rPr>
          <w:rFonts w:cs="Arial"/>
          <w:szCs w:val="18"/>
        </w:rPr>
        <w:t xml:space="preserve">All providers will receive a letter from the </w:t>
      </w:r>
      <w:r w:rsidR="003C0A0E" w:rsidRPr="003C0A0E">
        <w:rPr>
          <w:rFonts w:cs="Arial"/>
          <w:szCs w:val="18"/>
        </w:rPr>
        <w:t>Department of Health and Aged Care (the department)</w:t>
      </w:r>
      <w:r>
        <w:rPr>
          <w:rFonts w:cs="Arial"/>
          <w:szCs w:val="18"/>
        </w:rPr>
        <w:t xml:space="preserve"> specific to their organisation</w:t>
      </w:r>
      <w:r w:rsidR="00A634D9">
        <w:rPr>
          <w:rFonts w:cs="Arial"/>
          <w:szCs w:val="18"/>
        </w:rPr>
        <w:t>’</w:t>
      </w:r>
      <w:r>
        <w:rPr>
          <w:rFonts w:cs="Arial"/>
          <w:szCs w:val="18"/>
        </w:rPr>
        <w:t xml:space="preserve">s </w:t>
      </w:r>
      <w:r w:rsidRPr="00B5781C">
        <w:rPr>
          <w:rFonts w:cs="Arial"/>
          <w:szCs w:val="18"/>
        </w:rPr>
        <w:t xml:space="preserve">CHSP </w:t>
      </w:r>
      <w:r w:rsidR="003F1519">
        <w:rPr>
          <w:rFonts w:cs="Arial"/>
          <w:szCs w:val="18"/>
        </w:rPr>
        <w:t>2023-24</w:t>
      </w:r>
      <w:r w:rsidRPr="00B5781C">
        <w:rPr>
          <w:rFonts w:cs="Arial"/>
          <w:szCs w:val="18"/>
        </w:rPr>
        <w:t xml:space="preserve"> </w:t>
      </w:r>
      <w:r>
        <w:rPr>
          <w:rFonts w:cs="Arial"/>
          <w:szCs w:val="18"/>
        </w:rPr>
        <w:t>p</w:t>
      </w:r>
      <w:r w:rsidRPr="00B5781C">
        <w:rPr>
          <w:rFonts w:cs="Arial"/>
          <w:szCs w:val="18"/>
        </w:rPr>
        <w:t xml:space="preserve">roposed </w:t>
      </w:r>
      <w:r w:rsidR="0015553E">
        <w:rPr>
          <w:rFonts w:cs="Arial"/>
          <w:szCs w:val="18"/>
        </w:rPr>
        <w:t>f</w:t>
      </w:r>
      <w:r w:rsidRPr="00B5781C">
        <w:rPr>
          <w:rFonts w:cs="Arial"/>
          <w:szCs w:val="18"/>
        </w:rPr>
        <w:t xml:space="preserve">unding and </w:t>
      </w:r>
      <w:r w:rsidR="0015553E">
        <w:rPr>
          <w:rFonts w:cs="Arial"/>
          <w:szCs w:val="18"/>
        </w:rPr>
        <w:t>o</w:t>
      </w:r>
      <w:r w:rsidRPr="00B5781C">
        <w:rPr>
          <w:rFonts w:cs="Arial"/>
          <w:szCs w:val="18"/>
        </w:rPr>
        <w:t>utputs</w:t>
      </w:r>
      <w:r>
        <w:rPr>
          <w:rFonts w:cs="Arial"/>
          <w:szCs w:val="18"/>
        </w:rPr>
        <w:t>.</w:t>
      </w:r>
      <w:r w:rsidR="0070789B">
        <w:rPr>
          <w:rFonts w:cs="Arial"/>
          <w:szCs w:val="18"/>
        </w:rPr>
        <w:t xml:space="preserve"> This </w:t>
      </w:r>
      <w:r w:rsidR="004B5F3D">
        <w:rPr>
          <w:rFonts w:cs="Arial"/>
          <w:szCs w:val="18"/>
        </w:rPr>
        <w:t xml:space="preserve">fact </w:t>
      </w:r>
      <w:r w:rsidR="0070789B">
        <w:rPr>
          <w:rFonts w:cs="Arial"/>
          <w:szCs w:val="18"/>
        </w:rPr>
        <w:t xml:space="preserve">sheet </w:t>
      </w:r>
      <w:r w:rsidR="00117511">
        <w:rPr>
          <w:rFonts w:cs="Arial"/>
          <w:szCs w:val="18"/>
        </w:rPr>
        <w:t>supports</w:t>
      </w:r>
      <w:r w:rsidR="0070789B">
        <w:rPr>
          <w:rFonts w:cs="Arial"/>
          <w:szCs w:val="18"/>
        </w:rPr>
        <w:t xml:space="preserve"> the information outlined in that letter.</w:t>
      </w:r>
    </w:p>
    <w:p w14:paraId="19153416" w14:textId="265284DB" w:rsidR="004B5F3D" w:rsidRPr="0015553E" w:rsidRDefault="004B5F3D" w:rsidP="00F92475">
      <w:pPr>
        <w:spacing w:before="160" w:after="160"/>
        <w:rPr>
          <w:rFonts w:cs="Arial"/>
          <w:szCs w:val="18"/>
        </w:rPr>
      </w:pPr>
      <w:r>
        <w:t xml:space="preserve">The department </w:t>
      </w:r>
      <w:r>
        <w:rPr>
          <w:rFonts w:cs="Arial"/>
          <w:szCs w:val="22"/>
        </w:rPr>
        <w:t xml:space="preserve">acknowledges there are various review processes underway. These will be addressed separately to this fact sheet. </w:t>
      </w:r>
      <w:r w:rsidR="004E3E56">
        <w:rPr>
          <w:rFonts w:cs="Arial"/>
          <w:szCs w:val="22"/>
        </w:rPr>
        <w:t xml:space="preserve"> </w:t>
      </w:r>
      <w:r>
        <w:rPr>
          <w:rFonts w:cs="Arial"/>
          <w:szCs w:val="22"/>
        </w:rPr>
        <w:t xml:space="preserve">Further </w:t>
      </w:r>
      <w:r>
        <w:rPr>
          <w:rFonts w:cs="Arial"/>
          <w:szCs w:val="18"/>
        </w:rPr>
        <w:t xml:space="preserve">information will be available under </w:t>
      </w:r>
      <w:hyperlink r:id="rId12" w:history="1">
        <w:r w:rsidRPr="00115317">
          <w:rPr>
            <w:rStyle w:val="Hyperlink"/>
            <w:rFonts w:cs="Arial"/>
            <w:szCs w:val="18"/>
          </w:rPr>
          <w:t>CHSP Resources</w:t>
        </w:r>
      </w:hyperlink>
      <w:r>
        <w:rPr>
          <w:rStyle w:val="Hyperlink"/>
          <w:rFonts w:cs="Arial"/>
          <w:szCs w:val="18"/>
        </w:rPr>
        <w:t xml:space="preserve"> on the department’s website</w:t>
      </w:r>
      <w:r>
        <w:rPr>
          <w:rFonts w:cs="Arial"/>
          <w:szCs w:val="18"/>
        </w:rPr>
        <w:t>.</w:t>
      </w:r>
    </w:p>
    <w:p w14:paraId="7E24F194" w14:textId="7F7E7E4A" w:rsidR="00FB72D5" w:rsidRPr="00532291" w:rsidRDefault="00FB72D5" w:rsidP="00532291">
      <w:pPr>
        <w:pStyle w:val="Heading1"/>
      </w:pPr>
      <w:r w:rsidRPr="00532291">
        <w:t xml:space="preserve">2023-24 </w:t>
      </w:r>
      <w:r w:rsidR="00AA5B81" w:rsidRPr="00532291">
        <w:t xml:space="preserve">Extension – </w:t>
      </w:r>
      <w:r w:rsidR="00CF1E3F">
        <w:t>s</w:t>
      </w:r>
      <w:r w:rsidR="00AA5B81" w:rsidRPr="00532291">
        <w:t>imilarities to 2022-23</w:t>
      </w:r>
    </w:p>
    <w:p w14:paraId="49ADEB92" w14:textId="1322428A" w:rsidR="00CF1E3F" w:rsidRDefault="0094351F" w:rsidP="00F92475">
      <w:pPr>
        <w:pStyle w:val="Paragraphtext"/>
        <w:spacing w:before="160" w:after="160" w:line="276" w:lineRule="auto"/>
        <w:rPr>
          <w:sz w:val="22"/>
          <w:szCs w:val="22"/>
        </w:rPr>
      </w:pPr>
      <w:r>
        <w:rPr>
          <w:sz w:val="22"/>
          <w:szCs w:val="22"/>
        </w:rPr>
        <w:t>CHSP providers</w:t>
      </w:r>
      <w:r w:rsidRPr="0064174C">
        <w:rPr>
          <w:sz w:val="22"/>
          <w:szCs w:val="22"/>
        </w:rPr>
        <w:t xml:space="preserve"> will retain grant agreements similar to current arrangements:</w:t>
      </w:r>
    </w:p>
    <w:p w14:paraId="712D488F" w14:textId="015B58EF" w:rsidR="000A78A0" w:rsidRPr="0064174C" w:rsidRDefault="000A78A0" w:rsidP="00F92475">
      <w:pPr>
        <w:pStyle w:val="Paragraphtext"/>
        <w:numPr>
          <w:ilvl w:val="0"/>
          <w:numId w:val="35"/>
        </w:numPr>
        <w:spacing w:before="160" w:after="160" w:line="276" w:lineRule="auto"/>
        <w:ind w:left="360"/>
        <w:rPr>
          <w:sz w:val="22"/>
          <w:szCs w:val="22"/>
        </w:rPr>
      </w:pPr>
      <w:r w:rsidRPr="0064174C">
        <w:rPr>
          <w:sz w:val="22"/>
          <w:szCs w:val="22"/>
        </w:rPr>
        <w:t>All providers will continue with fixed monthly payments in arrears based on 1/12</w:t>
      </w:r>
      <w:r w:rsidR="00597531">
        <w:rPr>
          <w:sz w:val="22"/>
          <w:szCs w:val="22"/>
        </w:rPr>
        <w:t>th</w:t>
      </w:r>
      <w:r w:rsidRPr="0064174C">
        <w:rPr>
          <w:sz w:val="22"/>
          <w:szCs w:val="22"/>
        </w:rPr>
        <w:t xml:space="preserve"> of the total value of the grant agreement</w:t>
      </w:r>
      <w:r w:rsidR="000C5EC7">
        <w:rPr>
          <w:sz w:val="22"/>
          <w:szCs w:val="22"/>
        </w:rPr>
        <w:t>.</w:t>
      </w:r>
    </w:p>
    <w:p w14:paraId="71458717" w14:textId="3F65F136" w:rsidR="000A78A0" w:rsidRPr="0064174C" w:rsidRDefault="000A78A0" w:rsidP="00F92475">
      <w:pPr>
        <w:pStyle w:val="Paragraphtext"/>
        <w:numPr>
          <w:ilvl w:val="0"/>
          <w:numId w:val="35"/>
        </w:numPr>
        <w:spacing w:before="160" w:after="160" w:line="276" w:lineRule="auto"/>
        <w:ind w:left="360"/>
        <w:rPr>
          <w:sz w:val="22"/>
          <w:szCs w:val="22"/>
        </w:rPr>
      </w:pPr>
      <w:r w:rsidRPr="0064174C">
        <w:rPr>
          <w:sz w:val="22"/>
          <w:szCs w:val="22"/>
        </w:rPr>
        <w:t>All providers will continue with monthly performance reporting through the Data Exchange. Reporting will be due 10 business days after the end of the month</w:t>
      </w:r>
      <w:r w:rsidR="000C5EC7">
        <w:rPr>
          <w:sz w:val="22"/>
          <w:szCs w:val="22"/>
        </w:rPr>
        <w:t>.</w:t>
      </w:r>
    </w:p>
    <w:p w14:paraId="135C61FD" w14:textId="13F6F39D" w:rsidR="000A78A0" w:rsidRPr="00117511" w:rsidRDefault="00CF1E3F" w:rsidP="00F92475">
      <w:pPr>
        <w:pStyle w:val="Paragraphtext"/>
        <w:spacing w:before="160" w:after="160" w:line="276" w:lineRule="auto"/>
        <w:ind w:left="426"/>
        <w:rPr>
          <w:sz w:val="22"/>
          <w:szCs w:val="22"/>
        </w:rPr>
      </w:pPr>
      <w:r w:rsidRPr="0064174C">
        <w:rPr>
          <w:sz w:val="22"/>
          <w:szCs w:val="22"/>
        </w:rPr>
        <w:t>The</w:t>
      </w:r>
      <w:r>
        <w:rPr>
          <w:sz w:val="22"/>
          <w:szCs w:val="22"/>
        </w:rPr>
        <w:t xml:space="preserve"> above</w:t>
      </w:r>
      <w:r w:rsidRPr="0064174C">
        <w:rPr>
          <w:sz w:val="22"/>
          <w:szCs w:val="22"/>
        </w:rPr>
        <w:t xml:space="preserve"> </w:t>
      </w:r>
      <w:r w:rsidR="000A78A0" w:rsidRPr="0064174C">
        <w:rPr>
          <w:sz w:val="22"/>
          <w:szCs w:val="22"/>
        </w:rPr>
        <w:t xml:space="preserve">two elements apply to all service types except for Sector Support and Development (SSD). </w:t>
      </w:r>
      <w:r w:rsidR="00FD7620">
        <w:rPr>
          <w:sz w:val="22"/>
          <w:szCs w:val="22"/>
        </w:rPr>
        <w:t xml:space="preserve"> </w:t>
      </w:r>
      <w:r w:rsidR="000A78A0" w:rsidRPr="0064174C">
        <w:rPr>
          <w:sz w:val="22"/>
          <w:szCs w:val="22"/>
        </w:rPr>
        <w:t xml:space="preserve">The SSD service type will </w:t>
      </w:r>
      <w:r w:rsidR="00A634D9">
        <w:rPr>
          <w:sz w:val="22"/>
          <w:szCs w:val="22"/>
        </w:rPr>
        <w:t>continue with</w:t>
      </w:r>
      <w:r w:rsidR="000A78A0" w:rsidRPr="0064174C">
        <w:rPr>
          <w:sz w:val="22"/>
          <w:szCs w:val="22"/>
        </w:rPr>
        <w:t xml:space="preserve"> existing </w:t>
      </w:r>
      <w:r w:rsidR="00FD7620">
        <w:rPr>
          <w:sz w:val="22"/>
          <w:szCs w:val="22"/>
        </w:rPr>
        <w:t xml:space="preserve">quarterly in advance </w:t>
      </w:r>
      <w:r w:rsidR="000A78A0" w:rsidRPr="0064174C">
        <w:rPr>
          <w:sz w:val="22"/>
          <w:szCs w:val="22"/>
        </w:rPr>
        <w:t xml:space="preserve">payment and </w:t>
      </w:r>
      <w:r w:rsidR="00FD7620">
        <w:rPr>
          <w:sz w:val="22"/>
          <w:szCs w:val="22"/>
        </w:rPr>
        <w:t xml:space="preserve">6 monthly </w:t>
      </w:r>
      <w:r w:rsidR="000A78A0" w:rsidRPr="0064174C">
        <w:rPr>
          <w:sz w:val="22"/>
          <w:szCs w:val="22"/>
        </w:rPr>
        <w:t xml:space="preserve">reporting </w:t>
      </w:r>
      <w:r w:rsidR="000A78A0" w:rsidRPr="00117511">
        <w:rPr>
          <w:sz w:val="22"/>
          <w:szCs w:val="22"/>
        </w:rPr>
        <w:t>arrangements.</w:t>
      </w:r>
    </w:p>
    <w:p w14:paraId="22469F5F" w14:textId="011BA255" w:rsidR="00614839" w:rsidRPr="00117511" w:rsidRDefault="00614839" w:rsidP="00F92475">
      <w:pPr>
        <w:pStyle w:val="Paragraphtext"/>
        <w:numPr>
          <w:ilvl w:val="0"/>
          <w:numId w:val="35"/>
        </w:numPr>
        <w:spacing w:before="160" w:after="160" w:line="276" w:lineRule="auto"/>
        <w:ind w:left="360"/>
        <w:rPr>
          <w:rFonts w:cs="Arial"/>
          <w:sz w:val="22"/>
          <w:szCs w:val="22"/>
        </w:rPr>
      </w:pPr>
      <w:r w:rsidRPr="00117511">
        <w:rPr>
          <w:sz w:val="22"/>
          <w:szCs w:val="22"/>
        </w:rPr>
        <w:t xml:space="preserve">Most </w:t>
      </w:r>
      <w:r w:rsidR="000A78A0" w:rsidRPr="00117511">
        <w:rPr>
          <w:sz w:val="22"/>
          <w:szCs w:val="22"/>
        </w:rPr>
        <w:t>service types</w:t>
      </w:r>
      <w:r w:rsidRPr="00117511">
        <w:rPr>
          <w:sz w:val="22"/>
          <w:szCs w:val="22"/>
        </w:rPr>
        <w:t xml:space="preserve"> </w:t>
      </w:r>
      <w:r w:rsidR="000A78A0" w:rsidRPr="00117511">
        <w:rPr>
          <w:sz w:val="22"/>
          <w:szCs w:val="22"/>
        </w:rPr>
        <w:t>will retain nationally consistent unit price ranges</w:t>
      </w:r>
      <w:r w:rsidR="0015553E" w:rsidRPr="00117511">
        <w:rPr>
          <w:sz w:val="22"/>
          <w:szCs w:val="22"/>
        </w:rPr>
        <w:t>.  However, exceptions include</w:t>
      </w:r>
      <w:r w:rsidRPr="00117511">
        <w:rPr>
          <w:sz w:val="22"/>
          <w:szCs w:val="22"/>
        </w:rPr>
        <w:t>:</w:t>
      </w:r>
    </w:p>
    <w:p w14:paraId="4A71D23C" w14:textId="4F1A30FF" w:rsidR="00614839" w:rsidRPr="00117511" w:rsidRDefault="00614839" w:rsidP="00F92475">
      <w:pPr>
        <w:pStyle w:val="Paragraphtext"/>
        <w:numPr>
          <w:ilvl w:val="1"/>
          <w:numId w:val="35"/>
        </w:numPr>
        <w:spacing w:before="80" w:after="80"/>
        <w:ind w:left="850" w:hanging="425"/>
        <w:rPr>
          <w:rFonts w:cs="Arial"/>
          <w:sz w:val="22"/>
          <w:szCs w:val="22"/>
        </w:rPr>
      </w:pPr>
      <w:r w:rsidRPr="00117511">
        <w:rPr>
          <w:sz w:val="22"/>
          <w:szCs w:val="22"/>
        </w:rPr>
        <w:t>Assistance with Care and Housing (ACH</w:t>
      </w:r>
      <w:r w:rsidR="0015553E" w:rsidRPr="00117511">
        <w:rPr>
          <w:sz w:val="22"/>
          <w:szCs w:val="22"/>
        </w:rPr>
        <w:t>)</w:t>
      </w:r>
      <w:r w:rsidR="00117511" w:rsidRPr="00117511">
        <w:rPr>
          <w:sz w:val="22"/>
          <w:szCs w:val="22"/>
        </w:rPr>
        <w:t xml:space="preserve"> as services from 1 January 2023 are only for Hoarding and Squalor activities</w:t>
      </w:r>
      <w:r w:rsidR="0015553E" w:rsidRPr="00117511">
        <w:rPr>
          <w:sz w:val="22"/>
          <w:szCs w:val="22"/>
        </w:rPr>
        <w:t xml:space="preserve">; </w:t>
      </w:r>
    </w:p>
    <w:p w14:paraId="5A27D849" w14:textId="3311BF25" w:rsidR="000A78A0" w:rsidRDefault="00523AA4" w:rsidP="00F92475">
      <w:pPr>
        <w:pStyle w:val="Paragraphtext"/>
        <w:numPr>
          <w:ilvl w:val="1"/>
          <w:numId w:val="35"/>
        </w:numPr>
        <w:spacing w:before="80" w:after="80"/>
        <w:ind w:left="851" w:hanging="425"/>
        <w:rPr>
          <w:rFonts w:cs="Arial"/>
          <w:sz w:val="22"/>
          <w:szCs w:val="22"/>
        </w:rPr>
      </w:pPr>
      <w:r>
        <w:rPr>
          <w:rFonts w:cs="Arial"/>
          <w:sz w:val="22"/>
          <w:szCs w:val="22"/>
        </w:rPr>
        <w:t xml:space="preserve">Goods, Equipment and Assistive Technology </w:t>
      </w:r>
      <w:r w:rsidR="00CF1E3F">
        <w:rPr>
          <w:rFonts w:cs="Arial"/>
          <w:sz w:val="22"/>
          <w:szCs w:val="22"/>
        </w:rPr>
        <w:t xml:space="preserve">(GEAT) </w:t>
      </w:r>
      <w:r w:rsidR="0015553E">
        <w:rPr>
          <w:rFonts w:cs="Arial"/>
          <w:sz w:val="22"/>
          <w:szCs w:val="22"/>
        </w:rPr>
        <w:t xml:space="preserve">and Home Modifications </w:t>
      </w:r>
      <w:r>
        <w:rPr>
          <w:rFonts w:cs="Arial"/>
          <w:sz w:val="22"/>
          <w:szCs w:val="22"/>
        </w:rPr>
        <w:t>will remain funded in dollars.</w:t>
      </w:r>
      <w:r w:rsidR="00CF1E3F">
        <w:rPr>
          <w:rFonts w:cs="Arial"/>
          <w:sz w:val="22"/>
          <w:szCs w:val="22"/>
        </w:rPr>
        <w:t xml:space="preserve"> </w:t>
      </w:r>
    </w:p>
    <w:p w14:paraId="0BD19E59" w14:textId="7743F169" w:rsidR="00117511" w:rsidRPr="00ED48EC" w:rsidRDefault="00117511" w:rsidP="00F92475">
      <w:pPr>
        <w:pStyle w:val="Paragraphtext"/>
        <w:numPr>
          <w:ilvl w:val="0"/>
          <w:numId w:val="35"/>
        </w:numPr>
        <w:spacing w:before="160" w:after="160" w:line="276" w:lineRule="auto"/>
        <w:ind w:left="360"/>
        <w:rPr>
          <w:rFonts w:cs="Arial"/>
          <w:sz w:val="22"/>
          <w:szCs w:val="22"/>
        </w:rPr>
      </w:pPr>
      <w:r w:rsidRPr="00ED48EC">
        <w:rPr>
          <w:rFonts w:cs="Arial"/>
          <w:bCs/>
          <w:szCs w:val="22"/>
        </w:rPr>
        <w:t>Additional loading for service delivery in remote and very remote areas will continue.</w:t>
      </w:r>
    </w:p>
    <w:p w14:paraId="45A15D42" w14:textId="74B43BBC" w:rsidR="000A78A0" w:rsidRDefault="00AA5B81" w:rsidP="00F92475">
      <w:pPr>
        <w:pStyle w:val="Paragraphtext"/>
        <w:numPr>
          <w:ilvl w:val="0"/>
          <w:numId w:val="35"/>
        </w:numPr>
        <w:spacing w:before="160" w:after="160" w:line="276" w:lineRule="auto"/>
        <w:ind w:left="360"/>
        <w:rPr>
          <w:rFonts w:cs="Arial"/>
          <w:sz w:val="22"/>
          <w:szCs w:val="22"/>
        </w:rPr>
      </w:pPr>
      <w:r>
        <w:rPr>
          <w:rFonts w:cs="Arial"/>
          <w:sz w:val="22"/>
          <w:szCs w:val="22"/>
        </w:rPr>
        <w:t>As described in the 2022-23 Grant Opportunity Guidelines, c</w:t>
      </w:r>
      <w:r w:rsidR="000A78A0" w:rsidRPr="0064174C">
        <w:rPr>
          <w:rFonts w:cs="Arial"/>
          <w:sz w:val="22"/>
          <w:szCs w:val="22"/>
        </w:rPr>
        <w:t xml:space="preserve">ertain grant agreements may be reviewed and varied by reducing the amount of Commonwealth funding paid in </w:t>
      </w:r>
      <w:r w:rsidR="00A634D9">
        <w:rPr>
          <w:rFonts w:cs="Arial"/>
          <w:sz w:val="22"/>
          <w:szCs w:val="22"/>
        </w:rPr>
        <w:br/>
      </w:r>
      <w:r w:rsidR="003F1519">
        <w:rPr>
          <w:rFonts w:cs="Arial"/>
          <w:sz w:val="22"/>
          <w:szCs w:val="22"/>
        </w:rPr>
        <w:t>2023-24</w:t>
      </w:r>
      <w:r w:rsidR="000A78A0" w:rsidRPr="0064174C">
        <w:rPr>
          <w:rFonts w:cs="Arial"/>
          <w:sz w:val="22"/>
          <w:szCs w:val="22"/>
        </w:rPr>
        <w:t xml:space="preserve"> to account for unexpended funds from previous years, </w:t>
      </w:r>
      <w:r w:rsidR="009040AE">
        <w:rPr>
          <w:rFonts w:cs="Arial"/>
          <w:sz w:val="22"/>
          <w:szCs w:val="22"/>
        </w:rPr>
        <w:t xml:space="preserve">to </w:t>
      </w:r>
      <w:r w:rsidR="000A78A0" w:rsidRPr="0064174C">
        <w:rPr>
          <w:rFonts w:cs="Arial"/>
          <w:sz w:val="22"/>
          <w:szCs w:val="22"/>
        </w:rPr>
        <w:t>better reflect performance or address local service needs.</w:t>
      </w:r>
    </w:p>
    <w:p w14:paraId="5AC446D7" w14:textId="4592AAE2" w:rsidR="00AA5B81" w:rsidRDefault="00AA5B81" w:rsidP="00532291">
      <w:pPr>
        <w:pStyle w:val="Heading1"/>
        <w:ind w:right="-286"/>
      </w:pPr>
      <w:r w:rsidRPr="0091629D">
        <w:lastRenderedPageBreak/>
        <w:t xml:space="preserve">2023-24 </w:t>
      </w:r>
      <w:r>
        <w:t>E</w:t>
      </w:r>
      <w:r w:rsidRPr="0091629D">
        <w:t xml:space="preserve">xtension </w:t>
      </w:r>
      <w:r w:rsidR="006D0DB1">
        <w:t xml:space="preserve">– </w:t>
      </w:r>
      <w:r w:rsidR="00117511">
        <w:t>c</w:t>
      </w:r>
      <w:r w:rsidR="000E6E51">
        <w:t xml:space="preserve">hanges </w:t>
      </w:r>
      <w:r w:rsidR="006D0DB1">
        <w:t>for 2023-24</w:t>
      </w:r>
      <w:r>
        <w:t>:</w:t>
      </w:r>
    </w:p>
    <w:p w14:paraId="23B8FA09" w14:textId="5B2BF709" w:rsidR="003B6D33" w:rsidRPr="0091629D" w:rsidRDefault="003B6D33" w:rsidP="00532291">
      <w:pPr>
        <w:pStyle w:val="Heading2"/>
      </w:pPr>
      <w:r w:rsidRPr="0091629D">
        <w:t xml:space="preserve">Adjustments to CHSP </w:t>
      </w:r>
      <w:r w:rsidR="00AA5B81">
        <w:t>N</w:t>
      </w:r>
      <w:r w:rsidR="00AA5B81" w:rsidRPr="0091629D">
        <w:t xml:space="preserve">ational </w:t>
      </w:r>
      <w:r w:rsidR="00AA5B81">
        <w:t>U</w:t>
      </w:r>
      <w:r w:rsidR="00AA5B81" w:rsidRPr="0091629D">
        <w:t xml:space="preserve">nit </w:t>
      </w:r>
      <w:r w:rsidR="00AA5B81">
        <w:t>P</w:t>
      </w:r>
      <w:r w:rsidR="00AA5B81" w:rsidRPr="0091629D">
        <w:t xml:space="preserve">rice </w:t>
      </w:r>
      <w:r w:rsidR="00AA5B81">
        <w:t>R</w:t>
      </w:r>
      <w:r w:rsidR="00AA5B81" w:rsidRPr="0091629D">
        <w:t>ange</w:t>
      </w:r>
    </w:p>
    <w:p w14:paraId="5A0B386B" w14:textId="69F97DE3" w:rsidR="0094351F" w:rsidRDefault="0094351F" w:rsidP="00F92475">
      <w:pPr>
        <w:spacing w:before="160" w:after="160"/>
        <w:rPr>
          <w:rFonts w:cs="Arial"/>
          <w:bCs/>
          <w:szCs w:val="22"/>
        </w:rPr>
      </w:pPr>
      <w:r>
        <w:rPr>
          <w:rFonts w:cs="Arial"/>
          <w:bCs/>
          <w:szCs w:val="22"/>
        </w:rPr>
        <w:t>From 1 July 2023,</w:t>
      </w:r>
      <w:r w:rsidRPr="000C5EC7">
        <w:rPr>
          <w:rFonts w:cs="Arial"/>
          <w:bCs/>
          <w:szCs w:val="22"/>
        </w:rPr>
        <w:t xml:space="preserve"> the national unit price range </w:t>
      </w:r>
      <w:r>
        <w:rPr>
          <w:rFonts w:cs="Arial"/>
          <w:bCs/>
          <w:szCs w:val="22"/>
        </w:rPr>
        <w:t>will be adjusted in the following ways:</w:t>
      </w:r>
    </w:p>
    <w:p w14:paraId="7B8049FE" w14:textId="26A46E41" w:rsidR="0094351F" w:rsidRDefault="0094351F" w:rsidP="00F92475">
      <w:pPr>
        <w:pStyle w:val="ListParagraph"/>
        <w:numPr>
          <w:ilvl w:val="0"/>
          <w:numId w:val="46"/>
        </w:numPr>
        <w:spacing w:before="160" w:after="160"/>
        <w:ind w:left="426" w:hanging="284"/>
        <w:rPr>
          <w:rFonts w:cs="Arial"/>
          <w:bCs/>
          <w:szCs w:val="22"/>
        </w:rPr>
      </w:pPr>
      <w:r>
        <w:rPr>
          <w:rFonts w:cs="Arial"/>
          <w:bCs/>
          <w:szCs w:val="22"/>
        </w:rPr>
        <w:t>A 10% increase to prices at the bottom of the range</w:t>
      </w:r>
    </w:p>
    <w:p w14:paraId="03A38F69" w14:textId="12EAC5AA" w:rsidR="0094351F" w:rsidRDefault="0094351F" w:rsidP="00F92475">
      <w:pPr>
        <w:pStyle w:val="ListParagraph"/>
        <w:numPr>
          <w:ilvl w:val="0"/>
          <w:numId w:val="46"/>
        </w:numPr>
        <w:spacing w:before="160" w:after="160"/>
        <w:ind w:left="426" w:hanging="284"/>
        <w:rPr>
          <w:rFonts w:cs="Arial"/>
          <w:bCs/>
          <w:szCs w:val="22"/>
        </w:rPr>
      </w:pPr>
      <w:r>
        <w:rPr>
          <w:rFonts w:cs="Arial"/>
          <w:bCs/>
          <w:szCs w:val="22"/>
        </w:rPr>
        <w:t>A 5% increase to prices at the top of the range</w:t>
      </w:r>
    </w:p>
    <w:p w14:paraId="34C1659E" w14:textId="2743D807" w:rsidR="0094351F" w:rsidRDefault="0094351F" w:rsidP="00F92475">
      <w:pPr>
        <w:pStyle w:val="ListParagraph"/>
        <w:numPr>
          <w:ilvl w:val="0"/>
          <w:numId w:val="46"/>
        </w:numPr>
        <w:spacing w:before="160" w:after="160"/>
        <w:ind w:left="426" w:hanging="284"/>
        <w:rPr>
          <w:rFonts w:cs="Arial"/>
          <w:bCs/>
          <w:szCs w:val="22"/>
        </w:rPr>
      </w:pPr>
      <w:r w:rsidRPr="00A77028">
        <w:rPr>
          <w:rFonts w:cs="Arial"/>
          <w:bCs/>
          <w:szCs w:val="22"/>
        </w:rPr>
        <w:t xml:space="preserve">Transport prices will be increased by </w:t>
      </w:r>
      <w:r>
        <w:rPr>
          <w:rFonts w:cs="Arial"/>
          <w:bCs/>
          <w:szCs w:val="22"/>
        </w:rPr>
        <w:t xml:space="preserve">11% at the bottom of the range and 6% at the top of the range </w:t>
      </w:r>
      <w:r w:rsidRPr="00A77028">
        <w:rPr>
          <w:rFonts w:cs="Arial"/>
          <w:bCs/>
          <w:szCs w:val="22"/>
        </w:rPr>
        <w:t>in recognition of increased fuel costs.</w:t>
      </w:r>
    </w:p>
    <w:p w14:paraId="157273DD" w14:textId="0AE21DD2" w:rsidR="003F1519" w:rsidRDefault="003F1519" w:rsidP="00F92475">
      <w:pPr>
        <w:spacing w:before="160" w:after="160"/>
        <w:rPr>
          <w:rFonts w:cs="Arial"/>
          <w:bCs/>
          <w:szCs w:val="22"/>
        </w:rPr>
      </w:pPr>
      <w:r w:rsidRPr="00231C19">
        <w:rPr>
          <w:rFonts w:cs="Arial"/>
          <w:bCs/>
          <w:szCs w:val="22"/>
        </w:rPr>
        <w:t xml:space="preserve">The increases will be automatically applied to the </w:t>
      </w:r>
      <w:r w:rsidRPr="00231C19">
        <w:rPr>
          <w:rFonts w:cs="Arial"/>
          <w:szCs w:val="18"/>
        </w:rPr>
        <w:t>CHSP 2023-24 proposed funding and outputs as</w:t>
      </w:r>
      <w:r w:rsidR="005415DC" w:rsidRPr="00231C19">
        <w:rPr>
          <w:rFonts w:cs="Arial"/>
          <w:szCs w:val="18"/>
        </w:rPr>
        <w:t xml:space="preserve"> outlined in a letter of offer that will be provided by </w:t>
      </w:r>
      <w:r w:rsidRPr="00231C19">
        <w:rPr>
          <w:rFonts w:cs="Arial"/>
          <w:szCs w:val="18"/>
        </w:rPr>
        <w:t>the department to all organisations.</w:t>
      </w:r>
    </w:p>
    <w:p w14:paraId="1B67342E" w14:textId="19D82E3C" w:rsidR="0094351F" w:rsidRDefault="0094351F" w:rsidP="00F92475">
      <w:pPr>
        <w:spacing w:before="160" w:after="160"/>
        <w:rPr>
          <w:rFonts w:cs="Arial"/>
          <w:bCs/>
          <w:szCs w:val="22"/>
        </w:rPr>
      </w:pPr>
      <w:r w:rsidRPr="00A77028">
        <w:rPr>
          <w:rFonts w:cs="Arial"/>
          <w:bCs/>
          <w:szCs w:val="22"/>
        </w:rPr>
        <w:t>These adjustments will further support CHSP providers ahead of the proposed new in-home aged care program.</w:t>
      </w:r>
    </w:p>
    <w:p w14:paraId="10FD534E" w14:textId="733EF831" w:rsidR="0094351F" w:rsidRPr="0094351F" w:rsidRDefault="0094351F" w:rsidP="0094351F">
      <w:pPr>
        <w:pStyle w:val="Heading4"/>
      </w:pPr>
      <w:r>
        <w:t>Fair Work Commission decision</w:t>
      </w:r>
      <w:r w:rsidR="005A7950">
        <w:t xml:space="preserve"> - Aged Care Work Value Case</w:t>
      </w:r>
    </w:p>
    <w:p w14:paraId="5BCA6087" w14:textId="35F77FEA" w:rsidR="0094351F" w:rsidRPr="00231C19" w:rsidRDefault="004E3E56" w:rsidP="00F92475">
      <w:pPr>
        <w:spacing w:before="160" w:after="160"/>
        <w:rPr>
          <w:rFonts w:cs="Arial"/>
          <w:bCs/>
          <w:szCs w:val="22"/>
        </w:rPr>
      </w:pPr>
      <w:r w:rsidRPr="00231C19">
        <w:rPr>
          <w:rFonts w:cs="Arial"/>
          <w:bCs/>
          <w:szCs w:val="22"/>
        </w:rPr>
        <w:t xml:space="preserve">The interim 15% wage increase for Home Care Stream workers of the Social, Community, Home Care and Disability Services (SCHADS) Award recently </w:t>
      </w:r>
      <w:hyperlink r:id="rId13" w:history="1">
        <w:r w:rsidR="00522C23" w:rsidRPr="00231C19">
          <w:rPr>
            <w:rStyle w:val="Hyperlink"/>
            <w:rFonts w:cs="Arial"/>
            <w:bCs/>
            <w:szCs w:val="22"/>
          </w:rPr>
          <w:t>announced by the Fair Work Commission</w:t>
        </w:r>
      </w:hyperlink>
      <w:r w:rsidR="00522C23" w:rsidRPr="00231C19">
        <w:rPr>
          <w:rFonts w:cs="Arial"/>
          <w:bCs/>
          <w:szCs w:val="22"/>
        </w:rPr>
        <w:t xml:space="preserve"> </w:t>
      </w:r>
      <w:r w:rsidRPr="00231C19">
        <w:rPr>
          <w:rFonts w:cs="Arial"/>
          <w:bCs/>
          <w:szCs w:val="22"/>
        </w:rPr>
        <w:t xml:space="preserve">is </w:t>
      </w:r>
      <w:r w:rsidRPr="00231C19">
        <w:rPr>
          <w:rFonts w:cs="Arial"/>
          <w:bCs/>
          <w:szCs w:val="22"/>
          <w:u w:val="single"/>
        </w:rPr>
        <w:t>not</w:t>
      </w:r>
      <w:r w:rsidRPr="00231C19">
        <w:rPr>
          <w:rFonts w:cs="Arial"/>
          <w:bCs/>
          <w:szCs w:val="22"/>
        </w:rPr>
        <w:t xml:space="preserve"> included as part of this fact sheet.</w:t>
      </w:r>
    </w:p>
    <w:p w14:paraId="000FA246" w14:textId="662FEC11" w:rsidR="004E3E56" w:rsidRPr="00231C19" w:rsidRDefault="004E3E56" w:rsidP="00F92475">
      <w:pPr>
        <w:spacing w:before="160" w:after="160"/>
        <w:rPr>
          <w:rFonts w:cs="Arial"/>
          <w:bCs/>
          <w:szCs w:val="22"/>
        </w:rPr>
      </w:pPr>
      <w:r w:rsidRPr="00231C19">
        <w:rPr>
          <w:rFonts w:cs="Arial"/>
          <w:bCs/>
          <w:szCs w:val="22"/>
        </w:rPr>
        <w:t xml:space="preserve">The department acknowledges that CHSP providers may be eligible for additional funding to </w:t>
      </w:r>
      <w:r w:rsidR="00FD7620" w:rsidRPr="00231C19">
        <w:rPr>
          <w:rFonts w:cs="Arial"/>
          <w:bCs/>
          <w:szCs w:val="22"/>
        </w:rPr>
        <w:t>ensure</w:t>
      </w:r>
      <w:r w:rsidRPr="00231C19">
        <w:rPr>
          <w:rFonts w:cs="Arial"/>
          <w:bCs/>
          <w:szCs w:val="22"/>
        </w:rPr>
        <w:t xml:space="preserve"> this award increase </w:t>
      </w:r>
      <w:r w:rsidR="00FD7620" w:rsidRPr="00231C19">
        <w:rPr>
          <w:rFonts w:cs="Arial"/>
          <w:bCs/>
          <w:szCs w:val="22"/>
        </w:rPr>
        <w:t>reaches</w:t>
      </w:r>
      <w:r w:rsidRPr="00231C19">
        <w:rPr>
          <w:rFonts w:cs="Arial"/>
          <w:bCs/>
          <w:szCs w:val="22"/>
        </w:rPr>
        <w:t xml:space="preserve"> employees</w:t>
      </w:r>
      <w:r w:rsidR="005415DC" w:rsidRPr="00231C19">
        <w:rPr>
          <w:rFonts w:cs="Arial"/>
          <w:bCs/>
          <w:szCs w:val="22"/>
        </w:rPr>
        <w:t>.</w:t>
      </w:r>
      <w:r w:rsidR="00FD7620" w:rsidRPr="00231C19">
        <w:rPr>
          <w:rFonts w:cs="Arial"/>
          <w:bCs/>
          <w:szCs w:val="22"/>
        </w:rPr>
        <w:t xml:space="preserve"> </w:t>
      </w:r>
      <w:r w:rsidRPr="00231C19">
        <w:rPr>
          <w:rFonts w:cs="Arial"/>
          <w:bCs/>
          <w:szCs w:val="22"/>
        </w:rPr>
        <w:t xml:space="preserve">The date of effect for this </w:t>
      </w:r>
      <w:r w:rsidR="00F92475" w:rsidRPr="00231C19">
        <w:rPr>
          <w:rFonts w:cs="Arial"/>
          <w:bCs/>
          <w:szCs w:val="22"/>
        </w:rPr>
        <w:t xml:space="preserve">interim </w:t>
      </w:r>
      <w:r w:rsidRPr="00231C19">
        <w:rPr>
          <w:rFonts w:cs="Arial"/>
          <w:bCs/>
          <w:szCs w:val="22"/>
        </w:rPr>
        <w:t>decision is currently pending a final determination by the Fair Work Commission.  This is expected to be handed down in 2023.</w:t>
      </w:r>
    </w:p>
    <w:p w14:paraId="4AD15A52" w14:textId="76A6FF19" w:rsidR="0094351F" w:rsidRDefault="004E3E56" w:rsidP="00F92475">
      <w:pPr>
        <w:spacing w:before="160" w:after="160"/>
        <w:rPr>
          <w:rFonts w:cs="Arial"/>
          <w:bCs/>
          <w:szCs w:val="22"/>
        </w:rPr>
      </w:pPr>
      <w:r w:rsidRPr="00231C19">
        <w:rPr>
          <w:rFonts w:cs="Arial"/>
          <w:bCs/>
          <w:szCs w:val="22"/>
        </w:rPr>
        <w:t>The department is considering implementation options to deliver any additional funding to providers who need it in a targeted</w:t>
      </w:r>
      <w:r w:rsidR="00F92475" w:rsidRPr="00231C19">
        <w:rPr>
          <w:rFonts w:cs="Arial"/>
          <w:bCs/>
          <w:szCs w:val="22"/>
        </w:rPr>
        <w:t xml:space="preserve">, </w:t>
      </w:r>
      <w:r w:rsidRPr="00231C19">
        <w:rPr>
          <w:rFonts w:cs="Arial"/>
          <w:bCs/>
          <w:szCs w:val="22"/>
        </w:rPr>
        <w:t>timely manner.  The design of this implementation is being informed by the results of the CHSP Survey on Employee Salaries and Employee Occupations carried out during November 2022.</w:t>
      </w:r>
    </w:p>
    <w:p w14:paraId="4331B492" w14:textId="49A606BB" w:rsidR="003B6D33" w:rsidRDefault="003B6D33" w:rsidP="00532291">
      <w:pPr>
        <w:pStyle w:val="Heading4"/>
      </w:pPr>
      <w:r w:rsidRPr="006D0DB1">
        <w:t xml:space="preserve">CHSP </w:t>
      </w:r>
      <w:r w:rsidR="00AA5B81" w:rsidRPr="006D0DB1">
        <w:t>National Unit Price Ranges</w:t>
      </w:r>
      <w:r w:rsidR="0094351F">
        <w:t xml:space="preserve"> </w:t>
      </w:r>
      <w:r w:rsidR="003F1519">
        <w:t>2023-24</w:t>
      </w:r>
      <w:r w:rsidR="0094351F">
        <w:t xml:space="preserve">: </w:t>
      </w:r>
      <w:r w:rsidR="0094351F" w:rsidRPr="006D0DB1">
        <w:t>Table 1</w:t>
      </w:r>
    </w:p>
    <w:p w14:paraId="5127C613" w14:textId="10CCE6E6" w:rsidR="004E3E56" w:rsidRPr="004E3E56" w:rsidRDefault="004E3E56" w:rsidP="00F92475">
      <w:pPr>
        <w:spacing w:before="160" w:after="160"/>
      </w:pPr>
      <w:r w:rsidRPr="000C5EC7">
        <w:rPr>
          <w:rFonts w:cs="Arial"/>
          <w:szCs w:val="22"/>
        </w:rPr>
        <w:t xml:space="preserve">Table 1 below indicates the 2023-24 </w:t>
      </w:r>
      <w:r>
        <w:rPr>
          <w:rFonts w:cs="Arial"/>
          <w:szCs w:val="22"/>
        </w:rPr>
        <w:t>CHSP National Unit Price Ranges</w:t>
      </w:r>
      <w:r w:rsidRPr="000C5EC7">
        <w:rPr>
          <w:rFonts w:cs="Arial"/>
          <w:szCs w:val="22"/>
        </w:rPr>
        <w:t>, noting these price ranges exclude the client contribution</w:t>
      </w:r>
    </w:p>
    <w:tbl>
      <w:tblPr>
        <w:tblW w:w="8926" w:type="dxa"/>
        <w:tblLayout w:type="fixed"/>
        <w:tblLook w:val="04A0" w:firstRow="1" w:lastRow="0" w:firstColumn="1" w:lastColumn="0" w:noHBand="0" w:noVBand="1"/>
      </w:tblPr>
      <w:tblGrid>
        <w:gridCol w:w="3397"/>
        <w:gridCol w:w="1276"/>
        <w:gridCol w:w="1418"/>
        <w:gridCol w:w="1417"/>
        <w:gridCol w:w="1418"/>
      </w:tblGrid>
      <w:tr w:rsidR="003B6D33" w:rsidRPr="009B3AAF" w14:paraId="5D107DE5" w14:textId="77777777" w:rsidTr="003F1519">
        <w:trPr>
          <w:trHeight w:val="416"/>
        </w:trPr>
        <w:tc>
          <w:tcPr>
            <w:tcW w:w="89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E9167C" w14:textId="68B8642E" w:rsidR="003B6D33" w:rsidRPr="0015553E" w:rsidRDefault="003B6D33" w:rsidP="00990407">
            <w:pPr>
              <w:spacing w:before="0" w:after="0" w:line="240" w:lineRule="auto"/>
              <w:rPr>
                <w:rFonts w:cs="Arial"/>
                <w:b/>
                <w:bCs/>
                <w:color w:val="000000"/>
                <w:szCs w:val="22"/>
                <w:lang w:eastAsia="en-AU"/>
              </w:rPr>
            </w:pPr>
            <w:r w:rsidRPr="0015553E">
              <w:rPr>
                <w:rFonts w:cs="Arial"/>
                <w:b/>
                <w:bCs/>
                <w:color w:val="000000"/>
                <w:szCs w:val="22"/>
                <w:lang w:eastAsia="en-AU"/>
              </w:rPr>
              <w:t xml:space="preserve">CHSP Unit Price Range </w:t>
            </w:r>
            <w:r w:rsidR="003F1519">
              <w:rPr>
                <w:rFonts w:cs="Arial"/>
                <w:b/>
                <w:bCs/>
                <w:color w:val="000000"/>
                <w:szCs w:val="22"/>
                <w:lang w:eastAsia="en-AU"/>
              </w:rPr>
              <w:t>2023-24</w:t>
            </w:r>
          </w:p>
        </w:tc>
      </w:tr>
      <w:tr w:rsidR="003B6D33" w:rsidRPr="009B3AAF" w14:paraId="6D0B81DB" w14:textId="77777777" w:rsidTr="003F1519">
        <w:trPr>
          <w:trHeight w:val="455"/>
        </w:trPr>
        <w:tc>
          <w:tcPr>
            <w:tcW w:w="3397" w:type="dxa"/>
            <w:vMerge w:val="restart"/>
            <w:tcBorders>
              <w:top w:val="nil"/>
              <w:left w:val="single" w:sz="4" w:space="0" w:color="auto"/>
              <w:bottom w:val="single" w:sz="4" w:space="0" w:color="000000"/>
              <w:right w:val="single" w:sz="4" w:space="0" w:color="auto"/>
            </w:tcBorders>
            <w:shd w:val="clear" w:color="000000" w:fill="D0CECE"/>
            <w:noWrap/>
            <w:vAlign w:val="center"/>
            <w:hideMark/>
          </w:tcPr>
          <w:p w14:paraId="5CBA94C7" w14:textId="77777777" w:rsidR="003B6D33" w:rsidRPr="0015553E" w:rsidRDefault="003B6D33" w:rsidP="00990407">
            <w:pPr>
              <w:spacing w:before="0" w:after="0" w:line="240" w:lineRule="auto"/>
              <w:jc w:val="center"/>
              <w:rPr>
                <w:rFonts w:cs="Arial"/>
                <w:b/>
                <w:bCs/>
                <w:color w:val="000000"/>
                <w:szCs w:val="22"/>
                <w:lang w:eastAsia="en-AU"/>
              </w:rPr>
            </w:pPr>
            <w:r w:rsidRPr="0015553E">
              <w:rPr>
                <w:rFonts w:cs="Arial"/>
                <w:b/>
                <w:bCs/>
                <w:color w:val="000000"/>
                <w:szCs w:val="22"/>
                <w:lang w:eastAsia="en-AU"/>
              </w:rPr>
              <w:t>Service Type</w:t>
            </w:r>
          </w:p>
        </w:tc>
        <w:tc>
          <w:tcPr>
            <w:tcW w:w="2694" w:type="dxa"/>
            <w:gridSpan w:val="2"/>
            <w:tcBorders>
              <w:top w:val="single" w:sz="4" w:space="0" w:color="auto"/>
              <w:left w:val="nil"/>
              <w:bottom w:val="single" w:sz="4" w:space="0" w:color="auto"/>
              <w:right w:val="single" w:sz="4" w:space="0" w:color="000000"/>
            </w:tcBorders>
            <w:shd w:val="clear" w:color="000000" w:fill="D0CECE"/>
            <w:vAlign w:val="center"/>
            <w:hideMark/>
          </w:tcPr>
          <w:p w14:paraId="7CEA8748" w14:textId="4F56F567" w:rsidR="003B6D33" w:rsidRPr="0015553E" w:rsidRDefault="003F1519" w:rsidP="00990407">
            <w:pPr>
              <w:spacing w:before="0" w:after="0" w:line="240" w:lineRule="auto"/>
              <w:jc w:val="center"/>
              <w:rPr>
                <w:rFonts w:cs="Arial"/>
                <w:b/>
                <w:bCs/>
                <w:color w:val="000000"/>
                <w:szCs w:val="22"/>
                <w:lang w:eastAsia="en-AU"/>
              </w:rPr>
            </w:pPr>
            <w:r>
              <w:rPr>
                <w:rFonts w:cs="Arial"/>
                <w:b/>
                <w:bCs/>
                <w:color w:val="000000"/>
                <w:szCs w:val="22"/>
                <w:lang w:eastAsia="en-AU"/>
              </w:rPr>
              <w:t>2022-23</w:t>
            </w:r>
            <w:r w:rsidR="0028181E" w:rsidRPr="0015553E">
              <w:rPr>
                <w:rFonts w:cs="Arial"/>
                <w:b/>
                <w:bCs/>
                <w:color w:val="000000"/>
                <w:szCs w:val="22"/>
                <w:lang w:eastAsia="en-AU"/>
              </w:rPr>
              <w:t xml:space="preserve"> Unit Prices</w:t>
            </w:r>
          </w:p>
        </w:tc>
        <w:tc>
          <w:tcPr>
            <w:tcW w:w="2835" w:type="dxa"/>
            <w:gridSpan w:val="2"/>
            <w:tcBorders>
              <w:top w:val="single" w:sz="4" w:space="0" w:color="auto"/>
              <w:left w:val="nil"/>
              <w:bottom w:val="single" w:sz="4" w:space="0" w:color="auto"/>
              <w:right w:val="single" w:sz="4" w:space="0" w:color="000000"/>
            </w:tcBorders>
            <w:shd w:val="clear" w:color="000000" w:fill="00B0F0"/>
            <w:vAlign w:val="center"/>
            <w:hideMark/>
          </w:tcPr>
          <w:p w14:paraId="4C54D210" w14:textId="57A656A4" w:rsidR="003B6D33" w:rsidRPr="0015553E" w:rsidRDefault="003F1519" w:rsidP="00990407">
            <w:pPr>
              <w:spacing w:before="0" w:after="0" w:line="240" w:lineRule="auto"/>
              <w:jc w:val="center"/>
              <w:rPr>
                <w:rFonts w:cs="Arial"/>
                <w:b/>
                <w:bCs/>
                <w:color w:val="000000"/>
                <w:szCs w:val="22"/>
                <w:lang w:eastAsia="en-AU"/>
              </w:rPr>
            </w:pPr>
            <w:r>
              <w:rPr>
                <w:rFonts w:cs="Arial"/>
                <w:b/>
                <w:bCs/>
                <w:color w:val="000000"/>
                <w:szCs w:val="22"/>
                <w:lang w:eastAsia="en-AU"/>
              </w:rPr>
              <w:t>2023-24</w:t>
            </w:r>
            <w:r w:rsidR="0028181E" w:rsidRPr="0015553E">
              <w:rPr>
                <w:rFonts w:cs="Arial"/>
                <w:b/>
                <w:bCs/>
                <w:color w:val="000000"/>
                <w:szCs w:val="22"/>
                <w:lang w:eastAsia="en-AU"/>
              </w:rPr>
              <w:t xml:space="preserve"> Unit Prices</w:t>
            </w:r>
          </w:p>
        </w:tc>
      </w:tr>
      <w:tr w:rsidR="003F1519" w:rsidRPr="009B3AAF" w14:paraId="59B3D82C" w14:textId="77777777" w:rsidTr="003F1519">
        <w:trPr>
          <w:trHeight w:val="455"/>
        </w:trPr>
        <w:tc>
          <w:tcPr>
            <w:tcW w:w="3397" w:type="dxa"/>
            <w:vMerge/>
            <w:tcBorders>
              <w:top w:val="nil"/>
              <w:left w:val="single" w:sz="4" w:space="0" w:color="auto"/>
              <w:bottom w:val="single" w:sz="4" w:space="0" w:color="000000"/>
              <w:right w:val="single" w:sz="4" w:space="0" w:color="auto"/>
            </w:tcBorders>
            <w:vAlign w:val="center"/>
            <w:hideMark/>
          </w:tcPr>
          <w:p w14:paraId="6D81AACA" w14:textId="77777777" w:rsidR="003B6D33" w:rsidRPr="0015553E" w:rsidRDefault="003B6D33" w:rsidP="00990407">
            <w:pPr>
              <w:spacing w:before="0" w:after="0" w:line="240" w:lineRule="auto"/>
              <w:rPr>
                <w:rFonts w:cs="Arial"/>
                <w:b/>
                <w:bCs/>
                <w:color w:val="000000"/>
                <w:szCs w:val="22"/>
                <w:lang w:eastAsia="en-AU"/>
              </w:rPr>
            </w:pPr>
          </w:p>
        </w:tc>
        <w:tc>
          <w:tcPr>
            <w:tcW w:w="1276" w:type="dxa"/>
            <w:tcBorders>
              <w:top w:val="nil"/>
              <w:left w:val="nil"/>
              <w:bottom w:val="single" w:sz="4" w:space="0" w:color="auto"/>
              <w:right w:val="single" w:sz="4" w:space="0" w:color="auto"/>
            </w:tcBorders>
            <w:shd w:val="clear" w:color="000000" w:fill="D0CECE"/>
            <w:vAlign w:val="center"/>
            <w:hideMark/>
          </w:tcPr>
          <w:p w14:paraId="2281E785" w14:textId="405615BD" w:rsidR="003B6D33" w:rsidRPr="0015553E" w:rsidRDefault="003B6D33" w:rsidP="00990407">
            <w:pPr>
              <w:spacing w:before="0" w:after="0" w:line="240" w:lineRule="auto"/>
              <w:jc w:val="center"/>
              <w:rPr>
                <w:rFonts w:cs="Arial"/>
                <w:b/>
                <w:bCs/>
                <w:color w:val="000000"/>
                <w:szCs w:val="22"/>
                <w:lang w:eastAsia="en-AU"/>
              </w:rPr>
            </w:pPr>
            <w:r w:rsidRPr="0015553E">
              <w:rPr>
                <w:rFonts w:cs="Arial"/>
                <w:b/>
                <w:bCs/>
                <w:color w:val="000000"/>
                <w:szCs w:val="22"/>
                <w:lang w:eastAsia="en-AU"/>
              </w:rPr>
              <w:t>M</w:t>
            </w:r>
            <w:r w:rsidR="0028181E" w:rsidRPr="0015553E">
              <w:rPr>
                <w:rFonts w:cs="Arial"/>
                <w:b/>
                <w:bCs/>
                <w:color w:val="000000"/>
                <w:szCs w:val="22"/>
                <w:lang w:eastAsia="en-AU"/>
              </w:rPr>
              <w:t>inimum</w:t>
            </w:r>
          </w:p>
        </w:tc>
        <w:tc>
          <w:tcPr>
            <w:tcW w:w="1418" w:type="dxa"/>
            <w:tcBorders>
              <w:top w:val="nil"/>
              <w:left w:val="nil"/>
              <w:bottom w:val="single" w:sz="4" w:space="0" w:color="auto"/>
              <w:right w:val="single" w:sz="4" w:space="0" w:color="auto"/>
            </w:tcBorders>
            <w:shd w:val="clear" w:color="000000" w:fill="D0CECE"/>
            <w:noWrap/>
            <w:vAlign w:val="center"/>
            <w:hideMark/>
          </w:tcPr>
          <w:p w14:paraId="6C9B8E97" w14:textId="3C9D09AF" w:rsidR="003B6D33" w:rsidRPr="0015553E" w:rsidRDefault="003B6D33" w:rsidP="00990407">
            <w:pPr>
              <w:spacing w:before="0" w:after="0" w:line="240" w:lineRule="auto"/>
              <w:jc w:val="center"/>
              <w:rPr>
                <w:rFonts w:cs="Arial"/>
                <w:b/>
                <w:bCs/>
                <w:color w:val="000000"/>
                <w:szCs w:val="22"/>
                <w:lang w:eastAsia="en-AU"/>
              </w:rPr>
            </w:pPr>
            <w:r w:rsidRPr="0015553E">
              <w:rPr>
                <w:rFonts w:cs="Arial"/>
                <w:b/>
                <w:bCs/>
                <w:color w:val="000000"/>
                <w:szCs w:val="22"/>
                <w:lang w:eastAsia="en-AU"/>
              </w:rPr>
              <w:t>Max</w:t>
            </w:r>
            <w:r w:rsidR="0028181E" w:rsidRPr="0015553E">
              <w:rPr>
                <w:rFonts w:cs="Arial"/>
                <w:b/>
                <w:bCs/>
                <w:color w:val="000000"/>
                <w:szCs w:val="22"/>
                <w:lang w:eastAsia="en-AU"/>
              </w:rPr>
              <w:t>imum</w:t>
            </w:r>
          </w:p>
        </w:tc>
        <w:tc>
          <w:tcPr>
            <w:tcW w:w="1417" w:type="dxa"/>
            <w:tcBorders>
              <w:top w:val="nil"/>
              <w:left w:val="nil"/>
              <w:bottom w:val="single" w:sz="4" w:space="0" w:color="auto"/>
              <w:right w:val="single" w:sz="4" w:space="0" w:color="auto"/>
            </w:tcBorders>
            <w:shd w:val="clear" w:color="000000" w:fill="00B0F0"/>
            <w:vAlign w:val="center"/>
            <w:hideMark/>
          </w:tcPr>
          <w:p w14:paraId="26BA1651" w14:textId="75D8A1FA" w:rsidR="003B6D33" w:rsidRPr="0015553E" w:rsidRDefault="003B6D33" w:rsidP="00990407">
            <w:pPr>
              <w:spacing w:before="0" w:after="0" w:line="240" w:lineRule="auto"/>
              <w:jc w:val="center"/>
              <w:rPr>
                <w:rFonts w:cs="Arial"/>
                <w:b/>
                <w:bCs/>
                <w:color w:val="000000"/>
                <w:szCs w:val="22"/>
                <w:lang w:eastAsia="en-AU"/>
              </w:rPr>
            </w:pPr>
            <w:r w:rsidRPr="0015553E">
              <w:rPr>
                <w:rFonts w:cs="Arial"/>
                <w:b/>
                <w:bCs/>
                <w:color w:val="000000"/>
                <w:szCs w:val="22"/>
                <w:lang w:eastAsia="en-AU"/>
              </w:rPr>
              <w:t>Mi</w:t>
            </w:r>
            <w:r w:rsidR="0028181E" w:rsidRPr="0015553E">
              <w:rPr>
                <w:rFonts w:cs="Arial"/>
                <w:b/>
                <w:bCs/>
                <w:color w:val="000000"/>
                <w:szCs w:val="22"/>
                <w:lang w:eastAsia="en-AU"/>
              </w:rPr>
              <w:t>nimum</w:t>
            </w:r>
          </w:p>
        </w:tc>
        <w:tc>
          <w:tcPr>
            <w:tcW w:w="1418" w:type="dxa"/>
            <w:tcBorders>
              <w:top w:val="nil"/>
              <w:left w:val="nil"/>
              <w:bottom w:val="single" w:sz="4" w:space="0" w:color="auto"/>
              <w:right w:val="single" w:sz="4" w:space="0" w:color="auto"/>
            </w:tcBorders>
            <w:shd w:val="clear" w:color="000000" w:fill="00B0F0"/>
            <w:noWrap/>
            <w:vAlign w:val="center"/>
            <w:hideMark/>
          </w:tcPr>
          <w:p w14:paraId="4BF6E4C9" w14:textId="1F2251AF" w:rsidR="003B6D33" w:rsidRPr="0015553E" w:rsidRDefault="003B6D33" w:rsidP="00990407">
            <w:pPr>
              <w:spacing w:before="0" w:after="0" w:line="240" w:lineRule="auto"/>
              <w:jc w:val="center"/>
              <w:rPr>
                <w:rFonts w:cs="Arial"/>
                <w:b/>
                <w:bCs/>
                <w:color w:val="000000"/>
                <w:szCs w:val="22"/>
                <w:lang w:eastAsia="en-AU"/>
              </w:rPr>
            </w:pPr>
            <w:r w:rsidRPr="0015553E">
              <w:rPr>
                <w:rFonts w:cs="Arial"/>
                <w:b/>
                <w:bCs/>
                <w:color w:val="000000"/>
                <w:szCs w:val="22"/>
                <w:lang w:eastAsia="en-AU"/>
              </w:rPr>
              <w:t>Max</w:t>
            </w:r>
            <w:r w:rsidR="0028181E" w:rsidRPr="0015553E">
              <w:rPr>
                <w:rFonts w:cs="Arial"/>
                <w:b/>
                <w:bCs/>
                <w:color w:val="000000"/>
                <w:szCs w:val="22"/>
                <w:lang w:eastAsia="en-AU"/>
              </w:rPr>
              <w:t>imum</w:t>
            </w:r>
          </w:p>
        </w:tc>
      </w:tr>
      <w:tr w:rsidR="003F1519" w:rsidRPr="009B3AAF" w14:paraId="5C5E210D" w14:textId="77777777" w:rsidTr="00F92475">
        <w:trPr>
          <w:trHeight w:val="6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378F210" w14:textId="77777777"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Allied Health and Therapy Services</w:t>
            </w:r>
          </w:p>
        </w:tc>
        <w:tc>
          <w:tcPr>
            <w:tcW w:w="1276" w:type="dxa"/>
            <w:tcBorders>
              <w:top w:val="nil"/>
              <w:left w:val="nil"/>
              <w:bottom w:val="single" w:sz="4" w:space="0" w:color="auto"/>
              <w:right w:val="single" w:sz="4" w:space="0" w:color="auto"/>
            </w:tcBorders>
            <w:shd w:val="clear" w:color="auto" w:fill="auto"/>
            <w:noWrap/>
            <w:vAlign w:val="center"/>
            <w:hideMark/>
          </w:tcPr>
          <w:p w14:paraId="31EB4719"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$95.00</w:t>
            </w:r>
          </w:p>
        </w:tc>
        <w:tc>
          <w:tcPr>
            <w:tcW w:w="1418" w:type="dxa"/>
            <w:tcBorders>
              <w:top w:val="nil"/>
              <w:left w:val="nil"/>
              <w:bottom w:val="single" w:sz="4" w:space="0" w:color="auto"/>
              <w:right w:val="single" w:sz="4" w:space="0" w:color="auto"/>
            </w:tcBorders>
            <w:shd w:val="clear" w:color="auto" w:fill="auto"/>
            <w:noWrap/>
            <w:vAlign w:val="center"/>
            <w:hideMark/>
          </w:tcPr>
          <w:p w14:paraId="2A136A84"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$125.00</w:t>
            </w:r>
          </w:p>
        </w:tc>
        <w:tc>
          <w:tcPr>
            <w:tcW w:w="1417" w:type="dxa"/>
            <w:tcBorders>
              <w:top w:val="nil"/>
              <w:left w:val="nil"/>
              <w:bottom w:val="single" w:sz="4" w:space="0" w:color="auto"/>
              <w:right w:val="single" w:sz="4" w:space="0" w:color="auto"/>
            </w:tcBorders>
            <w:shd w:val="clear" w:color="auto" w:fill="auto"/>
            <w:noWrap/>
            <w:vAlign w:val="center"/>
            <w:hideMark/>
          </w:tcPr>
          <w:p w14:paraId="45EA1B07" w14:textId="63BE19AC"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w:t>
            </w:r>
            <w:r w:rsidR="00984540">
              <w:rPr>
                <w:rFonts w:cs="Arial"/>
              </w:rPr>
              <w:t>104</w:t>
            </w:r>
            <w:r w:rsidRPr="004B5F3D">
              <w:rPr>
                <w:rFonts w:cs="Arial"/>
              </w:rPr>
              <w:t>.</w:t>
            </w:r>
            <w:r w:rsidR="00984540">
              <w:rPr>
                <w:rFonts w:cs="Arial"/>
              </w:rPr>
              <w:t>50</w:t>
            </w:r>
          </w:p>
        </w:tc>
        <w:tc>
          <w:tcPr>
            <w:tcW w:w="1418" w:type="dxa"/>
            <w:tcBorders>
              <w:top w:val="nil"/>
              <w:left w:val="nil"/>
              <w:bottom w:val="single" w:sz="4" w:space="0" w:color="auto"/>
              <w:right w:val="single" w:sz="4" w:space="0" w:color="auto"/>
            </w:tcBorders>
            <w:shd w:val="clear" w:color="auto" w:fill="auto"/>
            <w:noWrap/>
            <w:vAlign w:val="center"/>
            <w:hideMark/>
          </w:tcPr>
          <w:p w14:paraId="411BA38D"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$131.25</w:t>
            </w:r>
          </w:p>
        </w:tc>
      </w:tr>
      <w:tr w:rsidR="003F1519" w:rsidRPr="009B3AAF" w14:paraId="589C88BF" w14:textId="54D857D9" w:rsidTr="00F92475">
        <w:trPr>
          <w:trHeight w:val="693"/>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226DED8" w14:textId="0C29302D"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Assistance with Care and Housing</w:t>
            </w:r>
            <w:r w:rsidR="00F92475">
              <w:rPr>
                <w:rFonts w:cs="Arial"/>
                <w:color w:val="000000"/>
                <w:szCs w:val="22"/>
                <w:lang w:eastAsia="en-AU"/>
              </w:rPr>
              <w:t xml:space="preserve"> (Hoarding and Squalor)</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483FC641" w14:textId="797F9E49"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NA</w:t>
            </w:r>
          </w:p>
        </w:tc>
        <w:tc>
          <w:tcPr>
            <w:tcW w:w="1418"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51A597E2" w14:textId="2FE8402B"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NA</w:t>
            </w:r>
          </w:p>
        </w:tc>
        <w:tc>
          <w:tcPr>
            <w:tcW w:w="1417"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58C0A4FF" w14:textId="03B7A168" w:rsidR="009B3AAF" w:rsidRPr="0015553E" w:rsidRDefault="009B3AAF">
            <w:pPr>
              <w:spacing w:before="0" w:after="0" w:line="240" w:lineRule="auto"/>
              <w:ind w:firstLineChars="100" w:firstLine="220"/>
              <w:jc w:val="right"/>
              <w:rPr>
                <w:rFonts w:cs="Arial"/>
                <w:color w:val="000000"/>
                <w:szCs w:val="22"/>
                <w:lang w:eastAsia="en-AU"/>
              </w:rPr>
            </w:pPr>
            <w:r w:rsidRPr="00454FB8">
              <w:rPr>
                <w:rFonts w:cs="Arial"/>
                <w:color w:val="000000"/>
                <w:szCs w:val="22"/>
                <w:lang w:eastAsia="en-AU"/>
              </w:rPr>
              <w:t>NA</w:t>
            </w:r>
          </w:p>
        </w:tc>
        <w:tc>
          <w:tcPr>
            <w:tcW w:w="1418"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7186BA0D" w14:textId="0B73F21C"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NA</w:t>
            </w:r>
          </w:p>
        </w:tc>
      </w:tr>
      <w:tr w:rsidR="003F1519" w:rsidRPr="009B3AAF" w14:paraId="002C6116"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836E354" w14:textId="77777777"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Centre based Respite</w:t>
            </w:r>
          </w:p>
        </w:tc>
        <w:tc>
          <w:tcPr>
            <w:tcW w:w="1276" w:type="dxa"/>
            <w:tcBorders>
              <w:top w:val="nil"/>
              <w:left w:val="nil"/>
              <w:bottom w:val="single" w:sz="4" w:space="0" w:color="auto"/>
              <w:right w:val="single" w:sz="4" w:space="0" w:color="auto"/>
            </w:tcBorders>
            <w:shd w:val="clear" w:color="auto" w:fill="auto"/>
            <w:noWrap/>
            <w:vAlign w:val="center"/>
            <w:hideMark/>
          </w:tcPr>
          <w:p w14:paraId="3CBBBC1F"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$27.00</w:t>
            </w:r>
          </w:p>
        </w:tc>
        <w:tc>
          <w:tcPr>
            <w:tcW w:w="1418" w:type="dxa"/>
            <w:tcBorders>
              <w:top w:val="nil"/>
              <w:left w:val="nil"/>
              <w:bottom w:val="single" w:sz="4" w:space="0" w:color="auto"/>
              <w:right w:val="single" w:sz="4" w:space="0" w:color="auto"/>
            </w:tcBorders>
            <w:shd w:val="clear" w:color="auto" w:fill="auto"/>
            <w:noWrap/>
            <w:vAlign w:val="center"/>
            <w:hideMark/>
          </w:tcPr>
          <w:p w14:paraId="092CCA5B"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$51.00</w:t>
            </w:r>
          </w:p>
        </w:tc>
        <w:tc>
          <w:tcPr>
            <w:tcW w:w="1417" w:type="dxa"/>
            <w:tcBorders>
              <w:top w:val="nil"/>
              <w:left w:val="nil"/>
              <w:bottom w:val="single" w:sz="4" w:space="0" w:color="auto"/>
              <w:right w:val="single" w:sz="4" w:space="0" w:color="auto"/>
            </w:tcBorders>
            <w:shd w:val="clear" w:color="auto" w:fill="auto"/>
            <w:noWrap/>
            <w:vAlign w:val="center"/>
            <w:hideMark/>
          </w:tcPr>
          <w:p w14:paraId="165BB76A" w14:textId="0980FD86"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$2</w:t>
            </w:r>
            <w:r w:rsidR="00984540">
              <w:rPr>
                <w:rFonts w:cs="Arial"/>
              </w:rPr>
              <w:t>9</w:t>
            </w:r>
            <w:r w:rsidRPr="004B5F3D">
              <w:rPr>
                <w:rFonts w:cs="Arial"/>
              </w:rPr>
              <w:t>.</w:t>
            </w:r>
            <w:r w:rsidR="00984540">
              <w:rPr>
                <w:rFonts w:cs="Arial"/>
              </w:rPr>
              <w:t>70</w:t>
            </w:r>
          </w:p>
        </w:tc>
        <w:tc>
          <w:tcPr>
            <w:tcW w:w="1418" w:type="dxa"/>
            <w:tcBorders>
              <w:top w:val="nil"/>
              <w:left w:val="nil"/>
              <w:bottom w:val="single" w:sz="4" w:space="0" w:color="auto"/>
              <w:right w:val="single" w:sz="4" w:space="0" w:color="auto"/>
            </w:tcBorders>
            <w:shd w:val="clear" w:color="auto" w:fill="auto"/>
            <w:noWrap/>
            <w:vAlign w:val="center"/>
            <w:hideMark/>
          </w:tcPr>
          <w:p w14:paraId="57981361"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$53.55</w:t>
            </w:r>
          </w:p>
        </w:tc>
      </w:tr>
      <w:tr w:rsidR="003F1519" w:rsidRPr="009B3AAF" w14:paraId="2BD91A8D"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1952B3C" w14:textId="77777777"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lastRenderedPageBreak/>
              <w:t>CHSP Personal Care</w:t>
            </w:r>
          </w:p>
        </w:tc>
        <w:tc>
          <w:tcPr>
            <w:tcW w:w="1276" w:type="dxa"/>
            <w:tcBorders>
              <w:top w:val="nil"/>
              <w:left w:val="nil"/>
              <w:bottom w:val="single" w:sz="4" w:space="0" w:color="auto"/>
              <w:right w:val="single" w:sz="4" w:space="0" w:color="auto"/>
            </w:tcBorders>
            <w:shd w:val="clear" w:color="auto" w:fill="auto"/>
            <w:noWrap/>
            <w:vAlign w:val="center"/>
            <w:hideMark/>
          </w:tcPr>
          <w:p w14:paraId="12A87704"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$51.00</w:t>
            </w:r>
          </w:p>
        </w:tc>
        <w:tc>
          <w:tcPr>
            <w:tcW w:w="1418" w:type="dxa"/>
            <w:tcBorders>
              <w:top w:val="nil"/>
              <w:left w:val="nil"/>
              <w:bottom w:val="single" w:sz="4" w:space="0" w:color="auto"/>
              <w:right w:val="single" w:sz="4" w:space="0" w:color="auto"/>
            </w:tcBorders>
            <w:shd w:val="clear" w:color="auto" w:fill="auto"/>
            <w:noWrap/>
            <w:vAlign w:val="center"/>
            <w:hideMark/>
          </w:tcPr>
          <w:p w14:paraId="63EA8AA0"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$68.00</w:t>
            </w:r>
          </w:p>
        </w:tc>
        <w:tc>
          <w:tcPr>
            <w:tcW w:w="1417" w:type="dxa"/>
            <w:tcBorders>
              <w:top w:val="nil"/>
              <w:left w:val="nil"/>
              <w:bottom w:val="single" w:sz="4" w:space="0" w:color="auto"/>
              <w:right w:val="single" w:sz="4" w:space="0" w:color="auto"/>
            </w:tcBorders>
            <w:shd w:val="clear" w:color="auto" w:fill="auto"/>
            <w:noWrap/>
            <w:vAlign w:val="center"/>
            <w:hideMark/>
          </w:tcPr>
          <w:p w14:paraId="37D5027A" w14:textId="462E6F0D"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$5</w:t>
            </w:r>
            <w:r w:rsidR="00984540">
              <w:rPr>
                <w:rFonts w:cs="Arial"/>
              </w:rPr>
              <w:t>6.10</w:t>
            </w:r>
          </w:p>
        </w:tc>
        <w:tc>
          <w:tcPr>
            <w:tcW w:w="1418" w:type="dxa"/>
            <w:tcBorders>
              <w:top w:val="nil"/>
              <w:left w:val="nil"/>
              <w:bottom w:val="single" w:sz="4" w:space="0" w:color="auto"/>
              <w:right w:val="single" w:sz="4" w:space="0" w:color="auto"/>
            </w:tcBorders>
            <w:shd w:val="clear" w:color="auto" w:fill="auto"/>
            <w:noWrap/>
            <w:vAlign w:val="center"/>
            <w:hideMark/>
          </w:tcPr>
          <w:p w14:paraId="01CCE0CF"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$71.40</w:t>
            </w:r>
          </w:p>
        </w:tc>
      </w:tr>
      <w:tr w:rsidR="003F1519" w:rsidRPr="009B3AAF" w14:paraId="7DDD0B48"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2DC534A" w14:textId="541EB566"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CHSP Transport (one way trip)</w:t>
            </w:r>
          </w:p>
        </w:tc>
        <w:tc>
          <w:tcPr>
            <w:tcW w:w="1276" w:type="dxa"/>
            <w:tcBorders>
              <w:top w:val="nil"/>
              <w:left w:val="nil"/>
              <w:bottom w:val="single" w:sz="4" w:space="0" w:color="auto"/>
              <w:right w:val="single" w:sz="4" w:space="0" w:color="auto"/>
            </w:tcBorders>
            <w:shd w:val="clear" w:color="auto" w:fill="auto"/>
            <w:noWrap/>
            <w:vAlign w:val="center"/>
            <w:hideMark/>
          </w:tcPr>
          <w:p w14:paraId="197413FA"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$18.00</w:t>
            </w:r>
          </w:p>
        </w:tc>
        <w:tc>
          <w:tcPr>
            <w:tcW w:w="1418" w:type="dxa"/>
            <w:tcBorders>
              <w:top w:val="nil"/>
              <w:left w:val="nil"/>
              <w:bottom w:val="single" w:sz="4" w:space="0" w:color="auto"/>
              <w:right w:val="single" w:sz="4" w:space="0" w:color="auto"/>
            </w:tcBorders>
            <w:shd w:val="clear" w:color="auto" w:fill="auto"/>
            <w:noWrap/>
            <w:vAlign w:val="center"/>
            <w:hideMark/>
          </w:tcPr>
          <w:p w14:paraId="152F2C59"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$36.00</w:t>
            </w:r>
          </w:p>
        </w:tc>
        <w:tc>
          <w:tcPr>
            <w:tcW w:w="1417" w:type="dxa"/>
            <w:tcBorders>
              <w:top w:val="nil"/>
              <w:left w:val="nil"/>
              <w:bottom w:val="single" w:sz="4" w:space="0" w:color="auto"/>
              <w:right w:val="single" w:sz="4" w:space="0" w:color="auto"/>
            </w:tcBorders>
            <w:shd w:val="clear" w:color="auto" w:fill="auto"/>
            <w:noWrap/>
            <w:vAlign w:val="center"/>
            <w:hideMark/>
          </w:tcPr>
          <w:p w14:paraId="4DC51398" w14:textId="65F105B0"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$19.</w:t>
            </w:r>
            <w:r w:rsidR="00984540">
              <w:rPr>
                <w:rFonts w:cs="Arial"/>
              </w:rPr>
              <w:t>9</w:t>
            </w:r>
            <w:r w:rsidRPr="004B5F3D">
              <w:rPr>
                <w:rFonts w:cs="Arial"/>
              </w:rPr>
              <w:t>8</w:t>
            </w:r>
          </w:p>
        </w:tc>
        <w:tc>
          <w:tcPr>
            <w:tcW w:w="1418" w:type="dxa"/>
            <w:tcBorders>
              <w:top w:val="nil"/>
              <w:left w:val="nil"/>
              <w:bottom w:val="single" w:sz="4" w:space="0" w:color="auto"/>
              <w:right w:val="single" w:sz="4" w:space="0" w:color="auto"/>
            </w:tcBorders>
            <w:shd w:val="clear" w:color="auto" w:fill="auto"/>
            <w:noWrap/>
            <w:vAlign w:val="center"/>
            <w:hideMark/>
          </w:tcPr>
          <w:p w14:paraId="1C8D9014" w14:textId="1C371FBC"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$38.16</w:t>
            </w:r>
          </w:p>
        </w:tc>
      </w:tr>
      <w:tr w:rsidR="003F1519" w:rsidRPr="009B3AAF" w14:paraId="2C963E69"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406B5F4" w14:textId="77777777"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Cottage Respite</w:t>
            </w:r>
          </w:p>
        </w:tc>
        <w:tc>
          <w:tcPr>
            <w:tcW w:w="1276" w:type="dxa"/>
            <w:tcBorders>
              <w:top w:val="nil"/>
              <w:left w:val="nil"/>
              <w:bottom w:val="single" w:sz="4" w:space="0" w:color="auto"/>
              <w:right w:val="single" w:sz="4" w:space="0" w:color="auto"/>
            </w:tcBorders>
            <w:shd w:val="clear" w:color="auto" w:fill="auto"/>
            <w:noWrap/>
            <w:vAlign w:val="center"/>
            <w:hideMark/>
          </w:tcPr>
          <w:p w14:paraId="307F2197"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$28.00</w:t>
            </w:r>
          </w:p>
        </w:tc>
        <w:tc>
          <w:tcPr>
            <w:tcW w:w="1418" w:type="dxa"/>
            <w:tcBorders>
              <w:top w:val="nil"/>
              <w:left w:val="nil"/>
              <w:bottom w:val="single" w:sz="4" w:space="0" w:color="auto"/>
              <w:right w:val="single" w:sz="4" w:space="0" w:color="auto"/>
            </w:tcBorders>
            <w:shd w:val="clear" w:color="auto" w:fill="auto"/>
            <w:noWrap/>
            <w:vAlign w:val="center"/>
            <w:hideMark/>
          </w:tcPr>
          <w:p w14:paraId="1838706E"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$53.00</w:t>
            </w:r>
          </w:p>
        </w:tc>
        <w:tc>
          <w:tcPr>
            <w:tcW w:w="1417" w:type="dxa"/>
            <w:tcBorders>
              <w:top w:val="nil"/>
              <w:left w:val="nil"/>
              <w:bottom w:val="single" w:sz="4" w:space="0" w:color="auto"/>
              <w:right w:val="single" w:sz="4" w:space="0" w:color="auto"/>
            </w:tcBorders>
            <w:shd w:val="clear" w:color="auto" w:fill="auto"/>
            <w:noWrap/>
            <w:vAlign w:val="center"/>
            <w:hideMark/>
          </w:tcPr>
          <w:p w14:paraId="483DE5E1" w14:textId="58D3BD38"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w:t>
            </w:r>
            <w:r w:rsidR="00984540">
              <w:rPr>
                <w:rFonts w:cs="Arial"/>
              </w:rPr>
              <w:t>30</w:t>
            </w:r>
            <w:r w:rsidRPr="004B5F3D">
              <w:rPr>
                <w:rFonts w:cs="Arial"/>
              </w:rPr>
              <w:t>.</w:t>
            </w:r>
            <w:r w:rsidR="00984540">
              <w:rPr>
                <w:rFonts w:cs="Arial"/>
              </w:rPr>
              <w:t>8</w:t>
            </w:r>
            <w:r w:rsidRPr="004B5F3D">
              <w:rPr>
                <w:rFonts w:cs="Arial"/>
              </w:rPr>
              <w:t>0</w:t>
            </w:r>
          </w:p>
        </w:tc>
        <w:tc>
          <w:tcPr>
            <w:tcW w:w="1418" w:type="dxa"/>
            <w:tcBorders>
              <w:top w:val="nil"/>
              <w:left w:val="nil"/>
              <w:bottom w:val="single" w:sz="4" w:space="0" w:color="auto"/>
              <w:right w:val="single" w:sz="4" w:space="0" w:color="auto"/>
            </w:tcBorders>
            <w:shd w:val="clear" w:color="auto" w:fill="auto"/>
            <w:noWrap/>
            <w:vAlign w:val="center"/>
            <w:hideMark/>
          </w:tcPr>
          <w:p w14:paraId="09A8D23E"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$55.65</w:t>
            </w:r>
          </w:p>
        </w:tc>
      </w:tr>
      <w:tr w:rsidR="003F1519" w:rsidRPr="009B3AAF" w14:paraId="7E9FFC79"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E50A3A" w14:textId="77777777"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Domestic Assistance</w:t>
            </w:r>
          </w:p>
        </w:tc>
        <w:tc>
          <w:tcPr>
            <w:tcW w:w="1276" w:type="dxa"/>
            <w:tcBorders>
              <w:top w:val="nil"/>
              <w:left w:val="nil"/>
              <w:bottom w:val="single" w:sz="4" w:space="0" w:color="auto"/>
              <w:right w:val="single" w:sz="4" w:space="0" w:color="auto"/>
            </w:tcBorders>
            <w:shd w:val="clear" w:color="auto" w:fill="auto"/>
            <w:noWrap/>
            <w:vAlign w:val="center"/>
            <w:hideMark/>
          </w:tcPr>
          <w:p w14:paraId="5FC622DE"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$48.00</w:t>
            </w:r>
          </w:p>
        </w:tc>
        <w:tc>
          <w:tcPr>
            <w:tcW w:w="1418" w:type="dxa"/>
            <w:tcBorders>
              <w:top w:val="nil"/>
              <w:left w:val="nil"/>
              <w:bottom w:val="single" w:sz="4" w:space="0" w:color="auto"/>
              <w:right w:val="single" w:sz="4" w:space="0" w:color="auto"/>
            </w:tcBorders>
            <w:shd w:val="clear" w:color="auto" w:fill="auto"/>
            <w:noWrap/>
            <w:vAlign w:val="center"/>
            <w:hideMark/>
          </w:tcPr>
          <w:p w14:paraId="4F3489A5"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$61.00</w:t>
            </w:r>
          </w:p>
        </w:tc>
        <w:tc>
          <w:tcPr>
            <w:tcW w:w="1417" w:type="dxa"/>
            <w:tcBorders>
              <w:top w:val="nil"/>
              <w:left w:val="nil"/>
              <w:bottom w:val="single" w:sz="4" w:space="0" w:color="auto"/>
              <w:right w:val="single" w:sz="4" w:space="0" w:color="auto"/>
            </w:tcBorders>
            <w:shd w:val="clear" w:color="auto" w:fill="auto"/>
            <w:noWrap/>
            <w:vAlign w:val="center"/>
            <w:hideMark/>
          </w:tcPr>
          <w:p w14:paraId="2D916778" w14:textId="5F8B627E"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$5</w:t>
            </w:r>
            <w:r w:rsidR="00984540">
              <w:rPr>
                <w:rFonts w:cs="Arial"/>
              </w:rPr>
              <w:t>2</w:t>
            </w:r>
            <w:r w:rsidRPr="004B5F3D">
              <w:rPr>
                <w:rFonts w:cs="Arial"/>
              </w:rPr>
              <w:t>.</w:t>
            </w:r>
            <w:r w:rsidR="00984540">
              <w:rPr>
                <w:rFonts w:cs="Arial"/>
              </w:rPr>
              <w:t>8</w:t>
            </w:r>
            <w:r w:rsidRPr="004B5F3D">
              <w:rPr>
                <w:rFonts w:cs="Arial"/>
              </w:rPr>
              <w:t>0</w:t>
            </w:r>
          </w:p>
        </w:tc>
        <w:tc>
          <w:tcPr>
            <w:tcW w:w="1418" w:type="dxa"/>
            <w:tcBorders>
              <w:top w:val="nil"/>
              <w:left w:val="nil"/>
              <w:bottom w:val="single" w:sz="4" w:space="0" w:color="auto"/>
              <w:right w:val="single" w:sz="4" w:space="0" w:color="auto"/>
            </w:tcBorders>
            <w:shd w:val="clear" w:color="auto" w:fill="auto"/>
            <w:noWrap/>
            <w:vAlign w:val="center"/>
            <w:hideMark/>
          </w:tcPr>
          <w:p w14:paraId="3E3B28FB"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$64.05</w:t>
            </w:r>
          </w:p>
        </w:tc>
      </w:tr>
      <w:tr w:rsidR="003F1519" w:rsidRPr="009B3AAF" w14:paraId="76044A94"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AA59F3F" w14:textId="77777777"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Flexible Respite</w:t>
            </w:r>
          </w:p>
        </w:tc>
        <w:tc>
          <w:tcPr>
            <w:tcW w:w="1276" w:type="dxa"/>
            <w:tcBorders>
              <w:top w:val="nil"/>
              <w:left w:val="nil"/>
              <w:bottom w:val="single" w:sz="4" w:space="0" w:color="auto"/>
              <w:right w:val="single" w:sz="4" w:space="0" w:color="auto"/>
            </w:tcBorders>
            <w:shd w:val="clear" w:color="auto" w:fill="auto"/>
            <w:noWrap/>
            <w:vAlign w:val="center"/>
            <w:hideMark/>
          </w:tcPr>
          <w:p w14:paraId="1EDB264E"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$51.00</w:t>
            </w:r>
          </w:p>
        </w:tc>
        <w:tc>
          <w:tcPr>
            <w:tcW w:w="1418" w:type="dxa"/>
            <w:tcBorders>
              <w:top w:val="nil"/>
              <w:left w:val="nil"/>
              <w:bottom w:val="single" w:sz="4" w:space="0" w:color="auto"/>
              <w:right w:val="single" w:sz="4" w:space="0" w:color="auto"/>
            </w:tcBorders>
            <w:shd w:val="clear" w:color="auto" w:fill="auto"/>
            <w:noWrap/>
            <w:vAlign w:val="center"/>
            <w:hideMark/>
          </w:tcPr>
          <w:p w14:paraId="58593FD2"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$67.00</w:t>
            </w:r>
          </w:p>
        </w:tc>
        <w:tc>
          <w:tcPr>
            <w:tcW w:w="1417" w:type="dxa"/>
            <w:tcBorders>
              <w:top w:val="nil"/>
              <w:left w:val="nil"/>
              <w:bottom w:val="single" w:sz="4" w:space="0" w:color="auto"/>
              <w:right w:val="single" w:sz="4" w:space="0" w:color="auto"/>
            </w:tcBorders>
            <w:shd w:val="clear" w:color="auto" w:fill="auto"/>
            <w:noWrap/>
            <w:vAlign w:val="center"/>
            <w:hideMark/>
          </w:tcPr>
          <w:p w14:paraId="72F2520C" w14:textId="5000A601"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$5</w:t>
            </w:r>
            <w:r w:rsidR="00984540">
              <w:rPr>
                <w:rFonts w:cs="Arial"/>
              </w:rPr>
              <w:t>6</w:t>
            </w:r>
            <w:r w:rsidRPr="004B5F3D">
              <w:rPr>
                <w:rFonts w:cs="Arial"/>
              </w:rPr>
              <w:t>.</w:t>
            </w:r>
            <w:r w:rsidR="00984540">
              <w:rPr>
                <w:rFonts w:cs="Arial"/>
              </w:rPr>
              <w:t>10</w:t>
            </w:r>
          </w:p>
        </w:tc>
        <w:tc>
          <w:tcPr>
            <w:tcW w:w="1418" w:type="dxa"/>
            <w:tcBorders>
              <w:top w:val="nil"/>
              <w:left w:val="nil"/>
              <w:bottom w:val="single" w:sz="4" w:space="0" w:color="auto"/>
              <w:right w:val="single" w:sz="4" w:space="0" w:color="auto"/>
            </w:tcBorders>
            <w:shd w:val="clear" w:color="auto" w:fill="auto"/>
            <w:noWrap/>
            <w:vAlign w:val="center"/>
            <w:hideMark/>
          </w:tcPr>
          <w:p w14:paraId="554292BD"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$70.35</w:t>
            </w:r>
          </w:p>
        </w:tc>
      </w:tr>
      <w:tr w:rsidR="003F1519" w:rsidRPr="009B3AAF" w14:paraId="55FF32E1" w14:textId="77777777" w:rsidTr="00F92475">
        <w:trPr>
          <w:trHeight w:val="701"/>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DADFB84" w14:textId="6A14E856"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Goods, Equipment and Assistive Technology</w:t>
            </w:r>
            <w:r w:rsidR="00F92475">
              <w:rPr>
                <w:rFonts w:cs="Arial"/>
                <w:color w:val="000000"/>
                <w:szCs w:val="22"/>
                <w:lang w:eastAsia="en-AU"/>
              </w:rPr>
              <w:t xml:space="preserve"> (dollars)</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noWrap/>
            <w:vAlign w:val="center"/>
          </w:tcPr>
          <w:p w14:paraId="3696B239" w14:textId="09C92480"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NA</w:t>
            </w:r>
          </w:p>
        </w:tc>
        <w:tc>
          <w:tcPr>
            <w:tcW w:w="1418" w:type="dxa"/>
            <w:tcBorders>
              <w:top w:val="single" w:sz="4" w:space="0" w:color="auto"/>
              <w:left w:val="nil"/>
              <w:bottom w:val="single" w:sz="4" w:space="0" w:color="auto"/>
              <w:right w:val="single" w:sz="4" w:space="0" w:color="auto"/>
            </w:tcBorders>
            <w:shd w:val="clear" w:color="000000" w:fill="D9D9D9" w:themeFill="background1" w:themeFillShade="D9"/>
            <w:noWrap/>
            <w:vAlign w:val="center"/>
          </w:tcPr>
          <w:p w14:paraId="4E40022F" w14:textId="0489F4A2"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NA</w:t>
            </w:r>
          </w:p>
        </w:tc>
        <w:tc>
          <w:tcPr>
            <w:tcW w:w="1417" w:type="dxa"/>
            <w:tcBorders>
              <w:top w:val="single" w:sz="4" w:space="0" w:color="auto"/>
              <w:left w:val="nil"/>
              <w:bottom w:val="single" w:sz="4" w:space="0" w:color="auto"/>
              <w:right w:val="single" w:sz="4" w:space="0" w:color="auto"/>
            </w:tcBorders>
            <w:shd w:val="clear" w:color="000000" w:fill="D9D9D9" w:themeFill="background1" w:themeFillShade="D9"/>
            <w:noWrap/>
            <w:vAlign w:val="center"/>
          </w:tcPr>
          <w:p w14:paraId="08A097E0" w14:textId="00E54DCA" w:rsidR="009B3AAF" w:rsidRPr="0015553E" w:rsidRDefault="009B3AAF">
            <w:pPr>
              <w:spacing w:before="0" w:after="0" w:line="240" w:lineRule="auto"/>
              <w:ind w:firstLineChars="100" w:firstLine="220"/>
              <w:jc w:val="right"/>
              <w:rPr>
                <w:rFonts w:cs="Arial"/>
                <w:color w:val="000000"/>
                <w:szCs w:val="22"/>
                <w:lang w:eastAsia="en-AU"/>
              </w:rPr>
            </w:pPr>
            <w:r w:rsidRPr="00454FB8">
              <w:rPr>
                <w:rFonts w:cs="Arial"/>
                <w:color w:val="000000"/>
                <w:szCs w:val="22"/>
                <w:lang w:eastAsia="en-AU"/>
              </w:rPr>
              <w:t>NA</w:t>
            </w:r>
          </w:p>
        </w:tc>
        <w:tc>
          <w:tcPr>
            <w:tcW w:w="1418"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13EF14D7" w14:textId="6752CE21"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NA</w:t>
            </w:r>
          </w:p>
        </w:tc>
      </w:tr>
      <w:tr w:rsidR="003F1519" w:rsidRPr="009B3AAF" w14:paraId="0461C499"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A4FB31C" w14:textId="77777777"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Home Maintenance</w:t>
            </w:r>
          </w:p>
        </w:tc>
        <w:tc>
          <w:tcPr>
            <w:tcW w:w="1276" w:type="dxa"/>
            <w:tcBorders>
              <w:top w:val="nil"/>
              <w:left w:val="nil"/>
              <w:bottom w:val="single" w:sz="4" w:space="0" w:color="auto"/>
              <w:right w:val="single" w:sz="4" w:space="0" w:color="auto"/>
            </w:tcBorders>
            <w:shd w:val="clear" w:color="auto" w:fill="auto"/>
            <w:noWrap/>
            <w:vAlign w:val="center"/>
            <w:hideMark/>
          </w:tcPr>
          <w:p w14:paraId="1E971D0E"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$53.00</w:t>
            </w:r>
          </w:p>
        </w:tc>
        <w:tc>
          <w:tcPr>
            <w:tcW w:w="1418" w:type="dxa"/>
            <w:tcBorders>
              <w:top w:val="nil"/>
              <w:left w:val="nil"/>
              <w:bottom w:val="single" w:sz="4" w:space="0" w:color="auto"/>
              <w:right w:val="single" w:sz="4" w:space="0" w:color="auto"/>
            </w:tcBorders>
            <w:shd w:val="clear" w:color="auto" w:fill="auto"/>
            <w:noWrap/>
            <w:vAlign w:val="center"/>
            <w:hideMark/>
          </w:tcPr>
          <w:p w14:paraId="26425A6F"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$75.00</w:t>
            </w:r>
          </w:p>
        </w:tc>
        <w:tc>
          <w:tcPr>
            <w:tcW w:w="1417" w:type="dxa"/>
            <w:tcBorders>
              <w:top w:val="nil"/>
              <w:left w:val="nil"/>
              <w:bottom w:val="single" w:sz="4" w:space="0" w:color="auto"/>
              <w:right w:val="single" w:sz="4" w:space="0" w:color="auto"/>
            </w:tcBorders>
            <w:shd w:val="clear" w:color="auto" w:fill="auto"/>
            <w:noWrap/>
            <w:vAlign w:val="center"/>
            <w:hideMark/>
          </w:tcPr>
          <w:p w14:paraId="5A941E94" w14:textId="5455815F"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$5</w:t>
            </w:r>
            <w:r w:rsidR="00984540">
              <w:rPr>
                <w:rFonts w:cs="Arial"/>
              </w:rPr>
              <w:t>8</w:t>
            </w:r>
            <w:r w:rsidRPr="004B5F3D">
              <w:rPr>
                <w:rFonts w:cs="Arial"/>
              </w:rPr>
              <w:t>.</w:t>
            </w:r>
            <w:r w:rsidR="00984540">
              <w:rPr>
                <w:rFonts w:cs="Arial"/>
              </w:rPr>
              <w:t>30</w:t>
            </w:r>
          </w:p>
        </w:tc>
        <w:tc>
          <w:tcPr>
            <w:tcW w:w="1418" w:type="dxa"/>
            <w:tcBorders>
              <w:top w:val="nil"/>
              <w:left w:val="nil"/>
              <w:bottom w:val="single" w:sz="4" w:space="0" w:color="auto"/>
              <w:right w:val="single" w:sz="4" w:space="0" w:color="auto"/>
            </w:tcBorders>
            <w:shd w:val="clear" w:color="auto" w:fill="auto"/>
            <w:noWrap/>
            <w:vAlign w:val="center"/>
            <w:hideMark/>
          </w:tcPr>
          <w:p w14:paraId="7F65EDD3"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$78.75</w:t>
            </w:r>
          </w:p>
        </w:tc>
      </w:tr>
      <w:tr w:rsidR="003F1519" w:rsidRPr="009B3AAF" w14:paraId="0BB4C9CD"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5BFC852" w14:textId="26C426A2"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Home Modifications (dollars)</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1974C81C" w14:textId="1B8D9BFB"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$1.00</w:t>
            </w:r>
          </w:p>
        </w:tc>
        <w:tc>
          <w:tcPr>
            <w:tcW w:w="1418"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302D973D" w14:textId="06A231C5"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$1.00</w:t>
            </w:r>
          </w:p>
        </w:tc>
        <w:tc>
          <w:tcPr>
            <w:tcW w:w="1417"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600FDA6C" w14:textId="1299D295"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$1.0</w:t>
            </w:r>
            <w:r w:rsidR="00984540">
              <w:rPr>
                <w:rFonts w:cs="Arial"/>
              </w:rPr>
              <w:t>0</w:t>
            </w:r>
          </w:p>
        </w:tc>
        <w:tc>
          <w:tcPr>
            <w:tcW w:w="1418"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5B3B4437" w14:textId="23F556ED"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$1.00</w:t>
            </w:r>
          </w:p>
        </w:tc>
      </w:tr>
      <w:tr w:rsidR="003F1519" w:rsidRPr="009B3AAF" w14:paraId="76FF4B94"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1AE6C74" w14:textId="66EC8EE1"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Meals (meals)</w:t>
            </w:r>
          </w:p>
        </w:tc>
        <w:tc>
          <w:tcPr>
            <w:tcW w:w="1276" w:type="dxa"/>
            <w:tcBorders>
              <w:top w:val="nil"/>
              <w:left w:val="nil"/>
              <w:bottom w:val="single" w:sz="4" w:space="0" w:color="auto"/>
              <w:right w:val="single" w:sz="4" w:space="0" w:color="auto"/>
            </w:tcBorders>
            <w:shd w:val="clear" w:color="auto" w:fill="auto"/>
            <w:noWrap/>
            <w:vAlign w:val="center"/>
            <w:hideMark/>
          </w:tcPr>
          <w:p w14:paraId="0B8373B6"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$7.50</w:t>
            </w:r>
          </w:p>
        </w:tc>
        <w:tc>
          <w:tcPr>
            <w:tcW w:w="1418" w:type="dxa"/>
            <w:tcBorders>
              <w:top w:val="nil"/>
              <w:left w:val="nil"/>
              <w:bottom w:val="single" w:sz="4" w:space="0" w:color="auto"/>
              <w:right w:val="single" w:sz="4" w:space="0" w:color="auto"/>
            </w:tcBorders>
            <w:shd w:val="clear" w:color="auto" w:fill="auto"/>
            <w:noWrap/>
            <w:vAlign w:val="center"/>
            <w:hideMark/>
          </w:tcPr>
          <w:p w14:paraId="4CFAD13A"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$13.00</w:t>
            </w:r>
          </w:p>
        </w:tc>
        <w:tc>
          <w:tcPr>
            <w:tcW w:w="1417" w:type="dxa"/>
            <w:tcBorders>
              <w:top w:val="nil"/>
              <w:left w:val="nil"/>
              <w:bottom w:val="single" w:sz="4" w:space="0" w:color="auto"/>
              <w:right w:val="single" w:sz="4" w:space="0" w:color="auto"/>
            </w:tcBorders>
            <w:shd w:val="clear" w:color="auto" w:fill="auto"/>
            <w:noWrap/>
            <w:vAlign w:val="center"/>
            <w:hideMark/>
          </w:tcPr>
          <w:p w14:paraId="4D397C2E" w14:textId="034172C7"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w:t>
            </w:r>
            <w:r w:rsidR="00984540">
              <w:rPr>
                <w:rFonts w:cs="Arial"/>
              </w:rPr>
              <w:t>8.25</w:t>
            </w:r>
          </w:p>
        </w:tc>
        <w:tc>
          <w:tcPr>
            <w:tcW w:w="1418" w:type="dxa"/>
            <w:tcBorders>
              <w:top w:val="nil"/>
              <w:left w:val="nil"/>
              <w:bottom w:val="single" w:sz="4" w:space="0" w:color="auto"/>
              <w:right w:val="single" w:sz="4" w:space="0" w:color="auto"/>
            </w:tcBorders>
            <w:shd w:val="clear" w:color="auto" w:fill="auto"/>
            <w:noWrap/>
            <w:vAlign w:val="center"/>
            <w:hideMark/>
          </w:tcPr>
          <w:p w14:paraId="315DCFF2"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$13.65</w:t>
            </w:r>
          </w:p>
        </w:tc>
      </w:tr>
      <w:tr w:rsidR="003F1519" w:rsidRPr="009B3AAF" w14:paraId="56ACC7CE"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B0376B6" w14:textId="77777777"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Nursing</w:t>
            </w:r>
          </w:p>
        </w:tc>
        <w:tc>
          <w:tcPr>
            <w:tcW w:w="1276" w:type="dxa"/>
            <w:tcBorders>
              <w:top w:val="nil"/>
              <w:left w:val="nil"/>
              <w:bottom w:val="single" w:sz="4" w:space="0" w:color="auto"/>
              <w:right w:val="single" w:sz="4" w:space="0" w:color="auto"/>
            </w:tcBorders>
            <w:shd w:val="clear" w:color="auto" w:fill="auto"/>
            <w:noWrap/>
            <w:vAlign w:val="center"/>
            <w:hideMark/>
          </w:tcPr>
          <w:p w14:paraId="0EEDE708"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$104.00</w:t>
            </w:r>
          </w:p>
        </w:tc>
        <w:tc>
          <w:tcPr>
            <w:tcW w:w="1418" w:type="dxa"/>
            <w:tcBorders>
              <w:top w:val="nil"/>
              <w:left w:val="nil"/>
              <w:bottom w:val="single" w:sz="4" w:space="0" w:color="auto"/>
              <w:right w:val="single" w:sz="4" w:space="0" w:color="auto"/>
            </w:tcBorders>
            <w:shd w:val="clear" w:color="auto" w:fill="auto"/>
            <w:noWrap/>
            <w:vAlign w:val="center"/>
            <w:hideMark/>
          </w:tcPr>
          <w:p w14:paraId="57C4D940"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$129.00</w:t>
            </w:r>
          </w:p>
        </w:tc>
        <w:tc>
          <w:tcPr>
            <w:tcW w:w="1417" w:type="dxa"/>
            <w:tcBorders>
              <w:top w:val="nil"/>
              <w:left w:val="nil"/>
              <w:bottom w:val="single" w:sz="4" w:space="0" w:color="auto"/>
              <w:right w:val="single" w:sz="4" w:space="0" w:color="auto"/>
            </w:tcBorders>
            <w:shd w:val="clear" w:color="auto" w:fill="auto"/>
            <w:noWrap/>
            <w:vAlign w:val="center"/>
            <w:hideMark/>
          </w:tcPr>
          <w:p w14:paraId="35CF40B2" w14:textId="35EFF55D"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w:t>
            </w:r>
            <w:r w:rsidR="00984540">
              <w:rPr>
                <w:rFonts w:cs="Arial"/>
              </w:rPr>
              <w:t>114.40</w:t>
            </w:r>
          </w:p>
        </w:tc>
        <w:tc>
          <w:tcPr>
            <w:tcW w:w="1418" w:type="dxa"/>
            <w:tcBorders>
              <w:top w:val="nil"/>
              <w:left w:val="nil"/>
              <w:bottom w:val="single" w:sz="4" w:space="0" w:color="auto"/>
              <w:right w:val="single" w:sz="4" w:space="0" w:color="auto"/>
            </w:tcBorders>
            <w:shd w:val="clear" w:color="auto" w:fill="auto"/>
            <w:noWrap/>
            <w:vAlign w:val="center"/>
            <w:hideMark/>
          </w:tcPr>
          <w:p w14:paraId="6AF1BB56"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$135.45</w:t>
            </w:r>
          </w:p>
        </w:tc>
      </w:tr>
      <w:tr w:rsidR="003F1519" w:rsidRPr="009B3AAF" w14:paraId="3DD3A22B"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D7A0387" w14:textId="77777777"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Other Food Services</w:t>
            </w:r>
          </w:p>
        </w:tc>
        <w:tc>
          <w:tcPr>
            <w:tcW w:w="1276" w:type="dxa"/>
            <w:tcBorders>
              <w:top w:val="nil"/>
              <w:left w:val="nil"/>
              <w:bottom w:val="single" w:sz="4" w:space="0" w:color="auto"/>
              <w:right w:val="single" w:sz="4" w:space="0" w:color="auto"/>
            </w:tcBorders>
            <w:shd w:val="clear" w:color="auto" w:fill="auto"/>
            <w:noWrap/>
            <w:vAlign w:val="center"/>
            <w:hideMark/>
          </w:tcPr>
          <w:p w14:paraId="0CE615C8"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$25.00</w:t>
            </w:r>
          </w:p>
        </w:tc>
        <w:tc>
          <w:tcPr>
            <w:tcW w:w="1418" w:type="dxa"/>
            <w:tcBorders>
              <w:top w:val="nil"/>
              <w:left w:val="nil"/>
              <w:bottom w:val="single" w:sz="4" w:space="0" w:color="auto"/>
              <w:right w:val="single" w:sz="4" w:space="0" w:color="auto"/>
            </w:tcBorders>
            <w:shd w:val="clear" w:color="auto" w:fill="auto"/>
            <w:noWrap/>
            <w:vAlign w:val="center"/>
            <w:hideMark/>
          </w:tcPr>
          <w:p w14:paraId="71DE54EC"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$41.00</w:t>
            </w:r>
          </w:p>
        </w:tc>
        <w:tc>
          <w:tcPr>
            <w:tcW w:w="1417" w:type="dxa"/>
            <w:tcBorders>
              <w:top w:val="nil"/>
              <w:left w:val="nil"/>
              <w:bottom w:val="single" w:sz="4" w:space="0" w:color="auto"/>
              <w:right w:val="single" w:sz="4" w:space="0" w:color="auto"/>
            </w:tcBorders>
            <w:shd w:val="clear" w:color="auto" w:fill="auto"/>
            <w:noWrap/>
            <w:vAlign w:val="center"/>
            <w:hideMark/>
          </w:tcPr>
          <w:p w14:paraId="796CD592" w14:textId="38FE1FD6"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$2</w:t>
            </w:r>
            <w:r w:rsidR="00984540">
              <w:rPr>
                <w:rFonts w:cs="Arial"/>
              </w:rPr>
              <w:t>7.50</w:t>
            </w:r>
          </w:p>
        </w:tc>
        <w:tc>
          <w:tcPr>
            <w:tcW w:w="1418" w:type="dxa"/>
            <w:tcBorders>
              <w:top w:val="nil"/>
              <w:left w:val="nil"/>
              <w:bottom w:val="single" w:sz="4" w:space="0" w:color="auto"/>
              <w:right w:val="single" w:sz="4" w:space="0" w:color="auto"/>
            </w:tcBorders>
            <w:shd w:val="clear" w:color="auto" w:fill="auto"/>
            <w:noWrap/>
            <w:vAlign w:val="center"/>
            <w:hideMark/>
          </w:tcPr>
          <w:p w14:paraId="5F4A3B59"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$43.05</w:t>
            </w:r>
          </w:p>
        </w:tc>
      </w:tr>
      <w:tr w:rsidR="003F1519" w:rsidRPr="009B3AAF" w14:paraId="157E13D1" w14:textId="77777777" w:rsidTr="00F92475">
        <w:trPr>
          <w:trHeight w:val="631"/>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B01277B" w14:textId="77777777"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Sector Support and Development</w:t>
            </w:r>
          </w:p>
        </w:tc>
        <w:tc>
          <w:tcPr>
            <w:tcW w:w="1276" w:type="dxa"/>
            <w:tcBorders>
              <w:top w:val="single" w:sz="4" w:space="0" w:color="auto"/>
              <w:left w:val="nil"/>
              <w:bottom w:val="single" w:sz="4" w:space="0" w:color="auto"/>
              <w:right w:val="single" w:sz="4" w:space="0" w:color="auto"/>
            </w:tcBorders>
            <w:shd w:val="clear" w:color="000000" w:fill="D9D9D9" w:themeFill="background1" w:themeFillShade="D9"/>
            <w:noWrap/>
            <w:vAlign w:val="center"/>
          </w:tcPr>
          <w:p w14:paraId="76548E0B" w14:textId="784D579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NA</w:t>
            </w:r>
          </w:p>
        </w:tc>
        <w:tc>
          <w:tcPr>
            <w:tcW w:w="1418" w:type="dxa"/>
            <w:tcBorders>
              <w:top w:val="single" w:sz="4" w:space="0" w:color="auto"/>
              <w:left w:val="nil"/>
              <w:bottom w:val="single" w:sz="4" w:space="0" w:color="auto"/>
              <w:right w:val="single" w:sz="4" w:space="0" w:color="auto"/>
            </w:tcBorders>
            <w:shd w:val="clear" w:color="000000" w:fill="D9D9D9" w:themeFill="background1" w:themeFillShade="D9"/>
            <w:noWrap/>
            <w:vAlign w:val="center"/>
          </w:tcPr>
          <w:p w14:paraId="24DA3FA6" w14:textId="4A2644D3"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NA</w:t>
            </w:r>
          </w:p>
        </w:tc>
        <w:tc>
          <w:tcPr>
            <w:tcW w:w="1417" w:type="dxa"/>
            <w:tcBorders>
              <w:top w:val="single" w:sz="4" w:space="0" w:color="auto"/>
              <w:left w:val="nil"/>
              <w:bottom w:val="single" w:sz="4" w:space="0" w:color="auto"/>
              <w:right w:val="single" w:sz="4" w:space="0" w:color="auto"/>
            </w:tcBorders>
            <w:shd w:val="clear" w:color="000000" w:fill="D9D9D9" w:themeFill="background1" w:themeFillShade="D9"/>
            <w:noWrap/>
            <w:vAlign w:val="center"/>
          </w:tcPr>
          <w:p w14:paraId="63C87C53" w14:textId="24130C8B" w:rsidR="009B3AAF" w:rsidRPr="0015553E" w:rsidRDefault="009B3AAF">
            <w:pPr>
              <w:spacing w:before="0" w:after="0" w:line="240" w:lineRule="auto"/>
              <w:ind w:firstLineChars="100" w:firstLine="220"/>
              <w:jc w:val="right"/>
              <w:rPr>
                <w:rFonts w:cs="Arial"/>
                <w:color w:val="000000"/>
                <w:szCs w:val="22"/>
                <w:lang w:eastAsia="en-AU"/>
              </w:rPr>
            </w:pPr>
            <w:r w:rsidRPr="00454FB8">
              <w:rPr>
                <w:rFonts w:cs="Arial"/>
                <w:color w:val="000000"/>
                <w:szCs w:val="22"/>
                <w:lang w:eastAsia="en-AU"/>
              </w:rPr>
              <w:t>NA</w:t>
            </w:r>
          </w:p>
        </w:tc>
        <w:tc>
          <w:tcPr>
            <w:tcW w:w="1418" w:type="dxa"/>
            <w:tcBorders>
              <w:top w:val="single" w:sz="4" w:space="0" w:color="auto"/>
              <w:left w:val="nil"/>
              <w:bottom w:val="single" w:sz="4" w:space="0" w:color="auto"/>
              <w:right w:val="single" w:sz="4" w:space="0" w:color="auto"/>
            </w:tcBorders>
            <w:shd w:val="clear" w:color="000000" w:fill="D9D9D9" w:themeFill="background1" w:themeFillShade="D9"/>
            <w:noWrap/>
            <w:vAlign w:val="center"/>
          </w:tcPr>
          <w:p w14:paraId="1D565EC3" w14:textId="5E15C79E"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NA</w:t>
            </w:r>
          </w:p>
        </w:tc>
      </w:tr>
      <w:tr w:rsidR="003F1519" w:rsidRPr="009B3AAF" w14:paraId="61B8A565"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0CAFC83" w14:textId="77777777"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Social Support - Group</w:t>
            </w:r>
          </w:p>
        </w:tc>
        <w:tc>
          <w:tcPr>
            <w:tcW w:w="1276" w:type="dxa"/>
            <w:tcBorders>
              <w:top w:val="nil"/>
              <w:left w:val="nil"/>
              <w:bottom w:val="single" w:sz="4" w:space="0" w:color="auto"/>
              <w:right w:val="single" w:sz="4" w:space="0" w:color="auto"/>
            </w:tcBorders>
            <w:shd w:val="clear" w:color="auto" w:fill="auto"/>
            <w:noWrap/>
            <w:vAlign w:val="center"/>
            <w:hideMark/>
          </w:tcPr>
          <w:p w14:paraId="26460149"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$17.00</w:t>
            </w:r>
          </w:p>
        </w:tc>
        <w:tc>
          <w:tcPr>
            <w:tcW w:w="1418" w:type="dxa"/>
            <w:tcBorders>
              <w:top w:val="nil"/>
              <w:left w:val="nil"/>
              <w:bottom w:val="single" w:sz="4" w:space="0" w:color="auto"/>
              <w:right w:val="single" w:sz="4" w:space="0" w:color="auto"/>
            </w:tcBorders>
            <w:shd w:val="clear" w:color="auto" w:fill="auto"/>
            <w:noWrap/>
            <w:vAlign w:val="center"/>
            <w:hideMark/>
          </w:tcPr>
          <w:p w14:paraId="66AC233C"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$27.00</w:t>
            </w:r>
          </w:p>
        </w:tc>
        <w:tc>
          <w:tcPr>
            <w:tcW w:w="1417" w:type="dxa"/>
            <w:tcBorders>
              <w:top w:val="nil"/>
              <w:left w:val="nil"/>
              <w:bottom w:val="single" w:sz="4" w:space="0" w:color="auto"/>
              <w:right w:val="single" w:sz="4" w:space="0" w:color="auto"/>
            </w:tcBorders>
            <w:shd w:val="clear" w:color="auto" w:fill="auto"/>
            <w:noWrap/>
            <w:vAlign w:val="center"/>
            <w:hideMark/>
          </w:tcPr>
          <w:p w14:paraId="74D0AD34" w14:textId="49068470"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$1</w:t>
            </w:r>
            <w:r w:rsidR="00984540">
              <w:rPr>
                <w:rFonts w:cs="Arial"/>
              </w:rPr>
              <w:t>8.70</w:t>
            </w:r>
          </w:p>
        </w:tc>
        <w:tc>
          <w:tcPr>
            <w:tcW w:w="1418" w:type="dxa"/>
            <w:tcBorders>
              <w:top w:val="nil"/>
              <w:left w:val="nil"/>
              <w:bottom w:val="single" w:sz="4" w:space="0" w:color="auto"/>
              <w:right w:val="single" w:sz="4" w:space="0" w:color="auto"/>
            </w:tcBorders>
            <w:shd w:val="clear" w:color="auto" w:fill="auto"/>
            <w:noWrap/>
            <w:vAlign w:val="center"/>
            <w:hideMark/>
          </w:tcPr>
          <w:p w14:paraId="0491A020"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$28.35</w:t>
            </w:r>
          </w:p>
        </w:tc>
      </w:tr>
      <w:tr w:rsidR="003F1519" w:rsidRPr="009B3AAF" w14:paraId="7B70BEC1"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3ADEF42" w14:textId="77777777"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Social Support - Individual</w:t>
            </w:r>
          </w:p>
        </w:tc>
        <w:tc>
          <w:tcPr>
            <w:tcW w:w="1276" w:type="dxa"/>
            <w:tcBorders>
              <w:top w:val="nil"/>
              <w:left w:val="nil"/>
              <w:bottom w:val="single" w:sz="4" w:space="0" w:color="auto"/>
              <w:right w:val="single" w:sz="4" w:space="0" w:color="auto"/>
            </w:tcBorders>
            <w:shd w:val="clear" w:color="auto" w:fill="auto"/>
            <w:noWrap/>
            <w:vAlign w:val="center"/>
            <w:hideMark/>
          </w:tcPr>
          <w:p w14:paraId="42C0691B"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$39.00</w:t>
            </w:r>
          </w:p>
        </w:tc>
        <w:tc>
          <w:tcPr>
            <w:tcW w:w="1418" w:type="dxa"/>
            <w:tcBorders>
              <w:top w:val="nil"/>
              <w:left w:val="nil"/>
              <w:bottom w:val="single" w:sz="4" w:space="0" w:color="auto"/>
              <w:right w:val="single" w:sz="4" w:space="0" w:color="auto"/>
            </w:tcBorders>
            <w:shd w:val="clear" w:color="auto" w:fill="auto"/>
            <w:noWrap/>
            <w:vAlign w:val="center"/>
            <w:hideMark/>
          </w:tcPr>
          <w:p w14:paraId="6A8CF823"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$60.00</w:t>
            </w:r>
          </w:p>
        </w:tc>
        <w:tc>
          <w:tcPr>
            <w:tcW w:w="1417" w:type="dxa"/>
            <w:tcBorders>
              <w:top w:val="nil"/>
              <w:left w:val="nil"/>
              <w:bottom w:val="single" w:sz="4" w:space="0" w:color="auto"/>
              <w:right w:val="single" w:sz="4" w:space="0" w:color="auto"/>
            </w:tcBorders>
            <w:shd w:val="clear" w:color="auto" w:fill="auto"/>
            <w:noWrap/>
            <w:vAlign w:val="center"/>
            <w:hideMark/>
          </w:tcPr>
          <w:p w14:paraId="3D1853EC" w14:textId="7B5D57E7"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$4</w:t>
            </w:r>
            <w:r w:rsidR="00984540">
              <w:rPr>
                <w:rFonts w:cs="Arial"/>
              </w:rPr>
              <w:t>2.90</w:t>
            </w:r>
          </w:p>
        </w:tc>
        <w:tc>
          <w:tcPr>
            <w:tcW w:w="1418" w:type="dxa"/>
            <w:tcBorders>
              <w:top w:val="nil"/>
              <w:left w:val="nil"/>
              <w:bottom w:val="single" w:sz="4" w:space="0" w:color="auto"/>
              <w:right w:val="single" w:sz="4" w:space="0" w:color="auto"/>
            </w:tcBorders>
            <w:shd w:val="clear" w:color="auto" w:fill="auto"/>
            <w:noWrap/>
            <w:vAlign w:val="center"/>
            <w:hideMark/>
          </w:tcPr>
          <w:p w14:paraId="69584C37"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$63.00</w:t>
            </w:r>
          </w:p>
        </w:tc>
      </w:tr>
      <w:tr w:rsidR="003F1519" w:rsidRPr="009B3AAF" w14:paraId="41DECE4E" w14:textId="77777777" w:rsidTr="003F1519">
        <w:trPr>
          <w:trHeight w:val="45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F52FE15" w14:textId="77777777" w:rsidR="009B3AAF" w:rsidRPr="0015553E" w:rsidRDefault="009B3AAF" w:rsidP="009B3AAF">
            <w:pPr>
              <w:spacing w:before="0" w:after="0" w:line="240" w:lineRule="auto"/>
              <w:rPr>
                <w:rFonts w:cs="Arial"/>
                <w:color w:val="000000"/>
                <w:szCs w:val="22"/>
                <w:lang w:eastAsia="en-AU"/>
              </w:rPr>
            </w:pPr>
            <w:r w:rsidRPr="0015553E">
              <w:rPr>
                <w:rFonts w:cs="Arial"/>
                <w:color w:val="000000"/>
                <w:szCs w:val="22"/>
                <w:lang w:eastAsia="en-AU"/>
              </w:rPr>
              <w:t>Specialised Support Services</w:t>
            </w:r>
          </w:p>
        </w:tc>
        <w:tc>
          <w:tcPr>
            <w:tcW w:w="1276" w:type="dxa"/>
            <w:tcBorders>
              <w:top w:val="nil"/>
              <w:left w:val="nil"/>
              <w:bottom w:val="single" w:sz="4" w:space="0" w:color="auto"/>
              <w:right w:val="single" w:sz="4" w:space="0" w:color="auto"/>
            </w:tcBorders>
            <w:shd w:val="clear" w:color="auto" w:fill="auto"/>
            <w:noWrap/>
            <w:vAlign w:val="center"/>
            <w:hideMark/>
          </w:tcPr>
          <w:p w14:paraId="1DEA2ACC"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$76.00</w:t>
            </w:r>
          </w:p>
        </w:tc>
        <w:tc>
          <w:tcPr>
            <w:tcW w:w="1418" w:type="dxa"/>
            <w:tcBorders>
              <w:top w:val="nil"/>
              <w:left w:val="nil"/>
              <w:bottom w:val="single" w:sz="4" w:space="0" w:color="auto"/>
              <w:right w:val="single" w:sz="4" w:space="0" w:color="auto"/>
            </w:tcBorders>
            <w:shd w:val="clear" w:color="auto" w:fill="auto"/>
            <w:noWrap/>
            <w:vAlign w:val="center"/>
            <w:hideMark/>
          </w:tcPr>
          <w:p w14:paraId="3B788C4E"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$118.00</w:t>
            </w:r>
          </w:p>
        </w:tc>
        <w:tc>
          <w:tcPr>
            <w:tcW w:w="1417" w:type="dxa"/>
            <w:tcBorders>
              <w:top w:val="nil"/>
              <w:left w:val="nil"/>
              <w:bottom w:val="single" w:sz="4" w:space="0" w:color="auto"/>
              <w:right w:val="single" w:sz="4" w:space="0" w:color="auto"/>
            </w:tcBorders>
            <w:shd w:val="clear" w:color="auto" w:fill="auto"/>
            <w:noWrap/>
            <w:vAlign w:val="center"/>
            <w:hideMark/>
          </w:tcPr>
          <w:p w14:paraId="1AAB6F05" w14:textId="3B05AFA1" w:rsidR="009B3AAF" w:rsidRPr="0015553E" w:rsidRDefault="009B3AAF">
            <w:pPr>
              <w:spacing w:before="0" w:after="0" w:line="240" w:lineRule="auto"/>
              <w:ind w:firstLineChars="100" w:firstLine="220"/>
              <w:jc w:val="right"/>
              <w:rPr>
                <w:rFonts w:cs="Arial"/>
                <w:color w:val="000000"/>
                <w:szCs w:val="22"/>
                <w:lang w:eastAsia="en-AU"/>
              </w:rPr>
            </w:pPr>
            <w:r w:rsidRPr="00D63BA9">
              <w:rPr>
                <w:rFonts w:cs="Arial"/>
              </w:rPr>
              <w:t>$</w:t>
            </w:r>
            <w:r w:rsidR="00984540">
              <w:rPr>
                <w:rFonts w:cs="Arial"/>
              </w:rPr>
              <w:t>83.60</w:t>
            </w:r>
          </w:p>
        </w:tc>
        <w:tc>
          <w:tcPr>
            <w:tcW w:w="1418" w:type="dxa"/>
            <w:tcBorders>
              <w:top w:val="nil"/>
              <w:left w:val="nil"/>
              <w:bottom w:val="single" w:sz="4" w:space="0" w:color="auto"/>
              <w:right w:val="single" w:sz="4" w:space="0" w:color="auto"/>
            </w:tcBorders>
            <w:shd w:val="clear" w:color="auto" w:fill="auto"/>
            <w:noWrap/>
            <w:vAlign w:val="center"/>
            <w:hideMark/>
          </w:tcPr>
          <w:p w14:paraId="3DCECEC2" w14:textId="77777777" w:rsidR="009B3AAF" w:rsidRPr="0015553E" w:rsidRDefault="009B3AAF" w:rsidP="009B3AAF">
            <w:pPr>
              <w:spacing w:before="0" w:after="0" w:line="240" w:lineRule="auto"/>
              <w:ind w:firstLineChars="100" w:firstLine="220"/>
              <w:jc w:val="right"/>
              <w:rPr>
                <w:rFonts w:cs="Arial"/>
                <w:color w:val="000000"/>
                <w:szCs w:val="22"/>
                <w:lang w:eastAsia="en-AU"/>
              </w:rPr>
            </w:pPr>
            <w:r w:rsidRPr="0015553E">
              <w:rPr>
                <w:rFonts w:cs="Arial"/>
                <w:color w:val="000000"/>
                <w:szCs w:val="22"/>
                <w:lang w:eastAsia="en-AU"/>
              </w:rPr>
              <w:t>$123.90</w:t>
            </w:r>
          </w:p>
        </w:tc>
      </w:tr>
    </w:tbl>
    <w:p w14:paraId="2555F256" w14:textId="09E120B2" w:rsidR="003B6D33" w:rsidRPr="009948D0" w:rsidRDefault="0057743E" w:rsidP="003F1519">
      <w:pPr>
        <w:pStyle w:val="Heading2"/>
        <w:spacing w:line="276" w:lineRule="auto"/>
      </w:pPr>
      <w:r>
        <w:t>Loading for remote and very remote areas</w:t>
      </w:r>
    </w:p>
    <w:p w14:paraId="769219E0" w14:textId="3A751FD5" w:rsidR="00117511" w:rsidRDefault="00117511" w:rsidP="00117511">
      <w:pPr>
        <w:rPr>
          <w:rFonts w:cs="Arial"/>
          <w:bCs/>
          <w:szCs w:val="22"/>
        </w:rPr>
      </w:pPr>
      <w:r>
        <w:rPr>
          <w:rFonts w:cs="Arial"/>
          <w:bCs/>
          <w:szCs w:val="22"/>
        </w:rPr>
        <w:t xml:space="preserve">The department </w:t>
      </w:r>
      <w:r>
        <w:t xml:space="preserve">recognises </w:t>
      </w:r>
      <w:r w:rsidR="00F92475">
        <w:t>that the</w:t>
      </w:r>
      <w:r>
        <w:t xml:space="preserve"> </w:t>
      </w:r>
      <w:proofErr w:type="gramStart"/>
      <w:r>
        <w:t>cost of service</w:t>
      </w:r>
      <w:proofErr w:type="gramEnd"/>
      <w:r>
        <w:t xml:space="preserve"> delivery in remote and very remote areas can be higher compared to metropolitan, regional and rural areas.</w:t>
      </w:r>
      <w:r>
        <w:rPr>
          <w:rFonts w:cs="Arial"/>
          <w:bCs/>
          <w:szCs w:val="22"/>
        </w:rPr>
        <w:t xml:space="preserve">  From 1 July 2022, a</w:t>
      </w:r>
      <w:r w:rsidRPr="002073D5">
        <w:rPr>
          <w:rFonts w:cs="Arial"/>
          <w:bCs/>
          <w:szCs w:val="22"/>
        </w:rPr>
        <w:t xml:space="preserve"> loading of up to 40 per cent was made available for providers delivering</w:t>
      </w:r>
      <w:r>
        <w:rPr>
          <w:rFonts w:cs="Arial"/>
          <w:bCs/>
          <w:szCs w:val="22"/>
        </w:rPr>
        <w:t xml:space="preserve"> 50% or more</w:t>
      </w:r>
      <w:r w:rsidRPr="002073D5">
        <w:rPr>
          <w:rFonts w:cs="Arial"/>
          <w:bCs/>
          <w:szCs w:val="22"/>
        </w:rPr>
        <w:t xml:space="preserve"> services in remote and very remote areas</w:t>
      </w:r>
      <w:r>
        <w:rPr>
          <w:rFonts w:cs="Arial"/>
          <w:bCs/>
          <w:szCs w:val="22"/>
        </w:rPr>
        <w:t xml:space="preserve"> (MMM 6 and 7).</w:t>
      </w:r>
    </w:p>
    <w:p w14:paraId="5DF78ADA" w14:textId="77777777" w:rsidR="00117511" w:rsidRDefault="00117511" w:rsidP="00117511">
      <w:pPr>
        <w:rPr>
          <w:rFonts w:cs="Arial"/>
          <w:bCs/>
          <w:szCs w:val="22"/>
        </w:rPr>
      </w:pPr>
      <w:r>
        <w:rPr>
          <w:rFonts w:cs="Arial"/>
          <w:bCs/>
          <w:szCs w:val="22"/>
        </w:rPr>
        <w:t>The department is reviewing all regional and remote loadings going forward as part of the in-home aged care reforms.</w:t>
      </w:r>
    </w:p>
    <w:p w14:paraId="6CBDB285" w14:textId="564AA785" w:rsidR="00142216" w:rsidRPr="00735704" w:rsidRDefault="00142216" w:rsidP="00532291">
      <w:pPr>
        <w:pStyle w:val="Heading2"/>
      </w:pPr>
      <w:r w:rsidRPr="00735704">
        <w:t xml:space="preserve">Historical </w:t>
      </w:r>
      <w:r w:rsidR="00E12C9E">
        <w:t>g</w:t>
      </w:r>
      <w:r w:rsidR="00E12C9E" w:rsidRPr="00735704">
        <w:t xml:space="preserve">rant </w:t>
      </w:r>
      <w:r w:rsidR="00E12C9E">
        <w:t>a</w:t>
      </w:r>
      <w:r w:rsidR="00E12C9E" w:rsidRPr="00735704">
        <w:t xml:space="preserve">greement </w:t>
      </w:r>
      <w:r w:rsidR="00E12C9E">
        <w:t>v</w:t>
      </w:r>
      <w:r w:rsidR="00E12C9E" w:rsidRPr="00735704">
        <w:t>ariations</w:t>
      </w:r>
    </w:p>
    <w:p w14:paraId="741D0AF5" w14:textId="77777777" w:rsidR="00117511" w:rsidRDefault="00117511" w:rsidP="00117511">
      <w:pPr>
        <w:rPr>
          <w:rFonts w:cs="Arial"/>
          <w:bCs/>
          <w:szCs w:val="22"/>
        </w:rPr>
      </w:pPr>
      <w:r>
        <w:rPr>
          <w:rFonts w:cs="Arial"/>
          <w:bCs/>
          <w:szCs w:val="22"/>
        </w:rPr>
        <w:t>Where identified and evidenced, historical contractual errors regarding service types and locations may be corrected as part of extension. If this is managed through the flexibility provisions, then no contractual changes will be required.</w:t>
      </w:r>
    </w:p>
    <w:p w14:paraId="4FBCC66D" w14:textId="0000C400" w:rsidR="00AA5B81" w:rsidRPr="0091629D" w:rsidRDefault="00AA5B81" w:rsidP="00532291">
      <w:pPr>
        <w:pStyle w:val="Heading2"/>
      </w:pPr>
      <w:r w:rsidRPr="00990A1D">
        <w:t>Variation</w:t>
      </w:r>
      <w:r>
        <w:t xml:space="preserve"> </w:t>
      </w:r>
      <w:r w:rsidR="00E12C9E">
        <w:t>process for e</w:t>
      </w:r>
      <w:r>
        <w:t xml:space="preserve">arly </w:t>
      </w:r>
      <w:r w:rsidR="00E12C9E">
        <w:t>payments</w:t>
      </w:r>
    </w:p>
    <w:p w14:paraId="53FD65C5" w14:textId="10C4EC82" w:rsidR="00DB7528" w:rsidRPr="00DB7528" w:rsidRDefault="00117511" w:rsidP="00FD7620">
      <w:pPr>
        <w:rPr>
          <w:rFonts w:cs="Arial"/>
          <w:b/>
          <w:bCs/>
          <w:color w:val="3F4A75"/>
          <w:kern w:val="28"/>
          <w:sz w:val="24"/>
        </w:rPr>
      </w:pPr>
      <w:r>
        <w:t>The department will</w:t>
      </w:r>
      <w:r w:rsidR="00AA5B81">
        <w:t xml:space="preserve"> minimise disruption to monthly payment in arrears arrangements</w:t>
      </w:r>
      <w:r>
        <w:t xml:space="preserve"> during </w:t>
      </w:r>
      <w:r w:rsidR="00FD7620">
        <w:t>variations</w:t>
      </w:r>
      <w:r>
        <w:t xml:space="preserve"> to extend standard grant agreements.  Providers will receive </w:t>
      </w:r>
      <w:r>
        <w:rPr>
          <w:b/>
          <w:bCs/>
        </w:rPr>
        <w:t>two</w:t>
      </w:r>
      <w:r>
        <w:t xml:space="preserve"> full payments at the same time</w:t>
      </w:r>
      <w:r w:rsidRPr="00482232">
        <w:t xml:space="preserve"> </w:t>
      </w:r>
      <w:r>
        <w:t>in the early stages of the process leading to a formal offer of 2023-24 funding.</w:t>
      </w:r>
    </w:p>
    <w:p w14:paraId="6B625A56" w14:textId="0AA76C96" w:rsidR="00FB72D5" w:rsidRPr="0091629D" w:rsidRDefault="00FB72D5" w:rsidP="00532291">
      <w:pPr>
        <w:pStyle w:val="Heading2"/>
      </w:pPr>
      <w:r w:rsidRPr="0091629D">
        <w:lastRenderedPageBreak/>
        <w:t>CHSP compliance activity</w:t>
      </w:r>
    </w:p>
    <w:p w14:paraId="59E06CB7" w14:textId="77777777" w:rsidR="00117511" w:rsidRDefault="00117511" w:rsidP="00117511">
      <w:pPr>
        <w:rPr>
          <w:rFonts w:cs="Arial"/>
          <w:color w:val="313131"/>
          <w:szCs w:val="22"/>
          <w:shd w:val="clear" w:color="auto" w:fill="FFFFFF"/>
        </w:rPr>
      </w:pPr>
      <w:r w:rsidRPr="0064174C">
        <w:rPr>
          <w:rFonts w:cs="Arial"/>
          <w:color w:val="313131"/>
          <w:szCs w:val="22"/>
          <w:shd w:val="clear" w:color="auto" w:fill="FFFFFF"/>
        </w:rPr>
        <w:t xml:space="preserve">The </w:t>
      </w:r>
      <w:r>
        <w:rPr>
          <w:rFonts w:cs="Arial"/>
          <w:color w:val="313131"/>
          <w:szCs w:val="22"/>
          <w:shd w:val="clear" w:color="auto" w:fill="FFFFFF"/>
        </w:rPr>
        <w:t>d</w:t>
      </w:r>
      <w:r w:rsidRPr="0064174C">
        <w:rPr>
          <w:rFonts w:cs="Arial"/>
          <w:color w:val="313131"/>
          <w:szCs w:val="22"/>
          <w:shd w:val="clear" w:color="auto" w:fill="FFFFFF"/>
        </w:rPr>
        <w:t>epartment is undertaking ongoing compliance activit</w:t>
      </w:r>
      <w:r>
        <w:rPr>
          <w:rFonts w:cs="Arial"/>
          <w:color w:val="313131"/>
          <w:szCs w:val="22"/>
          <w:shd w:val="clear" w:color="auto" w:fill="FFFFFF"/>
        </w:rPr>
        <w:t>ies</w:t>
      </w:r>
      <w:r w:rsidRPr="0064174C">
        <w:rPr>
          <w:rFonts w:cs="Arial"/>
          <w:color w:val="313131"/>
          <w:szCs w:val="22"/>
          <w:shd w:val="clear" w:color="auto" w:fill="FFFFFF"/>
        </w:rPr>
        <w:t xml:space="preserve"> and examining service delivery and performance across all CHSP providers. </w:t>
      </w:r>
    </w:p>
    <w:p w14:paraId="11B77EF3" w14:textId="011BB31E" w:rsidR="00117511" w:rsidRDefault="00117511" w:rsidP="00117511">
      <w:pPr>
        <w:rPr>
          <w:rFonts w:cs="Arial"/>
          <w:color w:val="313131"/>
          <w:szCs w:val="22"/>
          <w:shd w:val="clear" w:color="auto" w:fill="FFFFFF"/>
        </w:rPr>
      </w:pPr>
      <w:r w:rsidRPr="0064174C">
        <w:t xml:space="preserve">As part of the move to payment in arrears and monthly performance reporting, </w:t>
      </w:r>
      <w:r>
        <w:t>the department has been withholding payment for deliverables not being met.</w:t>
      </w:r>
      <w:r w:rsidR="00F92475">
        <w:t xml:space="preserve"> </w:t>
      </w:r>
      <w:r>
        <w:t xml:space="preserve"> Since </w:t>
      </w:r>
      <w:r w:rsidR="00FD7620">
        <w:t xml:space="preserve">1 </w:t>
      </w:r>
      <w:r>
        <w:t>July 2022, the CHSP sector has responded with a high compliance rate. Over 97% of CHSP</w:t>
      </w:r>
      <w:r w:rsidRPr="0064174C">
        <w:rPr>
          <w:rFonts w:cs="Arial"/>
          <w:color w:val="313131"/>
          <w:szCs w:val="22"/>
          <w:shd w:val="clear" w:color="auto" w:fill="FFFFFF"/>
        </w:rPr>
        <w:t xml:space="preserve"> p</w:t>
      </w:r>
      <w:r w:rsidRPr="003B6D33">
        <w:rPr>
          <w:rFonts w:cs="Arial"/>
          <w:color w:val="313131"/>
          <w:szCs w:val="22"/>
          <w:shd w:val="clear" w:color="auto" w:fill="FFFFFF"/>
          <w:lang w:eastAsia="en-AU"/>
        </w:rPr>
        <w:t xml:space="preserve">roviders </w:t>
      </w:r>
      <w:r w:rsidRPr="0064174C">
        <w:rPr>
          <w:rFonts w:cs="Arial"/>
          <w:color w:val="313131"/>
          <w:szCs w:val="22"/>
          <w:shd w:val="clear" w:color="auto" w:fill="FFFFFF"/>
        </w:rPr>
        <w:t>have completed their monthly reporting requirements and</w:t>
      </w:r>
      <w:r w:rsidRPr="003B6D33">
        <w:rPr>
          <w:rFonts w:cs="Arial"/>
          <w:color w:val="313131"/>
          <w:szCs w:val="22"/>
          <w:shd w:val="clear" w:color="auto" w:fill="FFFFFF"/>
          <w:lang w:eastAsia="en-AU"/>
        </w:rPr>
        <w:t xml:space="preserve"> </w:t>
      </w:r>
      <w:r w:rsidRPr="0064174C">
        <w:rPr>
          <w:rFonts w:cs="Arial"/>
          <w:color w:val="313131"/>
          <w:szCs w:val="22"/>
          <w:shd w:val="clear" w:color="auto" w:fill="FFFFFF"/>
        </w:rPr>
        <w:t>f</w:t>
      </w:r>
      <w:r w:rsidRPr="003B6D33">
        <w:rPr>
          <w:rFonts w:cs="Arial"/>
          <w:color w:val="313131"/>
          <w:szCs w:val="22"/>
          <w:shd w:val="clear" w:color="auto" w:fill="FFFFFF"/>
          <w:lang w:eastAsia="en-AU"/>
        </w:rPr>
        <w:t xml:space="preserve">inancial </w:t>
      </w:r>
      <w:r w:rsidRPr="0064174C">
        <w:rPr>
          <w:rFonts w:cs="Arial"/>
          <w:color w:val="313131"/>
          <w:szCs w:val="22"/>
          <w:shd w:val="clear" w:color="auto" w:fill="FFFFFF"/>
        </w:rPr>
        <w:t>a</w:t>
      </w:r>
      <w:r w:rsidRPr="003B6D33">
        <w:rPr>
          <w:rFonts w:cs="Arial"/>
          <w:color w:val="313131"/>
          <w:szCs w:val="22"/>
          <w:shd w:val="clear" w:color="auto" w:fill="FFFFFF"/>
          <w:lang w:eastAsia="en-AU"/>
        </w:rPr>
        <w:t>cquittals</w:t>
      </w:r>
      <w:r>
        <w:rPr>
          <w:rFonts w:cs="Arial"/>
          <w:color w:val="313131"/>
          <w:szCs w:val="22"/>
          <w:shd w:val="clear" w:color="auto" w:fill="FFFFFF"/>
          <w:lang w:eastAsia="en-AU"/>
        </w:rPr>
        <w:t xml:space="preserve"> in line with the current funding agreement</w:t>
      </w:r>
      <w:r w:rsidRPr="003B6D33">
        <w:rPr>
          <w:rFonts w:cs="Arial"/>
          <w:color w:val="313131"/>
          <w:szCs w:val="22"/>
          <w:shd w:val="clear" w:color="auto" w:fill="FFFFFF"/>
          <w:lang w:eastAsia="en-AU"/>
        </w:rPr>
        <w:t>.</w:t>
      </w:r>
      <w:r w:rsidRPr="0064174C">
        <w:rPr>
          <w:rFonts w:cs="Arial"/>
          <w:color w:val="313131"/>
          <w:szCs w:val="22"/>
          <w:shd w:val="clear" w:color="auto" w:fill="FFFFFF"/>
        </w:rPr>
        <w:t xml:space="preserve"> </w:t>
      </w:r>
    </w:p>
    <w:p w14:paraId="4BFAF49F" w14:textId="77777777" w:rsidR="00FD7620" w:rsidRDefault="00117511" w:rsidP="00117511">
      <w:pPr>
        <w:pStyle w:val="NormalWeb"/>
        <w:shd w:val="clear" w:color="auto" w:fill="FFFFFF"/>
        <w:spacing w:before="120" w:beforeAutospacing="0" w:after="120" w:afterAutospacing="0"/>
        <w:rPr>
          <w:rFonts w:ascii="Arial" w:hAnsi="Arial" w:cs="Arial"/>
          <w:color w:val="313131"/>
          <w:sz w:val="22"/>
          <w:szCs w:val="22"/>
          <w:shd w:val="clear" w:color="auto" w:fill="FFFFFF"/>
        </w:rPr>
      </w:pPr>
      <w:r w:rsidRPr="0064174C">
        <w:rPr>
          <w:rFonts w:ascii="Arial" w:hAnsi="Arial" w:cs="Arial"/>
          <w:color w:val="313131"/>
          <w:sz w:val="22"/>
          <w:szCs w:val="22"/>
          <w:shd w:val="clear" w:color="auto" w:fill="FFFFFF"/>
        </w:rPr>
        <w:t xml:space="preserve">Where providers </w:t>
      </w:r>
      <w:r w:rsidRPr="003B6D33">
        <w:rPr>
          <w:rFonts w:ascii="Arial" w:hAnsi="Arial" w:cs="Arial"/>
          <w:color w:val="313131"/>
          <w:sz w:val="22"/>
          <w:szCs w:val="22"/>
          <w:shd w:val="clear" w:color="auto" w:fill="FFFFFF"/>
        </w:rPr>
        <w:t xml:space="preserve">have </w:t>
      </w:r>
      <w:r>
        <w:rPr>
          <w:rFonts w:ascii="Arial" w:hAnsi="Arial" w:cs="Arial"/>
          <w:color w:val="313131"/>
          <w:sz w:val="22"/>
          <w:szCs w:val="22"/>
          <w:shd w:val="clear" w:color="auto" w:fill="FFFFFF"/>
        </w:rPr>
        <w:t xml:space="preserve">historical </w:t>
      </w:r>
      <w:r w:rsidRPr="003B6D33">
        <w:rPr>
          <w:rFonts w:ascii="Arial" w:hAnsi="Arial" w:cs="Arial"/>
          <w:color w:val="313131"/>
          <w:sz w:val="22"/>
          <w:szCs w:val="22"/>
          <w:shd w:val="clear" w:color="auto" w:fill="FFFFFF"/>
        </w:rPr>
        <w:t>under</w:t>
      </w:r>
      <w:r>
        <w:rPr>
          <w:rFonts w:ascii="Arial" w:hAnsi="Arial" w:cs="Arial"/>
          <w:color w:val="313131"/>
          <w:sz w:val="22"/>
          <w:szCs w:val="22"/>
          <w:shd w:val="clear" w:color="auto" w:fill="FFFFFF"/>
        </w:rPr>
        <w:t>-</w:t>
      </w:r>
      <w:r w:rsidRPr="003B6D33">
        <w:rPr>
          <w:rFonts w:ascii="Arial" w:hAnsi="Arial" w:cs="Arial"/>
          <w:color w:val="313131"/>
          <w:sz w:val="22"/>
          <w:szCs w:val="22"/>
          <w:shd w:val="clear" w:color="auto" w:fill="FFFFFF"/>
        </w:rPr>
        <w:t>deliver</w:t>
      </w:r>
      <w:r>
        <w:rPr>
          <w:rFonts w:ascii="Arial" w:hAnsi="Arial" w:cs="Arial"/>
          <w:color w:val="313131"/>
          <w:sz w:val="22"/>
          <w:szCs w:val="22"/>
          <w:shd w:val="clear" w:color="auto" w:fill="FFFFFF"/>
        </w:rPr>
        <w:t>y</w:t>
      </w:r>
      <w:r w:rsidRPr="0064174C">
        <w:rPr>
          <w:rFonts w:ascii="Arial" w:hAnsi="Arial" w:cs="Arial"/>
          <w:color w:val="313131"/>
          <w:sz w:val="22"/>
          <w:szCs w:val="22"/>
          <w:shd w:val="clear" w:color="auto" w:fill="FFFFFF"/>
        </w:rPr>
        <w:t>, active monitor</w:t>
      </w:r>
      <w:r>
        <w:rPr>
          <w:rFonts w:ascii="Arial" w:hAnsi="Arial" w:cs="Arial"/>
          <w:color w:val="313131"/>
          <w:sz w:val="22"/>
          <w:szCs w:val="22"/>
          <w:shd w:val="clear" w:color="auto" w:fill="FFFFFF"/>
        </w:rPr>
        <w:t>ing has been occurring including some providers being issued</w:t>
      </w:r>
      <w:r w:rsidRPr="0064174C">
        <w:rPr>
          <w:rFonts w:ascii="Arial" w:hAnsi="Arial" w:cs="Arial"/>
          <w:color w:val="313131"/>
          <w:sz w:val="22"/>
          <w:szCs w:val="22"/>
          <w:shd w:val="clear" w:color="auto" w:fill="FFFFFF"/>
        </w:rPr>
        <w:t xml:space="preserve"> a </w:t>
      </w:r>
      <w:r w:rsidRPr="003B6D33">
        <w:rPr>
          <w:rFonts w:ascii="Arial" w:hAnsi="Arial" w:cs="Arial"/>
          <w:color w:val="313131"/>
          <w:sz w:val="22"/>
          <w:szCs w:val="22"/>
          <w:shd w:val="clear" w:color="auto" w:fill="FFFFFF"/>
        </w:rPr>
        <w:t xml:space="preserve">Quarterly Financial Stocktake </w:t>
      </w:r>
      <w:r>
        <w:rPr>
          <w:rFonts w:ascii="Arial" w:hAnsi="Arial" w:cs="Arial"/>
          <w:color w:val="313131"/>
          <w:sz w:val="22"/>
          <w:szCs w:val="22"/>
          <w:shd w:val="clear" w:color="auto" w:fill="FFFFFF"/>
        </w:rPr>
        <w:t xml:space="preserve">for July to October 2022 </w:t>
      </w:r>
      <w:r w:rsidRPr="0064174C">
        <w:rPr>
          <w:rFonts w:ascii="Arial" w:hAnsi="Arial" w:cs="Arial"/>
          <w:color w:val="313131"/>
          <w:sz w:val="22"/>
          <w:szCs w:val="22"/>
          <w:shd w:val="clear" w:color="auto" w:fill="FFFFFF"/>
        </w:rPr>
        <w:t xml:space="preserve">to </w:t>
      </w:r>
      <w:r w:rsidRPr="003B6D33">
        <w:rPr>
          <w:rFonts w:ascii="Arial" w:hAnsi="Arial" w:cs="Arial"/>
          <w:color w:val="313131"/>
          <w:sz w:val="22"/>
          <w:szCs w:val="22"/>
          <w:shd w:val="clear" w:color="auto" w:fill="FFFFFF"/>
        </w:rPr>
        <w:t>gather in</w:t>
      </w:r>
      <w:r w:rsidRPr="0064174C">
        <w:rPr>
          <w:rFonts w:ascii="Arial" w:hAnsi="Arial" w:cs="Arial"/>
          <w:color w:val="313131"/>
          <w:sz w:val="22"/>
          <w:szCs w:val="22"/>
          <w:shd w:val="clear" w:color="auto" w:fill="FFFFFF"/>
        </w:rPr>
        <w:t>formation</w:t>
      </w:r>
      <w:r w:rsidRPr="003B6D33">
        <w:rPr>
          <w:rFonts w:ascii="Arial" w:hAnsi="Arial" w:cs="Arial"/>
          <w:color w:val="313131"/>
          <w:sz w:val="22"/>
          <w:szCs w:val="22"/>
          <w:shd w:val="clear" w:color="auto" w:fill="FFFFFF"/>
        </w:rPr>
        <w:t xml:space="preserve"> on challenges and barriers </w:t>
      </w:r>
      <w:r>
        <w:rPr>
          <w:rFonts w:ascii="Arial" w:hAnsi="Arial" w:cs="Arial"/>
          <w:color w:val="313131"/>
          <w:sz w:val="22"/>
          <w:szCs w:val="22"/>
          <w:shd w:val="clear" w:color="auto" w:fill="FFFFFF"/>
        </w:rPr>
        <w:t>in</w:t>
      </w:r>
      <w:r w:rsidRPr="003B6D33">
        <w:rPr>
          <w:rFonts w:ascii="Arial" w:hAnsi="Arial" w:cs="Arial"/>
          <w:color w:val="313131"/>
          <w:sz w:val="22"/>
          <w:szCs w:val="22"/>
          <w:shd w:val="clear" w:color="auto" w:fill="FFFFFF"/>
        </w:rPr>
        <w:t xml:space="preserve"> meeting</w:t>
      </w:r>
      <w:r>
        <w:rPr>
          <w:rFonts w:ascii="Arial" w:hAnsi="Arial" w:cs="Arial"/>
          <w:color w:val="313131"/>
          <w:sz w:val="22"/>
          <w:szCs w:val="22"/>
          <w:shd w:val="clear" w:color="auto" w:fill="FFFFFF"/>
        </w:rPr>
        <w:t xml:space="preserve"> current</w:t>
      </w:r>
      <w:r w:rsidRPr="003B6D33">
        <w:rPr>
          <w:rFonts w:ascii="Arial" w:hAnsi="Arial" w:cs="Arial"/>
          <w:color w:val="313131"/>
          <w:sz w:val="22"/>
          <w:szCs w:val="22"/>
          <w:shd w:val="clear" w:color="auto" w:fill="FFFFFF"/>
        </w:rPr>
        <w:t xml:space="preserve"> A</w:t>
      </w:r>
      <w:r w:rsidRPr="0064174C">
        <w:rPr>
          <w:rFonts w:ascii="Arial" w:hAnsi="Arial" w:cs="Arial"/>
          <w:color w:val="313131"/>
          <w:sz w:val="22"/>
          <w:szCs w:val="22"/>
          <w:shd w:val="clear" w:color="auto" w:fill="FFFFFF"/>
        </w:rPr>
        <w:t xml:space="preserve">ctivity </w:t>
      </w:r>
      <w:r w:rsidRPr="003B6D33">
        <w:rPr>
          <w:rFonts w:ascii="Arial" w:hAnsi="Arial" w:cs="Arial"/>
          <w:color w:val="313131"/>
          <w:sz w:val="22"/>
          <w:szCs w:val="22"/>
          <w:shd w:val="clear" w:color="auto" w:fill="FFFFFF"/>
        </w:rPr>
        <w:t>W</w:t>
      </w:r>
      <w:r w:rsidRPr="0064174C">
        <w:rPr>
          <w:rFonts w:ascii="Arial" w:hAnsi="Arial" w:cs="Arial"/>
          <w:color w:val="313131"/>
          <w:sz w:val="22"/>
          <w:szCs w:val="22"/>
          <w:shd w:val="clear" w:color="auto" w:fill="FFFFFF"/>
        </w:rPr>
        <w:t xml:space="preserve">ork </w:t>
      </w:r>
      <w:r w:rsidRPr="003B6D33">
        <w:rPr>
          <w:rFonts w:ascii="Arial" w:hAnsi="Arial" w:cs="Arial"/>
          <w:color w:val="313131"/>
          <w:sz w:val="22"/>
          <w:szCs w:val="22"/>
          <w:shd w:val="clear" w:color="auto" w:fill="FFFFFF"/>
        </w:rPr>
        <w:t>P</w:t>
      </w:r>
      <w:r w:rsidRPr="0064174C">
        <w:rPr>
          <w:rFonts w:ascii="Arial" w:hAnsi="Arial" w:cs="Arial"/>
          <w:color w:val="313131"/>
          <w:sz w:val="22"/>
          <w:szCs w:val="22"/>
          <w:shd w:val="clear" w:color="auto" w:fill="FFFFFF"/>
        </w:rPr>
        <w:t>lan</w:t>
      </w:r>
      <w:r w:rsidRPr="003B6D33">
        <w:rPr>
          <w:rFonts w:ascii="Arial" w:hAnsi="Arial" w:cs="Arial"/>
          <w:color w:val="313131"/>
          <w:sz w:val="22"/>
          <w:szCs w:val="22"/>
          <w:shd w:val="clear" w:color="auto" w:fill="FFFFFF"/>
        </w:rPr>
        <w:t xml:space="preserve"> output requirements</w:t>
      </w:r>
      <w:r w:rsidRPr="0064174C">
        <w:rPr>
          <w:rFonts w:ascii="Arial" w:hAnsi="Arial" w:cs="Arial"/>
          <w:color w:val="313131"/>
          <w:sz w:val="22"/>
          <w:szCs w:val="22"/>
          <w:shd w:val="clear" w:color="auto" w:fill="FFFFFF"/>
        </w:rPr>
        <w:t>.</w:t>
      </w:r>
    </w:p>
    <w:p w14:paraId="7E6C5A6E" w14:textId="7536A23D" w:rsidR="00DB7528" w:rsidRDefault="00117511" w:rsidP="00117511">
      <w:pPr>
        <w:pStyle w:val="NormalWeb"/>
        <w:shd w:val="clear" w:color="auto" w:fill="FFFFFF"/>
        <w:spacing w:before="120" w:beforeAutospacing="0" w:after="120" w:afterAutospacing="0"/>
        <w:rPr>
          <w:rFonts w:ascii="Arial" w:hAnsi="Arial" w:cs="Arial"/>
          <w:color w:val="313131"/>
          <w:sz w:val="22"/>
          <w:szCs w:val="22"/>
          <w:shd w:val="clear" w:color="auto" w:fill="FFFFFF"/>
        </w:rPr>
      </w:pPr>
      <w:r w:rsidRPr="003B6D33">
        <w:rPr>
          <w:rFonts w:ascii="Arial" w:hAnsi="Arial" w:cs="Arial"/>
          <w:color w:val="313131"/>
          <w:sz w:val="22"/>
          <w:szCs w:val="22"/>
          <w:shd w:val="clear" w:color="auto" w:fill="FFFFFF"/>
        </w:rPr>
        <w:t>This information will inform potential reduction of</w:t>
      </w:r>
      <w:r w:rsidRPr="0064174C">
        <w:rPr>
          <w:rFonts w:ascii="Arial" w:hAnsi="Arial" w:cs="Arial"/>
          <w:color w:val="313131"/>
          <w:sz w:val="22"/>
          <w:szCs w:val="22"/>
          <w:shd w:val="clear" w:color="auto" w:fill="FFFFFF"/>
        </w:rPr>
        <w:t xml:space="preserve"> 2023-24</w:t>
      </w:r>
      <w:r w:rsidRPr="003B6D33">
        <w:rPr>
          <w:rFonts w:ascii="Arial" w:hAnsi="Arial" w:cs="Arial"/>
          <w:color w:val="313131"/>
          <w:sz w:val="22"/>
          <w:szCs w:val="22"/>
          <w:shd w:val="clear" w:color="auto" w:fill="FFFFFF"/>
        </w:rPr>
        <w:t xml:space="preserve"> funding</w:t>
      </w:r>
      <w:r>
        <w:rPr>
          <w:rFonts w:ascii="Arial" w:hAnsi="Arial" w:cs="Arial"/>
          <w:color w:val="313131"/>
          <w:sz w:val="22"/>
          <w:szCs w:val="22"/>
          <w:shd w:val="clear" w:color="auto" w:fill="FFFFFF"/>
        </w:rPr>
        <w:t xml:space="preserve"> where significant under delivery against the contracted outputs is not able to be justified</w:t>
      </w:r>
      <w:r w:rsidRPr="0064174C">
        <w:rPr>
          <w:rFonts w:ascii="Arial" w:hAnsi="Arial" w:cs="Arial"/>
          <w:color w:val="313131"/>
          <w:sz w:val="22"/>
          <w:szCs w:val="22"/>
          <w:shd w:val="clear" w:color="auto" w:fill="FFFFFF"/>
        </w:rPr>
        <w:t>.</w:t>
      </w:r>
    </w:p>
    <w:p w14:paraId="48B861FD" w14:textId="7E1C73E8" w:rsidR="0028181E" w:rsidRPr="0091629D" w:rsidRDefault="0028181E" w:rsidP="00532291">
      <w:pPr>
        <w:pStyle w:val="Heading2"/>
      </w:pPr>
      <w:r w:rsidRPr="0091629D">
        <w:t>Specialised Support Services</w:t>
      </w:r>
      <w:r w:rsidR="00115317" w:rsidRPr="0091629D">
        <w:t xml:space="preserve"> r</w:t>
      </w:r>
      <w:r w:rsidRPr="0091629D">
        <w:t>eview</w:t>
      </w:r>
    </w:p>
    <w:p w14:paraId="04139CD1" w14:textId="0C10042A" w:rsidR="009B3AAF" w:rsidRPr="00117511" w:rsidRDefault="00115317" w:rsidP="00117511">
      <w:pPr>
        <w:rPr>
          <w:rFonts w:cs="Arial"/>
        </w:rPr>
      </w:pPr>
      <w:r w:rsidRPr="00117511">
        <w:rPr>
          <w:rFonts w:cs="Arial"/>
          <w:szCs w:val="18"/>
        </w:rPr>
        <w:t xml:space="preserve">Following a series of consultations with </w:t>
      </w:r>
      <w:r w:rsidR="00FC4A5D" w:rsidRPr="00117511">
        <w:rPr>
          <w:rFonts w:cs="Arial"/>
          <w:szCs w:val="18"/>
        </w:rPr>
        <w:t xml:space="preserve">Specialised Support Services (SSS) </w:t>
      </w:r>
      <w:r w:rsidRPr="00117511">
        <w:rPr>
          <w:rFonts w:cs="Arial"/>
          <w:szCs w:val="18"/>
        </w:rPr>
        <w:t>providers</w:t>
      </w:r>
      <w:r w:rsidR="00FC4A5D" w:rsidRPr="00117511">
        <w:rPr>
          <w:rFonts w:cs="Arial"/>
          <w:szCs w:val="18"/>
        </w:rPr>
        <w:t>, including a survey and workshop</w:t>
      </w:r>
      <w:r w:rsidRPr="00117511">
        <w:rPr>
          <w:rFonts w:cs="Arial"/>
          <w:szCs w:val="18"/>
        </w:rPr>
        <w:t xml:space="preserve">, the department </w:t>
      </w:r>
      <w:r w:rsidR="008D66AA" w:rsidRPr="00117511">
        <w:rPr>
          <w:rFonts w:cs="Arial"/>
          <w:szCs w:val="18"/>
        </w:rPr>
        <w:t>is</w:t>
      </w:r>
      <w:r w:rsidRPr="00117511">
        <w:rPr>
          <w:rFonts w:cs="Arial"/>
          <w:szCs w:val="18"/>
        </w:rPr>
        <w:t xml:space="preserve"> refin</w:t>
      </w:r>
      <w:r w:rsidR="008D66AA" w:rsidRPr="00117511">
        <w:rPr>
          <w:rFonts w:cs="Arial"/>
          <w:szCs w:val="18"/>
        </w:rPr>
        <w:t>ing</w:t>
      </w:r>
      <w:r w:rsidRPr="00117511">
        <w:rPr>
          <w:rFonts w:cs="Arial"/>
          <w:szCs w:val="18"/>
        </w:rPr>
        <w:t xml:space="preserve"> the definition of SSS services</w:t>
      </w:r>
      <w:r w:rsidR="00FC4A5D" w:rsidRPr="00117511">
        <w:rPr>
          <w:rFonts w:cs="Arial"/>
          <w:szCs w:val="18"/>
        </w:rPr>
        <w:t>. This will</w:t>
      </w:r>
      <w:r w:rsidRPr="00117511">
        <w:rPr>
          <w:rFonts w:cs="Arial"/>
          <w:szCs w:val="18"/>
        </w:rPr>
        <w:t xml:space="preserve"> ensure a greater alignment with the intent of the CHSP service type. </w:t>
      </w:r>
      <w:r w:rsidR="000C461A" w:rsidRPr="00117511">
        <w:rPr>
          <w:rFonts w:cs="Arial"/>
          <w:szCs w:val="18"/>
        </w:rPr>
        <w:t>This new definition will come into effect from 1</w:t>
      </w:r>
      <w:r w:rsidR="00117511" w:rsidRPr="00117511">
        <w:rPr>
          <w:rFonts w:cs="Arial"/>
          <w:szCs w:val="18"/>
        </w:rPr>
        <w:t xml:space="preserve"> July </w:t>
      </w:r>
      <w:r w:rsidR="000C461A" w:rsidRPr="00117511">
        <w:rPr>
          <w:rFonts w:cs="Arial"/>
          <w:szCs w:val="18"/>
        </w:rPr>
        <w:t xml:space="preserve">2023. </w:t>
      </w:r>
    </w:p>
    <w:p w14:paraId="3376129D" w14:textId="5D7C6971" w:rsidR="00FC4A5D" w:rsidRPr="00117511" w:rsidRDefault="000C461A" w:rsidP="00117511">
      <w:pPr>
        <w:rPr>
          <w:rFonts w:cs="Arial"/>
        </w:rPr>
      </w:pPr>
      <w:r w:rsidRPr="00117511">
        <w:rPr>
          <w:rFonts w:cs="Arial"/>
        </w:rPr>
        <w:t xml:space="preserve">If any activities are deemed to be out-of-scope for SSS and for CHSP, this will be identified in </w:t>
      </w:r>
      <w:r w:rsidR="001738E7" w:rsidRPr="00117511">
        <w:rPr>
          <w:rFonts w:cs="Arial"/>
        </w:rPr>
        <w:t xml:space="preserve">the </w:t>
      </w:r>
      <w:r w:rsidRPr="00117511">
        <w:rPr>
          <w:rFonts w:cs="Arial"/>
        </w:rPr>
        <w:t>extension letter</w:t>
      </w:r>
      <w:r w:rsidR="00FC4A5D" w:rsidRPr="00117511">
        <w:rPr>
          <w:rFonts w:cs="Arial"/>
        </w:rPr>
        <w:t>.</w:t>
      </w:r>
      <w:r w:rsidR="00117511" w:rsidRPr="00117511">
        <w:rPr>
          <w:rFonts w:cs="Arial"/>
        </w:rPr>
        <w:t xml:space="preserve"> </w:t>
      </w:r>
      <w:r w:rsidR="00FC4A5D" w:rsidRPr="00117511">
        <w:rPr>
          <w:rFonts w:cs="Arial"/>
        </w:rPr>
        <w:t xml:space="preserve"> P</w:t>
      </w:r>
      <w:r w:rsidR="001738E7" w:rsidRPr="00117511">
        <w:rPr>
          <w:rFonts w:cs="Arial"/>
        </w:rPr>
        <w:t>roviders</w:t>
      </w:r>
      <w:r w:rsidRPr="00117511">
        <w:rPr>
          <w:rFonts w:cs="Arial"/>
        </w:rPr>
        <w:t xml:space="preserve"> will be given the opportunity to re-align these services to be in-scope during the 2023-24 financial year.</w:t>
      </w:r>
      <w:r w:rsidR="00373575" w:rsidRPr="00117511">
        <w:rPr>
          <w:rFonts w:cs="Arial"/>
        </w:rPr>
        <w:t xml:space="preserve"> </w:t>
      </w:r>
    </w:p>
    <w:p w14:paraId="49D7024A" w14:textId="48CD5D65" w:rsidR="00DB7528" w:rsidRPr="00117511" w:rsidRDefault="00115317" w:rsidP="00117511">
      <w:pPr>
        <w:rPr>
          <w:rFonts w:cs="Arial"/>
          <w:szCs w:val="18"/>
        </w:rPr>
      </w:pPr>
      <w:r w:rsidRPr="00117511">
        <w:rPr>
          <w:rFonts w:cs="Arial"/>
          <w:szCs w:val="18"/>
        </w:rPr>
        <w:t xml:space="preserve">More information will be </w:t>
      </w:r>
      <w:r w:rsidR="00FC4A5D" w:rsidRPr="00117511">
        <w:rPr>
          <w:rFonts w:cs="Arial"/>
          <w:szCs w:val="18"/>
        </w:rPr>
        <w:t xml:space="preserve">detailed </w:t>
      </w:r>
      <w:r w:rsidR="000C461A" w:rsidRPr="00117511">
        <w:rPr>
          <w:rFonts w:cs="Arial"/>
          <w:szCs w:val="18"/>
        </w:rPr>
        <w:t xml:space="preserve">in a specific fact sheet </w:t>
      </w:r>
      <w:r w:rsidR="00FC4A5D" w:rsidRPr="00117511">
        <w:rPr>
          <w:rFonts w:cs="Arial"/>
          <w:szCs w:val="18"/>
        </w:rPr>
        <w:t xml:space="preserve">about SSS services, which will be available </w:t>
      </w:r>
      <w:r w:rsidRPr="00117511">
        <w:rPr>
          <w:rFonts w:cs="Arial"/>
          <w:szCs w:val="18"/>
        </w:rPr>
        <w:t xml:space="preserve">on the </w:t>
      </w:r>
      <w:r w:rsidR="00461B26" w:rsidRPr="00117511">
        <w:rPr>
          <w:rFonts w:cs="Arial"/>
          <w:szCs w:val="18"/>
        </w:rPr>
        <w:t xml:space="preserve">department’s </w:t>
      </w:r>
      <w:r w:rsidRPr="00117511">
        <w:rPr>
          <w:rFonts w:cs="Arial"/>
          <w:szCs w:val="18"/>
        </w:rPr>
        <w:t xml:space="preserve">website </w:t>
      </w:r>
      <w:r w:rsidR="00FC4A5D" w:rsidRPr="00117511">
        <w:rPr>
          <w:rFonts w:cs="Arial"/>
          <w:szCs w:val="18"/>
        </w:rPr>
        <w:t xml:space="preserve">under </w:t>
      </w:r>
      <w:hyperlink r:id="rId14" w:history="1">
        <w:r w:rsidRPr="00117511">
          <w:rPr>
            <w:rStyle w:val="Hyperlink"/>
            <w:rFonts w:cs="Arial"/>
            <w:szCs w:val="18"/>
          </w:rPr>
          <w:t>CHSP Resources</w:t>
        </w:r>
      </w:hyperlink>
      <w:r w:rsidRPr="00117511">
        <w:rPr>
          <w:rFonts w:cs="Arial"/>
          <w:szCs w:val="18"/>
        </w:rPr>
        <w:t>.</w:t>
      </w:r>
    </w:p>
    <w:p w14:paraId="4C543D49" w14:textId="0984C4C9" w:rsidR="003B6D33" w:rsidRPr="00D02F44" w:rsidRDefault="003B6D33" w:rsidP="00532291">
      <w:pPr>
        <w:pStyle w:val="Heading1"/>
      </w:pPr>
      <w:r w:rsidRPr="00D02F44">
        <w:t>Serious Incident Re</w:t>
      </w:r>
      <w:r w:rsidR="002E727D">
        <w:t>sponse</w:t>
      </w:r>
      <w:r w:rsidRPr="00D02F44">
        <w:t xml:space="preserve"> Scheme</w:t>
      </w:r>
    </w:p>
    <w:p w14:paraId="13E18735" w14:textId="2C7F3BE0" w:rsidR="00117511" w:rsidRDefault="00117511" w:rsidP="00117511">
      <w:pPr>
        <w:pStyle w:val="NormalWeb"/>
        <w:shd w:val="clear" w:color="auto" w:fill="FFFFFF"/>
        <w:spacing w:before="120" w:beforeAutospacing="0" w:after="120" w:afterAutospacing="0"/>
        <w:rPr>
          <w:rFonts w:ascii="Arial" w:hAnsi="Arial" w:cs="Arial"/>
          <w:color w:val="313131"/>
          <w:sz w:val="22"/>
          <w:szCs w:val="22"/>
        </w:rPr>
      </w:pPr>
      <w:r w:rsidRPr="00511CD4">
        <w:rPr>
          <w:rFonts w:ascii="Arial" w:hAnsi="Arial" w:cs="Arial"/>
          <w:color w:val="313131"/>
          <w:sz w:val="22"/>
          <w:szCs w:val="22"/>
        </w:rPr>
        <w:t>The SIRS aims to reduce and prevent the abuse and neglect of older Australians and has been in place since 1 April 2021 for aged care services delivered in residential settings.</w:t>
      </w:r>
      <w:r>
        <w:rPr>
          <w:rFonts w:ascii="Arial" w:hAnsi="Arial" w:cs="Arial"/>
          <w:color w:val="313131"/>
          <w:sz w:val="22"/>
          <w:szCs w:val="22"/>
        </w:rPr>
        <w:t xml:space="preserve"> </w:t>
      </w:r>
      <w:r>
        <w:rPr>
          <w:rFonts w:ascii="Arial" w:hAnsi="Arial" w:cs="Arial"/>
          <w:color w:val="313131"/>
          <w:sz w:val="22"/>
          <w:szCs w:val="22"/>
        </w:rPr>
        <w:br/>
      </w:r>
      <w:r w:rsidRPr="00511CD4">
        <w:rPr>
          <w:rFonts w:ascii="Arial" w:hAnsi="Arial" w:cs="Arial"/>
          <w:color w:val="313131"/>
          <w:sz w:val="22"/>
          <w:szCs w:val="22"/>
        </w:rPr>
        <w:t>On 1 December 2022</w:t>
      </w:r>
      <w:r>
        <w:rPr>
          <w:rFonts w:ascii="Arial" w:hAnsi="Arial" w:cs="Arial"/>
          <w:color w:val="313131"/>
          <w:sz w:val="22"/>
          <w:szCs w:val="22"/>
        </w:rPr>
        <w:t>,</w:t>
      </w:r>
      <w:r w:rsidRPr="00511CD4">
        <w:rPr>
          <w:rFonts w:ascii="Arial" w:hAnsi="Arial" w:cs="Arial"/>
          <w:color w:val="313131"/>
          <w:sz w:val="22"/>
          <w:szCs w:val="22"/>
        </w:rPr>
        <w:t xml:space="preserve"> the SIRS </w:t>
      </w:r>
      <w:r>
        <w:rPr>
          <w:rFonts w:ascii="Arial" w:hAnsi="Arial" w:cs="Arial"/>
          <w:color w:val="313131"/>
          <w:sz w:val="22"/>
          <w:szCs w:val="22"/>
        </w:rPr>
        <w:t>was</w:t>
      </w:r>
      <w:r w:rsidRPr="00511CD4">
        <w:rPr>
          <w:rFonts w:ascii="Arial" w:hAnsi="Arial" w:cs="Arial"/>
          <w:color w:val="313131"/>
          <w:sz w:val="22"/>
          <w:szCs w:val="22"/>
        </w:rPr>
        <w:t xml:space="preserve"> extended to include home care services and flexible care services delivered in home and community settings.</w:t>
      </w:r>
      <w:r>
        <w:rPr>
          <w:rFonts w:ascii="Arial" w:hAnsi="Arial" w:cs="Arial"/>
          <w:color w:val="313131"/>
          <w:sz w:val="22"/>
          <w:szCs w:val="22"/>
        </w:rPr>
        <w:t xml:space="preserve"> </w:t>
      </w:r>
    </w:p>
    <w:p w14:paraId="4E0CC60F" w14:textId="34677C63" w:rsidR="00117511" w:rsidRDefault="00117511" w:rsidP="00117511">
      <w:pPr>
        <w:pStyle w:val="NormalWeb"/>
        <w:shd w:val="clear" w:color="auto" w:fill="FFFFFF"/>
        <w:spacing w:before="120" w:beforeAutospacing="0" w:after="120" w:afterAutospacing="0"/>
        <w:rPr>
          <w:rFonts w:ascii="Arial" w:hAnsi="Arial" w:cs="Arial"/>
          <w:color w:val="313131"/>
          <w:sz w:val="22"/>
          <w:szCs w:val="22"/>
        </w:rPr>
      </w:pPr>
      <w:r w:rsidRPr="00511CD4">
        <w:rPr>
          <w:rFonts w:ascii="Arial" w:hAnsi="Arial" w:cs="Arial"/>
          <w:color w:val="313131"/>
          <w:sz w:val="22"/>
          <w:szCs w:val="22"/>
        </w:rPr>
        <w:t>The expansion of SIRS was Recommendation 100 in the Final Report of Royal Commission into Aged Care Quality and Safety</w:t>
      </w:r>
      <w:r>
        <w:rPr>
          <w:rFonts w:ascii="Arial" w:hAnsi="Arial" w:cs="Arial"/>
          <w:color w:val="313131"/>
          <w:sz w:val="22"/>
          <w:szCs w:val="22"/>
        </w:rPr>
        <w:t xml:space="preserve"> (Commission)</w:t>
      </w:r>
      <w:r w:rsidRPr="00511CD4">
        <w:rPr>
          <w:rFonts w:ascii="Arial" w:hAnsi="Arial" w:cs="Arial"/>
          <w:color w:val="313131"/>
          <w:sz w:val="22"/>
          <w:szCs w:val="22"/>
        </w:rPr>
        <w:t>.</w:t>
      </w:r>
      <w:r>
        <w:rPr>
          <w:rFonts w:ascii="Arial" w:hAnsi="Arial" w:cs="Arial"/>
          <w:color w:val="313131"/>
          <w:sz w:val="22"/>
          <w:szCs w:val="22"/>
        </w:rPr>
        <w:t xml:space="preserve"> </w:t>
      </w:r>
      <w:r w:rsidR="00F92475">
        <w:rPr>
          <w:rFonts w:ascii="Arial" w:hAnsi="Arial" w:cs="Arial"/>
          <w:color w:val="313131"/>
          <w:sz w:val="22"/>
          <w:szCs w:val="22"/>
        </w:rPr>
        <w:t xml:space="preserve"> </w:t>
      </w:r>
      <w:r w:rsidRPr="00511CD4">
        <w:rPr>
          <w:rFonts w:ascii="Arial" w:hAnsi="Arial" w:cs="Arial"/>
          <w:color w:val="313131"/>
          <w:sz w:val="22"/>
          <w:szCs w:val="22"/>
        </w:rPr>
        <w:t>The SIRS is enabled through legislation and will apply to CHSP and NATSIFACP providers as part of their grant arrangements.</w:t>
      </w:r>
    </w:p>
    <w:p w14:paraId="5B170411" w14:textId="77777777" w:rsidR="00117511" w:rsidRDefault="00117511" w:rsidP="00117511">
      <w:pPr>
        <w:pStyle w:val="NormalWeb"/>
        <w:shd w:val="clear" w:color="auto" w:fill="FFFFFF"/>
        <w:spacing w:before="120" w:beforeAutospacing="0" w:after="120" w:afterAutospacing="0"/>
        <w:rPr>
          <w:rFonts w:ascii="Arial" w:hAnsi="Arial" w:cs="Arial"/>
          <w:color w:val="313131"/>
          <w:sz w:val="22"/>
          <w:szCs w:val="22"/>
        </w:rPr>
      </w:pPr>
      <w:r>
        <w:rPr>
          <w:rFonts w:ascii="Arial" w:hAnsi="Arial" w:cs="Arial"/>
          <w:color w:val="313131"/>
          <w:sz w:val="22"/>
          <w:szCs w:val="22"/>
        </w:rPr>
        <w:t>CHSP p</w:t>
      </w:r>
      <w:r w:rsidRPr="00511CD4">
        <w:rPr>
          <w:rFonts w:ascii="Arial" w:hAnsi="Arial" w:cs="Arial"/>
          <w:color w:val="313131"/>
          <w:sz w:val="22"/>
          <w:szCs w:val="22"/>
        </w:rPr>
        <w:t xml:space="preserve">roviders are required to have an incident management system in place and notify the </w:t>
      </w:r>
      <w:r>
        <w:rPr>
          <w:rFonts w:ascii="Arial" w:hAnsi="Arial" w:cs="Arial"/>
          <w:color w:val="313131"/>
          <w:sz w:val="22"/>
          <w:szCs w:val="22"/>
        </w:rPr>
        <w:t xml:space="preserve">Aged Care Quality and Safety </w:t>
      </w:r>
      <w:r w:rsidRPr="00511CD4">
        <w:rPr>
          <w:rFonts w:ascii="Arial" w:hAnsi="Arial" w:cs="Arial"/>
          <w:color w:val="313131"/>
          <w:sz w:val="22"/>
          <w:szCs w:val="22"/>
        </w:rPr>
        <w:t xml:space="preserve">Commission if a reportable incident occurs via the My Aged Care Service and Support portal. </w:t>
      </w:r>
    </w:p>
    <w:p w14:paraId="63E7C3AE" w14:textId="5519A8AB" w:rsidR="007204DA" w:rsidRDefault="00117511" w:rsidP="00117511">
      <w:pPr>
        <w:pStyle w:val="NormalWeb"/>
        <w:shd w:val="clear" w:color="auto" w:fill="FFFFFF"/>
        <w:spacing w:before="120" w:beforeAutospacing="0" w:after="120" w:afterAutospacing="0"/>
        <w:rPr>
          <w:rFonts w:ascii="Arial" w:hAnsi="Arial" w:cs="Arial"/>
          <w:color w:val="313131"/>
          <w:sz w:val="22"/>
          <w:szCs w:val="22"/>
          <w:lang w:val="en-US"/>
        </w:rPr>
      </w:pPr>
      <w:r w:rsidRPr="00511CD4">
        <w:rPr>
          <w:rFonts w:ascii="Arial" w:hAnsi="Arial" w:cs="Arial"/>
          <w:color w:val="313131"/>
          <w:sz w:val="22"/>
          <w:szCs w:val="22"/>
        </w:rPr>
        <w:t xml:space="preserve">The SIRS notification form will </w:t>
      </w:r>
      <w:r>
        <w:rPr>
          <w:rFonts w:ascii="Arial" w:hAnsi="Arial" w:cs="Arial"/>
          <w:color w:val="313131"/>
          <w:sz w:val="22"/>
          <w:szCs w:val="22"/>
        </w:rPr>
        <w:t>be available</w:t>
      </w:r>
      <w:r w:rsidRPr="00511CD4">
        <w:rPr>
          <w:rFonts w:ascii="Arial" w:hAnsi="Arial" w:cs="Arial"/>
          <w:color w:val="313131"/>
          <w:sz w:val="22"/>
          <w:szCs w:val="22"/>
        </w:rPr>
        <w:t xml:space="preserve"> in the portal for </w:t>
      </w:r>
      <w:r>
        <w:rPr>
          <w:rFonts w:ascii="Arial" w:hAnsi="Arial" w:cs="Arial"/>
          <w:color w:val="313131"/>
          <w:sz w:val="22"/>
          <w:szCs w:val="22"/>
        </w:rPr>
        <w:t xml:space="preserve">CHSP </w:t>
      </w:r>
      <w:r w:rsidRPr="00511CD4">
        <w:rPr>
          <w:rFonts w:ascii="Arial" w:hAnsi="Arial" w:cs="Arial"/>
          <w:color w:val="313131"/>
          <w:sz w:val="22"/>
          <w:szCs w:val="22"/>
        </w:rPr>
        <w:t xml:space="preserve">providers </w:t>
      </w:r>
      <w:r>
        <w:rPr>
          <w:rFonts w:ascii="Arial" w:hAnsi="Arial" w:cs="Arial"/>
          <w:color w:val="313131"/>
          <w:sz w:val="22"/>
          <w:szCs w:val="22"/>
        </w:rPr>
        <w:t>from</w:t>
      </w:r>
      <w:r w:rsidRPr="00511CD4">
        <w:rPr>
          <w:rFonts w:ascii="Arial" w:hAnsi="Arial" w:cs="Arial"/>
          <w:color w:val="313131"/>
          <w:sz w:val="22"/>
          <w:szCs w:val="22"/>
        </w:rPr>
        <w:t xml:space="preserve"> </w:t>
      </w:r>
      <w:r>
        <w:rPr>
          <w:rFonts w:ascii="Arial" w:hAnsi="Arial" w:cs="Arial"/>
          <w:color w:val="313131"/>
          <w:sz w:val="22"/>
          <w:szCs w:val="22"/>
        </w:rPr>
        <w:br/>
      </w:r>
      <w:r w:rsidRPr="00511CD4">
        <w:rPr>
          <w:rFonts w:ascii="Arial" w:hAnsi="Arial" w:cs="Arial"/>
          <w:color w:val="313131"/>
          <w:sz w:val="22"/>
          <w:szCs w:val="22"/>
        </w:rPr>
        <w:t>1 December 2022.</w:t>
      </w:r>
      <w:r>
        <w:rPr>
          <w:rFonts w:ascii="Arial" w:hAnsi="Arial" w:cs="Arial"/>
          <w:color w:val="313131"/>
          <w:sz w:val="22"/>
          <w:szCs w:val="22"/>
        </w:rPr>
        <w:t xml:space="preserve">  Additional information can be found at </w:t>
      </w:r>
      <w:hyperlink r:id="rId15" w:history="1">
        <w:r w:rsidRPr="00461B26">
          <w:rPr>
            <w:rStyle w:val="Hyperlink"/>
            <w:rFonts w:ascii="Arial" w:hAnsi="Arial" w:cs="Arial"/>
            <w:sz w:val="22"/>
            <w:szCs w:val="22"/>
            <w:lang w:val="en-US"/>
          </w:rPr>
          <w:t>www.agedcarequality.gov.au</w:t>
        </w:r>
      </w:hyperlink>
      <w:r>
        <w:rPr>
          <w:rFonts w:ascii="Arial" w:hAnsi="Arial" w:cs="Arial"/>
          <w:color w:val="313131"/>
          <w:sz w:val="22"/>
          <w:szCs w:val="22"/>
          <w:lang w:val="en-US"/>
        </w:rPr>
        <w:t>.</w:t>
      </w:r>
    </w:p>
    <w:p w14:paraId="1C75B53F" w14:textId="2693E35A" w:rsidR="007204DA" w:rsidRPr="00180240" w:rsidRDefault="007204DA" w:rsidP="00532291">
      <w:pPr>
        <w:pStyle w:val="Heading1"/>
      </w:pPr>
      <w:r w:rsidRPr="00180240">
        <w:lastRenderedPageBreak/>
        <w:t>The CHSP Manual</w:t>
      </w:r>
    </w:p>
    <w:p w14:paraId="35D75DD8" w14:textId="77777777" w:rsidR="00F92475" w:rsidRDefault="00117511" w:rsidP="00F92475">
      <w:pPr>
        <w:pStyle w:val="NormalWeb"/>
        <w:shd w:val="clear" w:color="auto" w:fill="FFFFFF"/>
        <w:spacing w:before="160" w:beforeAutospacing="0" w:after="160" w:afterAutospacing="0"/>
        <w:rPr>
          <w:rFonts w:ascii="Arial" w:hAnsi="Arial" w:cs="Arial"/>
          <w:color w:val="313131"/>
          <w:sz w:val="22"/>
          <w:szCs w:val="22"/>
          <w:lang w:val="en-US"/>
        </w:rPr>
      </w:pPr>
      <w:r>
        <w:rPr>
          <w:rFonts w:ascii="Arial" w:hAnsi="Arial" w:cs="Arial"/>
          <w:color w:val="313131"/>
          <w:sz w:val="22"/>
          <w:szCs w:val="22"/>
          <w:lang w:val="en-US"/>
        </w:rPr>
        <w:t>The CHSP manual has been updated and is published on the department’s website.</w:t>
      </w:r>
    </w:p>
    <w:p w14:paraId="3F951842" w14:textId="5F32AB02" w:rsidR="000E6E51" w:rsidRDefault="00117511" w:rsidP="00F92475">
      <w:pPr>
        <w:pStyle w:val="NormalWeb"/>
        <w:shd w:val="clear" w:color="auto" w:fill="FFFFFF"/>
        <w:spacing w:before="160" w:beforeAutospacing="0" w:after="160" w:afterAutospacing="0"/>
        <w:rPr>
          <w:rFonts w:ascii="Arial" w:hAnsi="Arial" w:cs="Arial"/>
          <w:color w:val="313131"/>
          <w:sz w:val="22"/>
          <w:szCs w:val="22"/>
          <w:lang w:val="en-US"/>
        </w:rPr>
      </w:pPr>
      <w:r>
        <w:rPr>
          <w:rFonts w:ascii="Arial" w:hAnsi="Arial" w:cs="Arial"/>
          <w:color w:val="313131"/>
          <w:sz w:val="22"/>
          <w:szCs w:val="22"/>
          <w:lang w:val="en-US"/>
        </w:rPr>
        <w:t xml:space="preserve">The manual reflects the current </w:t>
      </w:r>
      <w:proofErr w:type="gramStart"/>
      <w:r>
        <w:rPr>
          <w:rFonts w:ascii="Arial" w:hAnsi="Arial" w:cs="Arial"/>
          <w:color w:val="313131"/>
          <w:sz w:val="22"/>
          <w:szCs w:val="22"/>
          <w:lang w:val="en-US"/>
        </w:rPr>
        <w:t>2022-23 unit</w:t>
      </w:r>
      <w:proofErr w:type="gramEnd"/>
      <w:r>
        <w:rPr>
          <w:rFonts w:ascii="Arial" w:hAnsi="Arial" w:cs="Arial"/>
          <w:color w:val="313131"/>
          <w:sz w:val="22"/>
          <w:szCs w:val="22"/>
          <w:lang w:val="en-US"/>
        </w:rPr>
        <w:t xml:space="preserve"> prices however will be updated again prior to July 2023 to include the unit prices outlined above in Table 1.</w:t>
      </w:r>
    </w:p>
    <w:p w14:paraId="2164428D" w14:textId="4388A106" w:rsidR="000E6E51" w:rsidRPr="00735704" w:rsidRDefault="000E6E51" w:rsidP="000E6E51">
      <w:pPr>
        <w:pStyle w:val="Heading2"/>
      </w:pPr>
      <w:r w:rsidRPr="00735704">
        <w:t xml:space="preserve">Flexibility </w:t>
      </w:r>
      <w:r w:rsidR="00E12C9E">
        <w:t>p</w:t>
      </w:r>
      <w:r w:rsidR="00E12C9E" w:rsidRPr="00735704">
        <w:t>rovisions</w:t>
      </w:r>
    </w:p>
    <w:p w14:paraId="3773D0AD" w14:textId="77777777" w:rsidR="00F92475" w:rsidRDefault="00117511" w:rsidP="00F92475">
      <w:pPr>
        <w:spacing w:before="160" w:after="160"/>
        <w:rPr>
          <w:rFonts w:cs="Arial"/>
          <w:bCs/>
          <w:szCs w:val="22"/>
        </w:rPr>
      </w:pPr>
      <w:r>
        <w:rPr>
          <w:rFonts w:cs="Arial"/>
          <w:bCs/>
          <w:szCs w:val="22"/>
        </w:rPr>
        <w:t>100% Flexibility provisions will remain as part of the CHSP manual in 2023-24.</w:t>
      </w:r>
    </w:p>
    <w:p w14:paraId="3899B8D7" w14:textId="77777777" w:rsidR="00F92475" w:rsidRDefault="00117511" w:rsidP="00F92475">
      <w:pPr>
        <w:spacing w:before="160" w:after="160"/>
      </w:pPr>
      <w:r>
        <w:rPr>
          <w:rFonts w:cs="Arial"/>
          <w:bCs/>
          <w:szCs w:val="22"/>
        </w:rPr>
        <w:t xml:space="preserve">There is no change to what is outlined in the current CHSP manual regarding </w:t>
      </w:r>
      <w:r>
        <w:rPr>
          <w:rFonts w:eastAsia="Calibri"/>
        </w:rPr>
        <w:t xml:space="preserve">Providers having full flexibility to re-allocate up to 100 per cent of their grant funds between funded service types </w:t>
      </w:r>
      <w:r w:rsidRPr="00990A1D">
        <w:t>and ACPRs listed in their CHSP Activity Work Plan to better meet local demand pressures.</w:t>
      </w:r>
    </w:p>
    <w:p w14:paraId="38B20B32" w14:textId="6A617A32" w:rsidR="000E6E51" w:rsidRPr="00115317" w:rsidRDefault="00117511" w:rsidP="00F92475">
      <w:pPr>
        <w:spacing w:before="160" w:after="160"/>
        <w:rPr>
          <w:rFonts w:cs="Arial"/>
          <w:color w:val="313131"/>
          <w:szCs w:val="22"/>
          <w:lang w:val="en-US"/>
        </w:rPr>
      </w:pPr>
      <w:r w:rsidRPr="00990A1D">
        <w:t xml:space="preserve">The flexibility provision applies across all CHSP service types and </w:t>
      </w:r>
      <w:r>
        <w:t>s</w:t>
      </w:r>
      <w:r w:rsidRPr="00990A1D">
        <w:t>ub-</w:t>
      </w:r>
      <w:r>
        <w:t>p</w:t>
      </w:r>
      <w:r w:rsidRPr="00990A1D">
        <w:t>rograms</w:t>
      </w:r>
      <w:r>
        <w:t>, except Sector Support and Development (unless approved by the department)</w:t>
      </w:r>
      <w:r w:rsidRPr="00990A1D">
        <w:t xml:space="preserve">. </w:t>
      </w:r>
    </w:p>
    <w:sectPr w:rsidR="000E6E51" w:rsidRPr="00115317" w:rsidSect="00B53987">
      <w:headerReference w:type="default" r:id="rId16"/>
      <w:footerReference w:type="default" r:id="rId17"/>
      <w:headerReference w:type="first" r:id="rId18"/>
      <w:footerReference w:type="first" r:id="rId1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A7C5" w14:textId="77777777" w:rsidR="009C73C0" w:rsidRDefault="009C73C0" w:rsidP="006B56BB">
      <w:r>
        <w:separator/>
      </w:r>
    </w:p>
    <w:p w14:paraId="6D391BDC" w14:textId="77777777" w:rsidR="009C73C0" w:rsidRDefault="009C73C0"/>
  </w:endnote>
  <w:endnote w:type="continuationSeparator" w:id="0">
    <w:p w14:paraId="5DFAE121" w14:textId="77777777" w:rsidR="009C73C0" w:rsidRDefault="009C73C0" w:rsidP="006B56BB">
      <w:r>
        <w:continuationSeparator/>
      </w:r>
    </w:p>
    <w:p w14:paraId="7C9B8EBE" w14:textId="77777777" w:rsidR="009C73C0" w:rsidRDefault="009C73C0"/>
  </w:endnote>
  <w:endnote w:type="continuationNotice" w:id="1">
    <w:p w14:paraId="41DE2CC4" w14:textId="77777777" w:rsidR="009C73C0" w:rsidRDefault="009C7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07CC" w14:textId="3C18AFA0" w:rsidR="00B53987" w:rsidRDefault="00AA262B" w:rsidP="00B53987">
    <w:pPr>
      <w:pStyle w:val="Footer"/>
    </w:pPr>
    <w:r>
      <w:t xml:space="preserve">Department of Health and Aged Care </w:t>
    </w:r>
    <w:r w:rsidR="00B53987">
      <w:t xml:space="preserve">– </w:t>
    </w:r>
    <w:r w:rsidR="00492B6F">
      <w:t>CHSP</w:t>
    </w:r>
    <w:sdt>
      <w:sdtPr>
        <w:id w:val="-183903453"/>
        <w:docPartObj>
          <w:docPartGallery w:val="Page Numbers (Bottom of Page)"/>
          <w:docPartUnique/>
        </w:docPartObj>
      </w:sdtPr>
      <w:sdtEndPr/>
      <w:sdtContent>
        <w:r w:rsidR="00492B6F">
          <w:t xml:space="preserve"> provider update </w:t>
        </w:r>
        <w:r w:rsidR="00F13A6C">
          <w:t>December</w:t>
        </w:r>
        <w:r w:rsidR="00492B6F">
          <w:t xml:space="preserve"> 2022</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0A09" w14:textId="7C23A282" w:rsidR="00B53987" w:rsidRDefault="00AA262B" w:rsidP="00B53987">
    <w:pPr>
      <w:pStyle w:val="Footer"/>
    </w:pPr>
    <w:r>
      <w:t xml:space="preserve">Department of Health and Aged Care </w:t>
    </w:r>
    <w:r w:rsidR="00B53987">
      <w:t xml:space="preserve">– </w:t>
    </w:r>
    <w:r w:rsidR="00492B6F">
      <w:t>CHSP provider update</w:t>
    </w:r>
    <w:sdt>
      <w:sdtPr>
        <w:id w:val="-178737789"/>
        <w:docPartObj>
          <w:docPartGallery w:val="Page Numbers (Bottom of Page)"/>
          <w:docPartUnique/>
        </w:docPartObj>
      </w:sdtPr>
      <w:sdtEndPr/>
      <w:sdtContent>
        <w:r w:rsidR="00492B6F">
          <w:t xml:space="preserve"> </w:t>
        </w:r>
        <w:r w:rsidR="00D10FEE">
          <w:t>December</w:t>
        </w:r>
        <w:r w:rsidR="00492B6F">
          <w:t xml:space="preserve"> 2022</w:t>
        </w:r>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7EA2" w14:textId="77777777" w:rsidR="009C73C0" w:rsidRDefault="009C73C0" w:rsidP="006B56BB">
      <w:r>
        <w:separator/>
      </w:r>
    </w:p>
    <w:p w14:paraId="1D5FEBCA" w14:textId="77777777" w:rsidR="009C73C0" w:rsidRDefault="009C73C0"/>
  </w:footnote>
  <w:footnote w:type="continuationSeparator" w:id="0">
    <w:p w14:paraId="11347B6A" w14:textId="77777777" w:rsidR="009C73C0" w:rsidRDefault="009C73C0" w:rsidP="006B56BB">
      <w:r>
        <w:continuationSeparator/>
      </w:r>
    </w:p>
    <w:p w14:paraId="256F52D9" w14:textId="77777777" w:rsidR="009C73C0" w:rsidRDefault="009C73C0"/>
  </w:footnote>
  <w:footnote w:type="continuationNotice" w:id="1">
    <w:p w14:paraId="75064881" w14:textId="77777777" w:rsidR="009C73C0" w:rsidRDefault="009C7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F37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2C0D" w14:textId="77777777" w:rsidR="00B53987" w:rsidRDefault="00B53987">
    <w:pPr>
      <w:pStyle w:val="Header"/>
    </w:pPr>
    <w:r>
      <w:rPr>
        <w:noProof/>
        <w:lang w:eastAsia="en-AU"/>
      </w:rPr>
      <w:drawing>
        <wp:inline distT="0" distB="0" distL="0" distR="0" wp14:anchorId="24C0D08F" wp14:editId="140DB27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6B6D2E"/>
    <w:multiLevelType w:val="hybridMultilevel"/>
    <w:tmpl w:val="9476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312E16"/>
    <w:multiLevelType w:val="hybridMultilevel"/>
    <w:tmpl w:val="928EB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A141D0"/>
    <w:multiLevelType w:val="hybridMultilevel"/>
    <w:tmpl w:val="12DCD1BE"/>
    <w:lvl w:ilvl="0" w:tplc="FFBEA9FC">
      <w:start w:val="1"/>
      <w:numFmt w:val="bullet"/>
      <w:lvlText w:val="•"/>
      <w:lvlJc w:val="left"/>
      <w:pPr>
        <w:tabs>
          <w:tab w:val="num" w:pos="720"/>
        </w:tabs>
        <w:ind w:left="720" w:hanging="360"/>
      </w:pPr>
      <w:rPr>
        <w:rFonts w:ascii="Arial" w:hAnsi="Arial" w:hint="default"/>
      </w:rPr>
    </w:lvl>
    <w:lvl w:ilvl="1" w:tplc="9F7A96AE" w:tentative="1">
      <w:start w:val="1"/>
      <w:numFmt w:val="bullet"/>
      <w:lvlText w:val="•"/>
      <w:lvlJc w:val="left"/>
      <w:pPr>
        <w:tabs>
          <w:tab w:val="num" w:pos="1440"/>
        </w:tabs>
        <w:ind w:left="1440" w:hanging="360"/>
      </w:pPr>
      <w:rPr>
        <w:rFonts w:ascii="Arial" w:hAnsi="Arial" w:hint="default"/>
      </w:rPr>
    </w:lvl>
    <w:lvl w:ilvl="2" w:tplc="319E01C8" w:tentative="1">
      <w:start w:val="1"/>
      <w:numFmt w:val="bullet"/>
      <w:lvlText w:val="•"/>
      <w:lvlJc w:val="left"/>
      <w:pPr>
        <w:tabs>
          <w:tab w:val="num" w:pos="2160"/>
        </w:tabs>
        <w:ind w:left="2160" w:hanging="360"/>
      </w:pPr>
      <w:rPr>
        <w:rFonts w:ascii="Arial" w:hAnsi="Arial" w:hint="default"/>
      </w:rPr>
    </w:lvl>
    <w:lvl w:ilvl="3" w:tplc="D2080B5C" w:tentative="1">
      <w:start w:val="1"/>
      <w:numFmt w:val="bullet"/>
      <w:lvlText w:val="•"/>
      <w:lvlJc w:val="left"/>
      <w:pPr>
        <w:tabs>
          <w:tab w:val="num" w:pos="2880"/>
        </w:tabs>
        <w:ind w:left="2880" w:hanging="360"/>
      </w:pPr>
      <w:rPr>
        <w:rFonts w:ascii="Arial" w:hAnsi="Arial" w:hint="default"/>
      </w:rPr>
    </w:lvl>
    <w:lvl w:ilvl="4" w:tplc="3BB2A81A" w:tentative="1">
      <w:start w:val="1"/>
      <w:numFmt w:val="bullet"/>
      <w:lvlText w:val="•"/>
      <w:lvlJc w:val="left"/>
      <w:pPr>
        <w:tabs>
          <w:tab w:val="num" w:pos="3600"/>
        </w:tabs>
        <w:ind w:left="3600" w:hanging="360"/>
      </w:pPr>
      <w:rPr>
        <w:rFonts w:ascii="Arial" w:hAnsi="Arial" w:hint="default"/>
      </w:rPr>
    </w:lvl>
    <w:lvl w:ilvl="5" w:tplc="839EB24C" w:tentative="1">
      <w:start w:val="1"/>
      <w:numFmt w:val="bullet"/>
      <w:lvlText w:val="•"/>
      <w:lvlJc w:val="left"/>
      <w:pPr>
        <w:tabs>
          <w:tab w:val="num" w:pos="4320"/>
        </w:tabs>
        <w:ind w:left="4320" w:hanging="360"/>
      </w:pPr>
      <w:rPr>
        <w:rFonts w:ascii="Arial" w:hAnsi="Arial" w:hint="default"/>
      </w:rPr>
    </w:lvl>
    <w:lvl w:ilvl="6" w:tplc="C3AEA0D8" w:tentative="1">
      <w:start w:val="1"/>
      <w:numFmt w:val="bullet"/>
      <w:lvlText w:val="•"/>
      <w:lvlJc w:val="left"/>
      <w:pPr>
        <w:tabs>
          <w:tab w:val="num" w:pos="5040"/>
        </w:tabs>
        <w:ind w:left="5040" w:hanging="360"/>
      </w:pPr>
      <w:rPr>
        <w:rFonts w:ascii="Arial" w:hAnsi="Arial" w:hint="default"/>
      </w:rPr>
    </w:lvl>
    <w:lvl w:ilvl="7" w:tplc="2AF438AC" w:tentative="1">
      <w:start w:val="1"/>
      <w:numFmt w:val="bullet"/>
      <w:lvlText w:val="•"/>
      <w:lvlJc w:val="left"/>
      <w:pPr>
        <w:tabs>
          <w:tab w:val="num" w:pos="5760"/>
        </w:tabs>
        <w:ind w:left="5760" w:hanging="360"/>
      </w:pPr>
      <w:rPr>
        <w:rFonts w:ascii="Arial" w:hAnsi="Arial" w:hint="default"/>
      </w:rPr>
    </w:lvl>
    <w:lvl w:ilvl="8" w:tplc="99D2BC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8400270"/>
    <w:multiLevelType w:val="hybridMultilevel"/>
    <w:tmpl w:val="70E0B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A59CF"/>
    <w:multiLevelType w:val="hybridMultilevel"/>
    <w:tmpl w:val="F1584A08"/>
    <w:lvl w:ilvl="0" w:tplc="343433A2">
      <w:start w:val="1"/>
      <w:numFmt w:val="decimal"/>
      <w:lvlText w:val="%1."/>
      <w:lvlJc w:val="left"/>
      <w:pPr>
        <w:ind w:left="-1065" w:hanging="360"/>
      </w:pPr>
      <w:rPr>
        <w:rFonts w:hint="default"/>
        <w:b/>
      </w:rPr>
    </w:lvl>
    <w:lvl w:ilvl="1" w:tplc="19E60F64">
      <w:start w:val="1"/>
      <w:numFmt w:val="lowerLetter"/>
      <w:lvlText w:val="%2."/>
      <w:lvlJc w:val="left"/>
      <w:pPr>
        <w:ind w:left="-345" w:hanging="360"/>
      </w:pPr>
    </w:lvl>
    <w:lvl w:ilvl="2" w:tplc="ED989D9A">
      <w:start w:val="1"/>
      <w:numFmt w:val="lowerRoman"/>
      <w:lvlText w:val="%3."/>
      <w:lvlJc w:val="right"/>
      <w:pPr>
        <w:ind w:left="375" w:hanging="180"/>
      </w:pPr>
    </w:lvl>
    <w:lvl w:ilvl="3" w:tplc="86E47768" w:tentative="1">
      <w:start w:val="1"/>
      <w:numFmt w:val="decimal"/>
      <w:lvlText w:val="%4."/>
      <w:lvlJc w:val="left"/>
      <w:pPr>
        <w:ind w:left="1095" w:hanging="360"/>
      </w:pPr>
    </w:lvl>
    <w:lvl w:ilvl="4" w:tplc="6B32DFA8" w:tentative="1">
      <w:start w:val="1"/>
      <w:numFmt w:val="lowerLetter"/>
      <w:lvlText w:val="%5."/>
      <w:lvlJc w:val="left"/>
      <w:pPr>
        <w:ind w:left="1815" w:hanging="360"/>
      </w:pPr>
    </w:lvl>
    <w:lvl w:ilvl="5" w:tplc="E1FC105E" w:tentative="1">
      <w:start w:val="1"/>
      <w:numFmt w:val="lowerRoman"/>
      <w:lvlText w:val="%6."/>
      <w:lvlJc w:val="right"/>
      <w:pPr>
        <w:ind w:left="2535" w:hanging="180"/>
      </w:pPr>
    </w:lvl>
    <w:lvl w:ilvl="6" w:tplc="4D6EF224" w:tentative="1">
      <w:start w:val="1"/>
      <w:numFmt w:val="decimal"/>
      <w:lvlText w:val="%7."/>
      <w:lvlJc w:val="left"/>
      <w:pPr>
        <w:ind w:left="3255" w:hanging="360"/>
      </w:pPr>
    </w:lvl>
    <w:lvl w:ilvl="7" w:tplc="DB5AB090" w:tentative="1">
      <w:start w:val="1"/>
      <w:numFmt w:val="lowerLetter"/>
      <w:lvlText w:val="%8."/>
      <w:lvlJc w:val="left"/>
      <w:pPr>
        <w:ind w:left="3975" w:hanging="360"/>
      </w:pPr>
    </w:lvl>
    <w:lvl w:ilvl="8" w:tplc="25489B42" w:tentative="1">
      <w:start w:val="1"/>
      <w:numFmt w:val="lowerRoman"/>
      <w:lvlText w:val="%9."/>
      <w:lvlJc w:val="right"/>
      <w:pPr>
        <w:ind w:left="4695" w:hanging="180"/>
      </w:pPr>
    </w:lvl>
  </w:abstractNum>
  <w:abstractNum w:abstractNumId="17"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9545868"/>
    <w:multiLevelType w:val="hybridMultilevel"/>
    <w:tmpl w:val="C5829584"/>
    <w:lvl w:ilvl="0" w:tplc="79CC20D2">
      <w:start w:val="1"/>
      <w:numFmt w:val="bullet"/>
      <w:lvlText w:val="•"/>
      <w:lvlJc w:val="left"/>
      <w:pPr>
        <w:tabs>
          <w:tab w:val="num" w:pos="720"/>
        </w:tabs>
        <w:ind w:left="720" w:hanging="360"/>
      </w:pPr>
      <w:rPr>
        <w:rFonts w:ascii="Arial" w:hAnsi="Arial" w:hint="default"/>
      </w:rPr>
    </w:lvl>
    <w:lvl w:ilvl="1" w:tplc="5CB28670" w:tentative="1">
      <w:start w:val="1"/>
      <w:numFmt w:val="bullet"/>
      <w:lvlText w:val="•"/>
      <w:lvlJc w:val="left"/>
      <w:pPr>
        <w:tabs>
          <w:tab w:val="num" w:pos="1440"/>
        </w:tabs>
        <w:ind w:left="1440" w:hanging="360"/>
      </w:pPr>
      <w:rPr>
        <w:rFonts w:ascii="Arial" w:hAnsi="Arial" w:hint="default"/>
      </w:rPr>
    </w:lvl>
    <w:lvl w:ilvl="2" w:tplc="FE54A90C" w:tentative="1">
      <w:start w:val="1"/>
      <w:numFmt w:val="bullet"/>
      <w:lvlText w:val="•"/>
      <w:lvlJc w:val="left"/>
      <w:pPr>
        <w:tabs>
          <w:tab w:val="num" w:pos="2160"/>
        </w:tabs>
        <w:ind w:left="2160" w:hanging="360"/>
      </w:pPr>
      <w:rPr>
        <w:rFonts w:ascii="Arial" w:hAnsi="Arial" w:hint="default"/>
      </w:rPr>
    </w:lvl>
    <w:lvl w:ilvl="3" w:tplc="A2320B10" w:tentative="1">
      <w:start w:val="1"/>
      <w:numFmt w:val="bullet"/>
      <w:lvlText w:val="•"/>
      <w:lvlJc w:val="left"/>
      <w:pPr>
        <w:tabs>
          <w:tab w:val="num" w:pos="2880"/>
        </w:tabs>
        <w:ind w:left="2880" w:hanging="360"/>
      </w:pPr>
      <w:rPr>
        <w:rFonts w:ascii="Arial" w:hAnsi="Arial" w:hint="default"/>
      </w:rPr>
    </w:lvl>
    <w:lvl w:ilvl="4" w:tplc="AFD4EB90" w:tentative="1">
      <w:start w:val="1"/>
      <w:numFmt w:val="bullet"/>
      <w:lvlText w:val="•"/>
      <w:lvlJc w:val="left"/>
      <w:pPr>
        <w:tabs>
          <w:tab w:val="num" w:pos="3600"/>
        </w:tabs>
        <w:ind w:left="3600" w:hanging="360"/>
      </w:pPr>
      <w:rPr>
        <w:rFonts w:ascii="Arial" w:hAnsi="Arial" w:hint="default"/>
      </w:rPr>
    </w:lvl>
    <w:lvl w:ilvl="5" w:tplc="8AF0823A" w:tentative="1">
      <w:start w:val="1"/>
      <w:numFmt w:val="bullet"/>
      <w:lvlText w:val="•"/>
      <w:lvlJc w:val="left"/>
      <w:pPr>
        <w:tabs>
          <w:tab w:val="num" w:pos="4320"/>
        </w:tabs>
        <w:ind w:left="4320" w:hanging="360"/>
      </w:pPr>
      <w:rPr>
        <w:rFonts w:ascii="Arial" w:hAnsi="Arial" w:hint="default"/>
      </w:rPr>
    </w:lvl>
    <w:lvl w:ilvl="6" w:tplc="63BCAFC6" w:tentative="1">
      <w:start w:val="1"/>
      <w:numFmt w:val="bullet"/>
      <w:lvlText w:val="•"/>
      <w:lvlJc w:val="left"/>
      <w:pPr>
        <w:tabs>
          <w:tab w:val="num" w:pos="5040"/>
        </w:tabs>
        <w:ind w:left="5040" w:hanging="360"/>
      </w:pPr>
      <w:rPr>
        <w:rFonts w:ascii="Arial" w:hAnsi="Arial" w:hint="default"/>
      </w:rPr>
    </w:lvl>
    <w:lvl w:ilvl="7" w:tplc="D9E23524" w:tentative="1">
      <w:start w:val="1"/>
      <w:numFmt w:val="bullet"/>
      <w:lvlText w:val="•"/>
      <w:lvlJc w:val="left"/>
      <w:pPr>
        <w:tabs>
          <w:tab w:val="num" w:pos="5760"/>
        </w:tabs>
        <w:ind w:left="5760" w:hanging="360"/>
      </w:pPr>
      <w:rPr>
        <w:rFonts w:ascii="Arial" w:hAnsi="Arial" w:hint="default"/>
      </w:rPr>
    </w:lvl>
    <w:lvl w:ilvl="8" w:tplc="21B0AF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431D84"/>
    <w:multiLevelType w:val="hybridMultilevel"/>
    <w:tmpl w:val="D5CCA9D4"/>
    <w:lvl w:ilvl="0" w:tplc="0C09000F">
      <w:start w:val="1"/>
      <w:numFmt w:val="decimal"/>
      <w:lvlText w:val="%1."/>
      <w:lvlJc w:val="left"/>
      <w:pPr>
        <w:ind w:left="720" w:hanging="360"/>
      </w:pPr>
      <w:rPr>
        <w:rFonts w:hint="default"/>
      </w:rPr>
    </w:lvl>
    <w:lvl w:ilvl="1" w:tplc="C6E49792">
      <w:start w:val="1"/>
      <w:numFmt w:val="bullet"/>
      <w:pStyle w:val="Bullet3"/>
      <w:lvlText w:val="o"/>
      <w:lvlJc w:val="left"/>
      <w:pPr>
        <w:ind w:left="1440" w:hanging="360"/>
      </w:pPr>
      <w:rPr>
        <w:rFonts w:ascii="Courier New" w:hAnsi="Courier New" w:cs="Courier New" w:hint="default"/>
      </w:rPr>
    </w:lvl>
    <w:lvl w:ilvl="2" w:tplc="AB961D08">
      <w:start w:val="1"/>
      <w:numFmt w:val="bullet"/>
      <w:lvlText w:val=""/>
      <w:lvlJc w:val="left"/>
      <w:pPr>
        <w:ind w:left="2160" w:hanging="360"/>
      </w:pPr>
      <w:rPr>
        <w:rFonts w:ascii="Wingdings" w:hAnsi="Wingdings" w:hint="default"/>
      </w:rPr>
    </w:lvl>
    <w:lvl w:ilvl="3" w:tplc="3D704C42" w:tentative="1">
      <w:start w:val="1"/>
      <w:numFmt w:val="bullet"/>
      <w:lvlText w:val=""/>
      <w:lvlJc w:val="left"/>
      <w:pPr>
        <w:ind w:left="2880" w:hanging="360"/>
      </w:pPr>
      <w:rPr>
        <w:rFonts w:ascii="Symbol" w:hAnsi="Symbol" w:hint="default"/>
      </w:rPr>
    </w:lvl>
    <w:lvl w:ilvl="4" w:tplc="0738360C" w:tentative="1">
      <w:start w:val="1"/>
      <w:numFmt w:val="bullet"/>
      <w:lvlText w:val="o"/>
      <w:lvlJc w:val="left"/>
      <w:pPr>
        <w:ind w:left="3600" w:hanging="360"/>
      </w:pPr>
      <w:rPr>
        <w:rFonts w:ascii="Courier New" w:hAnsi="Courier New" w:cs="Courier New" w:hint="default"/>
      </w:rPr>
    </w:lvl>
    <w:lvl w:ilvl="5" w:tplc="CACEC71E" w:tentative="1">
      <w:start w:val="1"/>
      <w:numFmt w:val="bullet"/>
      <w:lvlText w:val=""/>
      <w:lvlJc w:val="left"/>
      <w:pPr>
        <w:ind w:left="4320" w:hanging="360"/>
      </w:pPr>
      <w:rPr>
        <w:rFonts w:ascii="Wingdings" w:hAnsi="Wingdings" w:hint="default"/>
      </w:rPr>
    </w:lvl>
    <w:lvl w:ilvl="6" w:tplc="59569B78" w:tentative="1">
      <w:start w:val="1"/>
      <w:numFmt w:val="bullet"/>
      <w:lvlText w:val=""/>
      <w:lvlJc w:val="left"/>
      <w:pPr>
        <w:ind w:left="5040" w:hanging="360"/>
      </w:pPr>
      <w:rPr>
        <w:rFonts w:ascii="Symbol" w:hAnsi="Symbol" w:hint="default"/>
      </w:rPr>
    </w:lvl>
    <w:lvl w:ilvl="7" w:tplc="C13A726C" w:tentative="1">
      <w:start w:val="1"/>
      <w:numFmt w:val="bullet"/>
      <w:lvlText w:val="o"/>
      <w:lvlJc w:val="left"/>
      <w:pPr>
        <w:ind w:left="5760" w:hanging="360"/>
      </w:pPr>
      <w:rPr>
        <w:rFonts w:ascii="Courier New" w:hAnsi="Courier New" w:cs="Courier New" w:hint="default"/>
      </w:rPr>
    </w:lvl>
    <w:lvl w:ilvl="8" w:tplc="286E72A8" w:tentative="1">
      <w:start w:val="1"/>
      <w:numFmt w:val="bullet"/>
      <w:lvlText w:val=""/>
      <w:lvlJc w:val="left"/>
      <w:pPr>
        <w:ind w:left="6480" w:hanging="360"/>
      </w:pPr>
      <w:rPr>
        <w:rFonts w:ascii="Wingdings" w:hAnsi="Wingdings" w:hint="default"/>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310837"/>
    <w:multiLevelType w:val="hybridMultilevel"/>
    <w:tmpl w:val="A6EAD456"/>
    <w:lvl w:ilvl="0" w:tplc="6D8E563C">
      <w:start w:val="1"/>
      <w:numFmt w:val="bullet"/>
      <w:lvlText w:val="-"/>
      <w:lvlJc w:val="left"/>
      <w:pPr>
        <w:tabs>
          <w:tab w:val="num" w:pos="720"/>
        </w:tabs>
        <w:ind w:left="720" w:hanging="360"/>
      </w:pPr>
      <w:rPr>
        <w:rFonts w:ascii="Times New Roman" w:hAnsi="Times New Roman" w:hint="default"/>
      </w:rPr>
    </w:lvl>
    <w:lvl w:ilvl="1" w:tplc="995CCC76" w:tentative="1">
      <w:start w:val="1"/>
      <w:numFmt w:val="bullet"/>
      <w:lvlText w:val="-"/>
      <w:lvlJc w:val="left"/>
      <w:pPr>
        <w:tabs>
          <w:tab w:val="num" w:pos="1440"/>
        </w:tabs>
        <w:ind w:left="1440" w:hanging="360"/>
      </w:pPr>
      <w:rPr>
        <w:rFonts w:ascii="Times New Roman" w:hAnsi="Times New Roman" w:hint="default"/>
      </w:rPr>
    </w:lvl>
    <w:lvl w:ilvl="2" w:tplc="5F1A078E" w:tentative="1">
      <w:start w:val="1"/>
      <w:numFmt w:val="bullet"/>
      <w:lvlText w:val="-"/>
      <w:lvlJc w:val="left"/>
      <w:pPr>
        <w:tabs>
          <w:tab w:val="num" w:pos="2160"/>
        </w:tabs>
        <w:ind w:left="2160" w:hanging="360"/>
      </w:pPr>
      <w:rPr>
        <w:rFonts w:ascii="Times New Roman" w:hAnsi="Times New Roman" w:hint="default"/>
      </w:rPr>
    </w:lvl>
    <w:lvl w:ilvl="3" w:tplc="242879DE" w:tentative="1">
      <w:start w:val="1"/>
      <w:numFmt w:val="bullet"/>
      <w:lvlText w:val="-"/>
      <w:lvlJc w:val="left"/>
      <w:pPr>
        <w:tabs>
          <w:tab w:val="num" w:pos="2880"/>
        </w:tabs>
        <w:ind w:left="2880" w:hanging="360"/>
      </w:pPr>
      <w:rPr>
        <w:rFonts w:ascii="Times New Roman" w:hAnsi="Times New Roman" w:hint="default"/>
      </w:rPr>
    </w:lvl>
    <w:lvl w:ilvl="4" w:tplc="D1FEB446" w:tentative="1">
      <w:start w:val="1"/>
      <w:numFmt w:val="bullet"/>
      <w:lvlText w:val="-"/>
      <w:lvlJc w:val="left"/>
      <w:pPr>
        <w:tabs>
          <w:tab w:val="num" w:pos="3600"/>
        </w:tabs>
        <w:ind w:left="3600" w:hanging="360"/>
      </w:pPr>
      <w:rPr>
        <w:rFonts w:ascii="Times New Roman" w:hAnsi="Times New Roman" w:hint="default"/>
      </w:rPr>
    </w:lvl>
    <w:lvl w:ilvl="5" w:tplc="868AEBE6" w:tentative="1">
      <w:start w:val="1"/>
      <w:numFmt w:val="bullet"/>
      <w:lvlText w:val="-"/>
      <w:lvlJc w:val="left"/>
      <w:pPr>
        <w:tabs>
          <w:tab w:val="num" w:pos="4320"/>
        </w:tabs>
        <w:ind w:left="4320" w:hanging="360"/>
      </w:pPr>
      <w:rPr>
        <w:rFonts w:ascii="Times New Roman" w:hAnsi="Times New Roman" w:hint="default"/>
      </w:rPr>
    </w:lvl>
    <w:lvl w:ilvl="6" w:tplc="96FE2478" w:tentative="1">
      <w:start w:val="1"/>
      <w:numFmt w:val="bullet"/>
      <w:lvlText w:val="-"/>
      <w:lvlJc w:val="left"/>
      <w:pPr>
        <w:tabs>
          <w:tab w:val="num" w:pos="5040"/>
        </w:tabs>
        <w:ind w:left="5040" w:hanging="360"/>
      </w:pPr>
      <w:rPr>
        <w:rFonts w:ascii="Times New Roman" w:hAnsi="Times New Roman" w:hint="default"/>
      </w:rPr>
    </w:lvl>
    <w:lvl w:ilvl="7" w:tplc="890622F0" w:tentative="1">
      <w:start w:val="1"/>
      <w:numFmt w:val="bullet"/>
      <w:lvlText w:val="-"/>
      <w:lvlJc w:val="left"/>
      <w:pPr>
        <w:tabs>
          <w:tab w:val="num" w:pos="5760"/>
        </w:tabs>
        <w:ind w:left="5760" w:hanging="360"/>
      </w:pPr>
      <w:rPr>
        <w:rFonts w:ascii="Times New Roman" w:hAnsi="Times New Roman" w:hint="default"/>
      </w:rPr>
    </w:lvl>
    <w:lvl w:ilvl="8" w:tplc="B7DC1C8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981EEC"/>
    <w:multiLevelType w:val="hybridMultilevel"/>
    <w:tmpl w:val="DB9A5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3A7FD0"/>
    <w:multiLevelType w:val="hybridMultilevel"/>
    <w:tmpl w:val="393C3FDE"/>
    <w:lvl w:ilvl="0" w:tplc="944232FC">
      <w:start w:val="1"/>
      <w:numFmt w:val="bullet"/>
      <w:lvlText w:val="-"/>
      <w:lvlJc w:val="left"/>
      <w:pPr>
        <w:tabs>
          <w:tab w:val="num" w:pos="720"/>
        </w:tabs>
        <w:ind w:left="720" w:hanging="360"/>
      </w:pPr>
      <w:rPr>
        <w:rFonts w:ascii="Times New Roman" w:hAnsi="Times New Roman" w:hint="default"/>
      </w:rPr>
    </w:lvl>
    <w:lvl w:ilvl="1" w:tplc="4E7EA9DC" w:tentative="1">
      <w:start w:val="1"/>
      <w:numFmt w:val="bullet"/>
      <w:lvlText w:val="-"/>
      <w:lvlJc w:val="left"/>
      <w:pPr>
        <w:tabs>
          <w:tab w:val="num" w:pos="1440"/>
        </w:tabs>
        <w:ind w:left="1440" w:hanging="360"/>
      </w:pPr>
      <w:rPr>
        <w:rFonts w:ascii="Times New Roman" w:hAnsi="Times New Roman" w:hint="default"/>
      </w:rPr>
    </w:lvl>
    <w:lvl w:ilvl="2" w:tplc="CEDEA32E" w:tentative="1">
      <w:start w:val="1"/>
      <w:numFmt w:val="bullet"/>
      <w:lvlText w:val="-"/>
      <w:lvlJc w:val="left"/>
      <w:pPr>
        <w:tabs>
          <w:tab w:val="num" w:pos="2160"/>
        </w:tabs>
        <w:ind w:left="2160" w:hanging="360"/>
      </w:pPr>
      <w:rPr>
        <w:rFonts w:ascii="Times New Roman" w:hAnsi="Times New Roman" w:hint="default"/>
      </w:rPr>
    </w:lvl>
    <w:lvl w:ilvl="3" w:tplc="B26C6C62" w:tentative="1">
      <w:start w:val="1"/>
      <w:numFmt w:val="bullet"/>
      <w:lvlText w:val="-"/>
      <w:lvlJc w:val="left"/>
      <w:pPr>
        <w:tabs>
          <w:tab w:val="num" w:pos="2880"/>
        </w:tabs>
        <w:ind w:left="2880" w:hanging="360"/>
      </w:pPr>
      <w:rPr>
        <w:rFonts w:ascii="Times New Roman" w:hAnsi="Times New Roman" w:hint="default"/>
      </w:rPr>
    </w:lvl>
    <w:lvl w:ilvl="4" w:tplc="8090B3DE" w:tentative="1">
      <w:start w:val="1"/>
      <w:numFmt w:val="bullet"/>
      <w:lvlText w:val="-"/>
      <w:lvlJc w:val="left"/>
      <w:pPr>
        <w:tabs>
          <w:tab w:val="num" w:pos="3600"/>
        </w:tabs>
        <w:ind w:left="3600" w:hanging="360"/>
      </w:pPr>
      <w:rPr>
        <w:rFonts w:ascii="Times New Roman" w:hAnsi="Times New Roman" w:hint="default"/>
      </w:rPr>
    </w:lvl>
    <w:lvl w:ilvl="5" w:tplc="E7D09FAC" w:tentative="1">
      <w:start w:val="1"/>
      <w:numFmt w:val="bullet"/>
      <w:lvlText w:val="-"/>
      <w:lvlJc w:val="left"/>
      <w:pPr>
        <w:tabs>
          <w:tab w:val="num" w:pos="4320"/>
        </w:tabs>
        <w:ind w:left="4320" w:hanging="360"/>
      </w:pPr>
      <w:rPr>
        <w:rFonts w:ascii="Times New Roman" w:hAnsi="Times New Roman" w:hint="default"/>
      </w:rPr>
    </w:lvl>
    <w:lvl w:ilvl="6" w:tplc="1D00FD58" w:tentative="1">
      <w:start w:val="1"/>
      <w:numFmt w:val="bullet"/>
      <w:lvlText w:val="-"/>
      <w:lvlJc w:val="left"/>
      <w:pPr>
        <w:tabs>
          <w:tab w:val="num" w:pos="5040"/>
        </w:tabs>
        <w:ind w:left="5040" w:hanging="360"/>
      </w:pPr>
      <w:rPr>
        <w:rFonts w:ascii="Times New Roman" w:hAnsi="Times New Roman" w:hint="default"/>
      </w:rPr>
    </w:lvl>
    <w:lvl w:ilvl="7" w:tplc="E77880CC" w:tentative="1">
      <w:start w:val="1"/>
      <w:numFmt w:val="bullet"/>
      <w:lvlText w:val="-"/>
      <w:lvlJc w:val="left"/>
      <w:pPr>
        <w:tabs>
          <w:tab w:val="num" w:pos="5760"/>
        </w:tabs>
        <w:ind w:left="5760" w:hanging="360"/>
      </w:pPr>
      <w:rPr>
        <w:rFonts w:ascii="Times New Roman" w:hAnsi="Times New Roman" w:hint="default"/>
      </w:rPr>
    </w:lvl>
    <w:lvl w:ilvl="8" w:tplc="77D23ED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867306B"/>
    <w:multiLevelType w:val="hybridMultilevel"/>
    <w:tmpl w:val="924E1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A76DFD"/>
    <w:multiLevelType w:val="hybridMultilevel"/>
    <w:tmpl w:val="974A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F40666"/>
    <w:multiLevelType w:val="hybridMultilevel"/>
    <w:tmpl w:val="037CF7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010ED9"/>
    <w:multiLevelType w:val="hybridMultilevel"/>
    <w:tmpl w:val="9CD28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B73AC6"/>
    <w:multiLevelType w:val="hybridMultilevel"/>
    <w:tmpl w:val="F1D65DE6"/>
    <w:lvl w:ilvl="0" w:tplc="0C090001">
      <w:start w:val="1"/>
      <w:numFmt w:val="bullet"/>
      <w:lvlText w:val=""/>
      <w:lvlJc w:val="left"/>
      <w:pPr>
        <w:tabs>
          <w:tab w:val="num" w:pos="720"/>
        </w:tabs>
        <w:ind w:left="720" w:hanging="360"/>
      </w:pPr>
      <w:rPr>
        <w:rFonts w:ascii="Symbol" w:hAnsi="Symbol" w:hint="default"/>
      </w:rPr>
    </w:lvl>
    <w:lvl w:ilvl="1" w:tplc="4E7EA9DC" w:tentative="1">
      <w:start w:val="1"/>
      <w:numFmt w:val="bullet"/>
      <w:lvlText w:val="-"/>
      <w:lvlJc w:val="left"/>
      <w:pPr>
        <w:tabs>
          <w:tab w:val="num" w:pos="1440"/>
        </w:tabs>
        <w:ind w:left="1440" w:hanging="360"/>
      </w:pPr>
      <w:rPr>
        <w:rFonts w:ascii="Times New Roman" w:hAnsi="Times New Roman" w:hint="default"/>
      </w:rPr>
    </w:lvl>
    <w:lvl w:ilvl="2" w:tplc="CEDEA32E" w:tentative="1">
      <w:start w:val="1"/>
      <w:numFmt w:val="bullet"/>
      <w:lvlText w:val="-"/>
      <w:lvlJc w:val="left"/>
      <w:pPr>
        <w:tabs>
          <w:tab w:val="num" w:pos="2160"/>
        </w:tabs>
        <w:ind w:left="2160" w:hanging="360"/>
      </w:pPr>
      <w:rPr>
        <w:rFonts w:ascii="Times New Roman" w:hAnsi="Times New Roman" w:hint="default"/>
      </w:rPr>
    </w:lvl>
    <w:lvl w:ilvl="3" w:tplc="B26C6C62" w:tentative="1">
      <w:start w:val="1"/>
      <w:numFmt w:val="bullet"/>
      <w:lvlText w:val="-"/>
      <w:lvlJc w:val="left"/>
      <w:pPr>
        <w:tabs>
          <w:tab w:val="num" w:pos="2880"/>
        </w:tabs>
        <w:ind w:left="2880" w:hanging="360"/>
      </w:pPr>
      <w:rPr>
        <w:rFonts w:ascii="Times New Roman" w:hAnsi="Times New Roman" w:hint="default"/>
      </w:rPr>
    </w:lvl>
    <w:lvl w:ilvl="4" w:tplc="8090B3DE" w:tentative="1">
      <w:start w:val="1"/>
      <w:numFmt w:val="bullet"/>
      <w:lvlText w:val="-"/>
      <w:lvlJc w:val="left"/>
      <w:pPr>
        <w:tabs>
          <w:tab w:val="num" w:pos="3600"/>
        </w:tabs>
        <w:ind w:left="3600" w:hanging="360"/>
      </w:pPr>
      <w:rPr>
        <w:rFonts w:ascii="Times New Roman" w:hAnsi="Times New Roman" w:hint="default"/>
      </w:rPr>
    </w:lvl>
    <w:lvl w:ilvl="5" w:tplc="E7D09FAC" w:tentative="1">
      <w:start w:val="1"/>
      <w:numFmt w:val="bullet"/>
      <w:lvlText w:val="-"/>
      <w:lvlJc w:val="left"/>
      <w:pPr>
        <w:tabs>
          <w:tab w:val="num" w:pos="4320"/>
        </w:tabs>
        <w:ind w:left="4320" w:hanging="360"/>
      </w:pPr>
      <w:rPr>
        <w:rFonts w:ascii="Times New Roman" w:hAnsi="Times New Roman" w:hint="default"/>
      </w:rPr>
    </w:lvl>
    <w:lvl w:ilvl="6" w:tplc="1D00FD58" w:tentative="1">
      <w:start w:val="1"/>
      <w:numFmt w:val="bullet"/>
      <w:lvlText w:val="-"/>
      <w:lvlJc w:val="left"/>
      <w:pPr>
        <w:tabs>
          <w:tab w:val="num" w:pos="5040"/>
        </w:tabs>
        <w:ind w:left="5040" w:hanging="360"/>
      </w:pPr>
      <w:rPr>
        <w:rFonts w:ascii="Times New Roman" w:hAnsi="Times New Roman" w:hint="default"/>
      </w:rPr>
    </w:lvl>
    <w:lvl w:ilvl="7" w:tplc="E77880CC" w:tentative="1">
      <w:start w:val="1"/>
      <w:numFmt w:val="bullet"/>
      <w:lvlText w:val="-"/>
      <w:lvlJc w:val="left"/>
      <w:pPr>
        <w:tabs>
          <w:tab w:val="num" w:pos="5760"/>
        </w:tabs>
        <w:ind w:left="5760" w:hanging="360"/>
      </w:pPr>
      <w:rPr>
        <w:rFonts w:ascii="Times New Roman" w:hAnsi="Times New Roman" w:hint="default"/>
      </w:rPr>
    </w:lvl>
    <w:lvl w:ilvl="8" w:tplc="77D23ED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EF20FE"/>
    <w:multiLevelType w:val="hybridMultilevel"/>
    <w:tmpl w:val="AFFE51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685217"/>
    <w:multiLevelType w:val="hybridMultilevel"/>
    <w:tmpl w:val="D40A22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48D172E"/>
    <w:multiLevelType w:val="hybridMultilevel"/>
    <w:tmpl w:val="9300F6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AD1039"/>
    <w:multiLevelType w:val="hybridMultilevel"/>
    <w:tmpl w:val="3F60D6D6"/>
    <w:lvl w:ilvl="0" w:tplc="8AF42F2A">
      <w:start w:val="1"/>
      <w:numFmt w:val="decimal"/>
      <w:lvlText w:val="%1."/>
      <w:lvlJc w:val="left"/>
      <w:pPr>
        <w:tabs>
          <w:tab w:val="num" w:pos="720"/>
        </w:tabs>
        <w:ind w:left="720" w:hanging="360"/>
      </w:pPr>
    </w:lvl>
    <w:lvl w:ilvl="1" w:tplc="A920C872" w:tentative="1">
      <w:start w:val="1"/>
      <w:numFmt w:val="decimal"/>
      <w:lvlText w:val="%2."/>
      <w:lvlJc w:val="left"/>
      <w:pPr>
        <w:tabs>
          <w:tab w:val="num" w:pos="1440"/>
        </w:tabs>
        <w:ind w:left="1440" w:hanging="360"/>
      </w:pPr>
    </w:lvl>
    <w:lvl w:ilvl="2" w:tplc="6DCCB690" w:tentative="1">
      <w:start w:val="1"/>
      <w:numFmt w:val="decimal"/>
      <w:lvlText w:val="%3."/>
      <w:lvlJc w:val="left"/>
      <w:pPr>
        <w:tabs>
          <w:tab w:val="num" w:pos="2160"/>
        </w:tabs>
        <w:ind w:left="2160" w:hanging="360"/>
      </w:pPr>
    </w:lvl>
    <w:lvl w:ilvl="3" w:tplc="3820ABE0" w:tentative="1">
      <w:start w:val="1"/>
      <w:numFmt w:val="decimal"/>
      <w:lvlText w:val="%4."/>
      <w:lvlJc w:val="left"/>
      <w:pPr>
        <w:tabs>
          <w:tab w:val="num" w:pos="2880"/>
        </w:tabs>
        <w:ind w:left="2880" w:hanging="360"/>
      </w:pPr>
    </w:lvl>
    <w:lvl w:ilvl="4" w:tplc="249607B6" w:tentative="1">
      <w:start w:val="1"/>
      <w:numFmt w:val="decimal"/>
      <w:lvlText w:val="%5."/>
      <w:lvlJc w:val="left"/>
      <w:pPr>
        <w:tabs>
          <w:tab w:val="num" w:pos="3600"/>
        </w:tabs>
        <w:ind w:left="3600" w:hanging="360"/>
      </w:pPr>
    </w:lvl>
    <w:lvl w:ilvl="5" w:tplc="3294CFF6" w:tentative="1">
      <w:start w:val="1"/>
      <w:numFmt w:val="decimal"/>
      <w:lvlText w:val="%6."/>
      <w:lvlJc w:val="left"/>
      <w:pPr>
        <w:tabs>
          <w:tab w:val="num" w:pos="4320"/>
        </w:tabs>
        <w:ind w:left="4320" w:hanging="360"/>
      </w:pPr>
    </w:lvl>
    <w:lvl w:ilvl="6" w:tplc="CAF25F60" w:tentative="1">
      <w:start w:val="1"/>
      <w:numFmt w:val="decimal"/>
      <w:lvlText w:val="%7."/>
      <w:lvlJc w:val="left"/>
      <w:pPr>
        <w:tabs>
          <w:tab w:val="num" w:pos="5040"/>
        </w:tabs>
        <w:ind w:left="5040" w:hanging="360"/>
      </w:pPr>
    </w:lvl>
    <w:lvl w:ilvl="7" w:tplc="487E6468" w:tentative="1">
      <w:start w:val="1"/>
      <w:numFmt w:val="decimal"/>
      <w:lvlText w:val="%8."/>
      <w:lvlJc w:val="left"/>
      <w:pPr>
        <w:tabs>
          <w:tab w:val="num" w:pos="5760"/>
        </w:tabs>
        <w:ind w:left="5760" w:hanging="360"/>
      </w:pPr>
    </w:lvl>
    <w:lvl w:ilvl="8" w:tplc="42005D74" w:tentative="1">
      <w:start w:val="1"/>
      <w:numFmt w:val="decimal"/>
      <w:lvlText w:val="%9."/>
      <w:lvlJc w:val="left"/>
      <w:pPr>
        <w:tabs>
          <w:tab w:val="num" w:pos="6480"/>
        </w:tabs>
        <w:ind w:left="6480" w:hanging="360"/>
      </w:pPr>
    </w:lvl>
  </w:abstractNum>
  <w:abstractNum w:abstractNumId="3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4"/>
  </w:num>
  <w:num w:numId="3">
    <w:abstractNumId w:val="33"/>
  </w:num>
  <w:num w:numId="4">
    <w:abstractNumId w:val="8"/>
  </w:num>
  <w:num w:numId="5">
    <w:abstractNumId w:val="8"/>
    <w:lvlOverride w:ilvl="0">
      <w:startOverride w:val="1"/>
    </w:lvlOverride>
  </w:num>
  <w:num w:numId="6">
    <w:abstractNumId w:val="9"/>
  </w:num>
  <w:num w:numId="7">
    <w:abstractNumId w:val="19"/>
  </w:num>
  <w:num w:numId="8">
    <w:abstractNumId w:val="3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8"/>
  </w:num>
  <w:num w:numId="17">
    <w:abstractNumId w:val="11"/>
  </w:num>
  <w:num w:numId="18">
    <w:abstractNumId w:val="15"/>
  </w:num>
  <w:num w:numId="19">
    <w:abstractNumId w:val="18"/>
  </w:num>
  <w:num w:numId="20">
    <w:abstractNumId w:val="11"/>
  </w:num>
  <w:num w:numId="21">
    <w:abstractNumId w:val="18"/>
  </w:num>
  <w:num w:numId="22">
    <w:abstractNumId w:val="38"/>
  </w:num>
  <w:num w:numId="23">
    <w:abstractNumId w:val="24"/>
  </w:num>
  <w:num w:numId="24">
    <w:abstractNumId w:val="33"/>
  </w:num>
  <w:num w:numId="25">
    <w:abstractNumId w:val="8"/>
  </w:num>
  <w:num w:numId="26">
    <w:abstractNumId w:val="22"/>
  </w:num>
  <w:num w:numId="27">
    <w:abstractNumId w:val="34"/>
  </w:num>
  <w:num w:numId="28">
    <w:abstractNumId w:val="29"/>
  </w:num>
  <w:num w:numId="29">
    <w:abstractNumId w:val="27"/>
  </w:num>
  <w:num w:numId="30">
    <w:abstractNumId w:val="28"/>
  </w:num>
  <w:num w:numId="31">
    <w:abstractNumId w:val="14"/>
  </w:num>
  <w:num w:numId="32">
    <w:abstractNumId w:val="35"/>
  </w:num>
  <w:num w:numId="33">
    <w:abstractNumId w:val="30"/>
  </w:num>
  <w:num w:numId="34">
    <w:abstractNumId w:val="10"/>
  </w:num>
  <w:num w:numId="35">
    <w:abstractNumId w:val="36"/>
  </w:num>
  <w:num w:numId="36">
    <w:abstractNumId w:val="20"/>
  </w:num>
  <w:num w:numId="37">
    <w:abstractNumId w:val="21"/>
  </w:num>
  <w:num w:numId="38">
    <w:abstractNumId w:val="37"/>
  </w:num>
  <w:num w:numId="39">
    <w:abstractNumId w:val="23"/>
  </w:num>
  <w:num w:numId="40">
    <w:abstractNumId w:val="26"/>
  </w:num>
  <w:num w:numId="41">
    <w:abstractNumId w:val="13"/>
  </w:num>
  <w:num w:numId="42">
    <w:abstractNumId w:val="31"/>
  </w:num>
  <w:num w:numId="43">
    <w:abstractNumId w:val="17"/>
  </w:num>
  <w:num w:numId="44">
    <w:abstractNumId w:val="16"/>
  </w:num>
  <w:num w:numId="45">
    <w:abstractNumId w:val="2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6F"/>
    <w:rsid w:val="00003743"/>
    <w:rsid w:val="000047B4"/>
    <w:rsid w:val="00005712"/>
    <w:rsid w:val="00007FD8"/>
    <w:rsid w:val="000117F8"/>
    <w:rsid w:val="0001460F"/>
    <w:rsid w:val="000174A8"/>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1AD9"/>
    <w:rsid w:val="00093981"/>
    <w:rsid w:val="000A78A0"/>
    <w:rsid w:val="000B067A"/>
    <w:rsid w:val="000B1540"/>
    <w:rsid w:val="000B1E53"/>
    <w:rsid w:val="000B33FD"/>
    <w:rsid w:val="000B4ABA"/>
    <w:rsid w:val="000C461A"/>
    <w:rsid w:val="000C4B16"/>
    <w:rsid w:val="000C50C3"/>
    <w:rsid w:val="000C5E14"/>
    <w:rsid w:val="000C5EC7"/>
    <w:rsid w:val="000C6948"/>
    <w:rsid w:val="000D21F6"/>
    <w:rsid w:val="000D4500"/>
    <w:rsid w:val="000D7AEA"/>
    <w:rsid w:val="000E2C66"/>
    <w:rsid w:val="000E6749"/>
    <w:rsid w:val="000E6E51"/>
    <w:rsid w:val="000F123C"/>
    <w:rsid w:val="000F21A8"/>
    <w:rsid w:val="000F2FED"/>
    <w:rsid w:val="001001E3"/>
    <w:rsid w:val="0010616D"/>
    <w:rsid w:val="00106A2F"/>
    <w:rsid w:val="00106EA4"/>
    <w:rsid w:val="00110478"/>
    <w:rsid w:val="001129D3"/>
    <w:rsid w:val="00115317"/>
    <w:rsid w:val="0011711B"/>
    <w:rsid w:val="00117511"/>
    <w:rsid w:val="00117F8A"/>
    <w:rsid w:val="00121B9B"/>
    <w:rsid w:val="00122ADC"/>
    <w:rsid w:val="00130F59"/>
    <w:rsid w:val="00133EC0"/>
    <w:rsid w:val="00141CE5"/>
    <w:rsid w:val="00142216"/>
    <w:rsid w:val="00144908"/>
    <w:rsid w:val="0015553E"/>
    <w:rsid w:val="00156D96"/>
    <w:rsid w:val="001571C7"/>
    <w:rsid w:val="00161094"/>
    <w:rsid w:val="001738E7"/>
    <w:rsid w:val="0017665C"/>
    <w:rsid w:val="00177AD2"/>
    <w:rsid w:val="00180240"/>
    <w:rsid w:val="001815A8"/>
    <w:rsid w:val="001823F0"/>
    <w:rsid w:val="001840FA"/>
    <w:rsid w:val="00190079"/>
    <w:rsid w:val="0019622E"/>
    <w:rsid w:val="001966A7"/>
    <w:rsid w:val="001A4627"/>
    <w:rsid w:val="001A4979"/>
    <w:rsid w:val="001A760B"/>
    <w:rsid w:val="001B15D3"/>
    <w:rsid w:val="001B3443"/>
    <w:rsid w:val="001C0326"/>
    <w:rsid w:val="001C192F"/>
    <w:rsid w:val="001C3C42"/>
    <w:rsid w:val="001D7869"/>
    <w:rsid w:val="001F440B"/>
    <w:rsid w:val="00202015"/>
    <w:rsid w:val="002026CD"/>
    <w:rsid w:val="002033FC"/>
    <w:rsid w:val="002044BB"/>
    <w:rsid w:val="002073D5"/>
    <w:rsid w:val="00210B09"/>
    <w:rsid w:val="00210C9E"/>
    <w:rsid w:val="00211840"/>
    <w:rsid w:val="00220E5F"/>
    <w:rsid w:val="002212B5"/>
    <w:rsid w:val="00226668"/>
    <w:rsid w:val="00231C19"/>
    <w:rsid w:val="00233809"/>
    <w:rsid w:val="00237621"/>
    <w:rsid w:val="00240046"/>
    <w:rsid w:val="0024797F"/>
    <w:rsid w:val="0025119E"/>
    <w:rsid w:val="00251269"/>
    <w:rsid w:val="002535C0"/>
    <w:rsid w:val="0025763B"/>
    <w:rsid w:val="002579FE"/>
    <w:rsid w:val="0026311C"/>
    <w:rsid w:val="0026668C"/>
    <w:rsid w:val="00266AC1"/>
    <w:rsid w:val="0027178C"/>
    <w:rsid w:val="002719FA"/>
    <w:rsid w:val="00272668"/>
    <w:rsid w:val="0027330B"/>
    <w:rsid w:val="002803AD"/>
    <w:rsid w:val="0028181E"/>
    <w:rsid w:val="00282052"/>
    <w:rsid w:val="002831A3"/>
    <w:rsid w:val="0028519E"/>
    <w:rsid w:val="002856A5"/>
    <w:rsid w:val="002872ED"/>
    <w:rsid w:val="002905C2"/>
    <w:rsid w:val="00295AF2"/>
    <w:rsid w:val="00295C91"/>
    <w:rsid w:val="00297151"/>
    <w:rsid w:val="002A3E53"/>
    <w:rsid w:val="002A4593"/>
    <w:rsid w:val="002B20E6"/>
    <w:rsid w:val="002B42A3"/>
    <w:rsid w:val="002C0CDD"/>
    <w:rsid w:val="002C38C4"/>
    <w:rsid w:val="002E1A1D"/>
    <w:rsid w:val="002E2CF6"/>
    <w:rsid w:val="002E4081"/>
    <w:rsid w:val="002E5698"/>
    <w:rsid w:val="002E5B78"/>
    <w:rsid w:val="002E6132"/>
    <w:rsid w:val="002E727D"/>
    <w:rsid w:val="002F3AE3"/>
    <w:rsid w:val="0030464B"/>
    <w:rsid w:val="0030786C"/>
    <w:rsid w:val="003233DE"/>
    <w:rsid w:val="0032466B"/>
    <w:rsid w:val="003330EB"/>
    <w:rsid w:val="003415FD"/>
    <w:rsid w:val="003429F0"/>
    <w:rsid w:val="00345A82"/>
    <w:rsid w:val="0035097A"/>
    <w:rsid w:val="00354095"/>
    <w:rsid w:val="003540A4"/>
    <w:rsid w:val="00357BCC"/>
    <w:rsid w:val="00360E4E"/>
    <w:rsid w:val="00370AAA"/>
    <w:rsid w:val="00373575"/>
    <w:rsid w:val="00375F77"/>
    <w:rsid w:val="00381BBE"/>
    <w:rsid w:val="00382903"/>
    <w:rsid w:val="003846FF"/>
    <w:rsid w:val="003857D4"/>
    <w:rsid w:val="00385AD4"/>
    <w:rsid w:val="00387924"/>
    <w:rsid w:val="0039384D"/>
    <w:rsid w:val="00395C23"/>
    <w:rsid w:val="00395E9B"/>
    <w:rsid w:val="003A2E4F"/>
    <w:rsid w:val="003A4438"/>
    <w:rsid w:val="003A5013"/>
    <w:rsid w:val="003A5078"/>
    <w:rsid w:val="003A62DD"/>
    <w:rsid w:val="003A6F05"/>
    <w:rsid w:val="003A775A"/>
    <w:rsid w:val="003B213A"/>
    <w:rsid w:val="003B43AD"/>
    <w:rsid w:val="003B6D33"/>
    <w:rsid w:val="003C0A0E"/>
    <w:rsid w:val="003C0FEC"/>
    <w:rsid w:val="003C2AC8"/>
    <w:rsid w:val="003C69FA"/>
    <w:rsid w:val="003D033A"/>
    <w:rsid w:val="003D17F9"/>
    <w:rsid w:val="003D2D88"/>
    <w:rsid w:val="003D41EA"/>
    <w:rsid w:val="003D4850"/>
    <w:rsid w:val="003D535A"/>
    <w:rsid w:val="003E5265"/>
    <w:rsid w:val="003F0266"/>
    <w:rsid w:val="003F0955"/>
    <w:rsid w:val="003F1519"/>
    <w:rsid w:val="003F5F4D"/>
    <w:rsid w:val="003F646F"/>
    <w:rsid w:val="00400F00"/>
    <w:rsid w:val="00404F8B"/>
    <w:rsid w:val="00405256"/>
    <w:rsid w:val="00410031"/>
    <w:rsid w:val="00415C81"/>
    <w:rsid w:val="00421A46"/>
    <w:rsid w:val="00432378"/>
    <w:rsid w:val="00440D65"/>
    <w:rsid w:val="004435E6"/>
    <w:rsid w:val="00447E31"/>
    <w:rsid w:val="00453923"/>
    <w:rsid w:val="00454913"/>
    <w:rsid w:val="00454B9B"/>
    <w:rsid w:val="00457858"/>
    <w:rsid w:val="00460B0B"/>
    <w:rsid w:val="00461023"/>
    <w:rsid w:val="00461B26"/>
    <w:rsid w:val="00462FAC"/>
    <w:rsid w:val="00464631"/>
    <w:rsid w:val="00464B79"/>
    <w:rsid w:val="00467BBF"/>
    <w:rsid w:val="004708FE"/>
    <w:rsid w:val="00482232"/>
    <w:rsid w:val="0048593C"/>
    <w:rsid w:val="004867E2"/>
    <w:rsid w:val="004929A9"/>
    <w:rsid w:val="00492B6F"/>
    <w:rsid w:val="004A78D9"/>
    <w:rsid w:val="004B5F3D"/>
    <w:rsid w:val="004C6BCF"/>
    <w:rsid w:val="004D58BF"/>
    <w:rsid w:val="004E3E56"/>
    <w:rsid w:val="004E4335"/>
    <w:rsid w:val="004F13EE"/>
    <w:rsid w:val="004F2022"/>
    <w:rsid w:val="004F7C05"/>
    <w:rsid w:val="00501C94"/>
    <w:rsid w:val="00506432"/>
    <w:rsid w:val="00506E82"/>
    <w:rsid w:val="00511CD4"/>
    <w:rsid w:val="0052051D"/>
    <w:rsid w:val="00522C23"/>
    <w:rsid w:val="00523AA4"/>
    <w:rsid w:val="00532291"/>
    <w:rsid w:val="005415DC"/>
    <w:rsid w:val="00545EE6"/>
    <w:rsid w:val="005550E7"/>
    <w:rsid w:val="00555952"/>
    <w:rsid w:val="005564FB"/>
    <w:rsid w:val="005572C7"/>
    <w:rsid w:val="005650ED"/>
    <w:rsid w:val="00575754"/>
    <w:rsid w:val="0057743E"/>
    <w:rsid w:val="00581FBA"/>
    <w:rsid w:val="00591E20"/>
    <w:rsid w:val="00595408"/>
    <w:rsid w:val="00595E84"/>
    <w:rsid w:val="00597531"/>
    <w:rsid w:val="005A0C59"/>
    <w:rsid w:val="005A48EB"/>
    <w:rsid w:val="005A6CFB"/>
    <w:rsid w:val="005A7950"/>
    <w:rsid w:val="005C5AEB"/>
    <w:rsid w:val="005E0A3F"/>
    <w:rsid w:val="005E6883"/>
    <w:rsid w:val="005E772F"/>
    <w:rsid w:val="005F4ECA"/>
    <w:rsid w:val="005F600F"/>
    <w:rsid w:val="00602018"/>
    <w:rsid w:val="006041BE"/>
    <w:rsid w:val="006043C7"/>
    <w:rsid w:val="00614839"/>
    <w:rsid w:val="00624B52"/>
    <w:rsid w:val="00630794"/>
    <w:rsid w:val="00631DF4"/>
    <w:rsid w:val="00634175"/>
    <w:rsid w:val="006408AC"/>
    <w:rsid w:val="0064174C"/>
    <w:rsid w:val="006511B6"/>
    <w:rsid w:val="00651BB8"/>
    <w:rsid w:val="00657FF8"/>
    <w:rsid w:val="00670D99"/>
    <w:rsid w:val="00670E2B"/>
    <w:rsid w:val="006734BB"/>
    <w:rsid w:val="0067697A"/>
    <w:rsid w:val="006821EB"/>
    <w:rsid w:val="006B2286"/>
    <w:rsid w:val="006B56BB"/>
    <w:rsid w:val="006C5EC3"/>
    <w:rsid w:val="006C77A8"/>
    <w:rsid w:val="006D0DB1"/>
    <w:rsid w:val="006D4098"/>
    <w:rsid w:val="006D7681"/>
    <w:rsid w:val="006D7B2E"/>
    <w:rsid w:val="006E02EA"/>
    <w:rsid w:val="006E0968"/>
    <w:rsid w:val="006E2AF6"/>
    <w:rsid w:val="00701275"/>
    <w:rsid w:val="0070789B"/>
    <w:rsid w:val="00707F56"/>
    <w:rsid w:val="00713558"/>
    <w:rsid w:val="007204DA"/>
    <w:rsid w:val="00720D08"/>
    <w:rsid w:val="007263B9"/>
    <w:rsid w:val="007334F8"/>
    <w:rsid w:val="007339CD"/>
    <w:rsid w:val="00735704"/>
    <w:rsid w:val="007359D8"/>
    <w:rsid w:val="00736299"/>
    <w:rsid w:val="007362D4"/>
    <w:rsid w:val="00752FAD"/>
    <w:rsid w:val="0076672A"/>
    <w:rsid w:val="00771CC7"/>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1DAE"/>
    <w:rsid w:val="008127AF"/>
    <w:rsid w:val="00812B46"/>
    <w:rsid w:val="00815700"/>
    <w:rsid w:val="00822424"/>
    <w:rsid w:val="008264EB"/>
    <w:rsid w:val="00826B8F"/>
    <w:rsid w:val="00831E8A"/>
    <w:rsid w:val="00835C76"/>
    <w:rsid w:val="008376C7"/>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96DE2"/>
    <w:rsid w:val="008A022A"/>
    <w:rsid w:val="008A7438"/>
    <w:rsid w:val="008B1334"/>
    <w:rsid w:val="008B25C7"/>
    <w:rsid w:val="008C0278"/>
    <w:rsid w:val="008C24E9"/>
    <w:rsid w:val="008C2A5C"/>
    <w:rsid w:val="008D0533"/>
    <w:rsid w:val="008D42CB"/>
    <w:rsid w:val="008D48C9"/>
    <w:rsid w:val="008D6381"/>
    <w:rsid w:val="008D66AA"/>
    <w:rsid w:val="008E0C77"/>
    <w:rsid w:val="008E625F"/>
    <w:rsid w:val="008F264D"/>
    <w:rsid w:val="009040AE"/>
    <w:rsid w:val="009040E9"/>
    <w:rsid w:val="009074E1"/>
    <w:rsid w:val="009112F7"/>
    <w:rsid w:val="009122AF"/>
    <w:rsid w:val="00912D54"/>
    <w:rsid w:val="0091389F"/>
    <w:rsid w:val="0091629D"/>
    <w:rsid w:val="009208F7"/>
    <w:rsid w:val="00921649"/>
    <w:rsid w:val="00922517"/>
    <w:rsid w:val="00922722"/>
    <w:rsid w:val="009261E6"/>
    <w:rsid w:val="009268E1"/>
    <w:rsid w:val="009271EE"/>
    <w:rsid w:val="009344AE"/>
    <w:rsid w:val="009344DE"/>
    <w:rsid w:val="00940276"/>
    <w:rsid w:val="0094351F"/>
    <w:rsid w:val="00945E7F"/>
    <w:rsid w:val="009557C1"/>
    <w:rsid w:val="00960D6E"/>
    <w:rsid w:val="00974B59"/>
    <w:rsid w:val="0098340B"/>
    <w:rsid w:val="00984540"/>
    <w:rsid w:val="00986830"/>
    <w:rsid w:val="00990A1D"/>
    <w:rsid w:val="009924C3"/>
    <w:rsid w:val="00993102"/>
    <w:rsid w:val="009948D0"/>
    <w:rsid w:val="009A2834"/>
    <w:rsid w:val="009B1570"/>
    <w:rsid w:val="009B3AAF"/>
    <w:rsid w:val="009C6F10"/>
    <w:rsid w:val="009C73C0"/>
    <w:rsid w:val="009D02EC"/>
    <w:rsid w:val="009D148F"/>
    <w:rsid w:val="009D3D70"/>
    <w:rsid w:val="009D6E31"/>
    <w:rsid w:val="009E6F7E"/>
    <w:rsid w:val="009E7A57"/>
    <w:rsid w:val="009F4803"/>
    <w:rsid w:val="009F4F6A"/>
    <w:rsid w:val="009F5430"/>
    <w:rsid w:val="00A043AB"/>
    <w:rsid w:val="00A07B1E"/>
    <w:rsid w:val="00A13EB5"/>
    <w:rsid w:val="00A16E36"/>
    <w:rsid w:val="00A24961"/>
    <w:rsid w:val="00A24B10"/>
    <w:rsid w:val="00A277EF"/>
    <w:rsid w:val="00A30E9B"/>
    <w:rsid w:val="00A4512D"/>
    <w:rsid w:val="00A50244"/>
    <w:rsid w:val="00A57256"/>
    <w:rsid w:val="00A627D7"/>
    <w:rsid w:val="00A634D9"/>
    <w:rsid w:val="00A656C7"/>
    <w:rsid w:val="00A705AF"/>
    <w:rsid w:val="00A719F6"/>
    <w:rsid w:val="00A72454"/>
    <w:rsid w:val="00A77696"/>
    <w:rsid w:val="00A80557"/>
    <w:rsid w:val="00A81D33"/>
    <w:rsid w:val="00A8341C"/>
    <w:rsid w:val="00A930AE"/>
    <w:rsid w:val="00A962DC"/>
    <w:rsid w:val="00AA1A95"/>
    <w:rsid w:val="00AA260F"/>
    <w:rsid w:val="00AA262B"/>
    <w:rsid w:val="00AA5B81"/>
    <w:rsid w:val="00AB1EE7"/>
    <w:rsid w:val="00AB401C"/>
    <w:rsid w:val="00AB4B37"/>
    <w:rsid w:val="00AB5762"/>
    <w:rsid w:val="00AB6BAD"/>
    <w:rsid w:val="00AC2679"/>
    <w:rsid w:val="00AC47E0"/>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5781C"/>
    <w:rsid w:val="00B61129"/>
    <w:rsid w:val="00B67E7F"/>
    <w:rsid w:val="00B839B2"/>
    <w:rsid w:val="00B94252"/>
    <w:rsid w:val="00B9715A"/>
    <w:rsid w:val="00BA14BE"/>
    <w:rsid w:val="00BA1CF1"/>
    <w:rsid w:val="00BA2732"/>
    <w:rsid w:val="00BA293D"/>
    <w:rsid w:val="00BA49BC"/>
    <w:rsid w:val="00BA56B7"/>
    <w:rsid w:val="00BA650B"/>
    <w:rsid w:val="00BA7A1E"/>
    <w:rsid w:val="00BB2F6C"/>
    <w:rsid w:val="00BB3875"/>
    <w:rsid w:val="00BB5860"/>
    <w:rsid w:val="00BB6AAD"/>
    <w:rsid w:val="00BC4A19"/>
    <w:rsid w:val="00BC4E6D"/>
    <w:rsid w:val="00BC7AA6"/>
    <w:rsid w:val="00BD0617"/>
    <w:rsid w:val="00BD2E9B"/>
    <w:rsid w:val="00BD5402"/>
    <w:rsid w:val="00BD7FB2"/>
    <w:rsid w:val="00BF4563"/>
    <w:rsid w:val="00C00930"/>
    <w:rsid w:val="00C060AD"/>
    <w:rsid w:val="00C113BF"/>
    <w:rsid w:val="00C2176E"/>
    <w:rsid w:val="00C23430"/>
    <w:rsid w:val="00C27D67"/>
    <w:rsid w:val="00C4631F"/>
    <w:rsid w:val="00C47CDE"/>
    <w:rsid w:val="00C50E16"/>
    <w:rsid w:val="00C55258"/>
    <w:rsid w:val="00C704CB"/>
    <w:rsid w:val="00C82EEB"/>
    <w:rsid w:val="00C971DC"/>
    <w:rsid w:val="00CA16B7"/>
    <w:rsid w:val="00CA62AE"/>
    <w:rsid w:val="00CB38F6"/>
    <w:rsid w:val="00CB5B1A"/>
    <w:rsid w:val="00CC220B"/>
    <w:rsid w:val="00CC5C43"/>
    <w:rsid w:val="00CD02AE"/>
    <w:rsid w:val="00CD2A4F"/>
    <w:rsid w:val="00CE03CA"/>
    <w:rsid w:val="00CE22F1"/>
    <w:rsid w:val="00CE50F2"/>
    <w:rsid w:val="00CE6502"/>
    <w:rsid w:val="00CE77C8"/>
    <w:rsid w:val="00CF1E3F"/>
    <w:rsid w:val="00CF7D3C"/>
    <w:rsid w:val="00D01F09"/>
    <w:rsid w:val="00D02F44"/>
    <w:rsid w:val="00D04505"/>
    <w:rsid w:val="00D07087"/>
    <w:rsid w:val="00D10FEE"/>
    <w:rsid w:val="00D147EB"/>
    <w:rsid w:val="00D272D6"/>
    <w:rsid w:val="00D33B68"/>
    <w:rsid w:val="00D34667"/>
    <w:rsid w:val="00D401E1"/>
    <w:rsid w:val="00D408B4"/>
    <w:rsid w:val="00D524C8"/>
    <w:rsid w:val="00D63BA9"/>
    <w:rsid w:val="00D65099"/>
    <w:rsid w:val="00D70E24"/>
    <w:rsid w:val="00D71689"/>
    <w:rsid w:val="00D72B61"/>
    <w:rsid w:val="00DA3D1D"/>
    <w:rsid w:val="00DA77DC"/>
    <w:rsid w:val="00DB6286"/>
    <w:rsid w:val="00DB645F"/>
    <w:rsid w:val="00DB7528"/>
    <w:rsid w:val="00DB76E9"/>
    <w:rsid w:val="00DC0A67"/>
    <w:rsid w:val="00DC1D5E"/>
    <w:rsid w:val="00DC5220"/>
    <w:rsid w:val="00DD2061"/>
    <w:rsid w:val="00DD7DAB"/>
    <w:rsid w:val="00DE190F"/>
    <w:rsid w:val="00DE3355"/>
    <w:rsid w:val="00DF0C60"/>
    <w:rsid w:val="00DF486F"/>
    <w:rsid w:val="00DF5B5B"/>
    <w:rsid w:val="00DF6CB4"/>
    <w:rsid w:val="00DF7619"/>
    <w:rsid w:val="00E042D8"/>
    <w:rsid w:val="00E07EE7"/>
    <w:rsid w:val="00E1103B"/>
    <w:rsid w:val="00E12C9E"/>
    <w:rsid w:val="00E13084"/>
    <w:rsid w:val="00E17B44"/>
    <w:rsid w:val="00E20F27"/>
    <w:rsid w:val="00E22443"/>
    <w:rsid w:val="00E25B1F"/>
    <w:rsid w:val="00E27FEA"/>
    <w:rsid w:val="00E33D73"/>
    <w:rsid w:val="00E4086F"/>
    <w:rsid w:val="00E41AA8"/>
    <w:rsid w:val="00E42BCE"/>
    <w:rsid w:val="00E43B3C"/>
    <w:rsid w:val="00E50188"/>
    <w:rsid w:val="00E50BB3"/>
    <w:rsid w:val="00E515CB"/>
    <w:rsid w:val="00E52260"/>
    <w:rsid w:val="00E56CD5"/>
    <w:rsid w:val="00E639B6"/>
    <w:rsid w:val="00E6434B"/>
    <w:rsid w:val="00E6463D"/>
    <w:rsid w:val="00E72E9B"/>
    <w:rsid w:val="00E850C3"/>
    <w:rsid w:val="00E87DF2"/>
    <w:rsid w:val="00E9462E"/>
    <w:rsid w:val="00EA470E"/>
    <w:rsid w:val="00EA47A7"/>
    <w:rsid w:val="00EA57EB"/>
    <w:rsid w:val="00EB1A04"/>
    <w:rsid w:val="00EB3226"/>
    <w:rsid w:val="00EC213A"/>
    <w:rsid w:val="00EC7744"/>
    <w:rsid w:val="00ED0DAD"/>
    <w:rsid w:val="00ED0F46"/>
    <w:rsid w:val="00ED2373"/>
    <w:rsid w:val="00ED48EC"/>
    <w:rsid w:val="00EE3E8A"/>
    <w:rsid w:val="00EF4702"/>
    <w:rsid w:val="00EF58B8"/>
    <w:rsid w:val="00EF6ECA"/>
    <w:rsid w:val="00F00FB0"/>
    <w:rsid w:val="00F024E1"/>
    <w:rsid w:val="00F06C10"/>
    <w:rsid w:val="00F1096F"/>
    <w:rsid w:val="00F12589"/>
    <w:rsid w:val="00F12595"/>
    <w:rsid w:val="00F134D9"/>
    <w:rsid w:val="00F13A6C"/>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2475"/>
    <w:rsid w:val="00F93F08"/>
    <w:rsid w:val="00F94CED"/>
    <w:rsid w:val="00FA02BB"/>
    <w:rsid w:val="00FA2CEE"/>
    <w:rsid w:val="00FA318C"/>
    <w:rsid w:val="00FB6F92"/>
    <w:rsid w:val="00FB72D5"/>
    <w:rsid w:val="00FC026E"/>
    <w:rsid w:val="00FC4A5D"/>
    <w:rsid w:val="00FC5124"/>
    <w:rsid w:val="00FD4731"/>
    <w:rsid w:val="00FD6768"/>
    <w:rsid w:val="00FD6987"/>
    <w:rsid w:val="00FD7620"/>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3AAB8"/>
  <w15:docId w15:val="{3EFA7A50-A34D-4EDF-B3A8-8387C698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List Paragraph,Recommendation,List Paragraph1,List Paragraph11,L,Bullet point,List Paragraph111,F5 List Paragraph,Dot pt,CV text,Table text,Medium Grid 1 - Accent 21,Numbered Paragraph,List Paragraph2,NFP GP Bulleted List,FooterText,列出段"/>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paragraph" w:customStyle="1" w:styleId="Paragraphtext">
    <w:name w:val="Paragraph text"/>
    <w:basedOn w:val="Normal"/>
    <w:qFormat/>
    <w:rsid w:val="00492B6F"/>
    <w:pPr>
      <w:spacing w:after="60" w:line="240" w:lineRule="auto"/>
    </w:pPr>
    <w:rPr>
      <w:sz w:val="21"/>
    </w:rPr>
  </w:style>
  <w:style w:type="paragraph" w:styleId="PlainText">
    <w:name w:val="Plain Text"/>
    <w:basedOn w:val="Normal"/>
    <w:link w:val="PlainTextChar"/>
    <w:uiPriority w:val="99"/>
    <w:unhideWhenUsed/>
    <w:rsid w:val="00492B6F"/>
    <w:pPr>
      <w:spacing w:before="0" w:after="0" w:line="240" w:lineRule="auto"/>
    </w:pPr>
    <w:rPr>
      <w:rFonts w:ascii="Calibri" w:eastAsiaTheme="minorHAnsi" w:hAnsi="Calibri" w:cs="Calibri"/>
      <w:color w:val="auto"/>
      <w:szCs w:val="22"/>
    </w:rPr>
  </w:style>
  <w:style w:type="character" w:customStyle="1" w:styleId="PlainTextChar">
    <w:name w:val="Plain Text Char"/>
    <w:basedOn w:val="DefaultParagraphFont"/>
    <w:link w:val="PlainText"/>
    <w:uiPriority w:val="99"/>
    <w:rsid w:val="00492B6F"/>
    <w:rPr>
      <w:rFonts w:ascii="Calibri" w:eastAsiaTheme="minorHAnsi" w:hAnsi="Calibri" w:cs="Calibri"/>
      <w:sz w:val="22"/>
      <w:szCs w:val="22"/>
      <w:lang w:eastAsia="en-US"/>
    </w:rPr>
  </w:style>
  <w:style w:type="character" w:customStyle="1" w:styleId="ListParagraphChar">
    <w:name w:val="List Paragraph Char"/>
    <w:aliases w:val="#List Paragraph Char,Recommendation Char,List Paragraph1 Char,List Paragraph11 Char,L Char,Bullet point Char,List Paragraph111 Char,F5 List Paragraph Char,Dot pt Char,CV text Char,Table text Char,Medium Grid 1 - Accent 21 Char"/>
    <w:basedOn w:val="DefaultParagraphFont"/>
    <w:link w:val="ListParagraph"/>
    <w:uiPriority w:val="34"/>
    <w:qFormat/>
    <w:rsid w:val="00492B6F"/>
    <w:rPr>
      <w:rFonts w:ascii="Arial" w:hAnsi="Arial"/>
      <w:color w:val="000000" w:themeColor="text1"/>
      <w:sz w:val="22"/>
      <w:szCs w:val="24"/>
      <w:lang w:eastAsia="en-US"/>
    </w:rPr>
  </w:style>
  <w:style w:type="paragraph" w:customStyle="1" w:styleId="Tablecolumnheadings">
    <w:name w:val="Table column headings"/>
    <w:basedOn w:val="ListParagraph"/>
    <w:qFormat/>
    <w:rsid w:val="000A78A0"/>
    <w:pPr>
      <w:keepNext/>
      <w:spacing w:before="40" w:after="40" w:line="240" w:lineRule="atLeast"/>
      <w:ind w:left="0" w:right="119"/>
      <w:contextualSpacing w:val="0"/>
    </w:pPr>
    <w:rPr>
      <w:rFonts w:ascii="Arial Narrow" w:eastAsiaTheme="minorHAnsi" w:hAnsi="Arial Narrow" w:cs="Arial"/>
      <w:b/>
      <w:color w:val="FFFFFF" w:themeColor="background1"/>
      <w:sz w:val="20"/>
      <w:szCs w:val="22"/>
    </w:rPr>
  </w:style>
  <w:style w:type="paragraph" w:customStyle="1" w:styleId="Bullet2">
    <w:name w:val="Bullet 2"/>
    <w:basedOn w:val="ListParagraph"/>
    <w:link w:val="Bullet2Char"/>
    <w:qFormat/>
    <w:rsid w:val="0064174C"/>
    <w:pPr>
      <w:spacing w:before="60" w:after="60" w:line="240" w:lineRule="auto"/>
      <w:ind w:left="0"/>
      <w:contextualSpacing w:val="0"/>
    </w:pPr>
    <w:rPr>
      <w:rFonts w:cstheme="minorHAnsi"/>
      <w:color w:val="auto"/>
      <w:sz w:val="24"/>
      <w:szCs w:val="28"/>
      <w:lang w:eastAsia="en-AU"/>
    </w:rPr>
  </w:style>
  <w:style w:type="character" w:customStyle="1" w:styleId="Bullet2Char">
    <w:name w:val="Bullet 2 Char"/>
    <w:basedOn w:val="DefaultParagraphFont"/>
    <w:link w:val="Bullet2"/>
    <w:rsid w:val="0064174C"/>
    <w:rPr>
      <w:rFonts w:ascii="Arial" w:hAnsi="Arial" w:cstheme="minorHAnsi"/>
      <w:sz w:val="24"/>
      <w:szCs w:val="28"/>
    </w:rPr>
  </w:style>
  <w:style w:type="paragraph" w:customStyle="1" w:styleId="Bullet3">
    <w:name w:val="Bullet 3"/>
    <w:basedOn w:val="ListParagraph"/>
    <w:link w:val="Bullet3Char"/>
    <w:qFormat/>
    <w:rsid w:val="0064174C"/>
    <w:pPr>
      <w:numPr>
        <w:ilvl w:val="1"/>
        <w:numId w:val="37"/>
      </w:numPr>
      <w:autoSpaceDE w:val="0"/>
      <w:autoSpaceDN w:val="0"/>
      <w:adjustRightInd w:val="0"/>
      <w:spacing w:before="60" w:after="60" w:line="240" w:lineRule="auto"/>
      <w:contextualSpacing w:val="0"/>
    </w:pPr>
    <w:rPr>
      <w:rFonts w:cs="Arial"/>
      <w:color w:val="auto"/>
      <w:sz w:val="24"/>
      <w:szCs w:val="20"/>
      <w:lang w:eastAsia="en-AU"/>
    </w:rPr>
  </w:style>
  <w:style w:type="character" w:customStyle="1" w:styleId="Bullet3Char">
    <w:name w:val="Bullet 3 Char"/>
    <w:basedOn w:val="DefaultParagraphFont"/>
    <w:link w:val="Bullet3"/>
    <w:rsid w:val="0064174C"/>
    <w:rPr>
      <w:rFonts w:ascii="Arial" w:hAnsi="Arial" w:cs="Arial"/>
      <w:sz w:val="24"/>
    </w:rPr>
  </w:style>
  <w:style w:type="character" w:styleId="UnresolvedMention">
    <w:name w:val="Unresolved Mention"/>
    <w:basedOn w:val="DefaultParagraphFont"/>
    <w:uiPriority w:val="99"/>
    <w:semiHidden/>
    <w:unhideWhenUsed/>
    <w:rsid w:val="00511CD4"/>
    <w:rPr>
      <w:color w:val="605E5C"/>
      <w:shd w:val="clear" w:color="auto" w:fill="E1DFDD"/>
    </w:rPr>
  </w:style>
  <w:style w:type="character" w:styleId="CommentReference">
    <w:name w:val="annotation reference"/>
    <w:basedOn w:val="DefaultParagraphFont"/>
    <w:semiHidden/>
    <w:unhideWhenUsed/>
    <w:rsid w:val="00202015"/>
    <w:rPr>
      <w:sz w:val="16"/>
      <w:szCs w:val="16"/>
    </w:rPr>
  </w:style>
  <w:style w:type="paragraph" w:styleId="CommentText">
    <w:name w:val="annotation text"/>
    <w:basedOn w:val="Normal"/>
    <w:link w:val="CommentTextChar"/>
    <w:unhideWhenUsed/>
    <w:rsid w:val="00202015"/>
    <w:pPr>
      <w:spacing w:line="240" w:lineRule="auto"/>
    </w:pPr>
    <w:rPr>
      <w:sz w:val="20"/>
      <w:szCs w:val="20"/>
    </w:rPr>
  </w:style>
  <w:style w:type="character" w:customStyle="1" w:styleId="CommentTextChar">
    <w:name w:val="Comment Text Char"/>
    <w:basedOn w:val="DefaultParagraphFont"/>
    <w:link w:val="CommentText"/>
    <w:rsid w:val="0020201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202015"/>
    <w:rPr>
      <w:b/>
      <w:bCs/>
    </w:rPr>
  </w:style>
  <w:style w:type="character" w:customStyle="1" w:styleId="CommentSubjectChar">
    <w:name w:val="Comment Subject Char"/>
    <w:basedOn w:val="CommentTextChar"/>
    <w:link w:val="CommentSubject"/>
    <w:semiHidden/>
    <w:rsid w:val="00202015"/>
    <w:rPr>
      <w:rFonts w:ascii="Arial" w:hAnsi="Arial"/>
      <w:b/>
      <w:bCs/>
      <w:color w:val="000000" w:themeColor="text1"/>
      <w:lang w:eastAsia="en-US"/>
    </w:rPr>
  </w:style>
  <w:style w:type="paragraph" w:customStyle="1" w:styleId="Default">
    <w:name w:val="Default"/>
    <w:rsid w:val="0011531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B5F3D"/>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4084331">
      <w:bodyDiv w:val="1"/>
      <w:marLeft w:val="0"/>
      <w:marRight w:val="0"/>
      <w:marTop w:val="0"/>
      <w:marBottom w:val="0"/>
      <w:divBdr>
        <w:top w:val="none" w:sz="0" w:space="0" w:color="auto"/>
        <w:left w:val="none" w:sz="0" w:space="0" w:color="auto"/>
        <w:bottom w:val="none" w:sz="0" w:space="0" w:color="auto"/>
        <w:right w:val="none" w:sz="0" w:space="0" w:color="auto"/>
      </w:divBdr>
      <w:divsChild>
        <w:div w:id="1973094647">
          <w:marLeft w:val="547"/>
          <w:marRight w:val="0"/>
          <w:marTop w:val="60"/>
          <w:marBottom w:val="120"/>
          <w:divBdr>
            <w:top w:val="none" w:sz="0" w:space="0" w:color="auto"/>
            <w:left w:val="none" w:sz="0" w:space="0" w:color="auto"/>
            <w:bottom w:val="none" w:sz="0" w:space="0" w:color="auto"/>
            <w:right w:val="none" w:sz="0" w:space="0" w:color="auto"/>
          </w:divBdr>
        </w:div>
        <w:div w:id="1947347822">
          <w:marLeft w:val="547"/>
          <w:marRight w:val="0"/>
          <w:marTop w:val="60"/>
          <w:marBottom w:val="120"/>
          <w:divBdr>
            <w:top w:val="none" w:sz="0" w:space="0" w:color="auto"/>
            <w:left w:val="none" w:sz="0" w:space="0" w:color="auto"/>
            <w:bottom w:val="none" w:sz="0" w:space="0" w:color="auto"/>
            <w:right w:val="none" w:sz="0" w:space="0" w:color="auto"/>
          </w:divBdr>
        </w:div>
      </w:divsChild>
    </w:div>
    <w:div w:id="1021467877">
      <w:bodyDiv w:val="1"/>
      <w:marLeft w:val="0"/>
      <w:marRight w:val="0"/>
      <w:marTop w:val="0"/>
      <w:marBottom w:val="0"/>
      <w:divBdr>
        <w:top w:val="none" w:sz="0" w:space="0" w:color="auto"/>
        <w:left w:val="none" w:sz="0" w:space="0" w:color="auto"/>
        <w:bottom w:val="none" w:sz="0" w:space="0" w:color="auto"/>
        <w:right w:val="none" w:sz="0" w:space="0" w:color="auto"/>
      </w:divBdr>
      <w:divsChild>
        <w:div w:id="1877885654">
          <w:marLeft w:val="274"/>
          <w:marRight w:val="0"/>
          <w:marTop w:val="0"/>
          <w:marBottom w:val="0"/>
          <w:divBdr>
            <w:top w:val="none" w:sz="0" w:space="0" w:color="auto"/>
            <w:left w:val="none" w:sz="0" w:space="0" w:color="auto"/>
            <w:bottom w:val="none" w:sz="0" w:space="0" w:color="auto"/>
            <w:right w:val="none" w:sz="0" w:space="0" w:color="auto"/>
          </w:divBdr>
        </w:div>
        <w:div w:id="1672567193">
          <w:marLeft w:val="274"/>
          <w:marRight w:val="0"/>
          <w:marTop w:val="0"/>
          <w:marBottom w:val="0"/>
          <w:divBdr>
            <w:top w:val="none" w:sz="0" w:space="0" w:color="auto"/>
            <w:left w:val="none" w:sz="0" w:space="0" w:color="auto"/>
            <w:bottom w:val="none" w:sz="0" w:space="0" w:color="auto"/>
            <w:right w:val="none" w:sz="0" w:space="0" w:color="auto"/>
          </w:divBdr>
        </w:div>
        <w:div w:id="2045404662">
          <w:marLeft w:val="274"/>
          <w:marRight w:val="0"/>
          <w:marTop w:val="0"/>
          <w:marBottom w:val="0"/>
          <w:divBdr>
            <w:top w:val="none" w:sz="0" w:space="0" w:color="auto"/>
            <w:left w:val="none" w:sz="0" w:space="0" w:color="auto"/>
            <w:bottom w:val="none" w:sz="0" w:space="0" w:color="auto"/>
            <w:right w:val="none" w:sz="0" w:space="0" w:color="auto"/>
          </w:divBdr>
        </w:div>
        <w:div w:id="698432086">
          <w:marLeft w:val="274"/>
          <w:marRight w:val="0"/>
          <w:marTop w:val="0"/>
          <w:marBottom w:val="0"/>
          <w:divBdr>
            <w:top w:val="none" w:sz="0" w:space="0" w:color="auto"/>
            <w:left w:val="none" w:sz="0" w:space="0" w:color="auto"/>
            <w:bottom w:val="none" w:sz="0" w:space="0" w:color="auto"/>
            <w:right w:val="none" w:sz="0" w:space="0" w:color="auto"/>
          </w:divBdr>
        </w:div>
        <w:div w:id="767653438">
          <w:marLeft w:val="274"/>
          <w:marRight w:val="0"/>
          <w:marTop w:val="0"/>
          <w:marBottom w:val="0"/>
          <w:divBdr>
            <w:top w:val="none" w:sz="0" w:space="0" w:color="auto"/>
            <w:left w:val="none" w:sz="0" w:space="0" w:color="auto"/>
            <w:bottom w:val="none" w:sz="0" w:space="0" w:color="auto"/>
            <w:right w:val="none" w:sz="0" w:space="0" w:color="auto"/>
          </w:divBdr>
        </w:div>
        <w:div w:id="542257698">
          <w:marLeft w:val="274"/>
          <w:marRight w:val="0"/>
          <w:marTop w:val="0"/>
          <w:marBottom w:val="0"/>
          <w:divBdr>
            <w:top w:val="none" w:sz="0" w:space="0" w:color="auto"/>
            <w:left w:val="none" w:sz="0" w:space="0" w:color="auto"/>
            <w:bottom w:val="none" w:sz="0" w:space="0" w:color="auto"/>
            <w:right w:val="none" w:sz="0" w:space="0" w:color="auto"/>
          </w:divBdr>
        </w:div>
        <w:div w:id="216481513">
          <w:marLeft w:val="274"/>
          <w:marRight w:val="0"/>
          <w:marTop w:val="0"/>
          <w:marBottom w:val="0"/>
          <w:divBdr>
            <w:top w:val="none" w:sz="0" w:space="0" w:color="auto"/>
            <w:left w:val="none" w:sz="0" w:space="0" w:color="auto"/>
            <w:bottom w:val="none" w:sz="0" w:space="0" w:color="auto"/>
            <w:right w:val="none" w:sz="0" w:space="0" w:color="auto"/>
          </w:divBdr>
        </w:div>
        <w:div w:id="1229464906">
          <w:marLeft w:val="274"/>
          <w:marRight w:val="0"/>
          <w:marTop w:val="0"/>
          <w:marBottom w:val="0"/>
          <w:divBdr>
            <w:top w:val="none" w:sz="0" w:space="0" w:color="auto"/>
            <w:left w:val="none" w:sz="0" w:space="0" w:color="auto"/>
            <w:bottom w:val="none" w:sz="0" w:space="0" w:color="auto"/>
            <w:right w:val="none" w:sz="0" w:space="0" w:color="auto"/>
          </w:divBdr>
        </w:div>
        <w:div w:id="954946774">
          <w:marLeft w:val="274"/>
          <w:marRight w:val="0"/>
          <w:marTop w:val="0"/>
          <w:marBottom w:val="0"/>
          <w:divBdr>
            <w:top w:val="none" w:sz="0" w:space="0" w:color="auto"/>
            <w:left w:val="none" w:sz="0" w:space="0" w:color="auto"/>
            <w:bottom w:val="none" w:sz="0" w:space="0" w:color="auto"/>
            <w:right w:val="none" w:sz="0" w:space="0" w:color="auto"/>
          </w:divBdr>
        </w:div>
        <w:div w:id="1959532711">
          <w:marLeft w:val="274"/>
          <w:marRight w:val="0"/>
          <w:marTop w:val="0"/>
          <w:marBottom w:val="0"/>
          <w:divBdr>
            <w:top w:val="none" w:sz="0" w:space="0" w:color="auto"/>
            <w:left w:val="none" w:sz="0" w:space="0" w:color="auto"/>
            <w:bottom w:val="none" w:sz="0" w:space="0" w:color="auto"/>
            <w:right w:val="none" w:sz="0" w:space="0" w:color="auto"/>
          </w:divBdr>
        </w:div>
      </w:divsChild>
    </w:div>
    <w:div w:id="103831884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11148627">
      <w:bodyDiv w:val="1"/>
      <w:marLeft w:val="0"/>
      <w:marRight w:val="0"/>
      <w:marTop w:val="0"/>
      <w:marBottom w:val="0"/>
      <w:divBdr>
        <w:top w:val="none" w:sz="0" w:space="0" w:color="auto"/>
        <w:left w:val="none" w:sz="0" w:space="0" w:color="auto"/>
        <w:bottom w:val="none" w:sz="0" w:space="0" w:color="auto"/>
        <w:right w:val="none" w:sz="0" w:space="0" w:color="auto"/>
      </w:divBdr>
    </w:div>
    <w:div w:id="1423717779">
      <w:bodyDiv w:val="1"/>
      <w:marLeft w:val="0"/>
      <w:marRight w:val="0"/>
      <w:marTop w:val="0"/>
      <w:marBottom w:val="0"/>
      <w:divBdr>
        <w:top w:val="none" w:sz="0" w:space="0" w:color="auto"/>
        <w:left w:val="none" w:sz="0" w:space="0" w:color="auto"/>
        <w:bottom w:val="none" w:sz="0" w:space="0" w:color="auto"/>
        <w:right w:val="none" w:sz="0" w:space="0" w:color="auto"/>
      </w:divBdr>
      <w:divsChild>
        <w:div w:id="2046715670">
          <w:marLeft w:val="360"/>
          <w:marRight w:val="0"/>
          <w:marTop w:val="200"/>
          <w:marBottom w:val="0"/>
          <w:divBdr>
            <w:top w:val="none" w:sz="0" w:space="0" w:color="auto"/>
            <w:left w:val="none" w:sz="0" w:space="0" w:color="auto"/>
            <w:bottom w:val="none" w:sz="0" w:space="0" w:color="auto"/>
            <w:right w:val="none" w:sz="0" w:space="0" w:color="auto"/>
          </w:divBdr>
        </w:div>
        <w:div w:id="1548688945">
          <w:marLeft w:val="360"/>
          <w:marRight w:val="0"/>
          <w:marTop w:val="200"/>
          <w:marBottom w:val="0"/>
          <w:divBdr>
            <w:top w:val="none" w:sz="0" w:space="0" w:color="auto"/>
            <w:left w:val="none" w:sz="0" w:space="0" w:color="auto"/>
            <w:bottom w:val="none" w:sz="0" w:space="0" w:color="auto"/>
            <w:right w:val="none" w:sz="0" w:space="0" w:color="auto"/>
          </w:divBdr>
        </w:div>
      </w:divsChild>
    </w:div>
    <w:div w:id="1842117578">
      <w:bodyDiv w:val="1"/>
      <w:marLeft w:val="0"/>
      <w:marRight w:val="0"/>
      <w:marTop w:val="0"/>
      <w:marBottom w:val="0"/>
      <w:divBdr>
        <w:top w:val="none" w:sz="0" w:space="0" w:color="auto"/>
        <w:left w:val="none" w:sz="0" w:space="0" w:color="auto"/>
        <w:bottom w:val="none" w:sz="0" w:space="0" w:color="auto"/>
        <w:right w:val="none" w:sz="0" w:space="0" w:color="auto"/>
      </w:divBdr>
      <w:divsChild>
        <w:div w:id="1766802911">
          <w:marLeft w:val="274"/>
          <w:marRight w:val="0"/>
          <w:marTop w:val="0"/>
          <w:marBottom w:val="0"/>
          <w:divBdr>
            <w:top w:val="none" w:sz="0" w:space="0" w:color="auto"/>
            <w:left w:val="none" w:sz="0" w:space="0" w:color="auto"/>
            <w:bottom w:val="none" w:sz="0" w:space="0" w:color="auto"/>
            <w:right w:val="none" w:sz="0" w:space="0" w:color="auto"/>
          </w:divBdr>
        </w:div>
        <w:div w:id="1776438406">
          <w:marLeft w:val="274"/>
          <w:marRight w:val="0"/>
          <w:marTop w:val="0"/>
          <w:marBottom w:val="0"/>
          <w:divBdr>
            <w:top w:val="none" w:sz="0" w:space="0" w:color="auto"/>
            <w:left w:val="none" w:sz="0" w:space="0" w:color="auto"/>
            <w:bottom w:val="none" w:sz="0" w:space="0" w:color="auto"/>
            <w:right w:val="none" w:sz="0" w:space="0" w:color="auto"/>
          </w:divBdr>
        </w:div>
        <w:div w:id="108669262">
          <w:marLeft w:val="274"/>
          <w:marRight w:val="0"/>
          <w:marTop w:val="0"/>
          <w:marBottom w:val="0"/>
          <w:divBdr>
            <w:top w:val="none" w:sz="0" w:space="0" w:color="auto"/>
            <w:left w:val="none" w:sz="0" w:space="0" w:color="auto"/>
            <w:bottom w:val="none" w:sz="0" w:space="0" w:color="auto"/>
            <w:right w:val="none" w:sz="0" w:space="0" w:color="auto"/>
          </w:divBdr>
        </w:div>
        <w:div w:id="2131169070">
          <w:marLeft w:val="274"/>
          <w:marRight w:val="0"/>
          <w:marTop w:val="0"/>
          <w:marBottom w:val="0"/>
          <w:divBdr>
            <w:top w:val="none" w:sz="0" w:space="0" w:color="auto"/>
            <w:left w:val="none" w:sz="0" w:space="0" w:color="auto"/>
            <w:bottom w:val="none" w:sz="0" w:space="0" w:color="auto"/>
            <w:right w:val="none" w:sz="0" w:space="0" w:color="auto"/>
          </w:divBdr>
        </w:div>
        <w:div w:id="1429110531">
          <w:marLeft w:val="274"/>
          <w:marRight w:val="0"/>
          <w:marTop w:val="0"/>
          <w:marBottom w:val="0"/>
          <w:divBdr>
            <w:top w:val="none" w:sz="0" w:space="0" w:color="auto"/>
            <w:left w:val="none" w:sz="0" w:space="0" w:color="auto"/>
            <w:bottom w:val="none" w:sz="0" w:space="0" w:color="auto"/>
            <w:right w:val="none" w:sz="0" w:space="0" w:color="auto"/>
          </w:divBdr>
        </w:div>
        <w:div w:id="1891727031">
          <w:marLeft w:val="274"/>
          <w:marRight w:val="0"/>
          <w:marTop w:val="0"/>
          <w:marBottom w:val="0"/>
          <w:divBdr>
            <w:top w:val="none" w:sz="0" w:space="0" w:color="auto"/>
            <w:left w:val="none" w:sz="0" w:space="0" w:color="auto"/>
            <w:bottom w:val="none" w:sz="0" w:space="0" w:color="auto"/>
            <w:right w:val="none" w:sz="0" w:space="0" w:color="auto"/>
          </w:divBdr>
        </w:div>
      </w:divsChild>
    </w:div>
    <w:div w:id="1950504628">
      <w:bodyDiv w:val="1"/>
      <w:marLeft w:val="0"/>
      <w:marRight w:val="0"/>
      <w:marTop w:val="0"/>
      <w:marBottom w:val="0"/>
      <w:divBdr>
        <w:top w:val="none" w:sz="0" w:space="0" w:color="auto"/>
        <w:left w:val="none" w:sz="0" w:space="0" w:color="auto"/>
        <w:bottom w:val="none" w:sz="0" w:space="0" w:color="auto"/>
        <w:right w:val="none" w:sz="0" w:space="0" w:color="auto"/>
      </w:divBdr>
    </w:div>
    <w:div w:id="213905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wc.gov.au/about-us/news-and-media/news/work-value-case-aged-care-industry-decision-issue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alth.gov.au/initiatives-and-programs/commonwealth-home-support-programme-chsp/commonwealth-home-support-programme-chsp-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gedcarequality.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au/initiatives-and-programs/commonwealth-home-support-programme-chsp/commonwealth-home-support-programme-chsp-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1" ma:contentTypeDescription="Create a new document." ma:contentTypeScope="" ma:versionID="4f60df538decde3ebbf3200ca4e3fc3d">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43ff9cf8645f91eca5ee2c91399915ab"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ol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format="Dropdown" ma:internalName="Sort_x0020_order"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oldurl" ma:index="27" nillable="true" ma:displayName="oldurl" ma:internalName="old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oldurl xmlns="d29d5f7a-be03-4e9c-abe5-c85ece0a2186" xsi:nil="true"/>
    <_dlc_DocIdUrl xmlns="d29d5f7a-be03-4e9c-abe5-c85ece0a2186">
      <Url>https://healthgov.sharepoint.com/sites/support-comms/_layouts/15/DocIdRedir.aspx?ID=INTCOMMS-1466148216-32</Url>
      <Description>INTCOMMS-1466148216-32</Description>
    </_dlc_DocIdUrl>
    <Last_x0020_reviewed xmlns="d29d5f7a-be03-4e9c-abe5-c85ece0a2186">2022-06-28T12:26:49+00:00</Last_x0020_reviewed>
    <_dlc_DocId xmlns="d29d5f7a-be03-4e9c-abe5-c85ece0a2186">INTCOMMS-1466148216-32</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documentManagement>
</p:properties>
</file>

<file path=customXml/itemProps1.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2.xml><?xml version="1.0" encoding="utf-8"?>
<ds:datastoreItem xmlns:ds="http://schemas.openxmlformats.org/officeDocument/2006/customXml" ds:itemID="{A8905F4D-3010-445D-AF90-9F70DD273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CHSP provider fact sheet – Award changes and financial supports</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CHSP provider fact sheet – Award changes and financial supports</dc:title>
  <dc:creator>Australian Government Department of Health</dc:creator>
  <cp:lastModifiedBy>DEMPSEY, Martin</cp:lastModifiedBy>
  <cp:revision>10</cp:revision>
  <dcterms:created xsi:type="dcterms:W3CDTF">2022-12-08T03:47:00Z</dcterms:created>
  <dcterms:modified xsi:type="dcterms:W3CDTF">2022-12-12T05:25:00Z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ies>
</file>