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B2DE3" w14:textId="57AC7EAD" w:rsidR="00BA2732" w:rsidRDefault="00982CBD" w:rsidP="006A0E29">
      <w:pPr>
        <w:pStyle w:val="Heading1"/>
      </w:pPr>
      <w:r w:rsidRPr="00982CBD">
        <w:t>Case study – Patient election to receive a public or private service</w:t>
      </w:r>
    </w:p>
    <w:p w14:paraId="026C7BE3" w14:textId="54E3F5D4" w:rsidR="006A0E29" w:rsidRDefault="006A0E29" w:rsidP="006A0E29">
      <w:pPr>
        <w:pStyle w:val="Heading2"/>
      </w:pPr>
      <w:r>
        <w:t>Case study</w:t>
      </w:r>
    </w:p>
    <w:p w14:paraId="1A5665D7" w14:textId="77777777" w:rsidR="00982CBD" w:rsidRPr="00982CBD" w:rsidRDefault="00982CBD" w:rsidP="00982CBD">
      <w:r w:rsidRPr="00982CBD">
        <w:t>Ms A takes her son to a public hospital emergency department because he has just swallowed a button battery. The child is admitted and undergoes an endoscopic removal of the button battery performed by gastroenterologist, Dr B. The child is observed overnight and discharged the next day.</w:t>
      </w:r>
    </w:p>
    <w:p w14:paraId="7F8DA738" w14:textId="77777777" w:rsidR="00982CBD" w:rsidRPr="00982CBD" w:rsidRDefault="00982CBD" w:rsidP="00982CBD">
      <w:r w:rsidRPr="00982CBD">
        <w:t>The next month when Ms A checks her </w:t>
      </w:r>
      <w:hyperlink r:id="rId12" w:history="1">
        <w:proofErr w:type="spellStart"/>
        <w:r w:rsidRPr="00982CBD">
          <w:rPr>
            <w:rStyle w:val="Hyperlink"/>
          </w:rPr>
          <w:t>myGov</w:t>
        </w:r>
        <w:proofErr w:type="spellEnd"/>
      </w:hyperlink>
      <w:r w:rsidRPr="00982CBD">
        <w:t> account for medical services provided to her son. She is surprised to find that her son received a bulk billed consultation from Dr B. </w:t>
      </w:r>
      <w:r w:rsidRPr="00982CBD">
        <w:br/>
        <w:t>She is concerned because her son was admitted as a public hospital patient. Even though they have private health insurance, as it was only a short stay. Ms A signed the hospital administration form to say that her son was to be admitted as a public patient. </w:t>
      </w:r>
    </w:p>
    <w:p w14:paraId="1116BA62" w14:textId="1A74F2DD" w:rsidR="004B675E" w:rsidRPr="004B675E" w:rsidRDefault="00982CBD" w:rsidP="004B675E">
      <w:r w:rsidRPr="00982CBD">
        <w:t>Ms A contacts the department to make a complaint.</w:t>
      </w:r>
    </w:p>
    <w:p w14:paraId="6B75162B" w14:textId="1A2405DC" w:rsidR="006A0E29" w:rsidRDefault="006A0E29" w:rsidP="006A0E29">
      <w:pPr>
        <w:pStyle w:val="Heading2"/>
      </w:pPr>
      <w:r w:rsidRPr="006A0E29">
        <w:t>Is this appropriate?</w:t>
      </w:r>
    </w:p>
    <w:p w14:paraId="0E56DFC0" w14:textId="77777777" w:rsidR="00F62E32" w:rsidRPr="00F62E32" w:rsidRDefault="00F62E32" w:rsidP="00F62E32">
      <w:r w:rsidRPr="00F62E32">
        <w:t>No.</w:t>
      </w:r>
    </w:p>
    <w:p w14:paraId="0C75027B" w14:textId="77777777" w:rsidR="00F62E32" w:rsidRDefault="00F62E32" w:rsidP="00F62E32">
      <w:r w:rsidRPr="00F62E32">
        <w:t>Medicare benefits are not payable for services provided to a public patient in a public hospital.</w:t>
      </w:r>
    </w:p>
    <w:p w14:paraId="35D26ED1" w14:textId="1C1A21D6" w:rsidR="00F62E32" w:rsidRPr="00F62E32" w:rsidRDefault="00F62E32" w:rsidP="00F62E32">
      <w:r w:rsidRPr="00F62E32">
        <w:t>Clause G18 of the </w:t>
      </w:r>
      <w:hyperlink r:id="rId13" w:history="1">
        <w:r w:rsidRPr="00F62E32">
          <w:rPr>
            <w:rStyle w:val="Hyperlink"/>
          </w:rPr>
          <w:t>National Health Reform Agreement</w:t>
        </w:r>
      </w:hyperlink>
      <w:r w:rsidRPr="00F62E32">
        <w:t> stipulates that</w:t>
      </w:r>
      <w:r>
        <w:t>:</w:t>
      </w:r>
    </w:p>
    <w:p w14:paraId="64F205E4" w14:textId="77777777" w:rsidR="00F62E32" w:rsidRPr="00F62E32" w:rsidRDefault="00F62E32" w:rsidP="00F62E32">
      <w:pPr>
        <w:pStyle w:val="ListParagraph"/>
        <w:numPr>
          <w:ilvl w:val="0"/>
          <w:numId w:val="32"/>
        </w:numPr>
      </w:pPr>
      <w:r w:rsidRPr="00F62E32">
        <w:t>Eligible patients have the right to elect to be admitted as a public patient regardless of their private health insurance status. </w:t>
      </w:r>
    </w:p>
    <w:p w14:paraId="33D8DDFC" w14:textId="77777777" w:rsidR="00F62E32" w:rsidRPr="00F62E32" w:rsidRDefault="00F62E32" w:rsidP="00F62E32">
      <w:pPr>
        <w:pStyle w:val="ListParagraph"/>
        <w:numPr>
          <w:ilvl w:val="0"/>
          <w:numId w:val="32"/>
        </w:numPr>
      </w:pPr>
      <w:r w:rsidRPr="00F62E32">
        <w:t>A public hospital must not assume that a patient who has private insurance will automatically elect to be admitted as a private patient. </w:t>
      </w:r>
    </w:p>
    <w:p w14:paraId="21C8E471" w14:textId="77777777" w:rsidR="00F62E32" w:rsidRPr="00F62E32" w:rsidRDefault="00F62E32" w:rsidP="00F62E32">
      <w:pPr>
        <w:pStyle w:val="ListParagraph"/>
        <w:numPr>
          <w:ilvl w:val="0"/>
          <w:numId w:val="32"/>
        </w:numPr>
      </w:pPr>
      <w:r w:rsidRPr="00F62E32">
        <w:t>A patient election form must be made in writing based on informed financial consent.</w:t>
      </w:r>
    </w:p>
    <w:p w14:paraId="69A4E43E" w14:textId="1961CFA0" w:rsidR="006A0E29" w:rsidRDefault="006A0E29" w:rsidP="006A0E29">
      <w:pPr>
        <w:pStyle w:val="Heading2"/>
      </w:pPr>
      <w:r>
        <w:t>Key points</w:t>
      </w:r>
    </w:p>
    <w:p w14:paraId="223D9CC7" w14:textId="77777777" w:rsidR="00F62E32" w:rsidRPr="00F62E32" w:rsidRDefault="00F62E32" w:rsidP="00F62E32">
      <w:pPr>
        <w:pStyle w:val="ListParagraph"/>
        <w:numPr>
          <w:ilvl w:val="0"/>
          <w:numId w:val="27"/>
        </w:numPr>
      </w:pPr>
      <w:r w:rsidRPr="00F62E32">
        <w:t>Medicare benefits are not payable for services provided to a public patient in a public hospital.</w:t>
      </w:r>
    </w:p>
    <w:p w14:paraId="1C301B8F" w14:textId="6C01557C" w:rsidR="006A0E29" w:rsidRPr="006A0E29" w:rsidRDefault="00F62E32" w:rsidP="00F62E32">
      <w:pPr>
        <w:pStyle w:val="ListParagraph"/>
        <w:numPr>
          <w:ilvl w:val="0"/>
          <w:numId w:val="27"/>
        </w:numPr>
      </w:pPr>
      <w:r w:rsidRPr="00F62E32">
        <w:lastRenderedPageBreak/>
        <w:t>A public hospital must not assume that a patient who has private insurance will automatically elect to be admitted as a private patient.</w:t>
      </w:r>
    </w:p>
    <w:sectPr w:rsidR="006A0E29" w:rsidRPr="006A0E29" w:rsidSect="00B5398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5028" w14:textId="77777777" w:rsidR="006A0E29" w:rsidRDefault="006A0E29" w:rsidP="006B56BB">
      <w:r>
        <w:separator/>
      </w:r>
    </w:p>
    <w:p w14:paraId="7367B9E9" w14:textId="77777777" w:rsidR="006A0E29" w:rsidRDefault="006A0E29"/>
  </w:endnote>
  <w:endnote w:type="continuationSeparator" w:id="0">
    <w:p w14:paraId="5050AE67" w14:textId="77777777" w:rsidR="006A0E29" w:rsidRDefault="006A0E29" w:rsidP="006B56BB">
      <w:r>
        <w:continuationSeparator/>
      </w:r>
    </w:p>
    <w:p w14:paraId="423F7F8F" w14:textId="77777777" w:rsidR="006A0E29" w:rsidRDefault="006A0E29"/>
  </w:endnote>
  <w:endnote w:type="continuationNotice" w:id="1">
    <w:p w14:paraId="2FFAD942" w14:textId="77777777" w:rsidR="006A0E29" w:rsidRDefault="006A0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3EBC" w14:textId="7323E8E4" w:rsidR="006A0E29" w:rsidRDefault="00982CBD" w:rsidP="006A0E29">
    <w:pPr>
      <w:pStyle w:val="Footer"/>
      <w:jc w:val="left"/>
    </w:pPr>
    <w:r w:rsidRPr="00982CBD">
      <w:t>Case study – Patient election to receive a public or private service</w:t>
    </w:r>
    <w:sdt>
      <w:sdtPr>
        <w:id w:val="505414979"/>
        <w:docPartObj>
          <w:docPartGallery w:val="Page Numbers (Bottom of Page)"/>
          <w:docPartUnique/>
        </w:docPartObj>
      </w:sdtPr>
      <w:sdtEndPr/>
      <w:sdtContent>
        <w:r w:rsidR="006A0E29">
          <w:tab/>
        </w:r>
        <w:r w:rsidR="006A0E29" w:rsidRPr="003D033A">
          <w:fldChar w:fldCharType="begin"/>
        </w:r>
        <w:r w:rsidR="006A0E29" w:rsidRPr="003D033A">
          <w:instrText xml:space="preserve"> PAGE   \* MERGEFORMAT </w:instrText>
        </w:r>
        <w:r w:rsidR="006A0E29" w:rsidRPr="003D033A">
          <w:fldChar w:fldCharType="separate"/>
        </w:r>
        <w:r w:rsidR="006A0E29">
          <w:t>1</w:t>
        </w:r>
        <w:r w:rsidR="006A0E29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86EF" w14:textId="65EE8FF9" w:rsidR="00B53987" w:rsidRDefault="00982CBD" w:rsidP="006A0E29">
    <w:pPr>
      <w:pStyle w:val="Footer"/>
      <w:jc w:val="left"/>
    </w:pPr>
    <w:r w:rsidRPr="00982CBD">
      <w:t>Case study – Patient election to receive a public or private service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EC74" w14:textId="77777777" w:rsidR="006A0E29" w:rsidRDefault="006A0E29" w:rsidP="006B56BB">
      <w:r>
        <w:separator/>
      </w:r>
    </w:p>
    <w:p w14:paraId="17EEFDAD" w14:textId="77777777" w:rsidR="006A0E29" w:rsidRDefault="006A0E29"/>
  </w:footnote>
  <w:footnote w:type="continuationSeparator" w:id="0">
    <w:p w14:paraId="35B5FFA4" w14:textId="77777777" w:rsidR="006A0E29" w:rsidRDefault="006A0E29" w:rsidP="006B56BB">
      <w:r>
        <w:continuationSeparator/>
      </w:r>
    </w:p>
    <w:p w14:paraId="221CFAEA" w14:textId="77777777" w:rsidR="006A0E29" w:rsidRDefault="006A0E29"/>
  </w:footnote>
  <w:footnote w:type="continuationNotice" w:id="1">
    <w:p w14:paraId="49A9B944" w14:textId="77777777" w:rsidR="006A0E29" w:rsidRDefault="006A0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1F0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1420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FF4F5BB" wp14:editId="3383DCBA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C2E87"/>
    <w:multiLevelType w:val="multilevel"/>
    <w:tmpl w:val="39E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8C"/>
    <w:multiLevelType w:val="hybridMultilevel"/>
    <w:tmpl w:val="96B05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D79BA"/>
    <w:multiLevelType w:val="multilevel"/>
    <w:tmpl w:val="2926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D262D3"/>
    <w:multiLevelType w:val="hybridMultilevel"/>
    <w:tmpl w:val="25BE33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92C5FA4"/>
    <w:multiLevelType w:val="hybridMultilevel"/>
    <w:tmpl w:val="AEE07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47950"/>
    <w:multiLevelType w:val="multilevel"/>
    <w:tmpl w:val="995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A09D9"/>
    <w:multiLevelType w:val="hybridMultilevel"/>
    <w:tmpl w:val="0CA0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7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5"/>
  </w:num>
  <w:num w:numId="20">
    <w:abstractNumId w:val="11"/>
  </w:num>
  <w:num w:numId="21">
    <w:abstractNumId w:val="15"/>
  </w:num>
  <w:num w:numId="22">
    <w:abstractNumId w:val="25"/>
  </w:num>
  <w:num w:numId="23">
    <w:abstractNumId w:val="20"/>
  </w:num>
  <w:num w:numId="24">
    <w:abstractNumId w:val="22"/>
  </w:num>
  <w:num w:numId="25">
    <w:abstractNumId w:val="8"/>
  </w:num>
  <w:num w:numId="26">
    <w:abstractNumId w:val="19"/>
  </w:num>
  <w:num w:numId="27">
    <w:abstractNumId w:val="13"/>
  </w:num>
  <w:num w:numId="28">
    <w:abstractNumId w:val="14"/>
  </w:num>
  <w:num w:numId="29">
    <w:abstractNumId w:val="18"/>
  </w:num>
  <w:num w:numId="30">
    <w:abstractNumId w:val="10"/>
  </w:num>
  <w:num w:numId="31">
    <w:abstractNumId w:val="16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2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114E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87468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07CC9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33B6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07C05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675E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A0E29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41569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44E3D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389"/>
    <w:rsid w:val="009557C1"/>
    <w:rsid w:val="00960D6E"/>
    <w:rsid w:val="00974B59"/>
    <w:rsid w:val="00982CBD"/>
    <w:rsid w:val="0098340B"/>
    <w:rsid w:val="00986830"/>
    <w:rsid w:val="009924C3"/>
    <w:rsid w:val="00993102"/>
    <w:rsid w:val="009A48B6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1AC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6372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C6D08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57CFC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62E32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410C92"/>
  <w15:docId w15:val="{3E402585-6641-4886-893C-4E857B8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A0E29"/>
    <w:pPr>
      <w:spacing w:before="240" w:after="24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5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B6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.au/initiatives-and-programs/2020-25-national-health-reform-agreement-nhr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y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MCCAYM\Documents\GovCMS%20SOPs\Templates\Visual%20identity%20templates\Department-of-Health-and-Aged-Care_Fact-sheet-template-Bl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oldurl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1" ma:contentTypeDescription="Create a new document." ma:contentTypeScope="" ma:versionID="4f60df538decde3ebbf3200ca4e3fc3d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43ff9cf8645f91eca5ee2c91399915ab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ol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format="Dropdown" ma:internalName="Sort_x0020_order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oldurl" ma:index="27" nillable="true" ma:displayName="oldurl" ma:internalName="old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29d5f7a-be03-4e9c-abe5-c85ece0a21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905F4D-3010-445D-AF90-9F70DD27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Department-of-Health-and-Aged-Care_Fact-sheet-template-Blue.dotx</Template>
  <TotalTime>4</TotalTime>
  <Pages>2</Pages>
  <Words>278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– Patient election to receive a public or private service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– Patient election to receive a public or private service</dc:title>
  <dc:subject>Medicare</dc:subject>
  <dc:creator>Australian Government Department of Health and Aged Care</dc:creator>
  <cp:keywords>Medicare compliance; case study</cp:keywords>
  <cp:lastModifiedBy>MCCAY, Meryl</cp:lastModifiedBy>
  <cp:revision>4</cp:revision>
  <dcterms:created xsi:type="dcterms:W3CDTF">2022-08-17T01:57:00Z</dcterms:created>
  <dcterms:modified xsi:type="dcterms:W3CDTF">2022-08-17T02:01:00Z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</Properties>
</file>