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33ACE" w14:textId="77777777" w:rsidR="00257DF2" w:rsidRDefault="00257DF2" w:rsidP="00257DF2">
      <w:pPr>
        <w:spacing w:after="1320"/>
      </w:pPr>
      <w:r>
        <w:rPr>
          <w:noProof/>
          <w:lang w:val="en-US"/>
        </w:rPr>
        <w:drawing>
          <wp:inline distT="0" distB="0" distL="0" distR="0" wp14:anchorId="14D0243F" wp14:editId="72330B07">
            <wp:extent cx="1779400" cy="1114425"/>
            <wp:effectExtent l="0" t="0" r="0"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bwMode="auto">
                    <a:xfrm>
                      <a:off x="0" y="0"/>
                      <a:ext cx="1779400" cy="1114425"/>
                    </a:xfrm>
                    <a:prstGeom prst="rect">
                      <a:avLst/>
                    </a:prstGeom>
                  </pic:spPr>
                </pic:pic>
              </a:graphicData>
            </a:graphic>
          </wp:inline>
        </w:drawing>
      </w:r>
    </w:p>
    <w:p w14:paraId="65F3B146" w14:textId="1B90A76A" w:rsidR="00257DF2" w:rsidRPr="00314E88" w:rsidRDefault="007A74BA" w:rsidP="00257DF2">
      <w:pPr>
        <w:pStyle w:val="CoverTitle"/>
        <w:rPr>
          <w:color w:val="15272F" w:themeColor="text1"/>
          <w:sz w:val="72"/>
          <w:szCs w:val="72"/>
        </w:rPr>
      </w:pPr>
      <w:r w:rsidRPr="00314E88">
        <w:rPr>
          <w:color w:val="15272F" w:themeColor="text1"/>
          <w:sz w:val="72"/>
          <w:szCs w:val="72"/>
        </w:rPr>
        <w:t>Advice on Bundling Arrangements</w:t>
      </w:r>
      <w:r w:rsidR="00951CE3" w:rsidRPr="00314E88">
        <w:rPr>
          <w:color w:val="15272F" w:themeColor="text1"/>
          <w:sz w:val="72"/>
          <w:szCs w:val="72"/>
        </w:rPr>
        <w:t xml:space="preserve"> for General Use Items on the Prostheses List</w:t>
      </w:r>
    </w:p>
    <w:p w14:paraId="4E7D4EA6" w14:textId="77341A6C" w:rsidR="00493FE8" w:rsidRDefault="00314E88" w:rsidP="00257DF2">
      <w:pPr>
        <w:pStyle w:val="Coversubtitle"/>
        <w:rPr>
          <w:color w:val="104F99" w:themeColor="accent2"/>
        </w:rPr>
        <w:sectPr w:rsidR="00493FE8" w:rsidSect="00493FE8">
          <w:headerReference w:type="default" r:id="rId10"/>
          <w:footerReference w:type="default" r:id="rId11"/>
          <w:pgSz w:w="11906" w:h="16838" w:code="9"/>
          <w:pgMar w:top="1440" w:right="1080" w:bottom="1440" w:left="1080" w:header="708" w:footer="708" w:gutter="0"/>
          <w:cols w:space="720"/>
          <w:docGrid w:linePitch="360"/>
        </w:sectPr>
      </w:pPr>
      <w:r>
        <w:rPr>
          <w:color w:val="104F99" w:themeColor="accent2"/>
        </w:rPr>
        <w:t>December 2022</w:t>
      </w:r>
    </w:p>
    <w:p w14:paraId="20BF2D79" w14:textId="529C0667" w:rsidR="00276510" w:rsidRPr="007372C2" w:rsidRDefault="00066ACA" w:rsidP="00276510">
      <w:pPr>
        <w:pStyle w:val="Copyrightheading"/>
      </w:pPr>
      <w:r>
        <w:lastRenderedPageBreak/>
        <w:t>Advice o</w:t>
      </w:r>
      <w:r w:rsidR="00C354B3">
        <w:t>n Bundling Arrangements for Gen</w:t>
      </w:r>
      <w:r>
        <w:t>e</w:t>
      </w:r>
      <w:r w:rsidR="00C354B3">
        <w:t>r</w:t>
      </w:r>
      <w:r>
        <w:t>al Use Items on the Prostheses List</w:t>
      </w:r>
      <w:r w:rsidR="00276510" w:rsidRPr="007372C2">
        <w:t xml:space="preserve"> </w:t>
      </w:r>
      <w:r w:rsidR="00276510" w:rsidRPr="007372C2">
        <w:rPr>
          <w:rFonts w:hint="cs"/>
        </w:rPr>
        <w:t>—</w:t>
      </w:r>
      <w:r w:rsidR="00131361">
        <w:t xml:space="preserve"> </w:t>
      </w:r>
      <w:r>
        <w:t xml:space="preserve">December </w:t>
      </w:r>
      <w:r w:rsidR="007A74BA">
        <w:t>2022</w:t>
      </w:r>
    </w:p>
    <w:p w14:paraId="61404F53" w14:textId="77777777" w:rsidR="00276510" w:rsidRPr="007372C2" w:rsidRDefault="00276510" w:rsidP="00276510">
      <w:pPr>
        <w:pStyle w:val="Copyrightcopy"/>
      </w:pPr>
      <w:r w:rsidRPr="007372C2">
        <w:rPr>
          <w:rFonts w:hint="cs"/>
        </w:rPr>
        <w:t>©</w:t>
      </w:r>
      <w:r w:rsidRPr="007372C2">
        <w:t xml:space="preserve"> Independent Health and Aged Care Pricing Authority 2022</w:t>
      </w:r>
    </w:p>
    <w:p w14:paraId="7B301138" w14:textId="77777777" w:rsidR="00276510" w:rsidRPr="007372C2" w:rsidRDefault="00276510" w:rsidP="00276510">
      <w:pPr>
        <w:pStyle w:val="Copyrightcopy"/>
      </w:pPr>
      <w:r w:rsidRPr="007372C2">
        <w:t xml:space="preserve">This publication is available for your use under a Creative Commons BY Attribution 3.0 Australia </w:t>
      </w:r>
      <w:proofErr w:type="spellStart"/>
      <w:r w:rsidRPr="007372C2">
        <w:t>licence</w:t>
      </w:r>
      <w:proofErr w:type="spellEnd"/>
      <w:r w:rsidRPr="007372C2">
        <w:t xml:space="preserve">, with the exception of the Independent Health and Aged Care Pricing Authority logo, photographs, images, signatures and where otherwise stated. The full </w:t>
      </w:r>
      <w:proofErr w:type="spellStart"/>
      <w:r w:rsidRPr="007372C2">
        <w:t>licence</w:t>
      </w:r>
      <w:proofErr w:type="spellEnd"/>
      <w:r w:rsidRPr="007372C2">
        <w:t xml:space="preserve"> terms are available from the Creative Commons website.</w:t>
      </w:r>
    </w:p>
    <w:p w14:paraId="7E118B06" w14:textId="77777777" w:rsidR="00276510" w:rsidRPr="007372C2" w:rsidRDefault="00276510" w:rsidP="00276510">
      <w:pPr>
        <w:pStyle w:val="Copyrightcopy"/>
      </w:pPr>
      <w:r w:rsidRPr="007372C2">
        <w:rPr>
          <w:noProof/>
          <w:lang w:val="en-US"/>
        </w:rPr>
        <w:drawing>
          <wp:inline distT="0" distB="0" distL="0" distR="0" wp14:anchorId="5FA88F40" wp14:editId="608C8548">
            <wp:extent cx="1175004" cy="411480"/>
            <wp:effectExtent l="0" t="0" r="6350" b="7620"/>
            <wp:docPr id="54" name="Picture 5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3.0 Australia licence"/>
                    <pic:cNvPicPr/>
                  </pic:nvPicPr>
                  <pic:blipFill>
                    <a:blip r:embed="rId12">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r w:rsidRPr="007372C2">
        <w:t xml:space="preserve"> </w:t>
      </w:r>
    </w:p>
    <w:p w14:paraId="020F64C9" w14:textId="77777777" w:rsidR="00276510" w:rsidRPr="007372C2" w:rsidRDefault="00276510" w:rsidP="00276510">
      <w:pPr>
        <w:pStyle w:val="Copyrightcopy"/>
      </w:pPr>
      <w:r w:rsidRPr="007372C2">
        <w:t xml:space="preserve">Use of Independent Health and Aged Care Pricing Authority material under a Creative Commons BY Attribution 3.0 Australia </w:t>
      </w:r>
      <w:proofErr w:type="spellStart"/>
      <w:r w:rsidRPr="007372C2">
        <w:t>licence</w:t>
      </w:r>
      <w:proofErr w:type="spellEnd"/>
      <w:r w:rsidRPr="007372C2">
        <w:t xml:space="preserve"> requires you to attribute the work (but not in any way that suggests that the Independent Health and Aged Care Pricing Authority endorses you or your use of the</w:t>
      </w:r>
      <w:r w:rsidRPr="007372C2">
        <w:rPr>
          <w:rFonts w:hint="cs"/>
        </w:rPr>
        <w:t> </w:t>
      </w:r>
      <w:r w:rsidRPr="007372C2">
        <w:t>work).</w:t>
      </w:r>
    </w:p>
    <w:p w14:paraId="239A3363" w14:textId="77777777" w:rsidR="00276510" w:rsidRPr="007372C2" w:rsidRDefault="00276510" w:rsidP="00276510">
      <w:pPr>
        <w:pStyle w:val="Copyrightcopy"/>
      </w:pPr>
      <w:r w:rsidRPr="007372C2">
        <w:t>Independent Health and Aged Care Pricing Authority material used 'as supplied'.</w:t>
      </w:r>
    </w:p>
    <w:p w14:paraId="6DB21190" w14:textId="77777777" w:rsidR="00276510" w:rsidRPr="007372C2" w:rsidRDefault="00276510" w:rsidP="00276510">
      <w:pPr>
        <w:pStyle w:val="Copyrightcopy"/>
      </w:pPr>
      <w:r w:rsidRPr="007372C2">
        <w:t xml:space="preserve">Provided you have not modified or transformed Independent Health and Aged Care Pricing Authority material in any way including, for example, by changing Independent Health and Aged Care Pricing Authority text </w:t>
      </w:r>
      <w:r w:rsidRPr="007372C2">
        <w:rPr>
          <w:rFonts w:hint="cs"/>
        </w:rPr>
        <w:t>–</w:t>
      </w:r>
      <w:r w:rsidRPr="007372C2">
        <w:t xml:space="preserve"> then the Independent Health and Aged Care Pricing Authority prefers the following attribution:</w:t>
      </w:r>
    </w:p>
    <w:p w14:paraId="6D3FEE66" w14:textId="2B41D4D1" w:rsidR="0076798D" w:rsidRDefault="00276510" w:rsidP="0076798D">
      <w:pPr>
        <w:pStyle w:val="Copyrightcopy"/>
      </w:pPr>
      <w:r w:rsidRPr="007372C2">
        <w:t>Source: The Independent Health and Aged Care Pricing</w:t>
      </w:r>
      <w:r w:rsidRPr="007372C2">
        <w:rPr>
          <w:rFonts w:hint="cs"/>
        </w:rPr>
        <w:t> </w:t>
      </w:r>
      <w:r w:rsidRPr="007372C2">
        <w:t>Authority</w:t>
      </w:r>
    </w:p>
    <w:p w14:paraId="225C41E9" w14:textId="77777777" w:rsidR="0076798D" w:rsidRPr="0076798D" w:rsidRDefault="0076798D" w:rsidP="0076798D">
      <w:pPr>
        <w:sectPr w:rsidR="0076798D" w:rsidRPr="0076798D" w:rsidSect="00276510">
          <w:headerReference w:type="default" r:id="rId13"/>
          <w:footerReference w:type="default" r:id="rId14"/>
          <w:pgSz w:w="11906" w:h="16838" w:code="9"/>
          <w:pgMar w:top="7371" w:right="1077" w:bottom="1440" w:left="1077" w:header="709" w:footer="709" w:gutter="0"/>
          <w:cols w:space="720"/>
          <w:docGrid w:linePitch="360"/>
        </w:sectPr>
      </w:pPr>
    </w:p>
    <w:sdt>
      <w:sdtPr>
        <w:rPr>
          <w:rFonts w:ascii="Arial" w:eastAsiaTheme="minorHAnsi" w:hAnsi="Arial" w:cstheme="minorBidi"/>
          <w:color w:val="15272F" w:themeColor="text1"/>
          <w:sz w:val="22"/>
          <w:szCs w:val="22"/>
          <w:lang w:val="en-PH"/>
        </w:rPr>
        <w:id w:val="2016347467"/>
        <w:docPartObj>
          <w:docPartGallery w:val="Table of Contents"/>
          <w:docPartUnique/>
        </w:docPartObj>
      </w:sdtPr>
      <w:sdtEndPr>
        <w:rPr>
          <w:b/>
          <w:bCs/>
          <w:noProof/>
        </w:rPr>
      </w:sdtEndPr>
      <w:sdtContent>
        <w:p w14:paraId="26C52371" w14:textId="430DC2D9" w:rsidR="0076798D" w:rsidRPr="00106CD4" w:rsidRDefault="00530F59" w:rsidP="00530F59">
          <w:pPr>
            <w:pStyle w:val="TOCHeading"/>
            <w:jc w:val="both"/>
            <w:rPr>
              <w:rFonts w:ascii="Arial" w:hAnsi="Arial" w:cs="Arial"/>
              <w:b/>
              <w:bCs/>
              <w:sz w:val="72"/>
              <w:szCs w:val="72"/>
            </w:rPr>
          </w:pPr>
          <w:r w:rsidRPr="00106CD4">
            <w:rPr>
              <w:rFonts w:ascii="Arial" w:hAnsi="Arial" w:cs="Arial"/>
              <w:b/>
              <w:bCs/>
              <w:sz w:val="72"/>
              <w:szCs w:val="72"/>
            </w:rPr>
            <w:t>Contents</w:t>
          </w:r>
        </w:p>
        <w:p w14:paraId="699B93AB" w14:textId="53E31080" w:rsidR="00106CD4" w:rsidRDefault="0076798D">
          <w:pPr>
            <w:pStyle w:val="TOC1"/>
            <w:rPr>
              <w:rFonts w:asciiTheme="minorHAnsi" w:eastAsiaTheme="minorEastAsia" w:hAnsiTheme="minorHAnsi"/>
              <w:b w:val="0"/>
              <w:noProof/>
              <w:color w:val="auto"/>
              <w:sz w:val="22"/>
              <w:lang w:val="en-AU" w:eastAsia="en-AU"/>
            </w:rPr>
          </w:pPr>
          <w:r w:rsidRPr="00530F59">
            <w:rPr>
              <w:rFonts w:cs="Arial"/>
            </w:rPr>
            <w:fldChar w:fldCharType="begin"/>
          </w:r>
          <w:r w:rsidRPr="00530F59">
            <w:rPr>
              <w:rFonts w:cs="Arial"/>
            </w:rPr>
            <w:instrText xml:space="preserve"> TOC \o "1-3" \h \z \u </w:instrText>
          </w:r>
          <w:r w:rsidRPr="00530F59">
            <w:rPr>
              <w:rFonts w:cs="Arial"/>
            </w:rPr>
            <w:fldChar w:fldCharType="separate"/>
          </w:r>
          <w:hyperlink w:anchor="_Toc121130767" w:history="1">
            <w:r w:rsidR="00106CD4" w:rsidRPr="00097BB8">
              <w:rPr>
                <w:rStyle w:val="Hyperlink"/>
                <w:noProof/>
              </w:rPr>
              <w:t>Abbreviations</w:t>
            </w:r>
            <w:r w:rsidR="00106CD4">
              <w:rPr>
                <w:noProof/>
                <w:webHidden/>
              </w:rPr>
              <w:tab/>
            </w:r>
            <w:r w:rsidR="00106CD4">
              <w:rPr>
                <w:noProof/>
                <w:webHidden/>
              </w:rPr>
              <w:fldChar w:fldCharType="begin"/>
            </w:r>
            <w:r w:rsidR="00106CD4">
              <w:rPr>
                <w:noProof/>
                <w:webHidden/>
              </w:rPr>
              <w:instrText xml:space="preserve"> PAGEREF _Toc121130767 \h </w:instrText>
            </w:r>
            <w:r w:rsidR="00106CD4">
              <w:rPr>
                <w:noProof/>
                <w:webHidden/>
              </w:rPr>
            </w:r>
            <w:r w:rsidR="00106CD4">
              <w:rPr>
                <w:noProof/>
                <w:webHidden/>
              </w:rPr>
              <w:fldChar w:fldCharType="separate"/>
            </w:r>
            <w:r w:rsidR="00106CD4">
              <w:rPr>
                <w:noProof/>
                <w:webHidden/>
              </w:rPr>
              <w:t>5</w:t>
            </w:r>
            <w:r w:rsidR="00106CD4">
              <w:rPr>
                <w:noProof/>
                <w:webHidden/>
              </w:rPr>
              <w:fldChar w:fldCharType="end"/>
            </w:r>
          </w:hyperlink>
        </w:p>
        <w:p w14:paraId="107D0228" w14:textId="74FF6025" w:rsidR="00106CD4" w:rsidRDefault="00000000">
          <w:pPr>
            <w:pStyle w:val="TOC1"/>
            <w:rPr>
              <w:rFonts w:asciiTheme="minorHAnsi" w:eastAsiaTheme="minorEastAsia" w:hAnsiTheme="minorHAnsi"/>
              <w:b w:val="0"/>
              <w:noProof/>
              <w:color w:val="auto"/>
              <w:sz w:val="22"/>
              <w:lang w:val="en-AU" w:eastAsia="en-AU"/>
            </w:rPr>
          </w:pPr>
          <w:hyperlink w:anchor="_Toc121130768" w:history="1">
            <w:r w:rsidR="00106CD4" w:rsidRPr="00097BB8">
              <w:rPr>
                <w:rStyle w:val="Hyperlink"/>
                <w:noProof/>
              </w:rPr>
              <w:t>1.</w:t>
            </w:r>
            <w:r w:rsidR="00106CD4">
              <w:rPr>
                <w:rFonts w:asciiTheme="minorHAnsi" w:eastAsiaTheme="minorEastAsia" w:hAnsiTheme="minorHAnsi"/>
                <w:b w:val="0"/>
                <w:noProof/>
                <w:color w:val="auto"/>
                <w:sz w:val="22"/>
                <w:lang w:val="en-AU" w:eastAsia="en-AU"/>
              </w:rPr>
              <w:tab/>
            </w:r>
            <w:r w:rsidR="00106CD4" w:rsidRPr="00097BB8">
              <w:rPr>
                <w:rStyle w:val="Hyperlink"/>
                <w:noProof/>
              </w:rPr>
              <w:t>Executive summary</w:t>
            </w:r>
            <w:r w:rsidR="00106CD4">
              <w:rPr>
                <w:noProof/>
                <w:webHidden/>
              </w:rPr>
              <w:tab/>
            </w:r>
            <w:r w:rsidR="00106CD4">
              <w:rPr>
                <w:noProof/>
                <w:webHidden/>
              </w:rPr>
              <w:fldChar w:fldCharType="begin"/>
            </w:r>
            <w:r w:rsidR="00106CD4">
              <w:rPr>
                <w:noProof/>
                <w:webHidden/>
              </w:rPr>
              <w:instrText xml:space="preserve"> PAGEREF _Toc121130768 \h </w:instrText>
            </w:r>
            <w:r w:rsidR="00106CD4">
              <w:rPr>
                <w:noProof/>
                <w:webHidden/>
              </w:rPr>
            </w:r>
            <w:r w:rsidR="00106CD4">
              <w:rPr>
                <w:noProof/>
                <w:webHidden/>
              </w:rPr>
              <w:fldChar w:fldCharType="separate"/>
            </w:r>
            <w:r w:rsidR="00106CD4">
              <w:rPr>
                <w:noProof/>
                <w:webHidden/>
              </w:rPr>
              <w:t>6</w:t>
            </w:r>
            <w:r w:rsidR="00106CD4">
              <w:rPr>
                <w:noProof/>
                <w:webHidden/>
              </w:rPr>
              <w:fldChar w:fldCharType="end"/>
            </w:r>
          </w:hyperlink>
        </w:p>
        <w:p w14:paraId="26C875C0" w14:textId="222F4019"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769" w:history="1">
            <w:r w:rsidR="00106CD4" w:rsidRPr="00097BB8">
              <w:rPr>
                <w:rStyle w:val="Hyperlink"/>
                <w:noProof/>
              </w:rPr>
              <w:t>1.1</w:t>
            </w:r>
            <w:r w:rsidR="00106CD4">
              <w:rPr>
                <w:rFonts w:asciiTheme="minorHAnsi" w:eastAsiaTheme="minorEastAsia" w:hAnsiTheme="minorHAnsi"/>
                <w:noProof/>
                <w:color w:val="auto"/>
                <w:lang w:val="en-AU" w:eastAsia="en-AU"/>
              </w:rPr>
              <w:tab/>
            </w:r>
            <w:r w:rsidR="00106CD4" w:rsidRPr="00097BB8">
              <w:rPr>
                <w:rStyle w:val="Hyperlink"/>
                <w:noProof/>
              </w:rPr>
              <w:t>Purpose</w:t>
            </w:r>
            <w:r w:rsidR="00106CD4">
              <w:rPr>
                <w:noProof/>
                <w:webHidden/>
              </w:rPr>
              <w:tab/>
            </w:r>
            <w:r w:rsidR="00106CD4">
              <w:rPr>
                <w:noProof/>
                <w:webHidden/>
              </w:rPr>
              <w:fldChar w:fldCharType="begin"/>
            </w:r>
            <w:r w:rsidR="00106CD4">
              <w:rPr>
                <w:noProof/>
                <w:webHidden/>
              </w:rPr>
              <w:instrText xml:space="preserve"> PAGEREF _Toc121130769 \h </w:instrText>
            </w:r>
            <w:r w:rsidR="00106CD4">
              <w:rPr>
                <w:noProof/>
                <w:webHidden/>
              </w:rPr>
            </w:r>
            <w:r w:rsidR="00106CD4">
              <w:rPr>
                <w:noProof/>
                <w:webHidden/>
              </w:rPr>
              <w:fldChar w:fldCharType="separate"/>
            </w:r>
            <w:r w:rsidR="00106CD4">
              <w:rPr>
                <w:noProof/>
                <w:webHidden/>
              </w:rPr>
              <w:t>6</w:t>
            </w:r>
            <w:r w:rsidR="00106CD4">
              <w:rPr>
                <w:noProof/>
                <w:webHidden/>
              </w:rPr>
              <w:fldChar w:fldCharType="end"/>
            </w:r>
          </w:hyperlink>
        </w:p>
        <w:p w14:paraId="735A0995" w14:textId="223AAC24"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770" w:history="1">
            <w:r w:rsidR="00106CD4" w:rsidRPr="00097BB8">
              <w:rPr>
                <w:rStyle w:val="Hyperlink"/>
                <w:noProof/>
              </w:rPr>
              <w:t>1.2</w:t>
            </w:r>
            <w:r w:rsidR="00106CD4">
              <w:rPr>
                <w:rFonts w:asciiTheme="minorHAnsi" w:eastAsiaTheme="minorEastAsia" w:hAnsiTheme="minorHAnsi"/>
                <w:noProof/>
                <w:color w:val="auto"/>
                <w:lang w:val="en-AU" w:eastAsia="en-AU"/>
              </w:rPr>
              <w:tab/>
            </w:r>
            <w:r w:rsidR="00106CD4" w:rsidRPr="00097BB8">
              <w:rPr>
                <w:rStyle w:val="Hyperlink"/>
                <w:noProof/>
              </w:rPr>
              <w:t>Overview</w:t>
            </w:r>
            <w:r w:rsidR="00106CD4">
              <w:rPr>
                <w:noProof/>
                <w:webHidden/>
              </w:rPr>
              <w:tab/>
            </w:r>
            <w:r w:rsidR="00106CD4">
              <w:rPr>
                <w:noProof/>
                <w:webHidden/>
              </w:rPr>
              <w:fldChar w:fldCharType="begin"/>
            </w:r>
            <w:r w:rsidR="00106CD4">
              <w:rPr>
                <w:noProof/>
                <w:webHidden/>
              </w:rPr>
              <w:instrText xml:space="preserve"> PAGEREF _Toc121130770 \h </w:instrText>
            </w:r>
            <w:r w:rsidR="00106CD4">
              <w:rPr>
                <w:noProof/>
                <w:webHidden/>
              </w:rPr>
            </w:r>
            <w:r w:rsidR="00106CD4">
              <w:rPr>
                <w:noProof/>
                <w:webHidden/>
              </w:rPr>
              <w:fldChar w:fldCharType="separate"/>
            </w:r>
            <w:r w:rsidR="00106CD4">
              <w:rPr>
                <w:noProof/>
                <w:webHidden/>
              </w:rPr>
              <w:t>6</w:t>
            </w:r>
            <w:r w:rsidR="00106CD4">
              <w:rPr>
                <w:noProof/>
                <w:webHidden/>
              </w:rPr>
              <w:fldChar w:fldCharType="end"/>
            </w:r>
          </w:hyperlink>
        </w:p>
        <w:p w14:paraId="602E9A3B" w14:textId="00642310"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771" w:history="1">
            <w:r w:rsidR="00106CD4" w:rsidRPr="00097BB8">
              <w:rPr>
                <w:rStyle w:val="Hyperlink"/>
                <w:noProof/>
              </w:rPr>
              <w:t>1.3</w:t>
            </w:r>
            <w:r w:rsidR="00106CD4">
              <w:rPr>
                <w:rFonts w:asciiTheme="minorHAnsi" w:eastAsiaTheme="minorEastAsia" w:hAnsiTheme="minorHAnsi"/>
                <w:noProof/>
                <w:color w:val="auto"/>
                <w:lang w:val="en-AU" w:eastAsia="en-AU"/>
              </w:rPr>
              <w:tab/>
            </w:r>
            <w:r w:rsidR="00106CD4" w:rsidRPr="00097BB8">
              <w:rPr>
                <w:rStyle w:val="Hyperlink"/>
                <w:noProof/>
              </w:rPr>
              <w:t>Bundling of General Use Items</w:t>
            </w:r>
            <w:r w:rsidR="00106CD4">
              <w:rPr>
                <w:noProof/>
                <w:webHidden/>
              </w:rPr>
              <w:tab/>
            </w:r>
            <w:r w:rsidR="00106CD4">
              <w:rPr>
                <w:noProof/>
                <w:webHidden/>
              </w:rPr>
              <w:fldChar w:fldCharType="begin"/>
            </w:r>
            <w:r w:rsidR="00106CD4">
              <w:rPr>
                <w:noProof/>
                <w:webHidden/>
              </w:rPr>
              <w:instrText xml:space="preserve"> PAGEREF _Toc121130771 \h </w:instrText>
            </w:r>
            <w:r w:rsidR="00106CD4">
              <w:rPr>
                <w:noProof/>
                <w:webHidden/>
              </w:rPr>
            </w:r>
            <w:r w:rsidR="00106CD4">
              <w:rPr>
                <w:noProof/>
                <w:webHidden/>
              </w:rPr>
              <w:fldChar w:fldCharType="separate"/>
            </w:r>
            <w:r w:rsidR="00106CD4">
              <w:rPr>
                <w:noProof/>
                <w:webHidden/>
              </w:rPr>
              <w:t>6</w:t>
            </w:r>
            <w:r w:rsidR="00106CD4">
              <w:rPr>
                <w:noProof/>
                <w:webHidden/>
              </w:rPr>
              <w:fldChar w:fldCharType="end"/>
            </w:r>
          </w:hyperlink>
        </w:p>
        <w:p w14:paraId="76DFA212" w14:textId="6453C493"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772" w:history="1">
            <w:r w:rsidR="00106CD4" w:rsidRPr="00097BB8">
              <w:rPr>
                <w:rStyle w:val="Hyperlink"/>
                <w:noProof/>
              </w:rPr>
              <w:t>1.4</w:t>
            </w:r>
            <w:r w:rsidR="00106CD4">
              <w:rPr>
                <w:rFonts w:asciiTheme="minorHAnsi" w:eastAsiaTheme="minorEastAsia" w:hAnsiTheme="minorHAnsi"/>
                <w:noProof/>
                <w:color w:val="auto"/>
                <w:lang w:val="en-AU" w:eastAsia="en-AU"/>
              </w:rPr>
              <w:tab/>
            </w:r>
            <w:r w:rsidR="00106CD4" w:rsidRPr="00097BB8">
              <w:rPr>
                <w:rStyle w:val="Hyperlink"/>
                <w:noProof/>
              </w:rPr>
              <w:t>General Use Item bundle benefits</w:t>
            </w:r>
            <w:r w:rsidR="00106CD4">
              <w:rPr>
                <w:noProof/>
                <w:webHidden/>
              </w:rPr>
              <w:tab/>
            </w:r>
            <w:r w:rsidR="00106CD4">
              <w:rPr>
                <w:noProof/>
                <w:webHidden/>
              </w:rPr>
              <w:fldChar w:fldCharType="begin"/>
            </w:r>
            <w:r w:rsidR="00106CD4">
              <w:rPr>
                <w:noProof/>
                <w:webHidden/>
              </w:rPr>
              <w:instrText xml:space="preserve"> PAGEREF _Toc121130772 \h </w:instrText>
            </w:r>
            <w:r w:rsidR="00106CD4">
              <w:rPr>
                <w:noProof/>
                <w:webHidden/>
              </w:rPr>
            </w:r>
            <w:r w:rsidR="00106CD4">
              <w:rPr>
                <w:noProof/>
                <w:webHidden/>
              </w:rPr>
              <w:fldChar w:fldCharType="separate"/>
            </w:r>
            <w:r w:rsidR="00106CD4">
              <w:rPr>
                <w:noProof/>
                <w:webHidden/>
              </w:rPr>
              <w:t>7</w:t>
            </w:r>
            <w:r w:rsidR="00106CD4">
              <w:rPr>
                <w:noProof/>
                <w:webHidden/>
              </w:rPr>
              <w:fldChar w:fldCharType="end"/>
            </w:r>
          </w:hyperlink>
        </w:p>
        <w:p w14:paraId="7C59882B" w14:textId="2159C5A9"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773" w:history="1">
            <w:r w:rsidR="00106CD4" w:rsidRPr="00097BB8">
              <w:rPr>
                <w:rStyle w:val="Hyperlink"/>
                <w:noProof/>
              </w:rPr>
              <w:t>1.5</w:t>
            </w:r>
            <w:r w:rsidR="00106CD4">
              <w:rPr>
                <w:rFonts w:asciiTheme="minorHAnsi" w:eastAsiaTheme="minorEastAsia" w:hAnsiTheme="minorHAnsi"/>
                <w:noProof/>
                <w:color w:val="auto"/>
                <w:lang w:val="en-AU" w:eastAsia="en-AU"/>
              </w:rPr>
              <w:tab/>
            </w:r>
            <w:r w:rsidR="00106CD4" w:rsidRPr="00097BB8">
              <w:rPr>
                <w:rStyle w:val="Hyperlink"/>
                <w:noProof/>
              </w:rPr>
              <w:t>Application of General Use Item bundles</w:t>
            </w:r>
            <w:r w:rsidR="00106CD4">
              <w:rPr>
                <w:noProof/>
                <w:webHidden/>
              </w:rPr>
              <w:tab/>
            </w:r>
            <w:r w:rsidR="00106CD4">
              <w:rPr>
                <w:noProof/>
                <w:webHidden/>
              </w:rPr>
              <w:fldChar w:fldCharType="begin"/>
            </w:r>
            <w:r w:rsidR="00106CD4">
              <w:rPr>
                <w:noProof/>
                <w:webHidden/>
              </w:rPr>
              <w:instrText xml:space="preserve"> PAGEREF _Toc121130773 \h </w:instrText>
            </w:r>
            <w:r w:rsidR="00106CD4">
              <w:rPr>
                <w:noProof/>
                <w:webHidden/>
              </w:rPr>
            </w:r>
            <w:r w:rsidR="00106CD4">
              <w:rPr>
                <w:noProof/>
                <w:webHidden/>
              </w:rPr>
              <w:fldChar w:fldCharType="separate"/>
            </w:r>
            <w:r w:rsidR="00106CD4">
              <w:rPr>
                <w:noProof/>
                <w:webHidden/>
              </w:rPr>
              <w:t>8</w:t>
            </w:r>
            <w:r w:rsidR="00106CD4">
              <w:rPr>
                <w:noProof/>
                <w:webHidden/>
              </w:rPr>
              <w:fldChar w:fldCharType="end"/>
            </w:r>
          </w:hyperlink>
        </w:p>
        <w:p w14:paraId="11C9CEBD" w14:textId="589B885A" w:rsidR="00106CD4" w:rsidRDefault="00000000">
          <w:pPr>
            <w:pStyle w:val="TOC1"/>
            <w:rPr>
              <w:rFonts w:asciiTheme="minorHAnsi" w:eastAsiaTheme="minorEastAsia" w:hAnsiTheme="minorHAnsi"/>
              <w:b w:val="0"/>
              <w:noProof/>
              <w:color w:val="auto"/>
              <w:sz w:val="22"/>
              <w:lang w:val="en-AU" w:eastAsia="en-AU"/>
            </w:rPr>
          </w:pPr>
          <w:hyperlink w:anchor="_Toc121130774" w:history="1">
            <w:r w:rsidR="00106CD4" w:rsidRPr="00097BB8">
              <w:rPr>
                <w:rStyle w:val="Hyperlink"/>
                <w:noProof/>
              </w:rPr>
              <w:t>2.</w:t>
            </w:r>
            <w:r w:rsidR="00106CD4">
              <w:rPr>
                <w:rFonts w:asciiTheme="minorHAnsi" w:eastAsiaTheme="minorEastAsia" w:hAnsiTheme="minorHAnsi"/>
                <w:b w:val="0"/>
                <w:noProof/>
                <w:color w:val="auto"/>
                <w:sz w:val="22"/>
                <w:lang w:val="en-AU" w:eastAsia="en-AU"/>
              </w:rPr>
              <w:tab/>
            </w:r>
            <w:r w:rsidR="00106CD4" w:rsidRPr="00097BB8">
              <w:rPr>
                <w:rStyle w:val="Hyperlink"/>
                <w:noProof/>
              </w:rPr>
              <w:t>Background</w:t>
            </w:r>
            <w:r w:rsidR="00106CD4">
              <w:rPr>
                <w:noProof/>
                <w:webHidden/>
              </w:rPr>
              <w:tab/>
            </w:r>
            <w:r w:rsidR="00106CD4">
              <w:rPr>
                <w:noProof/>
                <w:webHidden/>
              </w:rPr>
              <w:fldChar w:fldCharType="begin"/>
            </w:r>
            <w:r w:rsidR="00106CD4">
              <w:rPr>
                <w:noProof/>
                <w:webHidden/>
              </w:rPr>
              <w:instrText xml:space="preserve"> PAGEREF _Toc121130774 \h </w:instrText>
            </w:r>
            <w:r w:rsidR="00106CD4">
              <w:rPr>
                <w:noProof/>
                <w:webHidden/>
              </w:rPr>
            </w:r>
            <w:r w:rsidR="00106CD4">
              <w:rPr>
                <w:noProof/>
                <w:webHidden/>
              </w:rPr>
              <w:fldChar w:fldCharType="separate"/>
            </w:r>
            <w:r w:rsidR="00106CD4">
              <w:rPr>
                <w:noProof/>
                <w:webHidden/>
              </w:rPr>
              <w:t>10</w:t>
            </w:r>
            <w:r w:rsidR="00106CD4">
              <w:rPr>
                <w:noProof/>
                <w:webHidden/>
              </w:rPr>
              <w:fldChar w:fldCharType="end"/>
            </w:r>
          </w:hyperlink>
        </w:p>
        <w:p w14:paraId="060CD88B" w14:textId="00D962CE"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775" w:history="1">
            <w:r w:rsidR="00106CD4" w:rsidRPr="00097BB8">
              <w:rPr>
                <w:rStyle w:val="Hyperlink"/>
                <w:noProof/>
              </w:rPr>
              <w:t>2.1</w:t>
            </w:r>
            <w:r w:rsidR="00106CD4">
              <w:rPr>
                <w:rFonts w:asciiTheme="minorHAnsi" w:eastAsiaTheme="minorEastAsia" w:hAnsiTheme="minorHAnsi"/>
                <w:noProof/>
                <w:color w:val="auto"/>
                <w:lang w:val="en-AU" w:eastAsia="en-AU"/>
              </w:rPr>
              <w:tab/>
            </w:r>
            <w:r w:rsidR="00106CD4" w:rsidRPr="00097BB8">
              <w:rPr>
                <w:rStyle w:val="Hyperlink"/>
                <w:noProof/>
              </w:rPr>
              <w:t>Independent Health and Aged Care Pricing Authority</w:t>
            </w:r>
            <w:r w:rsidR="00106CD4">
              <w:rPr>
                <w:noProof/>
                <w:webHidden/>
              </w:rPr>
              <w:tab/>
            </w:r>
            <w:r w:rsidR="00106CD4">
              <w:rPr>
                <w:noProof/>
                <w:webHidden/>
              </w:rPr>
              <w:fldChar w:fldCharType="begin"/>
            </w:r>
            <w:r w:rsidR="00106CD4">
              <w:rPr>
                <w:noProof/>
                <w:webHidden/>
              </w:rPr>
              <w:instrText xml:space="preserve"> PAGEREF _Toc121130775 \h </w:instrText>
            </w:r>
            <w:r w:rsidR="00106CD4">
              <w:rPr>
                <w:noProof/>
                <w:webHidden/>
              </w:rPr>
            </w:r>
            <w:r w:rsidR="00106CD4">
              <w:rPr>
                <w:noProof/>
                <w:webHidden/>
              </w:rPr>
              <w:fldChar w:fldCharType="separate"/>
            </w:r>
            <w:r w:rsidR="00106CD4">
              <w:rPr>
                <w:noProof/>
                <w:webHidden/>
              </w:rPr>
              <w:t>10</w:t>
            </w:r>
            <w:r w:rsidR="00106CD4">
              <w:rPr>
                <w:noProof/>
                <w:webHidden/>
              </w:rPr>
              <w:fldChar w:fldCharType="end"/>
            </w:r>
          </w:hyperlink>
        </w:p>
        <w:p w14:paraId="35DC0298" w14:textId="50F11C66"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776" w:history="1">
            <w:r w:rsidR="00106CD4" w:rsidRPr="00097BB8">
              <w:rPr>
                <w:rStyle w:val="Hyperlink"/>
                <w:noProof/>
              </w:rPr>
              <w:t>2.2</w:t>
            </w:r>
            <w:r w:rsidR="00106CD4">
              <w:rPr>
                <w:rFonts w:asciiTheme="minorHAnsi" w:eastAsiaTheme="minorEastAsia" w:hAnsiTheme="minorHAnsi"/>
                <w:noProof/>
                <w:color w:val="auto"/>
                <w:lang w:val="en-AU" w:eastAsia="en-AU"/>
              </w:rPr>
              <w:tab/>
            </w:r>
            <w:r w:rsidR="00106CD4" w:rsidRPr="00097BB8">
              <w:rPr>
                <w:rStyle w:val="Hyperlink"/>
                <w:noProof/>
              </w:rPr>
              <w:t>Prostheses List reform and the role of IHACPA</w:t>
            </w:r>
            <w:r w:rsidR="00106CD4">
              <w:rPr>
                <w:noProof/>
                <w:webHidden/>
              </w:rPr>
              <w:tab/>
            </w:r>
            <w:r w:rsidR="00106CD4">
              <w:rPr>
                <w:noProof/>
                <w:webHidden/>
              </w:rPr>
              <w:fldChar w:fldCharType="begin"/>
            </w:r>
            <w:r w:rsidR="00106CD4">
              <w:rPr>
                <w:noProof/>
                <w:webHidden/>
              </w:rPr>
              <w:instrText xml:space="preserve"> PAGEREF _Toc121130776 \h </w:instrText>
            </w:r>
            <w:r w:rsidR="00106CD4">
              <w:rPr>
                <w:noProof/>
                <w:webHidden/>
              </w:rPr>
            </w:r>
            <w:r w:rsidR="00106CD4">
              <w:rPr>
                <w:noProof/>
                <w:webHidden/>
              </w:rPr>
              <w:fldChar w:fldCharType="separate"/>
            </w:r>
            <w:r w:rsidR="00106CD4">
              <w:rPr>
                <w:noProof/>
                <w:webHidden/>
              </w:rPr>
              <w:t>10</w:t>
            </w:r>
            <w:r w:rsidR="00106CD4">
              <w:rPr>
                <w:noProof/>
                <w:webHidden/>
              </w:rPr>
              <w:fldChar w:fldCharType="end"/>
            </w:r>
          </w:hyperlink>
        </w:p>
        <w:p w14:paraId="545C609A" w14:textId="29597604"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777" w:history="1">
            <w:r w:rsidR="00106CD4" w:rsidRPr="00097BB8">
              <w:rPr>
                <w:rStyle w:val="Hyperlink"/>
                <w:noProof/>
              </w:rPr>
              <w:t>2.3</w:t>
            </w:r>
            <w:r w:rsidR="00106CD4">
              <w:rPr>
                <w:rFonts w:asciiTheme="minorHAnsi" w:eastAsiaTheme="minorEastAsia" w:hAnsiTheme="minorHAnsi"/>
                <w:noProof/>
                <w:color w:val="auto"/>
                <w:lang w:val="en-AU" w:eastAsia="en-AU"/>
              </w:rPr>
              <w:tab/>
            </w:r>
            <w:r w:rsidR="00106CD4" w:rsidRPr="00097BB8">
              <w:rPr>
                <w:rStyle w:val="Hyperlink"/>
                <w:noProof/>
              </w:rPr>
              <w:t>Removal of General Use Items from the Prostheses List</w:t>
            </w:r>
            <w:r w:rsidR="00106CD4">
              <w:rPr>
                <w:noProof/>
                <w:webHidden/>
              </w:rPr>
              <w:tab/>
            </w:r>
            <w:r w:rsidR="00106CD4">
              <w:rPr>
                <w:noProof/>
                <w:webHidden/>
              </w:rPr>
              <w:fldChar w:fldCharType="begin"/>
            </w:r>
            <w:r w:rsidR="00106CD4">
              <w:rPr>
                <w:noProof/>
                <w:webHidden/>
              </w:rPr>
              <w:instrText xml:space="preserve"> PAGEREF _Toc121130777 \h </w:instrText>
            </w:r>
            <w:r w:rsidR="00106CD4">
              <w:rPr>
                <w:noProof/>
                <w:webHidden/>
              </w:rPr>
            </w:r>
            <w:r w:rsidR="00106CD4">
              <w:rPr>
                <w:noProof/>
                <w:webHidden/>
              </w:rPr>
              <w:fldChar w:fldCharType="separate"/>
            </w:r>
            <w:r w:rsidR="00106CD4">
              <w:rPr>
                <w:noProof/>
                <w:webHidden/>
              </w:rPr>
              <w:t>11</w:t>
            </w:r>
            <w:r w:rsidR="00106CD4">
              <w:rPr>
                <w:noProof/>
                <w:webHidden/>
              </w:rPr>
              <w:fldChar w:fldCharType="end"/>
            </w:r>
          </w:hyperlink>
        </w:p>
        <w:p w14:paraId="76F2D68C" w14:textId="7D803369"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778" w:history="1">
            <w:r w:rsidR="00106CD4" w:rsidRPr="00097BB8">
              <w:rPr>
                <w:rStyle w:val="Hyperlink"/>
                <w:noProof/>
              </w:rPr>
              <w:t>2.4</w:t>
            </w:r>
            <w:r w:rsidR="00106CD4">
              <w:rPr>
                <w:rFonts w:asciiTheme="minorHAnsi" w:eastAsiaTheme="minorEastAsia" w:hAnsiTheme="minorHAnsi"/>
                <w:noProof/>
                <w:color w:val="auto"/>
                <w:lang w:val="en-AU" w:eastAsia="en-AU"/>
              </w:rPr>
              <w:tab/>
            </w:r>
            <w:r w:rsidR="00106CD4" w:rsidRPr="00097BB8">
              <w:rPr>
                <w:rStyle w:val="Hyperlink"/>
                <w:noProof/>
              </w:rPr>
              <w:t>Advice on bundling arrangements for General Use Items</w:t>
            </w:r>
            <w:r w:rsidR="00106CD4">
              <w:rPr>
                <w:noProof/>
                <w:webHidden/>
              </w:rPr>
              <w:tab/>
            </w:r>
            <w:r w:rsidR="00106CD4">
              <w:rPr>
                <w:noProof/>
                <w:webHidden/>
              </w:rPr>
              <w:fldChar w:fldCharType="begin"/>
            </w:r>
            <w:r w:rsidR="00106CD4">
              <w:rPr>
                <w:noProof/>
                <w:webHidden/>
              </w:rPr>
              <w:instrText xml:space="preserve"> PAGEREF _Toc121130778 \h </w:instrText>
            </w:r>
            <w:r w:rsidR="00106CD4">
              <w:rPr>
                <w:noProof/>
                <w:webHidden/>
              </w:rPr>
            </w:r>
            <w:r w:rsidR="00106CD4">
              <w:rPr>
                <w:noProof/>
                <w:webHidden/>
              </w:rPr>
              <w:fldChar w:fldCharType="separate"/>
            </w:r>
            <w:r w:rsidR="00106CD4">
              <w:rPr>
                <w:noProof/>
                <w:webHidden/>
              </w:rPr>
              <w:t>11</w:t>
            </w:r>
            <w:r w:rsidR="00106CD4">
              <w:rPr>
                <w:noProof/>
                <w:webHidden/>
              </w:rPr>
              <w:fldChar w:fldCharType="end"/>
            </w:r>
          </w:hyperlink>
        </w:p>
        <w:p w14:paraId="5D1DBA8F" w14:textId="2C5C3D70" w:rsidR="00106CD4" w:rsidRDefault="00000000">
          <w:pPr>
            <w:pStyle w:val="TOC3"/>
            <w:tabs>
              <w:tab w:val="left" w:pos="1320"/>
              <w:tab w:val="right" w:leader="dot" w:pos="9742"/>
            </w:tabs>
            <w:rPr>
              <w:rFonts w:asciiTheme="minorHAnsi" w:eastAsiaTheme="minorEastAsia" w:hAnsiTheme="minorHAnsi"/>
              <w:noProof/>
              <w:color w:val="auto"/>
              <w:lang w:val="en-AU" w:eastAsia="en-AU"/>
            </w:rPr>
          </w:pPr>
          <w:hyperlink w:anchor="_Toc121130779" w:history="1">
            <w:r w:rsidR="00106CD4" w:rsidRPr="00097BB8">
              <w:rPr>
                <w:rStyle w:val="Hyperlink"/>
                <w:noProof/>
              </w:rPr>
              <w:t>2.4.1</w:t>
            </w:r>
            <w:r w:rsidR="00106CD4">
              <w:rPr>
                <w:rFonts w:asciiTheme="minorHAnsi" w:eastAsiaTheme="minorEastAsia" w:hAnsiTheme="minorHAnsi"/>
                <w:noProof/>
                <w:color w:val="auto"/>
                <w:lang w:val="en-AU" w:eastAsia="en-AU"/>
              </w:rPr>
              <w:tab/>
            </w:r>
            <w:r w:rsidR="00106CD4" w:rsidRPr="00097BB8">
              <w:rPr>
                <w:rStyle w:val="Hyperlink"/>
                <w:noProof/>
              </w:rPr>
              <w:t>Consultation process</w:t>
            </w:r>
            <w:r w:rsidR="00106CD4">
              <w:rPr>
                <w:noProof/>
                <w:webHidden/>
              </w:rPr>
              <w:tab/>
            </w:r>
            <w:r w:rsidR="00106CD4">
              <w:rPr>
                <w:noProof/>
                <w:webHidden/>
              </w:rPr>
              <w:fldChar w:fldCharType="begin"/>
            </w:r>
            <w:r w:rsidR="00106CD4">
              <w:rPr>
                <w:noProof/>
                <w:webHidden/>
              </w:rPr>
              <w:instrText xml:space="preserve"> PAGEREF _Toc121130779 \h </w:instrText>
            </w:r>
            <w:r w:rsidR="00106CD4">
              <w:rPr>
                <w:noProof/>
                <w:webHidden/>
              </w:rPr>
            </w:r>
            <w:r w:rsidR="00106CD4">
              <w:rPr>
                <w:noProof/>
                <w:webHidden/>
              </w:rPr>
              <w:fldChar w:fldCharType="separate"/>
            </w:r>
            <w:r w:rsidR="00106CD4">
              <w:rPr>
                <w:noProof/>
                <w:webHidden/>
              </w:rPr>
              <w:t>12</w:t>
            </w:r>
            <w:r w:rsidR="00106CD4">
              <w:rPr>
                <w:noProof/>
                <w:webHidden/>
              </w:rPr>
              <w:fldChar w:fldCharType="end"/>
            </w:r>
          </w:hyperlink>
        </w:p>
        <w:p w14:paraId="588AE9F9" w14:textId="31854114" w:rsidR="00106CD4" w:rsidRDefault="00000000">
          <w:pPr>
            <w:pStyle w:val="TOC3"/>
            <w:tabs>
              <w:tab w:val="left" w:pos="1320"/>
              <w:tab w:val="right" w:leader="dot" w:pos="9742"/>
            </w:tabs>
            <w:rPr>
              <w:rFonts w:asciiTheme="minorHAnsi" w:eastAsiaTheme="minorEastAsia" w:hAnsiTheme="minorHAnsi"/>
              <w:noProof/>
              <w:color w:val="auto"/>
              <w:lang w:val="en-AU" w:eastAsia="en-AU"/>
            </w:rPr>
          </w:pPr>
          <w:hyperlink w:anchor="_Toc121130780" w:history="1">
            <w:r w:rsidR="00106CD4" w:rsidRPr="00097BB8">
              <w:rPr>
                <w:rStyle w:val="Hyperlink"/>
                <w:noProof/>
              </w:rPr>
              <w:t>2.4.2</w:t>
            </w:r>
            <w:r w:rsidR="00106CD4">
              <w:rPr>
                <w:rFonts w:asciiTheme="minorHAnsi" w:eastAsiaTheme="minorEastAsia" w:hAnsiTheme="minorHAnsi"/>
                <w:noProof/>
                <w:color w:val="auto"/>
                <w:lang w:val="en-AU" w:eastAsia="en-AU"/>
              </w:rPr>
              <w:tab/>
            </w:r>
            <w:r w:rsidR="00106CD4" w:rsidRPr="00097BB8">
              <w:rPr>
                <w:rStyle w:val="Hyperlink"/>
                <w:noProof/>
              </w:rPr>
              <w:t>Prostheses List Reform Working Group</w:t>
            </w:r>
            <w:r w:rsidR="00106CD4">
              <w:rPr>
                <w:noProof/>
                <w:webHidden/>
              </w:rPr>
              <w:tab/>
            </w:r>
            <w:r w:rsidR="00106CD4">
              <w:rPr>
                <w:noProof/>
                <w:webHidden/>
              </w:rPr>
              <w:fldChar w:fldCharType="begin"/>
            </w:r>
            <w:r w:rsidR="00106CD4">
              <w:rPr>
                <w:noProof/>
                <w:webHidden/>
              </w:rPr>
              <w:instrText xml:space="preserve"> PAGEREF _Toc121130780 \h </w:instrText>
            </w:r>
            <w:r w:rsidR="00106CD4">
              <w:rPr>
                <w:noProof/>
                <w:webHidden/>
              </w:rPr>
            </w:r>
            <w:r w:rsidR="00106CD4">
              <w:rPr>
                <w:noProof/>
                <w:webHidden/>
              </w:rPr>
              <w:fldChar w:fldCharType="separate"/>
            </w:r>
            <w:r w:rsidR="00106CD4">
              <w:rPr>
                <w:noProof/>
                <w:webHidden/>
              </w:rPr>
              <w:t>12</w:t>
            </w:r>
            <w:r w:rsidR="00106CD4">
              <w:rPr>
                <w:noProof/>
                <w:webHidden/>
              </w:rPr>
              <w:fldChar w:fldCharType="end"/>
            </w:r>
          </w:hyperlink>
        </w:p>
        <w:p w14:paraId="643ED01E" w14:textId="3AA93A83" w:rsidR="00106CD4" w:rsidRDefault="00000000">
          <w:pPr>
            <w:pStyle w:val="TOC1"/>
            <w:rPr>
              <w:rFonts w:asciiTheme="minorHAnsi" w:eastAsiaTheme="minorEastAsia" w:hAnsiTheme="minorHAnsi"/>
              <w:b w:val="0"/>
              <w:noProof/>
              <w:color w:val="auto"/>
              <w:sz w:val="22"/>
              <w:lang w:val="en-AU" w:eastAsia="en-AU"/>
            </w:rPr>
          </w:pPr>
          <w:hyperlink w:anchor="_Toc121130781" w:history="1">
            <w:r w:rsidR="00106CD4" w:rsidRPr="00097BB8">
              <w:rPr>
                <w:rStyle w:val="Hyperlink"/>
                <w:noProof/>
              </w:rPr>
              <w:t>3.</w:t>
            </w:r>
            <w:r w:rsidR="00106CD4">
              <w:rPr>
                <w:rFonts w:asciiTheme="minorHAnsi" w:eastAsiaTheme="minorEastAsia" w:hAnsiTheme="minorHAnsi"/>
                <w:b w:val="0"/>
                <w:noProof/>
                <w:color w:val="auto"/>
                <w:sz w:val="22"/>
                <w:lang w:val="en-AU" w:eastAsia="en-AU"/>
              </w:rPr>
              <w:tab/>
            </w:r>
            <w:r w:rsidR="00106CD4" w:rsidRPr="00097BB8">
              <w:rPr>
                <w:rStyle w:val="Hyperlink"/>
                <w:noProof/>
              </w:rPr>
              <w:t>Bundling of General Use Items</w:t>
            </w:r>
            <w:r w:rsidR="00106CD4">
              <w:rPr>
                <w:noProof/>
                <w:webHidden/>
              </w:rPr>
              <w:tab/>
            </w:r>
            <w:r w:rsidR="00106CD4">
              <w:rPr>
                <w:noProof/>
                <w:webHidden/>
              </w:rPr>
              <w:fldChar w:fldCharType="begin"/>
            </w:r>
            <w:r w:rsidR="00106CD4">
              <w:rPr>
                <w:noProof/>
                <w:webHidden/>
              </w:rPr>
              <w:instrText xml:space="preserve"> PAGEREF _Toc121130781 \h </w:instrText>
            </w:r>
            <w:r w:rsidR="00106CD4">
              <w:rPr>
                <w:noProof/>
                <w:webHidden/>
              </w:rPr>
            </w:r>
            <w:r w:rsidR="00106CD4">
              <w:rPr>
                <w:noProof/>
                <w:webHidden/>
              </w:rPr>
              <w:fldChar w:fldCharType="separate"/>
            </w:r>
            <w:r w:rsidR="00106CD4">
              <w:rPr>
                <w:noProof/>
                <w:webHidden/>
              </w:rPr>
              <w:t>13</w:t>
            </w:r>
            <w:r w:rsidR="00106CD4">
              <w:rPr>
                <w:noProof/>
                <w:webHidden/>
              </w:rPr>
              <w:fldChar w:fldCharType="end"/>
            </w:r>
          </w:hyperlink>
        </w:p>
        <w:p w14:paraId="58C306DC" w14:textId="212F27E9"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782" w:history="1">
            <w:r w:rsidR="00106CD4" w:rsidRPr="00097BB8">
              <w:rPr>
                <w:rStyle w:val="Hyperlink"/>
                <w:noProof/>
              </w:rPr>
              <w:t>3.1</w:t>
            </w:r>
            <w:r w:rsidR="00106CD4">
              <w:rPr>
                <w:rFonts w:asciiTheme="minorHAnsi" w:eastAsiaTheme="minorEastAsia" w:hAnsiTheme="minorHAnsi"/>
                <w:noProof/>
                <w:color w:val="auto"/>
                <w:lang w:val="en-AU" w:eastAsia="en-AU"/>
              </w:rPr>
              <w:tab/>
            </w:r>
            <w:r w:rsidR="00106CD4" w:rsidRPr="00097BB8">
              <w:rPr>
                <w:rStyle w:val="Hyperlink"/>
                <w:noProof/>
              </w:rPr>
              <w:t>Introduction</w:t>
            </w:r>
            <w:r w:rsidR="00106CD4">
              <w:rPr>
                <w:noProof/>
                <w:webHidden/>
              </w:rPr>
              <w:tab/>
            </w:r>
            <w:r w:rsidR="00106CD4">
              <w:rPr>
                <w:noProof/>
                <w:webHidden/>
              </w:rPr>
              <w:fldChar w:fldCharType="begin"/>
            </w:r>
            <w:r w:rsidR="00106CD4">
              <w:rPr>
                <w:noProof/>
                <w:webHidden/>
              </w:rPr>
              <w:instrText xml:space="preserve"> PAGEREF _Toc121130782 \h </w:instrText>
            </w:r>
            <w:r w:rsidR="00106CD4">
              <w:rPr>
                <w:noProof/>
                <w:webHidden/>
              </w:rPr>
            </w:r>
            <w:r w:rsidR="00106CD4">
              <w:rPr>
                <w:noProof/>
                <w:webHidden/>
              </w:rPr>
              <w:fldChar w:fldCharType="separate"/>
            </w:r>
            <w:r w:rsidR="00106CD4">
              <w:rPr>
                <w:noProof/>
                <w:webHidden/>
              </w:rPr>
              <w:t>13</w:t>
            </w:r>
            <w:r w:rsidR="00106CD4">
              <w:rPr>
                <w:noProof/>
                <w:webHidden/>
              </w:rPr>
              <w:fldChar w:fldCharType="end"/>
            </w:r>
          </w:hyperlink>
        </w:p>
        <w:p w14:paraId="4CEAF858" w14:textId="11A1EF07"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783" w:history="1">
            <w:r w:rsidR="00106CD4" w:rsidRPr="00097BB8">
              <w:rPr>
                <w:rStyle w:val="Hyperlink"/>
                <w:noProof/>
              </w:rPr>
              <w:t>3.2</w:t>
            </w:r>
            <w:r w:rsidR="00106CD4">
              <w:rPr>
                <w:rFonts w:asciiTheme="minorHAnsi" w:eastAsiaTheme="minorEastAsia" w:hAnsiTheme="minorHAnsi"/>
                <w:noProof/>
                <w:color w:val="auto"/>
                <w:lang w:val="en-AU" w:eastAsia="en-AU"/>
              </w:rPr>
              <w:tab/>
            </w:r>
            <w:r w:rsidR="00106CD4" w:rsidRPr="00097BB8">
              <w:rPr>
                <w:rStyle w:val="Hyperlink"/>
                <w:noProof/>
              </w:rPr>
              <w:t>General Use Item bundle variants</w:t>
            </w:r>
            <w:r w:rsidR="00106CD4">
              <w:rPr>
                <w:noProof/>
                <w:webHidden/>
              </w:rPr>
              <w:tab/>
            </w:r>
            <w:r w:rsidR="00106CD4">
              <w:rPr>
                <w:noProof/>
                <w:webHidden/>
              </w:rPr>
              <w:fldChar w:fldCharType="begin"/>
            </w:r>
            <w:r w:rsidR="00106CD4">
              <w:rPr>
                <w:noProof/>
                <w:webHidden/>
              </w:rPr>
              <w:instrText xml:space="preserve"> PAGEREF _Toc121130783 \h </w:instrText>
            </w:r>
            <w:r w:rsidR="00106CD4">
              <w:rPr>
                <w:noProof/>
                <w:webHidden/>
              </w:rPr>
            </w:r>
            <w:r w:rsidR="00106CD4">
              <w:rPr>
                <w:noProof/>
                <w:webHidden/>
              </w:rPr>
              <w:fldChar w:fldCharType="separate"/>
            </w:r>
            <w:r w:rsidR="00106CD4">
              <w:rPr>
                <w:noProof/>
                <w:webHidden/>
              </w:rPr>
              <w:t>13</w:t>
            </w:r>
            <w:r w:rsidR="00106CD4">
              <w:rPr>
                <w:noProof/>
                <w:webHidden/>
              </w:rPr>
              <w:fldChar w:fldCharType="end"/>
            </w:r>
          </w:hyperlink>
        </w:p>
        <w:p w14:paraId="6D461A50" w14:textId="527FBFB7" w:rsidR="00106CD4" w:rsidRDefault="00000000">
          <w:pPr>
            <w:pStyle w:val="TOC3"/>
            <w:tabs>
              <w:tab w:val="left" w:pos="1320"/>
              <w:tab w:val="right" w:leader="dot" w:pos="9742"/>
            </w:tabs>
            <w:rPr>
              <w:rFonts w:asciiTheme="minorHAnsi" w:eastAsiaTheme="minorEastAsia" w:hAnsiTheme="minorHAnsi"/>
              <w:noProof/>
              <w:color w:val="auto"/>
              <w:lang w:val="en-AU" w:eastAsia="en-AU"/>
            </w:rPr>
          </w:pPr>
          <w:hyperlink w:anchor="_Toc121130784" w:history="1">
            <w:r w:rsidR="00106CD4" w:rsidRPr="00097BB8">
              <w:rPr>
                <w:rStyle w:val="Hyperlink"/>
                <w:noProof/>
              </w:rPr>
              <w:t>3.2.1</w:t>
            </w:r>
            <w:r w:rsidR="00106CD4">
              <w:rPr>
                <w:rFonts w:asciiTheme="minorHAnsi" w:eastAsiaTheme="minorEastAsia" w:hAnsiTheme="minorHAnsi"/>
                <w:noProof/>
                <w:color w:val="auto"/>
                <w:lang w:val="en-AU" w:eastAsia="en-AU"/>
              </w:rPr>
              <w:tab/>
            </w:r>
            <w:r w:rsidR="00106CD4" w:rsidRPr="00097BB8">
              <w:rPr>
                <w:rStyle w:val="Hyperlink"/>
                <w:noProof/>
              </w:rPr>
              <w:t>Product bundles</w:t>
            </w:r>
            <w:r w:rsidR="00106CD4">
              <w:rPr>
                <w:noProof/>
                <w:webHidden/>
              </w:rPr>
              <w:tab/>
            </w:r>
            <w:r w:rsidR="00106CD4">
              <w:rPr>
                <w:noProof/>
                <w:webHidden/>
              </w:rPr>
              <w:fldChar w:fldCharType="begin"/>
            </w:r>
            <w:r w:rsidR="00106CD4">
              <w:rPr>
                <w:noProof/>
                <w:webHidden/>
              </w:rPr>
              <w:instrText xml:space="preserve"> PAGEREF _Toc121130784 \h </w:instrText>
            </w:r>
            <w:r w:rsidR="00106CD4">
              <w:rPr>
                <w:noProof/>
                <w:webHidden/>
              </w:rPr>
            </w:r>
            <w:r w:rsidR="00106CD4">
              <w:rPr>
                <w:noProof/>
                <w:webHidden/>
              </w:rPr>
              <w:fldChar w:fldCharType="separate"/>
            </w:r>
            <w:r w:rsidR="00106CD4">
              <w:rPr>
                <w:noProof/>
                <w:webHidden/>
              </w:rPr>
              <w:t>13</w:t>
            </w:r>
            <w:r w:rsidR="00106CD4">
              <w:rPr>
                <w:noProof/>
                <w:webHidden/>
              </w:rPr>
              <w:fldChar w:fldCharType="end"/>
            </w:r>
          </w:hyperlink>
        </w:p>
        <w:p w14:paraId="356C60CE" w14:textId="7E12B106" w:rsidR="00106CD4" w:rsidRDefault="00000000">
          <w:pPr>
            <w:pStyle w:val="TOC3"/>
            <w:tabs>
              <w:tab w:val="left" w:pos="1320"/>
              <w:tab w:val="right" w:leader="dot" w:pos="9742"/>
            </w:tabs>
            <w:rPr>
              <w:rFonts w:asciiTheme="minorHAnsi" w:eastAsiaTheme="minorEastAsia" w:hAnsiTheme="minorHAnsi"/>
              <w:noProof/>
              <w:color w:val="auto"/>
              <w:lang w:val="en-AU" w:eastAsia="en-AU"/>
            </w:rPr>
          </w:pPr>
          <w:hyperlink w:anchor="_Toc121130785" w:history="1">
            <w:r w:rsidR="00106CD4" w:rsidRPr="00097BB8">
              <w:rPr>
                <w:rStyle w:val="Hyperlink"/>
                <w:noProof/>
              </w:rPr>
              <w:t>3.2.2</w:t>
            </w:r>
            <w:r w:rsidR="00106CD4">
              <w:rPr>
                <w:rFonts w:asciiTheme="minorHAnsi" w:eastAsiaTheme="minorEastAsia" w:hAnsiTheme="minorHAnsi"/>
                <w:noProof/>
                <w:color w:val="auto"/>
                <w:lang w:val="en-AU" w:eastAsia="en-AU"/>
              </w:rPr>
              <w:tab/>
            </w:r>
            <w:r w:rsidR="00106CD4" w:rsidRPr="00097BB8">
              <w:rPr>
                <w:rStyle w:val="Hyperlink"/>
                <w:noProof/>
              </w:rPr>
              <w:t>Facility type bundle variants</w:t>
            </w:r>
            <w:r w:rsidR="00106CD4">
              <w:rPr>
                <w:noProof/>
                <w:webHidden/>
              </w:rPr>
              <w:tab/>
            </w:r>
            <w:r w:rsidR="00106CD4">
              <w:rPr>
                <w:noProof/>
                <w:webHidden/>
              </w:rPr>
              <w:fldChar w:fldCharType="begin"/>
            </w:r>
            <w:r w:rsidR="00106CD4">
              <w:rPr>
                <w:noProof/>
                <w:webHidden/>
              </w:rPr>
              <w:instrText xml:space="preserve"> PAGEREF _Toc121130785 \h </w:instrText>
            </w:r>
            <w:r w:rsidR="00106CD4">
              <w:rPr>
                <w:noProof/>
                <w:webHidden/>
              </w:rPr>
            </w:r>
            <w:r w:rsidR="00106CD4">
              <w:rPr>
                <w:noProof/>
                <w:webHidden/>
              </w:rPr>
              <w:fldChar w:fldCharType="separate"/>
            </w:r>
            <w:r w:rsidR="00106CD4">
              <w:rPr>
                <w:noProof/>
                <w:webHidden/>
              </w:rPr>
              <w:t>14</w:t>
            </w:r>
            <w:r w:rsidR="00106CD4">
              <w:rPr>
                <w:noProof/>
                <w:webHidden/>
              </w:rPr>
              <w:fldChar w:fldCharType="end"/>
            </w:r>
          </w:hyperlink>
        </w:p>
        <w:p w14:paraId="19CA8E7D" w14:textId="733BBADC" w:rsidR="00106CD4" w:rsidRDefault="00000000">
          <w:pPr>
            <w:pStyle w:val="TOC3"/>
            <w:tabs>
              <w:tab w:val="left" w:pos="1320"/>
              <w:tab w:val="right" w:leader="dot" w:pos="9742"/>
            </w:tabs>
            <w:rPr>
              <w:rFonts w:asciiTheme="minorHAnsi" w:eastAsiaTheme="minorEastAsia" w:hAnsiTheme="minorHAnsi"/>
              <w:noProof/>
              <w:color w:val="auto"/>
              <w:lang w:val="en-AU" w:eastAsia="en-AU"/>
            </w:rPr>
          </w:pPr>
          <w:hyperlink w:anchor="_Toc121130786" w:history="1">
            <w:r w:rsidR="00106CD4" w:rsidRPr="00097BB8">
              <w:rPr>
                <w:rStyle w:val="Hyperlink"/>
                <w:noProof/>
              </w:rPr>
              <w:t>3.2.3</w:t>
            </w:r>
            <w:r w:rsidR="00106CD4">
              <w:rPr>
                <w:rFonts w:asciiTheme="minorHAnsi" w:eastAsiaTheme="minorEastAsia" w:hAnsiTheme="minorHAnsi"/>
                <w:noProof/>
                <w:color w:val="auto"/>
                <w:lang w:val="en-AU" w:eastAsia="en-AU"/>
              </w:rPr>
              <w:tab/>
            </w:r>
            <w:r w:rsidR="00106CD4" w:rsidRPr="00097BB8">
              <w:rPr>
                <w:rStyle w:val="Hyperlink"/>
                <w:noProof/>
              </w:rPr>
              <w:t>Major Diagnostic Category based bundle variants</w:t>
            </w:r>
            <w:r w:rsidR="00106CD4">
              <w:rPr>
                <w:noProof/>
                <w:webHidden/>
              </w:rPr>
              <w:tab/>
            </w:r>
            <w:r w:rsidR="00106CD4">
              <w:rPr>
                <w:noProof/>
                <w:webHidden/>
              </w:rPr>
              <w:fldChar w:fldCharType="begin"/>
            </w:r>
            <w:r w:rsidR="00106CD4">
              <w:rPr>
                <w:noProof/>
                <w:webHidden/>
              </w:rPr>
              <w:instrText xml:space="preserve"> PAGEREF _Toc121130786 \h </w:instrText>
            </w:r>
            <w:r w:rsidR="00106CD4">
              <w:rPr>
                <w:noProof/>
                <w:webHidden/>
              </w:rPr>
            </w:r>
            <w:r w:rsidR="00106CD4">
              <w:rPr>
                <w:noProof/>
                <w:webHidden/>
              </w:rPr>
              <w:fldChar w:fldCharType="separate"/>
            </w:r>
            <w:r w:rsidR="00106CD4">
              <w:rPr>
                <w:noProof/>
                <w:webHidden/>
              </w:rPr>
              <w:t>14</w:t>
            </w:r>
            <w:r w:rsidR="00106CD4">
              <w:rPr>
                <w:noProof/>
                <w:webHidden/>
              </w:rPr>
              <w:fldChar w:fldCharType="end"/>
            </w:r>
          </w:hyperlink>
        </w:p>
        <w:p w14:paraId="0AC9081D" w14:textId="6C9D3554"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787" w:history="1">
            <w:r w:rsidR="00106CD4" w:rsidRPr="00097BB8">
              <w:rPr>
                <w:rStyle w:val="Hyperlink"/>
                <w:noProof/>
              </w:rPr>
              <w:t>3.3</w:t>
            </w:r>
            <w:r w:rsidR="00106CD4">
              <w:rPr>
                <w:rFonts w:asciiTheme="minorHAnsi" w:eastAsiaTheme="minorEastAsia" w:hAnsiTheme="minorHAnsi"/>
                <w:noProof/>
                <w:color w:val="auto"/>
                <w:lang w:val="en-AU" w:eastAsia="en-AU"/>
              </w:rPr>
              <w:tab/>
            </w:r>
            <w:r w:rsidR="00106CD4" w:rsidRPr="00097BB8">
              <w:rPr>
                <w:rStyle w:val="Hyperlink"/>
                <w:noProof/>
              </w:rPr>
              <w:t>General Use Item bundled benefits</w:t>
            </w:r>
            <w:r w:rsidR="00106CD4">
              <w:rPr>
                <w:noProof/>
                <w:webHidden/>
              </w:rPr>
              <w:tab/>
            </w:r>
            <w:r w:rsidR="00106CD4">
              <w:rPr>
                <w:noProof/>
                <w:webHidden/>
              </w:rPr>
              <w:fldChar w:fldCharType="begin"/>
            </w:r>
            <w:r w:rsidR="00106CD4">
              <w:rPr>
                <w:noProof/>
                <w:webHidden/>
              </w:rPr>
              <w:instrText xml:space="preserve"> PAGEREF _Toc121130787 \h </w:instrText>
            </w:r>
            <w:r w:rsidR="00106CD4">
              <w:rPr>
                <w:noProof/>
                <w:webHidden/>
              </w:rPr>
            </w:r>
            <w:r w:rsidR="00106CD4">
              <w:rPr>
                <w:noProof/>
                <w:webHidden/>
              </w:rPr>
              <w:fldChar w:fldCharType="separate"/>
            </w:r>
            <w:r w:rsidR="00106CD4">
              <w:rPr>
                <w:noProof/>
                <w:webHidden/>
              </w:rPr>
              <w:t>14</w:t>
            </w:r>
            <w:r w:rsidR="00106CD4">
              <w:rPr>
                <w:noProof/>
                <w:webHidden/>
              </w:rPr>
              <w:fldChar w:fldCharType="end"/>
            </w:r>
          </w:hyperlink>
        </w:p>
        <w:p w14:paraId="5D48E493" w14:textId="574745BE"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788" w:history="1">
            <w:r w:rsidR="00106CD4" w:rsidRPr="00097BB8">
              <w:rPr>
                <w:rStyle w:val="Hyperlink"/>
                <w:noProof/>
              </w:rPr>
              <w:t>3.4</w:t>
            </w:r>
            <w:r w:rsidR="00106CD4">
              <w:rPr>
                <w:rFonts w:asciiTheme="minorHAnsi" w:eastAsiaTheme="minorEastAsia" w:hAnsiTheme="minorHAnsi"/>
                <w:noProof/>
                <w:color w:val="auto"/>
                <w:lang w:val="en-AU" w:eastAsia="en-AU"/>
              </w:rPr>
              <w:tab/>
            </w:r>
            <w:r w:rsidR="00106CD4" w:rsidRPr="00097BB8">
              <w:rPr>
                <w:rStyle w:val="Hyperlink"/>
                <w:noProof/>
              </w:rPr>
              <w:t>Application of General Use Item bundles</w:t>
            </w:r>
            <w:r w:rsidR="00106CD4">
              <w:rPr>
                <w:noProof/>
                <w:webHidden/>
              </w:rPr>
              <w:tab/>
            </w:r>
            <w:r w:rsidR="00106CD4">
              <w:rPr>
                <w:noProof/>
                <w:webHidden/>
              </w:rPr>
              <w:fldChar w:fldCharType="begin"/>
            </w:r>
            <w:r w:rsidR="00106CD4">
              <w:rPr>
                <w:noProof/>
                <w:webHidden/>
              </w:rPr>
              <w:instrText xml:space="preserve"> PAGEREF _Toc121130788 \h </w:instrText>
            </w:r>
            <w:r w:rsidR="00106CD4">
              <w:rPr>
                <w:noProof/>
                <w:webHidden/>
              </w:rPr>
            </w:r>
            <w:r w:rsidR="00106CD4">
              <w:rPr>
                <w:noProof/>
                <w:webHidden/>
              </w:rPr>
              <w:fldChar w:fldCharType="separate"/>
            </w:r>
            <w:r w:rsidR="00106CD4">
              <w:rPr>
                <w:noProof/>
                <w:webHidden/>
              </w:rPr>
              <w:t>15</w:t>
            </w:r>
            <w:r w:rsidR="00106CD4">
              <w:rPr>
                <w:noProof/>
                <w:webHidden/>
              </w:rPr>
              <w:fldChar w:fldCharType="end"/>
            </w:r>
          </w:hyperlink>
        </w:p>
        <w:p w14:paraId="5075C367" w14:textId="5BDDBDE0" w:rsidR="00106CD4" w:rsidRDefault="00000000">
          <w:pPr>
            <w:pStyle w:val="TOC1"/>
            <w:rPr>
              <w:rFonts w:asciiTheme="minorHAnsi" w:eastAsiaTheme="minorEastAsia" w:hAnsiTheme="minorHAnsi"/>
              <w:b w:val="0"/>
              <w:noProof/>
              <w:color w:val="auto"/>
              <w:sz w:val="22"/>
              <w:lang w:val="en-AU" w:eastAsia="en-AU"/>
            </w:rPr>
          </w:pPr>
          <w:hyperlink w:anchor="_Toc121130789" w:history="1">
            <w:r w:rsidR="00106CD4" w:rsidRPr="00097BB8">
              <w:rPr>
                <w:rStyle w:val="Hyperlink"/>
                <w:noProof/>
              </w:rPr>
              <w:t>4.</w:t>
            </w:r>
            <w:r w:rsidR="00106CD4">
              <w:rPr>
                <w:rFonts w:asciiTheme="minorHAnsi" w:eastAsiaTheme="minorEastAsia" w:hAnsiTheme="minorHAnsi"/>
                <w:b w:val="0"/>
                <w:noProof/>
                <w:color w:val="auto"/>
                <w:sz w:val="22"/>
                <w:lang w:val="en-AU" w:eastAsia="en-AU"/>
              </w:rPr>
              <w:tab/>
            </w:r>
            <w:r w:rsidR="00106CD4" w:rsidRPr="00097BB8">
              <w:rPr>
                <w:rStyle w:val="Hyperlink"/>
                <w:noProof/>
              </w:rPr>
              <w:t>Data sources</w:t>
            </w:r>
            <w:r w:rsidR="00106CD4">
              <w:rPr>
                <w:noProof/>
                <w:webHidden/>
              </w:rPr>
              <w:tab/>
            </w:r>
            <w:r w:rsidR="00106CD4">
              <w:rPr>
                <w:noProof/>
                <w:webHidden/>
              </w:rPr>
              <w:fldChar w:fldCharType="begin"/>
            </w:r>
            <w:r w:rsidR="00106CD4">
              <w:rPr>
                <w:noProof/>
                <w:webHidden/>
              </w:rPr>
              <w:instrText xml:space="preserve"> PAGEREF _Toc121130789 \h </w:instrText>
            </w:r>
            <w:r w:rsidR="00106CD4">
              <w:rPr>
                <w:noProof/>
                <w:webHidden/>
              </w:rPr>
            </w:r>
            <w:r w:rsidR="00106CD4">
              <w:rPr>
                <w:noProof/>
                <w:webHidden/>
              </w:rPr>
              <w:fldChar w:fldCharType="separate"/>
            </w:r>
            <w:r w:rsidR="00106CD4">
              <w:rPr>
                <w:noProof/>
                <w:webHidden/>
              </w:rPr>
              <w:t>17</w:t>
            </w:r>
            <w:r w:rsidR="00106CD4">
              <w:rPr>
                <w:noProof/>
                <w:webHidden/>
              </w:rPr>
              <w:fldChar w:fldCharType="end"/>
            </w:r>
          </w:hyperlink>
        </w:p>
        <w:p w14:paraId="50D624C1" w14:textId="720E7278"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790" w:history="1">
            <w:r w:rsidR="00106CD4" w:rsidRPr="00097BB8">
              <w:rPr>
                <w:rStyle w:val="Hyperlink"/>
                <w:noProof/>
              </w:rPr>
              <w:t>4.1</w:t>
            </w:r>
            <w:r w:rsidR="00106CD4">
              <w:rPr>
                <w:rFonts w:asciiTheme="minorHAnsi" w:eastAsiaTheme="minorEastAsia" w:hAnsiTheme="minorHAnsi"/>
                <w:noProof/>
                <w:color w:val="auto"/>
                <w:lang w:val="en-AU" w:eastAsia="en-AU"/>
              </w:rPr>
              <w:tab/>
            </w:r>
            <w:r w:rsidR="00106CD4" w:rsidRPr="00097BB8">
              <w:rPr>
                <w:rStyle w:val="Hyperlink"/>
                <w:noProof/>
              </w:rPr>
              <w:t>Introduction</w:t>
            </w:r>
            <w:r w:rsidR="00106CD4">
              <w:rPr>
                <w:noProof/>
                <w:webHidden/>
              </w:rPr>
              <w:tab/>
            </w:r>
            <w:r w:rsidR="00106CD4">
              <w:rPr>
                <w:noProof/>
                <w:webHidden/>
              </w:rPr>
              <w:fldChar w:fldCharType="begin"/>
            </w:r>
            <w:r w:rsidR="00106CD4">
              <w:rPr>
                <w:noProof/>
                <w:webHidden/>
              </w:rPr>
              <w:instrText xml:space="preserve"> PAGEREF _Toc121130790 \h </w:instrText>
            </w:r>
            <w:r w:rsidR="00106CD4">
              <w:rPr>
                <w:noProof/>
                <w:webHidden/>
              </w:rPr>
            </w:r>
            <w:r w:rsidR="00106CD4">
              <w:rPr>
                <w:noProof/>
                <w:webHidden/>
              </w:rPr>
              <w:fldChar w:fldCharType="separate"/>
            </w:r>
            <w:r w:rsidR="00106CD4">
              <w:rPr>
                <w:noProof/>
                <w:webHidden/>
              </w:rPr>
              <w:t>17</w:t>
            </w:r>
            <w:r w:rsidR="00106CD4">
              <w:rPr>
                <w:noProof/>
                <w:webHidden/>
              </w:rPr>
              <w:fldChar w:fldCharType="end"/>
            </w:r>
          </w:hyperlink>
        </w:p>
        <w:p w14:paraId="424CCDE4" w14:textId="6C806C3D"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791" w:history="1">
            <w:r w:rsidR="00106CD4" w:rsidRPr="00097BB8">
              <w:rPr>
                <w:rStyle w:val="Hyperlink"/>
                <w:noProof/>
              </w:rPr>
              <w:t>4.2</w:t>
            </w:r>
            <w:r w:rsidR="00106CD4">
              <w:rPr>
                <w:rFonts w:asciiTheme="minorHAnsi" w:eastAsiaTheme="minorEastAsia" w:hAnsiTheme="minorHAnsi"/>
                <w:noProof/>
                <w:color w:val="auto"/>
                <w:lang w:val="en-AU" w:eastAsia="en-AU"/>
              </w:rPr>
              <w:tab/>
            </w:r>
            <w:r w:rsidR="00106CD4" w:rsidRPr="00097BB8">
              <w:rPr>
                <w:rStyle w:val="Hyperlink"/>
                <w:noProof/>
              </w:rPr>
              <w:t>Prostheses List</w:t>
            </w:r>
            <w:r w:rsidR="00106CD4">
              <w:rPr>
                <w:noProof/>
                <w:webHidden/>
              </w:rPr>
              <w:tab/>
            </w:r>
            <w:r w:rsidR="00106CD4">
              <w:rPr>
                <w:noProof/>
                <w:webHidden/>
              </w:rPr>
              <w:fldChar w:fldCharType="begin"/>
            </w:r>
            <w:r w:rsidR="00106CD4">
              <w:rPr>
                <w:noProof/>
                <w:webHidden/>
              </w:rPr>
              <w:instrText xml:space="preserve"> PAGEREF _Toc121130791 \h </w:instrText>
            </w:r>
            <w:r w:rsidR="00106CD4">
              <w:rPr>
                <w:noProof/>
                <w:webHidden/>
              </w:rPr>
            </w:r>
            <w:r w:rsidR="00106CD4">
              <w:rPr>
                <w:noProof/>
                <w:webHidden/>
              </w:rPr>
              <w:fldChar w:fldCharType="separate"/>
            </w:r>
            <w:r w:rsidR="00106CD4">
              <w:rPr>
                <w:noProof/>
                <w:webHidden/>
              </w:rPr>
              <w:t>17</w:t>
            </w:r>
            <w:r w:rsidR="00106CD4">
              <w:rPr>
                <w:noProof/>
                <w:webHidden/>
              </w:rPr>
              <w:fldChar w:fldCharType="end"/>
            </w:r>
          </w:hyperlink>
        </w:p>
        <w:p w14:paraId="17836C23" w14:textId="52EB6490"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792" w:history="1">
            <w:r w:rsidR="00106CD4" w:rsidRPr="00097BB8">
              <w:rPr>
                <w:rStyle w:val="Hyperlink"/>
                <w:noProof/>
              </w:rPr>
              <w:t>4.3</w:t>
            </w:r>
            <w:r w:rsidR="00106CD4">
              <w:rPr>
                <w:rFonts w:asciiTheme="minorHAnsi" w:eastAsiaTheme="minorEastAsia" w:hAnsiTheme="minorHAnsi"/>
                <w:noProof/>
                <w:color w:val="auto"/>
                <w:lang w:val="en-AU" w:eastAsia="en-AU"/>
              </w:rPr>
              <w:tab/>
            </w:r>
            <w:r w:rsidR="00106CD4" w:rsidRPr="00097BB8">
              <w:rPr>
                <w:rStyle w:val="Hyperlink"/>
                <w:noProof/>
              </w:rPr>
              <w:t>Hospital Casemix Protocol data collection</w:t>
            </w:r>
            <w:r w:rsidR="00106CD4">
              <w:rPr>
                <w:noProof/>
                <w:webHidden/>
              </w:rPr>
              <w:tab/>
            </w:r>
            <w:r w:rsidR="00106CD4">
              <w:rPr>
                <w:noProof/>
                <w:webHidden/>
              </w:rPr>
              <w:fldChar w:fldCharType="begin"/>
            </w:r>
            <w:r w:rsidR="00106CD4">
              <w:rPr>
                <w:noProof/>
                <w:webHidden/>
              </w:rPr>
              <w:instrText xml:space="preserve"> PAGEREF _Toc121130792 \h </w:instrText>
            </w:r>
            <w:r w:rsidR="00106CD4">
              <w:rPr>
                <w:noProof/>
                <w:webHidden/>
              </w:rPr>
            </w:r>
            <w:r w:rsidR="00106CD4">
              <w:rPr>
                <w:noProof/>
                <w:webHidden/>
              </w:rPr>
              <w:fldChar w:fldCharType="separate"/>
            </w:r>
            <w:r w:rsidR="00106CD4">
              <w:rPr>
                <w:noProof/>
                <w:webHidden/>
              </w:rPr>
              <w:t>17</w:t>
            </w:r>
            <w:r w:rsidR="00106CD4">
              <w:rPr>
                <w:noProof/>
                <w:webHidden/>
              </w:rPr>
              <w:fldChar w:fldCharType="end"/>
            </w:r>
          </w:hyperlink>
        </w:p>
        <w:p w14:paraId="27D8390F" w14:textId="7F8918D5" w:rsidR="00106CD4" w:rsidRDefault="00000000">
          <w:pPr>
            <w:pStyle w:val="TOC3"/>
            <w:tabs>
              <w:tab w:val="left" w:pos="1320"/>
              <w:tab w:val="right" w:leader="dot" w:pos="9742"/>
            </w:tabs>
            <w:rPr>
              <w:rFonts w:asciiTheme="minorHAnsi" w:eastAsiaTheme="minorEastAsia" w:hAnsiTheme="minorHAnsi"/>
              <w:noProof/>
              <w:color w:val="auto"/>
              <w:lang w:val="en-AU" w:eastAsia="en-AU"/>
            </w:rPr>
          </w:pPr>
          <w:hyperlink w:anchor="_Toc121130793" w:history="1">
            <w:r w:rsidR="00106CD4" w:rsidRPr="00097BB8">
              <w:rPr>
                <w:rStyle w:val="Hyperlink"/>
                <w:noProof/>
              </w:rPr>
              <w:t>4.3.1</w:t>
            </w:r>
            <w:r w:rsidR="00106CD4">
              <w:rPr>
                <w:rFonts w:asciiTheme="minorHAnsi" w:eastAsiaTheme="minorEastAsia" w:hAnsiTheme="minorHAnsi"/>
                <w:noProof/>
                <w:color w:val="auto"/>
                <w:lang w:val="en-AU" w:eastAsia="en-AU"/>
              </w:rPr>
              <w:tab/>
            </w:r>
            <w:r w:rsidR="00106CD4" w:rsidRPr="00097BB8">
              <w:rPr>
                <w:rStyle w:val="Hyperlink"/>
                <w:noProof/>
              </w:rPr>
              <w:t>Implications of data issues and limitations</w:t>
            </w:r>
            <w:r w:rsidR="00106CD4">
              <w:rPr>
                <w:noProof/>
                <w:webHidden/>
              </w:rPr>
              <w:tab/>
            </w:r>
            <w:r w:rsidR="00106CD4">
              <w:rPr>
                <w:noProof/>
                <w:webHidden/>
              </w:rPr>
              <w:fldChar w:fldCharType="begin"/>
            </w:r>
            <w:r w:rsidR="00106CD4">
              <w:rPr>
                <w:noProof/>
                <w:webHidden/>
              </w:rPr>
              <w:instrText xml:space="preserve"> PAGEREF _Toc121130793 \h </w:instrText>
            </w:r>
            <w:r w:rsidR="00106CD4">
              <w:rPr>
                <w:noProof/>
                <w:webHidden/>
              </w:rPr>
            </w:r>
            <w:r w:rsidR="00106CD4">
              <w:rPr>
                <w:noProof/>
                <w:webHidden/>
              </w:rPr>
              <w:fldChar w:fldCharType="separate"/>
            </w:r>
            <w:r w:rsidR="00106CD4">
              <w:rPr>
                <w:noProof/>
                <w:webHidden/>
              </w:rPr>
              <w:t>17</w:t>
            </w:r>
            <w:r w:rsidR="00106CD4">
              <w:rPr>
                <w:noProof/>
                <w:webHidden/>
              </w:rPr>
              <w:fldChar w:fldCharType="end"/>
            </w:r>
          </w:hyperlink>
        </w:p>
        <w:p w14:paraId="2D11ACB9" w14:textId="1F8194C6"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794" w:history="1">
            <w:r w:rsidR="00106CD4" w:rsidRPr="00097BB8">
              <w:rPr>
                <w:rStyle w:val="Hyperlink"/>
                <w:noProof/>
              </w:rPr>
              <w:t>4.4</w:t>
            </w:r>
            <w:r w:rsidR="00106CD4">
              <w:rPr>
                <w:rFonts w:asciiTheme="minorHAnsi" w:eastAsiaTheme="minorEastAsia" w:hAnsiTheme="minorHAnsi"/>
                <w:noProof/>
                <w:color w:val="auto"/>
                <w:lang w:val="en-AU" w:eastAsia="en-AU"/>
              </w:rPr>
              <w:tab/>
            </w:r>
            <w:r w:rsidR="00106CD4" w:rsidRPr="00097BB8">
              <w:rPr>
                <w:rStyle w:val="Hyperlink"/>
                <w:noProof/>
              </w:rPr>
              <w:t>Private Hospital Data Bureau data collection</w:t>
            </w:r>
            <w:r w:rsidR="00106CD4">
              <w:rPr>
                <w:noProof/>
                <w:webHidden/>
              </w:rPr>
              <w:tab/>
            </w:r>
            <w:r w:rsidR="00106CD4">
              <w:rPr>
                <w:noProof/>
                <w:webHidden/>
              </w:rPr>
              <w:fldChar w:fldCharType="begin"/>
            </w:r>
            <w:r w:rsidR="00106CD4">
              <w:rPr>
                <w:noProof/>
                <w:webHidden/>
              </w:rPr>
              <w:instrText xml:space="preserve"> PAGEREF _Toc121130794 \h </w:instrText>
            </w:r>
            <w:r w:rsidR="00106CD4">
              <w:rPr>
                <w:noProof/>
                <w:webHidden/>
              </w:rPr>
            </w:r>
            <w:r w:rsidR="00106CD4">
              <w:rPr>
                <w:noProof/>
                <w:webHidden/>
              </w:rPr>
              <w:fldChar w:fldCharType="separate"/>
            </w:r>
            <w:r w:rsidR="00106CD4">
              <w:rPr>
                <w:noProof/>
                <w:webHidden/>
              </w:rPr>
              <w:t>18</w:t>
            </w:r>
            <w:r w:rsidR="00106CD4">
              <w:rPr>
                <w:noProof/>
                <w:webHidden/>
              </w:rPr>
              <w:fldChar w:fldCharType="end"/>
            </w:r>
          </w:hyperlink>
        </w:p>
        <w:p w14:paraId="1A1BF87F" w14:textId="0B24D36F"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795" w:history="1">
            <w:r w:rsidR="00106CD4" w:rsidRPr="00097BB8">
              <w:rPr>
                <w:rStyle w:val="Hyperlink"/>
                <w:noProof/>
              </w:rPr>
              <w:t>4.5</w:t>
            </w:r>
            <w:r w:rsidR="00106CD4">
              <w:rPr>
                <w:rFonts w:asciiTheme="minorHAnsi" w:eastAsiaTheme="minorEastAsia" w:hAnsiTheme="minorHAnsi"/>
                <w:noProof/>
                <w:color w:val="auto"/>
                <w:lang w:val="en-AU" w:eastAsia="en-AU"/>
              </w:rPr>
              <w:tab/>
            </w:r>
            <w:r w:rsidR="00106CD4" w:rsidRPr="00097BB8">
              <w:rPr>
                <w:rStyle w:val="Hyperlink"/>
                <w:noProof/>
              </w:rPr>
              <w:t>IHACPA Public Hospital Admitted Patient Care Activity data collection</w:t>
            </w:r>
            <w:r w:rsidR="00106CD4">
              <w:rPr>
                <w:noProof/>
                <w:webHidden/>
              </w:rPr>
              <w:tab/>
            </w:r>
            <w:r w:rsidR="00106CD4">
              <w:rPr>
                <w:noProof/>
                <w:webHidden/>
              </w:rPr>
              <w:fldChar w:fldCharType="begin"/>
            </w:r>
            <w:r w:rsidR="00106CD4">
              <w:rPr>
                <w:noProof/>
                <w:webHidden/>
              </w:rPr>
              <w:instrText xml:space="preserve"> PAGEREF _Toc121130795 \h </w:instrText>
            </w:r>
            <w:r w:rsidR="00106CD4">
              <w:rPr>
                <w:noProof/>
                <w:webHidden/>
              </w:rPr>
            </w:r>
            <w:r w:rsidR="00106CD4">
              <w:rPr>
                <w:noProof/>
                <w:webHidden/>
              </w:rPr>
              <w:fldChar w:fldCharType="separate"/>
            </w:r>
            <w:r w:rsidR="00106CD4">
              <w:rPr>
                <w:noProof/>
                <w:webHidden/>
              </w:rPr>
              <w:t>19</w:t>
            </w:r>
            <w:r w:rsidR="00106CD4">
              <w:rPr>
                <w:noProof/>
                <w:webHidden/>
              </w:rPr>
              <w:fldChar w:fldCharType="end"/>
            </w:r>
          </w:hyperlink>
        </w:p>
        <w:p w14:paraId="3E18D7F5" w14:textId="3AE77998"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796" w:history="1">
            <w:r w:rsidR="00106CD4" w:rsidRPr="00097BB8">
              <w:rPr>
                <w:rStyle w:val="Hyperlink"/>
                <w:noProof/>
              </w:rPr>
              <w:t>4.6</w:t>
            </w:r>
            <w:r w:rsidR="00106CD4">
              <w:rPr>
                <w:rFonts w:asciiTheme="minorHAnsi" w:eastAsiaTheme="minorEastAsia" w:hAnsiTheme="minorHAnsi"/>
                <w:noProof/>
                <w:color w:val="auto"/>
                <w:lang w:val="en-AU" w:eastAsia="en-AU"/>
              </w:rPr>
              <w:tab/>
            </w:r>
            <w:r w:rsidR="00106CD4" w:rsidRPr="00097BB8">
              <w:rPr>
                <w:rStyle w:val="Hyperlink"/>
                <w:noProof/>
              </w:rPr>
              <w:t>Australian Prudential Regulation Authority statistics</w:t>
            </w:r>
            <w:r w:rsidR="00106CD4">
              <w:rPr>
                <w:noProof/>
                <w:webHidden/>
              </w:rPr>
              <w:tab/>
            </w:r>
            <w:r w:rsidR="00106CD4">
              <w:rPr>
                <w:noProof/>
                <w:webHidden/>
              </w:rPr>
              <w:fldChar w:fldCharType="begin"/>
            </w:r>
            <w:r w:rsidR="00106CD4">
              <w:rPr>
                <w:noProof/>
                <w:webHidden/>
              </w:rPr>
              <w:instrText xml:space="preserve"> PAGEREF _Toc121130796 \h </w:instrText>
            </w:r>
            <w:r w:rsidR="00106CD4">
              <w:rPr>
                <w:noProof/>
                <w:webHidden/>
              </w:rPr>
            </w:r>
            <w:r w:rsidR="00106CD4">
              <w:rPr>
                <w:noProof/>
                <w:webHidden/>
              </w:rPr>
              <w:fldChar w:fldCharType="separate"/>
            </w:r>
            <w:r w:rsidR="00106CD4">
              <w:rPr>
                <w:noProof/>
                <w:webHidden/>
              </w:rPr>
              <w:t>19</w:t>
            </w:r>
            <w:r w:rsidR="00106CD4">
              <w:rPr>
                <w:noProof/>
                <w:webHidden/>
              </w:rPr>
              <w:fldChar w:fldCharType="end"/>
            </w:r>
          </w:hyperlink>
        </w:p>
        <w:p w14:paraId="5A21B834" w14:textId="3BA81B01" w:rsidR="00106CD4" w:rsidRDefault="00000000">
          <w:pPr>
            <w:pStyle w:val="TOC1"/>
            <w:rPr>
              <w:rFonts w:asciiTheme="minorHAnsi" w:eastAsiaTheme="minorEastAsia" w:hAnsiTheme="minorHAnsi"/>
              <w:b w:val="0"/>
              <w:noProof/>
              <w:color w:val="auto"/>
              <w:sz w:val="22"/>
              <w:lang w:val="en-AU" w:eastAsia="en-AU"/>
            </w:rPr>
          </w:pPr>
          <w:hyperlink w:anchor="_Toc121130797" w:history="1">
            <w:r w:rsidR="00106CD4" w:rsidRPr="00097BB8">
              <w:rPr>
                <w:rStyle w:val="Hyperlink"/>
                <w:noProof/>
              </w:rPr>
              <w:t>5.</w:t>
            </w:r>
            <w:r w:rsidR="00106CD4">
              <w:rPr>
                <w:rFonts w:asciiTheme="minorHAnsi" w:eastAsiaTheme="minorEastAsia" w:hAnsiTheme="minorHAnsi"/>
                <w:b w:val="0"/>
                <w:noProof/>
                <w:color w:val="auto"/>
                <w:sz w:val="22"/>
                <w:lang w:val="en-AU" w:eastAsia="en-AU"/>
              </w:rPr>
              <w:tab/>
            </w:r>
            <w:r w:rsidR="00106CD4" w:rsidRPr="00097BB8">
              <w:rPr>
                <w:rStyle w:val="Hyperlink"/>
                <w:noProof/>
              </w:rPr>
              <w:t>Methods</w:t>
            </w:r>
            <w:r w:rsidR="00106CD4">
              <w:rPr>
                <w:noProof/>
                <w:webHidden/>
              </w:rPr>
              <w:tab/>
            </w:r>
            <w:r w:rsidR="00106CD4">
              <w:rPr>
                <w:noProof/>
                <w:webHidden/>
              </w:rPr>
              <w:fldChar w:fldCharType="begin"/>
            </w:r>
            <w:r w:rsidR="00106CD4">
              <w:rPr>
                <w:noProof/>
                <w:webHidden/>
              </w:rPr>
              <w:instrText xml:space="preserve"> PAGEREF _Toc121130797 \h </w:instrText>
            </w:r>
            <w:r w:rsidR="00106CD4">
              <w:rPr>
                <w:noProof/>
                <w:webHidden/>
              </w:rPr>
            </w:r>
            <w:r w:rsidR="00106CD4">
              <w:rPr>
                <w:noProof/>
                <w:webHidden/>
              </w:rPr>
              <w:fldChar w:fldCharType="separate"/>
            </w:r>
            <w:r w:rsidR="00106CD4">
              <w:rPr>
                <w:noProof/>
                <w:webHidden/>
              </w:rPr>
              <w:t>20</w:t>
            </w:r>
            <w:r w:rsidR="00106CD4">
              <w:rPr>
                <w:noProof/>
                <w:webHidden/>
              </w:rPr>
              <w:fldChar w:fldCharType="end"/>
            </w:r>
          </w:hyperlink>
        </w:p>
        <w:p w14:paraId="5AA499CD" w14:textId="674A2B19"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798" w:history="1">
            <w:r w:rsidR="00106CD4" w:rsidRPr="00097BB8">
              <w:rPr>
                <w:rStyle w:val="Hyperlink"/>
                <w:noProof/>
              </w:rPr>
              <w:t>5.1</w:t>
            </w:r>
            <w:r w:rsidR="00106CD4">
              <w:rPr>
                <w:rFonts w:asciiTheme="minorHAnsi" w:eastAsiaTheme="minorEastAsia" w:hAnsiTheme="minorHAnsi"/>
                <w:noProof/>
                <w:color w:val="auto"/>
                <w:lang w:val="en-AU" w:eastAsia="en-AU"/>
              </w:rPr>
              <w:tab/>
            </w:r>
            <w:r w:rsidR="00106CD4" w:rsidRPr="00097BB8">
              <w:rPr>
                <w:rStyle w:val="Hyperlink"/>
                <w:noProof/>
              </w:rPr>
              <w:t>Introduction</w:t>
            </w:r>
            <w:r w:rsidR="00106CD4">
              <w:rPr>
                <w:noProof/>
                <w:webHidden/>
              </w:rPr>
              <w:tab/>
            </w:r>
            <w:r w:rsidR="00106CD4">
              <w:rPr>
                <w:noProof/>
                <w:webHidden/>
              </w:rPr>
              <w:fldChar w:fldCharType="begin"/>
            </w:r>
            <w:r w:rsidR="00106CD4">
              <w:rPr>
                <w:noProof/>
                <w:webHidden/>
              </w:rPr>
              <w:instrText xml:space="preserve"> PAGEREF _Toc121130798 \h </w:instrText>
            </w:r>
            <w:r w:rsidR="00106CD4">
              <w:rPr>
                <w:noProof/>
                <w:webHidden/>
              </w:rPr>
            </w:r>
            <w:r w:rsidR="00106CD4">
              <w:rPr>
                <w:noProof/>
                <w:webHidden/>
              </w:rPr>
              <w:fldChar w:fldCharType="separate"/>
            </w:r>
            <w:r w:rsidR="00106CD4">
              <w:rPr>
                <w:noProof/>
                <w:webHidden/>
              </w:rPr>
              <w:t>20</w:t>
            </w:r>
            <w:r w:rsidR="00106CD4">
              <w:rPr>
                <w:noProof/>
                <w:webHidden/>
              </w:rPr>
              <w:fldChar w:fldCharType="end"/>
            </w:r>
          </w:hyperlink>
        </w:p>
        <w:p w14:paraId="77AD316D" w14:textId="10FEE79E"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799" w:history="1">
            <w:r w:rsidR="00106CD4" w:rsidRPr="00097BB8">
              <w:rPr>
                <w:rStyle w:val="Hyperlink"/>
                <w:noProof/>
              </w:rPr>
              <w:t>5.2</w:t>
            </w:r>
            <w:r w:rsidR="00106CD4">
              <w:rPr>
                <w:rFonts w:asciiTheme="minorHAnsi" w:eastAsiaTheme="minorEastAsia" w:hAnsiTheme="minorHAnsi"/>
                <w:noProof/>
                <w:color w:val="auto"/>
                <w:lang w:val="en-AU" w:eastAsia="en-AU"/>
              </w:rPr>
              <w:tab/>
            </w:r>
            <w:r w:rsidR="00106CD4" w:rsidRPr="00097BB8">
              <w:rPr>
                <w:rStyle w:val="Hyperlink"/>
                <w:noProof/>
              </w:rPr>
              <w:t>Data preparation</w:t>
            </w:r>
            <w:r w:rsidR="00106CD4">
              <w:rPr>
                <w:noProof/>
                <w:webHidden/>
              </w:rPr>
              <w:tab/>
            </w:r>
            <w:r w:rsidR="00106CD4">
              <w:rPr>
                <w:noProof/>
                <w:webHidden/>
              </w:rPr>
              <w:fldChar w:fldCharType="begin"/>
            </w:r>
            <w:r w:rsidR="00106CD4">
              <w:rPr>
                <w:noProof/>
                <w:webHidden/>
              </w:rPr>
              <w:instrText xml:space="preserve"> PAGEREF _Toc121130799 \h </w:instrText>
            </w:r>
            <w:r w:rsidR="00106CD4">
              <w:rPr>
                <w:noProof/>
                <w:webHidden/>
              </w:rPr>
            </w:r>
            <w:r w:rsidR="00106CD4">
              <w:rPr>
                <w:noProof/>
                <w:webHidden/>
              </w:rPr>
              <w:fldChar w:fldCharType="separate"/>
            </w:r>
            <w:r w:rsidR="00106CD4">
              <w:rPr>
                <w:noProof/>
                <w:webHidden/>
              </w:rPr>
              <w:t>20</w:t>
            </w:r>
            <w:r w:rsidR="00106CD4">
              <w:rPr>
                <w:noProof/>
                <w:webHidden/>
              </w:rPr>
              <w:fldChar w:fldCharType="end"/>
            </w:r>
          </w:hyperlink>
        </w:p>
        <w:p w14:paraId="4A4E0846" w14:textId="242A89B3" w:rsidR="00106CD4" w:rsidRDefault="00000000">
          <w:pPr>
            <w:pStyle w:val="TOC3"/>
            <w:tabs>
              <w:tab w:val="left" w:pos="1320"/>
              <w:tab w:val="right" w:leader="dot" w:pos="9742"/>
            </w:tabs>
            <w:rPr>
              <w:rFonts w:asciiTheme="minorHAnsi" w:eastAsiaTheme="minorEastAsia" w:hAnsiTheme="minorHAnsi"/>
              <w:noProof/>
              <w:color w:val="auto"/>
              <w:lang w:val="en-AU" w:eastAsia="en-AU"/>
            </w:rPr>
          </w:pPr>
          <w:hyperlink w:anchor="_Toc121130800" w:history="1">
            <w:r w:rsidR="00106CD4" w:rsidRPr="00097BB8">
              <w:rPr>
                <w:rStyle w:val="Hyperlink"/>
                <w:noProof/>
              </w:rPr>
              <w:t>5.2.1</w:t>
            </w:r>
            <w:r w:rsidR="00106CD4">
              <w:rPr>
                <w:rFonts w:asciiTheme="minorHAnsi" w:eastAsiaTheme="minorEastAsia" w:hAnsiTheme="minorHAnsi"/>
                <w:noProof/>
                <w:color w:val="auto"/>
                <w:lang w:val="en-AU" w:eastAsia="en-AU"/>
              </w:rPr>
              <w:tab/>
            </w:r>
            <w:r w:rsidR="00106CD4" w:rsidRPr="00097BB8">
              <w:rPr>
                <w:rStyle w:val="Hyperlink"/>
                <w:noProof/>
              </w:rPr>
              <w:t>Mapping HCP Prosthesis data to the March 2023 Prostheses List</w:t>
            </w:r>
            <w:r w:rsidR="00106CD4">
              <w:rPr>
                <w:noProof/>
                <w:webHidden/>
              </w:rPr>
              <w:tab/>
            </w:r>
            <w:r w:rsidR="00106CD4">
              <w:rPr>
                <w:noProof/>
                <w:webHidden/>
              </w:rPr>
              <w:fldChar w:fldCharType="begin"/>
            </w:r>
            <w:r w:rsidR="00106CD4">
              <w:rPr>
                <w:noProof/>
                <w:webHidden/>
              </w:rPr>
              <w:instrText xml:space="preserve"> PAGEREF _Toc121130800 \h </w:instrText>
            </w:r>
            <w:r w:rsidR="00106CD4">
              <w:rPr>
                <w:noProof/>
                <w:webHidden/>
              </w:rPr>
            </w:r>
            <w:r w:rsidR="00106CD4">
              <w:rPr>
                <w:noProof/>
                <w:webHidden/>
              </w:rPr>
              <w:fldChar w:fldCharType="separate"/>
            </w:r>
            <w:r w:rsidR="00106CD4">
              <w:rPr>
                <w:noProof/>
                <w:webHidden/>
              </w:rPr>
              <w:t>20</w:t>
            </w:r>
            <w:r w:rsidR="00106CD4">
              <w:rPr>
                <w:noProof/>
                <w:webHidden/>
              </w:rPr>
              <w:fldChar w:fldCharType="end"/>
            </w:r>
          </w:hyperlink>
        </w:p>
        <w:p w14:paraId="2EA05201" w14:textId="522B387A" w:rsidR="00106CD4" w:rsidRDefault="00000000">
          <w:pPr>
            <w:pStyle w:val="TOC3"/>
            <w:tabs>
              <w:tab w:val="left" w:pos="1320"/>
              <w:tab w:val="right" w:leader="dot" w:pos="9742"/>
            </w:tabs>
            <w:rPr>
              <w:rFonts w:asciiTheme="minorHAnsi" w:eastAsiaTheme="minorEastAsia" w:hAnsiTheme="minorHAnsi"/>
              <w:noProof/>
              <w:color w:val="auto"/>
              <w:lang w:val="en-AU" w:eastAsia="en-AU"/>
            </w:rPr>
          </w:pPr>
          <w:hyperlink w:anchor="_Toc121130801" w:history="1">
            <w:r w:rsidR="00106CD4" w:rsidRPr="00097BB8">
              <w:rPr>
                <w:rStyle w:val="Hyperlink"/>
                <w:noProof/>
              </w:rPr>
              <w:t>5.2.2</w:t>
            </w:r>
            <w:r w:rsidR="00106CD4">
              <w:rPr>
                <w:rFonts w:asciiTheme="minorHAnsi" w:eastAsiaTheme="minorEastAsia" w:hAnsiTheme="minorHAnsi"/>
                <w:noProof/>
                <w:color w:val="auto"/>
                <w:lang w:val="en-AU" w:eastAsia="en-AU"/>
              </w:rPr>
              <w:tab/>
            </w:r>
            <w:r w:rsidR="00106CD4" w:rsidRPr="00097BB8">
              <w:rPr>
                <w:rStyle w:val="Hyperlink"/>
                <w:noProof/>
              </w:rPr>
              <w:t>Filtering HCP Episode and Prosthesis data for exclusions</w:t>
            </w:r>
            <w:r w:rsidR="00106CD4">
              <w:rPr>
                <w:noProof/>
                <w:webHidden/>
              </w:rPr>
              <w:tab/>
            </w:r>
            <w:r w:rsidR="00106CD4">
              <w:rPr>
                <w:noProof/>
                <w:webHidden/>
              </w:rPr>
              <w:fldChar w:fldCharType="begin"/>
            </w:r>
            <w:r w:rsidR="00106CD4">
              <w:rPr>
                <w:noProof/>
                <w:webHidden/>
              </w:rPr>
              <w:instrText xml:space="preserve"> PAGEREF _Toc121130801 \h </w:instrText>
            </w:r>
            <w:r w:rsidR="00106CD4">
              <w:rPr>
                <w:noProof/>
                <w:webHidden/>
              </w:rPr>
            </w:r>
            <w:r w:rsidR="00106CD4">
              <w:rPr>
                <w:noProof/>
                <w:webHidden/>
              </w:rPr>
              <w:fldChar w:fldCharType="separate"/>
            </w:r>
            <w:r w:rsidR="00106CD4">
              <w:rPr>
                <w:noProof/>
                <w:webHidden/>
              </w:rPr>
              <w:t>21</w:t>
            </w:r>
            <w:r w:rsidR="00106CD4">
              <w:rPr>
                <w:noProof/>
                <w:webHidden/>
              </w:rPr>
              <w:fldChar w:fldCharType="end"/>
            </w:r>
          </w:hyperlink>
        </w:p>
        <w:p w14:paraId="5776AB68" w14:textId="32DC445F"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802" w:history="1">
            <w:r w:rsidR="00106CD4" w:rsidRPr="00097BB8">
              <w:rPr>
                <w:rStyle w:val="Hyperlink"/>
                <w:noProof/>
              </w:rPr>
              <w:t>5.3</w:t>
            </w:r>
            <w:r w:rsidR="00106CD4">
              <w:rPr>
                <w:rFonts w:asciiTheme="minorHAnsi" w:eastAsiaTheme="minorEastAsia" w:hAnsiTheme="minorHAnsi"/>
                <w:noProof/>
                <w:color w:val="auto"/>
                <w:lang w:val="en-AU" w:eastAsia="en-AU"/>
              </w:rPr>
              <w:tab/>
            </w:r>
            <w:r w:rsidR="00106CD4" w:rsidRPr="00097BB8">
              <w:rPr>
                <w:rStyle w:val="Hyperlink"/>
                <w:noProof/>
              </w:rPr>
              <w:t>Definition of GUI bundles</w:t>
            </w:r>
            <w:r w:rsidR="00106CD4">
              <w:rPr>
                <w:noProof/>
                <w:webHidden/>
              </w:rPr>
              <w:tab/>
            </w:r>
            <w:r w:rsidR="00106CD4">
              <w:rPr>
                <w:noProof/>
                <w:webHidden/>
              </w:rPr>
              <w:fldChar w:fldCharType="begin"/>
            </w:r>
            <w:r w:rsidR="00106CD4">
              <w:rPr>
                <w:noProof/>
                <w:webHidden/>
              </w:rPr>
              <w:instrText xml:space="preserve"> PAGEREF _Toc121130802 \h </w:instrText>
            </w:r>
            <w:r w:rsidR="00106CD4">
              <w:rPr>
                <w:noProof/>
                <w:webHidden/>
              </w:rPr>
            </w:r>
            <w:r w:rsidR="00106CD4">
              <w:rPr>
                <w:noProof/>
                <w:webHidden/>
              </w:rPr>
              <w:fldChar w:fldCharType="separate"/>
            </w:r>
            <w:r w:rsidR="00106CD4">
              <w:rPr>
                <w:noProof/>
                <w:webHidden/>
              </w:rPr>
              <w:t>21</w:t>
            </w:r>
            <w:r w:rsidR="00106CD4">
              <w:rPr>
                <w:noProof/>
                <w:webHidden/>
              </w:rPr>
              <w:fldChar w:fldCharType="end"/>
            </w:r>
          </w:hyperlink>
        </w:p>
        <w:p w14:paraId="7E9A93B6" w14:textId="7ED74EBB" w:rsidR="00106CD4" w:rsidRDefault="00000000">
          <w:pPr>
            <w:pStyle w:val="TOC3"/>
            <w:tabs>
              <w:tab w:val="left" w:pos="1320"/>
              <w:tab w:val="right" w:leader="dot" w:pos="9742"/>
            </w:tabs>
            <w:rPr>
              <w:rFonts w:asciiTheme="minorHAnsi" w:eastAsiaTheme="minorEastAsia" w:hAnsiTheme="minorHAnsi"/>
              <w:noProof/>
              <w:color w:val="auto"/>
              <w:lang w:val="en-AU" w:eastAsia="en-AU"/>
            </w:rPr>
          </w:pPr>
          <w:hyperlink w:anchor="_Toc121130803" w:history="1">
            <w:r w:rsidR="00106CD4" w:rsidRPr="00097BB8">
              <w:rPr>
                <w:rStyle w:val="Hyperlink"/>
                <w:noProof/>
              </w:rPr>
              <w:t>5.3.1</w:t>
            </w:r>
            <w:r w:rsidR="00106CD4">
              <w:rPr>
                <w:rFonts w:asciiTheme="minorHAnsi" w:eastAsiaTheme="minorEastAsia" w:hAnsiTheme="minorHAnsi"/>
                <w:noProof/>
                <w:color w:val="auto"/>
                <w:lang w:val="en-AU" w:eastAsia="en-AU"/>
              </w:rPr>
              <w:tab/>
            </w:r>
            <w:r w:rsidR="00106CD4" w:rsidRPr="00097BB8">
              <w:rPr>
                <w:rStyle w:val="Hyperlink"/>
                <w:noProof/>
              </w:rPr>
              <w:t>Defining GUI product classes</w:t>
            </w:r>
            <w:r w:rsidR="00106CD4">
              <w:rPr>
                <w:noProof/>
                <w:webHidden/>
              </w:rPr>
              <w:tab/>
            </w:r>
            <w:r w:rsidR="00106CD4">
              <w:rPr>
                <w:noProof/>
                <w:webHidden/>
              </w:rPr>
              <w:fldChar w:fldCharType="begin"/>
            </w:r>
            <w:r w:rsidR="00106CD4">
              <w:rPr>
                <w:noProof/>
                <w:webHidden/>
              </w:rPr>
              <w:instrText xml:space="preserve"> PAGEREF _Toc121130803 \h </w:instrText>
            </w:r>
            <w:r w:rsidR="00106CD4">
              <w:rPr>
                <w:noProof/>
                <w:webHidden/>
              </w:rPr>
            </w:r>
            <w:r w:rsidR="00106CD4">
              <w:rPr>
                <w:noProof/>
                <w:webHidden/>
              </w:rPr>
              <w:fldChar w:fldCharType="separate"/>
            </w:r>
            <w:r w:rsidR="00106CD4">
              <w:rPr>
                <w:noProof/>
                <w:webHidden/>
              </w:rPr>
              <w:t>21</w:t>
            </w:r>
            <w:r w:rsidR="00106CD4">
              <w:rPr>
                <w:noProof/>
                <w:webHidden/>
              </w:rPr>
              <w:fldChar w:fldCharType="end"/>
            </w:r>
          </w:hyperlink>
        </w:p>
        <w:p w14:paraId="0B21B2A5" w14:textId="006EC6DA" w:rsidR="00106CD4" w:rsidRDefault="00000000">
          <w:pPr>
            <w:pStyle w:val="TOC3"/>
            <w:tabs>
              <w:tab w:val="left" w:pos="1320"/>
              <w:tab w:val="right" w:leader="dot" w:pos="9742"/>
            </w:tabs>
            <w:rPr>
              <w:rFonts w:asciiTheme="minorHAnsi" w:eastAsiaTheme="minorEastAsia" w:hAnsiTheme="minorHAnsi"/>
              <w:noProof/>
              <w:color w:val="auto"/>
              <w:lang w:val="en-AU" w:eastAsia="en-AU"/>
            </w:rPr>
          </w:pPr>
          <w:hyperlink w:anchor="_Toc121130804" w:history="1">
            <w:r w:rsidR="00106CD4" w:rsidRPr="00097BB8">
              <w:rPr>
                <w:rStyle w:val="Hyperlink"/>
                <w:noProof/>
              </w:rPr>
              <w:t>5.3.2</w:t>
            </w:r>
            <w:r w:rsidR="00106CD4">
              <w:rPr>
                <w:rFonts w:asciiTheme="minorHAnsi" w:eastAsiaTheme="minorEastAsia" w:hAnsiTheme="minorHAnsi"/>
                <w:noProof/>
                <w:color w:val="auto"/>
                <w:lang w:val="en-AU" w:eastAsia="en-AU"/>
              </w:rPr>
              <w:tab/>
            </w:r>
            <w:r w:rsidR="00106CD4" w:rsidRPr="00097BB8">
              <w:rPr>
                <w:rStyle w:val="Hyperlink"/>
                <w:noProof/>
              </w:rPr>
              <w:t>Defining General Use Item product bundles</w:t>
            </w:r>
            <w:r w:rsidR="00106CD4">
              <w:rPr>
                <w:noProof/>
                <w:webHidden/>
              </w:rPr>
              <w:tab/>
            </w:r>
            <w:r w:rsidR="00106CD4">
              <w:rPr>
                <w:noProof/>
                <w:webHidden/>
              </w:rPr>
              <w:fldChar w:fldCharType="begin"/>
            </w:r>
            <w:r w:rsidR="00106CD4">
              <w:rPr>
                <w:noProof/>
                <w:webHidden/>
              </w:rPr>
              <w:instrText xml:space="preserve"> PAGEREF _Toc121130804 \h </w:instrText>
            </w:r>
            <w:r w:rsidR="00106CD4">
              <w:rPr>
                <w:noProof/>
                <w:webHidden/>
              </w:rPr>
            </w:r>
            <w:r w:rsidR="00106CD4">
              <w:rPr>
                <w:noProof/>
                <w:webHidden/>
              </w:rPr>
              <w:fldChar w:fldCharType="separate"/>
            </w:r>
            <w:r w:rsidR="00106CD4">
              <w:rPr>
                <w:noProof/>
                <w:webHidden/>
              </w:rPr>
              <w:t>23</w:t>
            </w:r>
            <w:r w:rsidR="00106CD4">
              <w:rPr>
                <w:noProof/>
                <w:webHidden/>
              </w:rPr>
              <w:fldChar w:fldCharType="end"/>
            </w:r>
          </w:hyperlink>
        </w:p>
        <w:p w14:paraId="26CF0B6E" w14:textId="1DEA8429" w:rsidR="00106CD4" w:rsidRDefault="00000000">
          <w:pPr>
            <w:pStyle w:val="TOC3"/>
            <w:tabs>
              <w:tab w:val="left" w:pos="1320"/>
              <w:tab w:val="right" w:leader="dot" w:pos="9742"/>
            </w:tabs>
            <w:rPr>
              <w:rFonts w:asciiTheme="minorHAnsi" w:eastAsiaTheme="minorEastAsia" w:hAnsiTheme="minorHAnsi"/>
              <w:noProof/>
              <w:color w:val="auto"/>
              <w:lang w:val="en-AU" w:eastAsia="en-AU"/>
            </w:rPr>
          </w:pPr>
          <w:hyperlink w:anchor="_Toc121130805" w:history="1">
            <w:r w:rsidR="00106CD4" w:rsidRPr="00097BB8">
              <w:rPr>
                <w:rStyle w:val="Hyperlink"/>
                <w:noProof/>
              </w:rPr>
              <w:t>5.3.3</w:t>
            </w:r>
            <w:r w:rsidR="00106CD4">
              <w:rPr>
                <w:rFonts w:asciiTheme="minorHAnsi" w:eastAsiaTheme="minorEastAsia" w:hAnsiTheme="minorHAnsi"/>
                <w:noProof/>
                <w:color w:val="auto"/>
                <w:lang w:val="en-AU" w:eastAsia="en-AU"/>
              </w:rPr>
              <w:tab/>
            </w:r>
            <w:r w:rsidR="00106CD4" w:rsidRPr="00097BB8">
              <w:rPr>
                <w:rStyle w:val="Hyperlink"/>
                <w:noProof/>
              </w:rPr>
              <w:t>Defining Facility type General Use Item bundle variants</w:t>
            </w:r>
            <w:r w:rsidR="00106CD4">
              <w:rPr>
                <w:noProof/>
                <w:webHidden/>
              </w:rPr>
              <w:tab/>
            </w:r>
            <w:r w:rsidR="00106CD4">
              <w:rPr>
                <w:noProof/>
                <w:webHidden/>
              </w:rPr>
              <w:fldChar w:fldCharType="begin"/>
            </w:r>
            <w:r w:rsidR="00106CD4">
              <w:rPr>
                <w:noProof/>
                <w:webHidden/>
              </w:rPr>
              <w:instrText xml:space="preserve"> PAGEREF _Toc121130805 \h </w:instrText>
            </w:r>
            <w:r w:rsidR="00106CD4">
              <w:rPr>
                <w:noProof/>
                <w:webHidden/>
              </w:rPr>
            </w:r>
            <w:r w:rsidR="00106CD4">
              <w:rPr>
                <w:noProof/>
                <w:webHidden/>
              </w:rPr>
              <w:fldChar w:fldCharType="separate"/>
            </w:r>
            <w:r w:rsidR="00106CD4">
              <w:rPr>
                <w:noProof/>
                <w:webHidden/>
              </w:rPr>
              <w:t>23</w:t>
            </w:r>
            <w:r w:rsidR="00106CD4">
              <w:rPr>
                <w:noProof/>
                <w:webHidden/>
              </w:rPr>
              <w:fldChar w:fldCharType="end"/>
            </w:r>
          </w:hyperlink>
        </w:p>
        <w:p w14:paraId="6FF64A3C" w14:textId="1993C774" w:rsidR="00106CD4" w:rsidRDefault="00000000">
          <w:pPr>
            <w:pStyle w:val="TOC3"/>
            <w:tabs>
              <w:tab w:val="left" w:pos="1320"/>
              <w:tab w:val="right" w:leader="dot" w:pos="9742"/>
            </w:tabs>
            <w:rPr>
              <w:rFonts w:asciiTheme="minorHAnsi" w:eastAsiaTheme="minorEastAsia" w:hAnsiTheme="minorHAnsi"/>
              <w:noProof/>
              <w:color w:val="auto"/>
              <w:lang w:val="en-AU" w:eastAsia="en-AU"/>
            </w:rPr>
          </w:pPr>
          <w:hyperlink w:anchor="_Toc121130806" w:history="1">
            <w:r w:rsidR="00106CD4" w:rsidRPr="00097BB8">
              <w:rPr>
                <w:rStyle w:val="Hyperlink"/>
                <w:noProof/>
              </w:rPr>
              <w:t>5.3.4</w:t>
            </w:r>
            <w:r w:rsidR="00106CD4">
              <w:rPr>
                <w:rFonts w:asciiTheme="minorHAnsi" w:eastAsiaTheme="minorEastAsia" w:hAnsiTheme="minorHAnsi"/>
                <w:noProof/>
                <w:color w:val="auto"/>
                <w:lang w:val="en-AU" w:eastAsia="en-AU"/>
              </w:rPr>
              <w:tab/>
            </w:r>
            <w:r w:rsidR="00106CD4" w:rsidRPr="00097BB8">
              <w:rPr>
                <w:rStyle w:val="Hyperlink"/>
                <w:noProof/>
              </w:rPr>
              <w:t>Defining Major Diagnostic Category based General Use Item bundle variants</w:t>
            </w:r>
            <w:r w:rsidR="00106CD4">
              <w:rPr>
                <w:noProof/>
                <w:webHidden/>
              </w:rPr>
              <w:tab/>
            </w:r>
            <w:r w:rsidR="00106CD4">
              <w:rPr>
                <w:noProof/>
                <w:webHidden/>
              </w:rPr>
              <w:fldChar w:fldCharType="begin"/>
            </w:r>
            <w:r w:rsidR="00106CD4">
              <w:rPr>
                <w:noProof/>
                <w:webHidden/>
              </w:rPr>
              <w:instrText xml:space="preserve"> PAGEREF _Toc121130806 \h </w:instrText>
            </w:r>
            <w:r w:rsidR="00106CD4">
              <w:rPr>
                <w:noProof/>
                <w:webHidden/>
              </w:rPr>
            </w:r>
            <w:r w:rsidR="00106CD4">
              <w:rPr>
                <w:noProof/>
                <w:webHidden/>
              </w:rPr>
              <w:fldChar w:fldCharType="separate"/>
            </w:r>
            <w:r w:rsidR="00106CD4">
              <w:rPr>
                <w:noProof/>
                <w:webHidden/>
              </w:rPr>
              <w:t>24</w:t>
            </w:r>
            <w:r w:rsidR="00106CD4">
              <w:rPr>
                <w:noProof/>
                <w:webHidden/>
              </w:rPr>
              <w:fldChar w:fldCharType="end"/>
            </w:r>
          </w:hyperlink>
        </w:p>
        <w:p w14:paraId="568AC061" w14:textId="47B054C0" w:rsidR="00106CD4" w:rsidRDefault="00000000">
          <w:pPr>
            <w:pStyle w:val="TOC2"/>
            <w:tabs>
              <w:tab w:val="left" w:pos="880"/>
              <w:tab w:val="right" w:leader="dot" w:pos="9742"/>
            </w:tabs>
            <w:rPr>
              <w:rFonts w:asciiTheme="minorHAnsi" w:eastAsiaTheme="minorEastAsia" w:hAnsiTheme="minorHAnsi"/>
              <w:noProof/>
              <w:color w:val="auto"/>
              <w:lang w:val="en-AU" w:eastAsia="en-AU"/>
            </w:rPr>
          </w:pPr>
          <w:hyperlink w:anchor="_Toc121130807" w:history="1">
            <w:r w:rsidR="00106CD4" w:rsidRPr="00097BB8">
              <w:rPr>
                <w:rStyle w:val="Hyperlink"/>
                <w:noProof/>
              </w:rPr>
              <w:t>5.4</w:t>
            </w:r>
            <w:r w:rsidR="00106CD4">
              <w:rPr>
                <w:rFonts w:asciiTheme="minorHAnsi" w:eastAsiaTheme="minorEastAsia" w:hAnsiTheme="minorHAnsi"/>
                <w:noProof/>
                <w:color w:val="auto"/>
                <w:lang w:val="en-AU" w:eastAsia="en-AU"/>
              </w:rPr>
              <w:tab/>
            </w:r>
            <w:r w:rsidR="00106CD4" w:rsidRPr="00097BB8">
              <w:rPr>
                <w:rStyle w:val="Hyperlink"/>
                <w:noProof/>
              </w:rPr>
              <w:t>Calculation of General Use Item bundle statistics</w:t>
            </w:r>
            <w:r w:rsidR="00106CD4">
              <w:rPr>
                <w:noProof/>
                <w:webHidden/>
              </w:rPr>
              <w:tab/>
            </w:r>
            <w:r w:rsidR="00106CD4">
              <w:rPr>
                <w:noProof/>
                <w:webHidden/>
              </w:rPr>
              <w:fldChar w:fldCharType="begin"/>
            </w:r>
            <w:r w:rsidR="00106CD4">
              <w:rPr>
                <w:noProof/>
                <w:webHidden/>
              </w:rPr>
              <w:instrText xml:space="preserve"> PAGEREF _Toc121130807 \h </w:instrText>
            </w:r>
            <w:r w:rsidR="00106CD4">
              <w:rPr>
                <w:noProof/>
                <w:webHidden/>
              </w:rPr>
            </w:r>
            <w:r w:rsidR="00106CD4">
              <w:rPr>
                <w:noProof/>
                <w:webHidden/>
              </w:rPr>
              <w:fldChar w:fldCharType="separate"/>
            </w:r>
            <w:r w:rsidR="00106CD4">
              <w:rPr>
                <w:noProof/>
                <w:webHidden/>
              </w:rPr>
              <w:t>28</w:t>
            </w:r>
            <w:r w:rsidR="00106CD4">
              <w:rPr>
                <w:noProof/>
                <w:webHidden/>
              </w:rPr>
              <w:fldChar w:fldCharType="end"/>
            </w:r>
          </w:hyperlink>
        </w:p>
        <w:p w14:paraId="24032853" w14:textId="42707808" w:rsidR="00106CD4" w:rsidRDefault="00000000">
          <w:pPr>
            <w:pStyle w:val="TOC3"/>
            <w:tabs>
              <w:tab w:val="left" w:pos="1320"/>
              <w:tab w:val="right" w:leader="dot" w:pos="9742"/>
            </w:tabs>
            <w:rPr>
              <w:rFonts w:asciiTheme="minorHAnsi" w:eastAsiaTheme="minorEastAsia" w:hAnsiTheme="minorHAnsi"/>
              <w:noProof/>
              <w:color w:val="auto"/>
              <w:lang w:val="en-AU" w:eastAsia="en-AU"/>
            </w:rPr>
          </w:pPr>
          <w:hyperlink w:anchor="_Toc121130808" w:history="1">
            <w:r w:rsidR="00106CD4" w:rsidRPr="00097BB8">
              <w:rPr>
                <w:rStyle w:val="Hyperlink"/>
                <w:noProof/>
              </w:rPr>
              <w:t>5.4.1</w:t>
            </w:r>
            <w:r w:rsidR="00106CD4">
              <w:rPr>
                <w:rFonts w:asciiTheme="minorHAnsi" w:eastAsiaTheme="minorEastAsia" w:hAnsiTheme="minorHAnsi"/>
                <w:noProof/>
                <w:color w:val="auto"/>
                <w:lang w:val="en-AU" w:eastAsia="en-AU"/>
              </w:rPr>
              <w:tab/>
            </w:r>
            <w:r w:rsidR="00106CD4" w:rsidRPr="00097BB8">
              <w:rPr>
                <w:rStyle w:val="Hyperlink"/>
                <w:noProof/>
              </w:rPr>
              <w:t>Calculation of General Use Item bundle benefits</w:t>
            </w:r>
            <w:r w:rsidR="00106CD4">
              <w:rPr>
                <w:noProof/>
                <w:webHidden/>
              </w:rPr>
              <w:tab/>
            </w:r>
            <w:r w:rsidR="00106CD4">
              <w:rPr>
                <w:noProof/>
                <w:webHidden/>
              </w:rPr>
              <w:fldChar w:fldCharType="begin"/>
            </w:r>
            <w:r w:rsidR="00106CD4">
              <w:rPr>
                <w:noProof/>
                <w:webHidden/>
              </w:rPr>
              <w:instrText xml:space="preserve"> PAGEREF _Toc121130808 \h </w:instrText>
            </w:r>
            <w:r w:rsidR="00106CD4">
              <w:rPr>
                <w:noProof/>
                <w:webHidden/>
              </w:rPr>
            </w:r>
            <w:r w:rsidR="00106CD4">
              <w:rPr>
                <w:noProof/>
                <w:webHidden/>
              </w:rPr>
              <w:fldChar w:fldCharType="separate"/>
            </w:r>
            <w:r w:rsidR="00106CD4">
              <w:rPr>
                <w:noProof/>
                <w:webHidden/>
              </w:rPr>
              <w:t>28</w:t>
            </w:r>
            <w:r w:rsidR="00106CD4">
              <w:rPr>
                <w:noProof/>
                <w:webHidden/>
              </w:rPr>
              <w:fldChar w:fldCharType="end"/>
            </w:r>
          </w:hyperlink>
        </w:p>
        <w:p w14:paraId="282EBEE3" w14:textId="10990D0B" w:rsidR="00106CD4" w:rsidRDefault="00000000">
          <w:pPr>
            <w:pStyle w:val="TOC3"/>
            <w:tabs>
              <w:tab w:val="left" w:pos="1320"/>
              <w:tab w:val="right" w:leader="dot" w:pos="9742"/>
            </w:tabs>
            <w:rPr>
              <w:rFonts w:asciiTheme="minorHAnsi" w:eastAsiaTheme="minorEastAsia" w:hAnsiTheme="minorHAnsi"/>
              <w:noProof/>
              <w:color w:val="auto"/>
              <w:lang w:val="en-AU" w:eastAsia="en-AU"/>
            </w:rPr>
          </w:pPr>
          <w:hyperlink w:anchor="_Toc121130809" w:history="1">
            <w:r w:rsidR="00106CD4" w:rsidRPr="00097BB8">
              <w:rPr>
                <w:rStyle w:val="Hyperlink"/>
                <w:noProof/>
              </w:rPr>
              <w:t>5.4.2</w:t>
            </w:r>
            <w:r w:rsidR="00106CD4">
              <w:rPr>
                <w:rFonts w:asciiTheme="minorHAnsi" w:eastAsiaTheme="minorEastAsia" w:hAnsiTheme="minorHAnsi"/>
                <w:noProof/>
                <w:color w:val="auto"/>
                <w:lang w:val="en-AU" w:eastAsia="en-AU"/>
              </w:rPr>
              <w:tab/>
            </w:r>
            <w:r w:rsidR="00106CD4" w:rsidRPr="00097BB8">
              <w:rPr>
                <w:rStyle w:val="Hyperlink"/>
                <w:noProof/>
              </w:rPr>
              <w:t>Calculation of GUI bundle variation statistics</w:t>
            </w:r>
            <w:r w:rsidR="00106CD4">
              <w:rPr>
                <w:noProof/>
                <w:webHidden/>
              </w:rPr>
              <w:tab/>
            </w:r>
            <w:r w:rsidR="00106CD4">
              <w:rPr>
                <w:noProof/>
                <w:webHidden/>
              </w:rPr>
              <w:fldChar w:fldCharType="begin"/>
            </w:r>
            <w:r w:rsidR="00106CD4">
              <w:rPr>
                <w:noProof/>
                <w:webHidden/>
              </w:rPr>
              <w:instrText xml:space="preserve"> PAGEREF _Toc121130809 \h </w:instrText>
            </w:r>
            <w:r w:rsidR="00106CD4">
              <w:rPr>
                <w:noProof/>
                <w:webHidden/>
              </w:rPr>
            </w:r>
            <w:r w:rsidR="00106CD4">
              <w:rPr>
                <w:noProof/>
                <w:webHidden/>
              </w:rPr>
              <w:fldChar w:fldCharType="separate"/>
            </w:r>
            <w:r w:rsidR="00106CD4">
              <w:rPr>
                <w:noProof/>
                <w:webHidden/>
              </w:rPr>
              <w:t>30</w:t>
            </w:r>
            <w:r w:rsidR="00106CD4">
              <w:rPr>
                <w:noProof/>
                <w:webHidden/>
              </w:rPr>
              <w:fldChar w:fldCharType="end"/>
            </w:r>
          </w:hyperlink>
        </w:p>
        <w:p w14:paraId="245DCFED" w14:textId="6E3B63FD" w:rsidR="00106CD4" w:rsidRDefault="00000000">
          <w:pPr>
            <w:pStyle w:val="TOC1"/>
            <w:rPr>
              <w:rFonts w:asciiTheme="minorHAnsi" w:eastAsiaTheme="minorEastAsia" w:hAnsiTheme="minorHAnsi"/>
              <w:b w:val="0"/>
              <w:noProof/>
              <w:color w:val="auto"/>
              <w:sz w:val="22"/>
              <w:lang w:val="en-AU" w:eastAsia="en-AU"/>
            </w:rPr>
          </w:pPr>
          <w:hyperlink w:anchor="_Toc121130810" w:history="1">
            <w:r w:rsidR="00106CD4" w:rsidRPr="00097BB8">
              <w:rPr>
                <w:rStyle w:val="Hyperlink"/>
                <w:noProof/>
              </w:rPr>
              <w:t>Appendix A – Schedule of General Use Item Bundles</w:t>
            </w:r>
            <w:r w:rsidR="00106CD4">
              <w:rPr>
                <w:noProof/>
                <w:webHidden/>
              </w:rPr>
              <w:tab/>
            </w:r>
            <w:r w:rsidR="00106CD4">
              <w:rPr>
                <w:noProof/>
                <w:webHidden/>
              </w:rPr>
              <w:fldChar w:fldCharType="begin"/>
            </w:r>
            <w:r w:rsidR="00106CD4">
              <w:rPr>
                <w:noProof/>
                <w:webHidden/>
              </w:rPr>
              <w:instrText xml:space="preserve"> PAGEREF _Toc121130810 \h </w:instrText>
            </w:r>
            <w:r w:rsidR="00106CD4">
              <w:rPr>
                <w:noProof/>
                <w:webHidden/>
              </w:rPr>
            </w:r>
            <w:r w:rsidR="00106CD4">
              <w:rPr>
                <w:noProof/>
                <w:webHidden/>
              </w:rPr>
              <w:fldChar w:fldCharType="separate"/>
            </w:r>
            <w:r w:rsidR="00106CD4">
              <w:rPr>
                <w:noProof/>
                <w:webHidden/>
              </w:rPr>
              <w:t>32</w:t>
            </w:r>
            <w:r w:rsidR="00106CD4">
              <w:rPr>
                <w:noProof/>
                <w:webHidden/>
              </w:rPr>
              <w:fldChar w:fldCharType="end"/>
            </w:r>
          </w:hyperlink>
        </w:p>
        <w:p w14:paraId="3DFE792F" w14:textId="1842A4DB" w:rsidR="00106CD4" w:rsidRDefault="00000000">
          <w:pPr>
            <w:pStyle w:val="TOC1"/>
            <w:rPr>
              <w:rFonts w:asciiTheme="minorHAnsi" w:eastAsiaTheme="minorEastAsia" w:hAnsiTheme="minorHAnsi"/>
              <w:b w:val="0"/>
              <w:noProof/>
              <w:color w:val="auto"/>
              <w:sz w:val="22"/>
              <w:lang w:val="en-AU" w:eastAsia="en-AU"/>
            </w:rPr>
          </w:pPr>
          <w:hyperlink w:anchor="_Toc121130811" w:history="1">
            <w:r w:rsidR="00106CD4" w:rsidRPr="00097BB8">
              <w:rPr>
                <w:rStyle w:val="Hyperlink"/>
                <w:noProof/>
              </w:rPr>
              <w:t>Appendix B – Feedback to the Consultation Paper</w:t>
            </w:r>
            <w:r w:rsidR="00106CD4">
              <w:rPr>
                <w:noProof/>
                <w:webHidden/>
              </w:rPr>
              <w:tab/>
            </w:r>
            <w:r w:rsidR="00106CD4">
              <w:rPr>
                <w:noProof/>
                <w:webHidden/>
              </w:rPr>
              <w:fldChar w:fldCharType="begin"/>
            </w:r>
            <w:r w:rsidR="00106CD4">
              <w:rPr>
                <w:noProof/>
                <w:webHidden/>
              </w:rPr>
              <w:instrText xml:space="preserve"> PAGEREF _Toc121130811 \h </w:instrText>
            </w:r>
            <w:r w:rsidR="00106CD4">
              <w:rPr>
                <w:noProof/>
                <w:webHidden/>
              </w:rPr>
            </w:r>
            <w:r w:rsidR="00106CD4">
              <w:rPr>
                <w:noProof/>
                <w:webHidden/>
              </w:rPr>
              <w:fldChar w:fldCharType="separate"/>
            </w:r>
            <w:r w:rsidR="00106CD4">
              <w:rPr>
                <w:noProof/>
                <w:webHidden/>
              </w:rPr>
              <w:t>51</w:t>
            </w:r>
            <w:r w:rsidR="00106CD4">
              <w:rPr>
                <w:noProof/>
                <w:webHidden/>
              </w:rPr>
              <w:fldChar w:fldCharType="end"/>
            </w:r>
          </w:hyperlink>
        </w:p>
        <w:p w14:paraId="667BE1DB" w14:textId="14C8EC22" w:rsidR="00106CD4" w:rsidRDefault="00000000">
          <w:pPr>
            <w:pStyle w:val="TOC1"/>
            <w:rPr>
              <w:rFonts w:asciiTheme="minorHAnsi" w:eastAsiaTheme="minorEastAsia" w:hAnsiTheme="minorHAnsi"/>
              <w:b w:val="0"/>
              <w:noProof/>
              <w:color w:val="auto"/>
              <w:sz w:val="22"/>
              <w:lang w:val="en-AU" w:eastAsia="en-AU"/>
            </w:rPr>
          </w:pPr>
          <w:hyperlink w:anchor="_Toc121130812" w:history="1">
            <w:r w:rsidR="00106CD4" w:rsidRPr="00097BB8">
              <w:rPr>
                <w:rStyle w:val="Hyperlink"/>
                <w:noProof/>
              </w:rPr>
              <w:t>Appendix C – Supporting analyses</w:t>
            </w:r>
            <w:r w:rsidR="00106CD4">
              <w:rPr>
                <w:noProof/>
                <w:webHidden/>
              </w:rPr>
              <w:tab/>
            </w:r>
            <w:r w:rsidR="00106CD4">
              <w:rPr>
                <w:noProof/>
                <w:webHidden/>
              </w:rPr>
              <w:fldChar w:fldCharType="begin"/>
            </w:r>
            <w:r w:rsidR="00106CD4">
              <w:rPr>
                <w:noProof/>
                <w:webHidden/>
              </w:rPr>
              <w:instrText xml:space="preserve"> PAGEREF _Toc121130812 \h </w:instrText>
            </w:r>
            <w:r w:rsidR="00106CD4">
              <w:rPr>
                <w:noProof/>
                <w:webHidden/>
              </w:rPr>
            </w:r>
            <w:r w:rsidR="00106CD4">
              <w:rPr>
                <w:noProof/>
                <w:webHidden/>
              </w:rPr>
              <w:fldChar w:fldCharType="separate"/>
            </w:r>
            <w:r w:rsidR="00106CD4">
              <w:rPr>
                <w:noProof/>
                <w:webHidden/>
              </w:rPr>
              <w:t>71</w:t>
            </w:r>
            <w:r w:rsidR="00106CD4">
              <w:rPr>
                <w:noProof/>
                <w:webHidden/>
              </w:rPr>
              <w:fldChar w:fldCharType="end"/>
            </w:r>
          </w:hyperlink>
        </w:p>
        <w:p w14:paraId="399469F9" w14:textId="03F9C537" w:rsidR="00106CD4" w:rsidRDefault="00000000">
          <w:pPr>
            <w:pStyle w:val="TOC2"/>
            <w:tabs>
              <w:tab w:val="right" w:leader="dot" w:pos="9742"/>
            </w:tabs>
            <w:rPr>
              <w:rFonts w:asciiTheme="minorHAnsi" w:eastAsiaTheme="minorEastAsia" w:hAnsiTheme="minorHAnsi"/>
              <w:noProof/>
              <w:color w:val="auto"/>
              <w:lang w:val="en-AU" w:eastAsia="en-AU"/>
            </w:rPr>
          </w:pPr>
          <w:hyperlink w:anchor="_Toc121130813" w:history="1">
            <w:r w:rsidR="00106CD4" w:rsidRPr="00097BB8">
              <w:rPr>
                <w:rStyle w:val="Hyperlink"/>
                <w:noProof/>
              </w:rPr>
              <w:t>C.1 Data preparation</w:t>
            </w:r>
            <w:r w:rsidR="00106CD4">
              <w:rPr>
                <w:noProof/>
                <w:webHidden/>
              </w:rPr>
              <w:tab/>
            </w:r>
            <w:r w:rsidR="00106CD4">
              <w:rPr>
                <w:noProof/>
                <w:webHidden/>
              </w:rPr>
              <w:fldChar w:fldCharType="begin"/>
            </w:r>
            <w:r w:rsidR="00106CD4">
              <w:rPr>
                <w:noProof/>
                <w:webHidden/>
              </w:rPr>
              <w:instrText xml:space="preserve"> PAGEREF _Toc121130813 \h </w:instrText>
            </w:r>
            <w:r w:rsidR="00106CD4">
              <w:rPr>
                <w:noProof/>
                <w:webHidden/>
              </w:rPr>
            </w:r>
            <w:r w:rsidR="00106CD4">
              <w:rPr>
                <w:noProof/>
                <w:webHidden/>
              </w:rPr>
              <w:fldChar w:fldCharType="separate"/>
            </w:r>
            <w:r w:rsidR="00106CD4">
              <w:rPr>
                <w:noProof/>
                <w:webHidden/>
              </w:rPr>
              <w:t>71</w:t>
            </w:r>
            <w:r w:rsidR="00106CD4">
              <w:rPr>
                <w:noProof/>
                <w:webHidden/>
              </w:rPr>
              <w:fldChar w:fldCharType="end"/>
            </w:r>
          </w:hyperlink>
        </w:p>
        <w:p w14:paraId="0DB24004" w14:textId="20CFCB88" w:rsidR="00106CD4" w:rsidRDefault="00000000">
          <w:pPr>
            <w:pStyle w:val="TOC3"/>
            <w:tabs>
              <w:tab w:val="right" w:leader="dot" w:pos="9742"/>
            </w:tabs>
            <w:rPr>
              <w:rFonts w:asciiTheme="minorHAnsi" w:eastAsiaTheme="minorEastAsia" w:hAnsiTheme="minorHAnsi"/>
              <w:noProof/>
              <w:color w:val="auto"/>
              <w:lang w:val="en-AU" w:eastAsia="en-AU"/>
            </w:rPr>
          </w:pPr>
          <w:hyperlink w:anchor="_Toc121130814" w:history="1">
            <w:r w:rsidR="00106CD4" w:rsidRPr="00097BB8">
              <w:rPr>
                <w:rStyle w:val="Hyperlink"/>
                <w:noProof/>
              </w:rPr>
              <w:t>C.1.1 Data preparation procedures</w:t>
            </w:r>
            <w:r w:rsidR="00106CD4">
              <w:rPr>
                <w:noProof/>
                <w:webHidden/>
              </w:rPr>
              <w:tab/>
            </w:r>
            <w:r w:rsidR="00106CD4">
              <w:rPr>
                <w:noProof/>
                <w:webHidden/>
              </w:rPr>
              <w:fldChar w:fldCharType="begin"/>
            </w:r>
            <w:r w:rsidR="00106CD4">
              <w:rPr>
                <w:noProof/>
                <w:webHidden/>
              </w:rPr>
              <w:instrText xml:space="preserve"> PAGEREF _Toc121130814 \h </w:instrText>
            </w:r>
            <w:r w:rsidR="00106CD4">
              <w:rPr>
                <w:noProof/>
                <w:webHidden/>
              </w:rPr>
            </w:r>
            <w:r w:rsidR="00106CD4">
              <w:rPr>
                <w:noProof/>
                <w:webHidden/>
              </w:rPr>
              <w:fldChar w:fldCharType="separate"/>
            </w:r>
            <w:r w:rsidR="00106CD4">
              <w:rPr>
                <w:noProof/>
                <w:webHidden/>
              </w:rPr>
              <w:t>71</w:t>
            </w:r>
            <w:r w:rsidR="00106CD4">
              <w:rPr>
                <w:noProof/>
                <w:webHidden/>
              </w:rPr>
              <w:fldChar w:fldCharType="end"/>
            </w:r>
          </w:hyperlink>
        </w:p>
        <w:p w14:paraId="0A4E82AB" w14:textId="55E5DFF4" w:rsidR="00106CD4" w:rsidRDefault="00000000">
          <w:pPr>
            <w:pStyle w:val="TOC3"/>
            <w:tabs>
              <w:tab w:val="right" w:leader="dot" w:pos="9742"/>
            </w:tabs>
            <w:rPr>
              <w:rFonts w:asciiTheme="minorHAnsi" w:eastAsiaTheme="minorEastAsia" w:hAnsiTheme="minorHAnsi"/>
              <w:noProof/>
              <w:color w:val="auto"/>
              <w:lang w:val="en-AU" w:eastAsia="en-AU"/>
            </w:rPr>
          </w:pPr>
          <w:hyperlink w:anchor="_Toc121130815" w:history="1">
            <w:r w:rsidR="00106CD4" w:rsidRPr="00097BB8">
              <w:rPr>
                <w:rStyle w:val="Hyperlink"/>
                <w:noProof/>
              </w:rPr>
              <w:t>C.1.2 Results of data preparation</w:t>
            </w:r>
            <w:r w:rsidR="00106CD4">
              <w:rPr>
                <w:noProof/>
                <w:webHidden/>
              </w:rPr>
              <w:tab/>
            </w:r>
            <w:r w:rsidR="00106CD4">
              <w:rPr>
                <w:noProof/>
                <w:webHidden/>
              </w:rPr>
              <w:fldChar w:fldCharType="begin"/>
            </w:r>
            <w:r w:rsidR="00106CD4">
              <w:rPr>
                <w:noProof/>
                <w:webHidden/>
              </w:rPr>
              <w:instrText xml:space="preserve"> PAGEREF _Toc121130815 \h </w:instrText>
            </w:r>
            <w:r w:rsidR="00106CD4">
              <w:rPr>
                <w:noProof/>
                <w:webHidden/>
              </w:rPr>
            </w:r>
            <w:r w:rsidR="00106CD4">
              <w:rPr>
                <w:noProof/>
                <w:webHidden/>
              </w:rPr>
              <w:fldChar w:fldCharType="separate"/>
            </w:r>
            <w:r w:rsidR="00106CD4">
              <w:rPr>
                <w:noProof/>
                <w:webHidden/>
              </w:rPr>
              <w:t>72</w:t>
            </w:r>
            <w:r w:rsidR="00106CD4">
              <w:rPr>
                <w:noProof/>
                <w:webHidden/>
              </w:rPr>
              <w:fldChar w:fldCharType="end"/>
            </w:r>
          </w:hyperlink>
        </w:p>
        <w:p w14:paraId="00F789DB" w14:textId="02C89EBE" w:rsidR="00106CD4" w:rsidRDefault="00000000">
          <w:pPr>
            <w:pStyle w:val="TOC2"/>
            <w:tabs>
              <w:tab w:val="right" w:leader="dot" w:pos="9742"/>
            </w:tabs>
            <w:rPr>
              <w:rFonts w:asciiTheme="minorHAnsi" w:eastAsiaTheme="minorEastAsia" w:hAnsiTheme="minorHAnsi"/>
              <w:noProof/>
              <w:color w:val="auto"/>
              <w:lang w:val="en-AU" w:eastAsia="en-AU"/>
            </w:rPr>
          </w:pPr>
          <w:hyperlink w:anchor="_Toc121130816" w:history="1">
            <w:r w:rsidR="00106CD4" w:rsidRPr="00097BB8">
              <w:rPr>
                <w:rStyle w:val="Hyperlink"/>
                <w:noProof/>
              </w:rPr>
              <w:t>C.2 Data representativeness</w:t>
            </w:r>
            <w:r w:rsidR="00106CD4">
              <w:rPr>
                <w:noProof/>
                <w:webHidden/>
              </w:rPr>
              <w:tab/>
            </w:r>
            <w:r w:rsidR="00106CD4">
              <w:rPr>
                <w:noProof/>
                <w:webHidden/>
              </w:rPr>
              <w:fldChar w:fldCharType="begin"/>
            </w:r>
            <w:r w:rsidR="00106CD4">
              <w:rPr>
                <w:noProof/>
                <w:webHidden/>
              </w:rPr>
              <w:instrText xml:space="preserve"> PAGEREF _Toc121130816 \h </w:instrText>
            </w:r>
            <w:r w:rsidR="00106CD4">
              <w:rPr>
                <w:noProof/>
                <w:webHidden/>
              </w:rPr>
            </w:r>
            <w:r w:rsidR="00106CD4">
              <w:rPr>
                <w:noProof/>
                <w:webHidden/>
              </w:rPr>
              <w:fldChar w:fldCharType="separate"/>
            </w:r>
            <w:r w:rsidR="00106CD4">
              <w:rPr>
                <w:noProof/>
                <w:webHidden/>
              </w:rPr>
              <w:t>77</w:t>
            </w:r>
            <w:r w:rsidR="00106CD4">
              <w:rPr>
                <w:noProof/>
                <w:webHidden/>
              </w:rPr>
              <w:fldChar w:fldCharType="end"/>
            </w:r>
          </w:hyperlink>
        </w:p>
        <w:p w14:paraId="33703EB9" w14:textId="58BFCF39" w:rsidR="00106CD4" w:rsidRDefault="00000000">
          <w:pPr>
            <w:pStyle w:val="TOC3"/>
            <w:tabs>
              <w:tab w:val="right" w:leader="dot" w:pos="9742"/>
            </w:tabs>
            <w:rPr>
              <w:rFonts w:asciiTheme="minorHAnsi" w:eastAsiaTheme="minorEastAsia" w:hAnsiTheme="minorHAnsi"/>
              <w:noProof/>
              <w:color w:val="auto"/>
              <w:lang w:val="en-AU" w:eastAsia="en-AU"/>
            </w:rPr>
          </w:pPr>
          <w:hyperlink w:anchor="_Toc121130817" w:history="1">
            <w:r w:rsidR="00106CD4" w:rsidRPr="00097BB8">
              <w:rPr>
                <w:rStyle w:val="Hyperlink"/>
                <w:noProof/>
              </w:rPr>
              <w:t>C.2.1 Results of data representativeness</w:t>
            </w:r>
            <w:r w:rsidR="00106CD4">
              <w:rPr>
                <w:noProof/>
                <w:webHidden/>
              </w:rPr>
              <w:tab/>
            </w:r>
            <w:r w:rsidR="00106CD4">
              <w:rPr>
                <w:noProof/>
                <w:webHidden/>
              </w:rPr>
              <w:fldChar w:fldCharType="begin"/>
            </w:r>
            <w:r w:rsidR="00106CD4">
              <w:rPr>
                <w:noProof/>
                <w:webHidden/>
              </w:rPr>
              <w:instrText xml:space="preserve"> PAGEREF _Toc121130817 \h </w:instrText>
            </w:r>
            <w:r w:rsidR="00106CD4">
              <w:rPr>
                <w:noProof/>
                <w:webHidden/>
              </w:rPr>
            </w:r>
            <w:r w:rsidR="00106CD4">
              <w:rPr>
                <w:noProof/>
                <w:webHidden/>
              </w:rPr>
              <w:fldChar w:fldCharType="separate"/>
            </w:r>
            <w:r w:rsidR="00106CD4">
              <w:rPr>
                <w:noProof/>
                <w:webHidden/>
              </w:rPr>
              <w:t>77</w:t>
            </w:r>
            <w:r w:rsidR="00106CD4">
              <w:rPr>
                <w:noProof/>
                <w:webHidden/>
              </w:rPr>
              <w:fldChar w:fldCharType="end"/>
            </w:r>
          </w:hyperlink>
        </w:p>
        <w:p w14:paraId="74230078" w14:textId="377F6D2F" w:rsidR="00106CD4" w:rsidRDefault="00000000">
          <w:pPr>
            <w:pStyle w:val="TOC2"/>
            <w:tabs>
              <w:tab w:val="right" w:leader="dot" w:pos="9742"/>
            </w:tabs>
            <w:rPr>
              <w:rFonts w:asciiTheme="minorHAnsi" w:eastAsiaTheme="minorEastAsia" w:hAnsiTheme="minorHAnsi"/>
              <w:noProof/>
              <w:color w:val="auto"/>
              <w:lang w:val="en-AU" w:eastAsia="en-AU"/>
            </w:rPr>
          </w:pPr>
          <w:hyperlink w:anchor="_Toc121130818" w:history="1">
            <w:r w:rsidR="00106CD4" w:rsidRPr="00097BB8">
              <w:rPr>
                <w:rStyle w:val="Hyperlink"/>
                <w:noProof/>
              </w:rPr>
              <w:t>C.3 General Use Item statistics</w:t>
            </w:r>
            <w:r w:rsidR="00106CD4">
              <w:rPr>
                <w:noProof/>
                <w:webHidden/>
              </w:rPr>
              <w:tab/>
            </w:r>
            <w:r w:rsidR="00106CD4">
              <w:rPr>
                <w:noProof/>
                <w:webHidden/>
              </w:rPr>
              <w:fldChar w:fldCharType="begin"/>
            </w:r>
            <w:r w:rsidR="00106CD4">
              <w:rPr>
                <w:noProof/>
                <w:webHidden/>
              </w:rPr>
              <w:instrText xml:space="preserve"> PAGEREF _Toc121130818 \h </w:instrText>
            </w:r>
            <w:r w:rsidR="00106CD4">
              <w:rPr>
                <w:noProof/>
                <w:webHidden/>
              </w:rPr>
            </w:r>
            <w:r w:rsidR="00106CD4">
              <w:rPr>
                <w:noProof/>
                <w:webHidden/>
              </w:rPr>
              <w:fldChar w:fldCharType="separate"/>
            </w:r>
            <w:r w:rsidR="00106CD4">
              <w:rPr>
                <w:noProof/>
                <w:webHidden/>
              </w:rPr>
              <w:t>80</w:t>
            </w:r>
            <w:r w:rsidR="00106CD4">
              <w:rPr>
                <w:noProof/>
                <w:webHidden/>
              </w:rPr>
              <w:fldChar w:fldCharType="end"/>
            </w:r>
          </w:hyperlink>
        </w:p>
        <w:p w14:paraId="7DD5E8F3" w14:textId="5CA459A8" w:rsidR="00106CD4" w:rsidRDefault="00000000">
          <w:pPr>
            <w:pStyle w:val="TOC3"/>
            <w:tabs>
              <w:tab w:val="right" w:leader="dot" w:pos="9742"/>
            </w:tabs>
            <w:rPr>
              <w:rFonts w:asciiTheme="minorHAnsi" w:eastAsiaTheme="minorEastAsia" w:hAnsiTheme="minorHAnsi"/>
              <w:noProof/>
              <w:color w:val="auto"/>
              <w:lang w:val="en-AU" w:eastAsia="en-AU"/>
            </w:rPr>
          </w:pPr>
          <w:hyperlink w:anchor="_Toc121130819" w:history="1">
            <w:r w:rsidR="00106CD4" w:rsidRPr="00097BB8">
              <w:rPr>
                <w:rStyle w:val="Hyperlink"/>
                <w:noProof/>
              </w:rPr>
              <w:t>C.3.1 Overview of General Use Items</w:t>
            </w:r>
            <w:r w:rsidR="00106CD4">
              <w:rPr>
                <w:noProof/>
                <w:webHidden/>
              </w:rPr>
              <w:tab/>
            </w:r>
            <w:r w:rsidR="00106CD4">
              <w:rPr>
                <w:noProof/>
                <w:webHidden/>
              </w:rPr>
              <w:fldChar w:fldCharType="begin"/>
            </w:r>
            <w:r w:rsidR="00106CD4">
              <w:rPr>
                <w:noProof/>
                <w:webHidden/>
              </w:rPr>
              <w:instrText xml:space="preserve"> PAGEREF _Toc121130819 \h </w:instrText>
            </w:r>
            <w:r w:rsidR="00106CD4">
              <w:rPr>
                <w:noProof/>
                <w:webHidden/>
              </w:rPr>
            </w:r>
            <w:r w:rsidR="00106CD4">
              <w:rPr>
                <w:noProof/>
                <w:webHidden/>
              </w:rPr>
              <w:fldChar w:fldCharType="separate"/>
            </w:r>
            <w:r w:rsidR="00106CD4">
              <w:rPr>
                <w:noProof/>
                <w:webHidden/>
              </w:rPr>
              <w:t>80</w:t>
            </w:r>
            <w:r w:rsidR="00106CD4">
              <w:rPr>
                <w:noProof/>
                <w:webHidden/>
              </w:rPr>
              <w:fldChar w:fldCharType="end"/>
            </w:r>
          </w:hyperlink>
        </w:p>
        <w:p w14:paraId="1256A359" w14:textId="1A84F99E" w:rsidR="00106CD4" w:rsidRDefault="00000000">
          <w:pPr>
            <w:pStyle w:val="TOC3"/>
            <w:tabs>
              <w:tab w:val="right" w:leader="dot" w:pos="9742"/>
            </w:tabs>
            <w:rPr>
              <w:rFonts w:asciiTheme="minorHAnsi" w:eastAsiaTheme="minorEastAsia" w:hAnsiTheme="minorHAnsi"/>
              <w:noProof/>
              <w:color w:val="auto"/>
              <w:lang w:val="en-AU" w:eastAsia="en-AU"/>
            </w:rPr>
          </w:pPr>
          <w:hyperlink w:anchor="_Toc121130820" w:history="1">
            <w:r w:rsidR="00106CD4" w:rsidRPr="00097BB8">
              <w:rPr>
                <w:rStyle w:val="Hyperlink"/>
                <w:noProof/>
              </w:rPr>
              <w:t>C.3.2 Analysis of GUI benefits per episode by facility type and clinical characteristics</w:t>
            </w:r>
            <w:r w:rsidR="00106CD4">
              <w:rPr>
                <w:noProof/>
                <w:webHidden/>
              </w:rPr>
              <w:tab/>
            </w:r>
            <w:r w:rsidR="00106CD4">
              <w:rPr>
                <w:noProof/>
                <w:webHidden/>
              </w:rPr>
              <w:fldChar w:fldCharType="begin"/>
            </w:r>
            <w:r w:rsidR="00106CD4">
              <w:rPr>
                <w:noProof/>
                <w:webHidden/>
              </w:rPr>
              <w:instrText xml:space="preserve"> PAGEREF _Toc121130820 \h </w:instrText>
            </w:r>
            <w:r w:rsidR="00106CD4">
              <w:rPr>
                <w:noProof/>
                <w:webHidden/>
              </w:rPr>
            </w:r>
            <w:r w:rsidR="00106CD4">
              <w:rPr>
                <w:noProof/>
                <w:webHidden/>
              </w:rPr>
              <w:fldChar w:fldCharType="separate"/>
            </w:r>
            <w:r w:rsidR="00106CD4">
              <w:rPr>
                <w:noProof/>
                <w:webHidden/>
              </w:rPr>
              <w:t>81</w:t>
            </w:r>
            <w:r w:rsidR="00106CD4">
              <w:rPr>
                <w:noProof/>
                <w:webHidden/>
              </w:rPr>
              <w:fldChar w:fldCharType="end"/>
            </w:r>
          </w:hyperlink>
        </w:p>
        <w:p w14:paraId="20C5448E" w14:textId="630A5CF8" w:rsidR="00106CD4" w:rsidRDefault="00000000">
          <w:pPr>
            <w:pStyle w:val="TOC3"/>
            <w:tabs>
              <w:tab w:val="right" w:leader="dot" w:pos="9742"/>
            </w:tabs>
            <w:rPr>
              <w:rFonts w:asciiTheme="minorHAnsi" w:eastAsiaTheme="minorEastAsia" w:hAnsiTheme="minorHAnsi"/>
              <w:noProof/>
              <w:color w:val="auto"/>
              <w:lang w:val="en-AU" w:eastAsia="en-AU"/>
            </w:rPr>
          </w:pPr>
          <w:hyperlink w:anchor="_Toc121130821" w:history="1">
            <w:r w:rsidR="00106CD4" w:rsidRPr="00097BB8">
              <w:rPr>
                <w:rStyle w:val="Hyperlink"/>
                <w:noProof/>
              </w:rPr>
              <w:t>C.3.3 GUI product bundle statistics by facility type and Major Diagnostic Category</w:t>
            </w:r>
            <w:r w:rsidR="00106CD4">
              <w:rPr>
                <w:noProof/>
                <w:webHidden/>
              </w:rPr>
              <w:tab/>
            </w:r>
            <w:r w:rsidR="00106CD4">
              <w:rPr>
                <w:noProof/>
                <w:webHidden/>
              </w:rPr>
              <w:fldChar w:fldCharType="begin"/>
            </w:r>
            <w:r w:rsidR="00106CD4">
              <w:rPr>
                <w:noProof/>
                <w:webHidden/>
              </w:rPr>
              <w:instrText xml:space="preserve"> PAGEREF _Toc121130821 \h </w:instrText>
            </w:r>
            <w:r w:rsidR="00106CD4">
              <w:rPr>
                <w:noProof/>
                <w:webHidden/>
              </w:rPr>
            </w:r>
            <w:r w:rsidR="00106CD4">
              <w:rPr>
                <w:noProof/>
                <w:webHidden/>
              </w:rPr>
              <w:fldChar w:fldCharType="separate"/>
            </w:r>
            <w:r w:rsidR="00106CD4">
              <w:rPr>
                <w:noProof/>
                <w:webHidden/>
              </w:rPr>
              <w:t>84</w:t>
            </w:r>
            <w:r w:rsidR="00106CD4">
              <w:rPr>
                <w:noProof/>
                <w:webHidden/>
              </w:rPr>
              <w:fldChar w:fldCharType="end"/>
            </w:r>
          </w:hyperlink>
        </w:p>
        <w:p w14:paraId="4AE3D068" w14:textId="405DF7B7" w:rsidR="00106CD4" w:rsidRDefault="00000000">
          <w:pPr>
            <w:pStyle w:val="TOC3"/>
            <w:tabs>
              <w:tab w:val="right" w:leader="dot" w:pos="9742"/>
            </w:tabs>
            <w:rPr>
              <w:rFonts w:asciiTheme="minorHAnsi" w:eastAsiaTheme="minorEastAsia" w:hAnsiTheme="minorHAnsi"/>
              <w:noProof/>
              <w:color w:val="auto"/>
              <w:lang w:val="en-AU" w:eastAsia="en-AU"/>
            </w:rPr>
          </w:pPr>
          <w:hyperlink w:anchor="_Toc121130822" w:history="1">
            <w:r w:rsidR="00106CD4" w:rsidRPr="00097BB8">
              <w:rPr>
                <w:rStyle w:val="Hyperlink"/>
                <w:noProof/>
              </w:rPr>
              <w:t>C.3.4 Analysis of historical changes in GUI product bundle benefits per episode</w:t>
            </w:r>
            <w:r w:rsidR="00106CD4">
              <w:rPr>
                <w:noProof/>
                <w:webHidden/>
              </w:rPr>
              <w:tab/>
            </w:r>
            <w:r w:rsidR="00106CD4">
              <w:rPr>
                <w:noProof/>
                <w:webHidden/>
              </w:rPr>
              <w:fldChar w:fldCharType="begin"/>
            </w:r>
            <w:r w:rsidR="00106CD4">
              <w:rPr>
                <w:noProof/>
                <w:webHidden/>
              </w:rPr>
              <w:instrText xml:space="preserve"> PAGEREF _Toc121130822 \h </w:instrText>
            </w:r>
            <w:r w:rsidR="00106CD4">
              <w:rPr>
                <w:noProof/>
                <w:webHidden/>
              </w:rPr>
            </w:r>
            <w:r w:rsidR="00106CD4">
              <w:rPr>
                <w:noProof/>
                <w:webHidden/>
              </w:rPr>
              <w:fldChar w:fldCharType="separate"/>
            </w:r>
            <w:r w:rsidR="00106CD4">
              <w:rPr>
                <w:noProof/>
                <w:webHidden/>
              </w:rPr>
              <w:t>86</w:t>
            </w:r>
            <w:r w:rsidR="00106CD4">
              <w:rPr>
                <w:noProof/>
                <w:webHidden/>
              </w:rPr>
              <w:fldChar w:fldCharType="end"/>
            </w:r>
          </w:hyperlink>
        </w:p>
        <w:p w14:paraId="20BEF0F0" w14:textId="098238C2" w:rsidR="00106CD4" w:rsidRDefault="00000000">
          <w:pPr>
            <w:pStyle w:val="TOC1"/>
            <w:rPr>
              <w:rFonts w:asciiTheme="minorHAnsi" w:eastAsiaTheme="minorEastAsia" w:hAnsiTheme="minorHAnsi"/>
              <w:b w:val="0"/>
              <w:noProof/>
              <w:color w:val="auto"/>
              <w:sz w:val="22"/>
              <w:lang w:val="en-AU" w:eastAsia="en-AU"/>
            </w:rPr>
          </w:pPr>
          <w:hyperlink w:anchor="_Toc121130823" w:history="1">
            <w:r w:rsidR="00106CD4" w:rsidRPr="00097BB8">
              <w:rPr>
                <w:rStyle w:val="Hyperlink"/>
                <w:noProof/>
              </w:rPr>
              <w:t>Appendix D – General Use Item bundle variation statistics</w:t>
            </w:r>
            <w:r w:rsidR="00106CD4">
              <w:rPr>
                <w:noProof/>
                <w:webHidden/>
              </w:rPr>
              <w:tab/>
            </w:r>
            <w:r w:rsidR="00106CD4">
              <w:rPr>
                <w:noProof/>
                <w:webHidden/>
              </w:rPr>
              <w:fldChar w:fldCharType="begin"/>
            </w:r>
            <w:r w:rsidR="00106CD4">
              <w:rPr>
                <w:noProof/>
                <w:webHidden/>
              </w:rPr>
              <w:instrText xml:space="preserve"> PAGEREF _Toc121130823 \h </w:instrText>
            </w:r>
            <w:r w:rsidR="00106CD4">
              <w:rPr>
                <w:noProof/>
                <w:webHidden/>
              </w:rPr>
            </w:r>
            <w:r w:rsidR="00106CD4">
              <w:rPr>
                <w:noProof/>
                <w:webHidden/>
              </w:rPr>
              <w:fldChar w:fldCharType="separate"/>
            </w:r>
            <w:r w:rsidR="00106CD4">
              <w:rPr>
                <w:noProof/>
                <w:webHidden/>
              </w:rPr>
              <w:t>90</w:t>
            </w:r>
            <w:r w:rsidR="00106CD4">
              <w:rPr>
                <w:noProof/>
                <w:webHidden/>
              </w:rPr>
              <w:fldChar w:fldCharType="end"/>
            </w:r>
          </w:hyperlink>
        </w:p>
        <w:p w14:paraId="4C338EA6" w14:textId="582DE1C8" w:rsidR="00047B95" w:rsidRDefault="0076798D" w:rsidP="00047B95">
          <w:pPr>
            <w:spacing w:line="276" w:lineRule="auto"/>
            <w:jc w:val="both"/>
            <w:rPr>
              <w:b/>
              <w:bCs/>
              <w:noProof/>
            </w:rPr>
          </w:pPr>
          <w:r w:rsidRPr="00530F59">
            <w:rPr>
              <w:rFonts w:cs="Arial"/>
              <w:b/>
              <w:bCs/>
              <w:noProof/>
            </w:rPr>
            <w:fldChar w:fldCharType="end"/>
          </w:r>
        </w:p>
      </w:sdtContent>
    </w:sdt>
    <w:p w14:paraId="001341D5" w14:textId="53BE724B" w:rsidR="00292F5C" w:rsidRPr="00047B95" w:rsidRDefault="00292F5C" w:rsidP="00047B95">
      <w:pPr>
        <w:jc w:val="both"/>
      </w:pPr>
      <w:r>
        <w:br w:type="page"/>
      </w:r>
    </w:p>
    <w:p w14:paraId="2091B669" w14:textId="77777777" w:rsidR="00A548BD" w:rsidRDefault="00A548BD" w:rsidP="00A548BD">
      <w:pPr>
        <w:pStyle w:val="Heading1"/>
        <w:numPr>
          <w:ilvl w:val="0"/>
          <w:numId w:val="0"/>
        </w:numPr>
        <w:ind w:left="432" w:hanging="432"/>
      </w:pPr>
      <w:bookmarkStart w:id="0" w:name="_Toc121130767"/>
      <w:r>
        <w:lastRenderedPageBreak/>
        <w:t>Abbreviations</w:t>
      </w:r>
      <w:bookmarkEnd w:id="0"/>
    </w:p>
    <w:tbl>
      <w:tblPr>
        <w:tblStyle w:val="TableGrid"/>
        <w:tblW w:w="0" w:type="auto"/>
        <w:tblBorders>
          <w:top w:val="single" w:sz="4" w:space="0" w:color="D9D9D9" w:themeColor="background2" w:themeShade="D9"/>
          <w:left w:val="none" w:sz="0" w:space="0" w:color="auto"/>
          <w:bottom w:val="single" w:sz="4" w:space="0" w:color="D9D9D9" w:themeColor="background2" w:themeShade="D9"/>
          <w:right w:val="none" w:sz="0" w:space="0" w:color="auto"/>
          <w:insideH w:val="single" w:sz="4" w:space="0" w:color="D9D9D9" w:themeColor="background2" w:themeShade="D9"/>
          <w:insideV w:val="none" w:sz="0" w:space="0" w:color="auto"/>
        </w:tblBorders>
        <w:tblLook w:val="04A0" w:firstRow="1" w:lastRow="0" w:firstColumn="1" w:lastColumn="0" w:noHBand="0" w:noVBand="1"/>
      </w:tblPr>
      <w:tblGrid>
        <w:gridCol w:w="2268"/>
        <w:gridCol w:w="7468"/>
      </w:tblGrid>
      <w:tr w:rsidR="00A548BD" w14:paraId="6ACBDE22" w14:textId="77777777" w:rsidTr="00D96293">
        <w:tc>
          <w:tcPr>
            <w:tcW w:w="2268" w:type="dxa"/>
            <w:vAlign w:val="center"/>
          </w:tcPr>
          <w:p w14:paraId="110FA8BF" w14:textId="77777777" w:rsidR="00A548BD" w:rsidRPr="000105C7" w:rsidRDefault="00A548BD" w:rsidP="00D96293">
            <w:pPr>
              <w:rPr>
                <w:b/>
              </w:rPr>
            </w:pPr>
            <w:r w:rsidRPr="000105C7">
              <w:rPr>
                <w:b/>
              </w:rPr>
              <w:t>ACHI</w:t>
            </w:r>
          </w:p>
        </w:tc>
        <w:tc>
          <w:tcPr>
            <w:tcW w:w="7468" w:type="dxa"/>
            <w:vAlign w:val="center"/>
          </w:tcPr>
          <w:p w14:paraId="20C96F9F" w14:textId="77777777" w:rsidR="00A548BD" w:rsidRDefault="00A548BD" w:rsidP="00D96293">
            <w:r>
              <w:t>Australian Classification of Health Interventions</w:t>
            </w:r>
          </w:p>
        </w:tc>
      </w:tr>
      <w:tr w:rsidR="00A548BD" w14:paraId="16753114" w14:textId="77777777" w:rsidTr="00D96293">
        <w:tc>
          <w:tcPr>
            <w:tcW w:w="2268" w:type="dxa"/>
            <w:vAlign w:val="center"/>
          </w:tcPr>
          <w:p w14:paraId="2A15A11C" w14:textId="77777777" w:rsidR="00A548BD" w:rsidRPr="000105C7" w:rsidRDefault="00A548BD" w:rsidP="00D96293">
            <w:pPr>
              <w:rPr>
                <w:b/>
              </w:rPr>
            </w:pPr>
            <w:r w:rsidRPr="000105C7">
              <w:rPr>
                <w:b/>
              </w:rPr>
              <w:t>AR-DRG</w:t>
            </w:r>
          </w:p>
        </w:tc>
        <w:tc>
          <w:tcPr>
            <w:tcW w:w="7468" w:type="dxa"/>
            <w:vAlign w:val="center"/>
          </w:tcPr>
          <w:p w14:paraId="1AD2723C" w14:textId="32F3F2C6" w:rsidR="00A548BD" w:rsidRDefault="00A548BD" w:rsidP="00D96293">
            <w:r>
              <w:t xml:space="preserve">Australian Refined Diagnosis-Related </w:t>
            </w:r>
            <w:r w:rsidR="00242315">
              <w:t>G</w:t>
            </w:r>
            <w:r>
              <w:t>roups</w:t>
            </w:r>
          </w:p>
        </w:tc>
      </w:tr>
      <w:tr w:rsidR="00A548BD" w14:paraId="46369EF9" w14:textId="77777777" w:rsidTr="00D96293">
        <w:tc>
          <w:tcPr>
            <w:tcW w:w="2268" w:type="dxa"/>
            <w:vAlign w:val="center"/>
          </w:tcPr>
          <w:p w14:paraId="28E89878" w14:textId="77777777" w:rsidR="00A548BD" w:rsidRPr="000105C7" w:rsidRDefault="00A548BD" w:rsidP="00D96293">
            <w:pPr>
              <w:rPr>
                <w:b/>
              </w:rPr>
            </w:pPr>
            <w:r w:rsidRPr="000105C7">
              <w:rPr>
                <w:b/>
              </w:rPr>
              <w:t>ADRG</w:t>
            </w:r>
          </w:p>
        </w:tc>
        <w:tc>
          <w:tcPr>
            <w:tcW w:w="7468" w:type="dxa"/>
            <w:vAlign w:val="center"/>
          </w:tcPr>
          <w:p w14:paraId="7E2E0304" w14:textId="77777777" w:rsidR="00A548BD" w:rsidRPr="000105C7" w:rsidRDefault="00A548BD" w:rsidP="00D96293">
            <w:pPr>
              <w:rPr>
                <w:color w:val="auto"/>
              </w:rPr>
            </w:pPr>
            <w:r w:rsidRPr="000105C7">
              <w:rPr>
                <w:color w:val="auto"/>
              </w:rPr>
              <w:t>Adjacent Diagnosis Related Groups</w:t>
            </w:r>
          </w:p>
        </w:tc>
      </w:tr>
      <w:tr w:rsidR="00A548BD" w14:paraId="4DA668EB" w14:textId="77777777" w:rsidTr="00D96293">
        <w:tc>
          <w:tcPr>
            <w:tcW w:w="2268" w:type="dxa"/>
            <w:vAlign w:val="center"/>
          </w:tcPr>
          <w:p w14:paraId="387D8D4D" w14:textId="77777777" w:rsidR="00A548BD" w:rsidRPr="000105C7" w:rsidRDefault="00A548BD" w:rsidP="00D96293">
            <w:pPr>
              <w:rPr>
                <w:b/>
              </w:rPr>
            </w:pPr>
            <w:r w:rsidRPr="000105C7">
              <w:rPr>
                <w:b/>
              </w:rPr>
              <w:t>APRA</w:t>
            </w:r>
          </w:p>
        </w:tc>
        <w:tc>
          <w:tcPr>
            <w:tcW w:w="7468" w:type="dxa"/>
            <w:vAlign w:val="center"/>
          </w:tcPr>
          <w:p w14:paraId="43A28A74" w14:textId="77777777" w:rsidR="00A548BD" w:rsidRPr="000105C7" w:rsidRDefault="00A548BD" w:rsidP="00D96293">
            <w:pPr>
              <w:rPr>
                <w:color w:val="auto"/>
              </w:rPr>
            </w:pPr>
            <w:r w:rsidRPr="000105C7">
              <w:rPr>
                <w:color w:val="auto"/>
              </w:rPr>
              <w:t>Australian Prudential Regulation Authority</w:t>
            </w:r>
          </w:p>
        </w:tc>
      </w:tr>
      <w:tr w:rsidR="00A548BD" w14:paraId="6F3FE71B" w14:textId="77777777" w:rsidTr="00D96293">
        <w:tc>
          <w:tcPr>
            <w:tcW w:w="2268" w:type="dxa"/>
            <w:vAlign w:val="center"/>
          </w:tcPr>
          <w:p w14:paraId="0413E4FA" w14:textId="77777777" w:rsidR="00A548BD" w:rsidRPr="000105C7" w:rsidRDefault="00A548BD" w:rsidP="00D96293">
            <w:pPr>
              <w:rPr>
                <w:b/>
              </w:rPr>
            </w:pPr>
            <w:r w:rsidRPr="000105C7">
              <w:rPr>
                <w:b/>
              </w:rPr>
              <w:t>CIRG</w:t>
            </w:r>
          </w:p>
        </w:tc>
        <w:tc>
          <w:tcPr>
            <w:tcW w:w="7468" w:type="dxa"/>
            <w:vAlign w:val="center"/>
          </w:tcPr>
          <w:p w14:paraId="0A4409FD" w14:textId="77777777" w:rsidR="00A548BD" w:rsidRDefault="00A548BD" w:rsidP="00D96293">
            <w:r>
              <w:t>Clinical Implementation Reference Group</w:t>
            </w:r>
          </w:p>
        </w:tc>
      </w:tr>
      <w:tr w:rsidR="00A548BD" w14:paraId="76AD9C2D" w14:textId="77777777" w:rsidTr="00D96293">
        <w:tc>
          <w:tcPr>
            <w:tcW w:w="2268" w:type="dxa"/>
            <w:vAlign w:val="center"/>
          </w:tcPr>
          <w:p w14:paraId="0191D97E" w14:textId="77777777" w:rsidR="00A548BD" w:rsidRPr="000105C7" w:rsidRDefault="00A548BD" w:rsidP="00D96293">
            <w:pPr>
              <w:rPr>
                <w:b/>
              </w:rPr>
            </w:pPr>
            <w:r w:rsidRPr="000105C7">
              <w:rPr>
                <w:b/>
              </w:rPr>
              <w:t>COVID-19</w:t>
            </w:r>
          </w:p>
        </w:tc>
        <w:tc>
          <w:tcPr>
            <w:tcW w:w="7468" w:type="dxa"/>
            <w:vAlign w:val="center"/>
          </w:tcPr>
          <w:p w14:paraId="535172CA" w14:textId="77777777" w:rsidR="00A548BD" w:rsidRDefault="00A548BD" w:rsidP="00D96293">
            <w:r>
              <w:t>Coronavirus disease 2019</w:t>
            </w:r>
          </w:p>
        </w:tc>
      </w:tr>
      <w:tr w:rsidR="00A548BD" w14:paraId="2B40FE5C" w14:textId="77777777" w:rsidTr="00D96293">
        <w:tc>
          <w:tcPr>
            <w:tcW w:w="2268" w:type="dxa"/>
            <w:vAlign w:val="center"/>
          </w:tcPr>
          <w:p w14:paraId="7D4D6C1F" w14:textId="77777777" w:rsidR="00A548BD" w:rsidRPr="000105C7" w:rsidRDefault="00A548BD" w:rsidP="00D96293">
            <w:pPr>
              <w:rPr>
                <w:b/>
              </w:rPr>
            </w:pPr>
            <w:r w:rsidRPr="000105C7">
              <w:rPr>
                <w:b/>
              </w:rPr>
              <w:t>FY</w:t>
            </w:r>
          </w:p>
        </w:tc>
        <w:tc>
          <w:tcPr>
            <w:tcW w:w="7468" w:type="dxa"/>
            <w:vAlign w:val="center"/>
          </w:tcPr>
          <w:p w14:paraId="1E39D22E" w14:textId="77777777" w:rsidR="00A548BD" w:rsidRDefault="00A548BD" w:rsidP="00D96293">
            <w:r>
              <w:t>Financial Year</w:t>
            </w:r>
          </w:p>
        </w:tc>
      </w:tr>
      <w:tr w:rsidR="00A548BD" w14:paraId="64CCF2DA" w14:textId="77777777" w:rsidTr="00D96293">
        <w:tc>
          <w:tcPr>
            <w:tcW w:w="2268" w:type="dxa"/>
            <w:vAlign w:val="center"/>
          </w:tcPr>
          <w:p w14:paraId="776AEC7B" w14:textId="77777777" w:rsidR="00A548BD" w:rsidRPr="000105C7" w:rsidRDefault="00A548BD" w:rsidP="00D96293">
            <w:pPr>
              <w:rPr>
                <w:b/>
              </w:rPr>
            </w:pPr>
            <w:r w:rsidRPr="000105C7">
              <w:rPr>
                <w:b/>
              </w:rPr>
              <w:t>GUI</w:t>
            </w:r>
          </w:p>
        </w:tc>
        <w:tc>
          <w:tcPr>
            <w:tcW w:w="7468" w:type="dxa"/>
            <w:vAlign w:val="center"/>
          </w:tcPr>
          <w:p w14:paraId="5BFF1B73" w14:textId="77777777" w:rsidR="00A548BD" w:rsidRDefault="00A548BD" w:rsidP="00D96293">
            <w:r>
              <w:t>General Use Items</w:t>
            </w:r>
          </w:p>
        </w:tc>
      </w:tr>
      <w:tr w:rsidR="00A548BD" w14:paraId="29A6A937" w14:textId="77777777" w:rsidTr="00D96293">
        <w:tc>
          <w:tcPr>
            <w:tcW w:w="2268" w:type="dxa"/>
            <w:vAlign w:val="center"/>
          </w:tcPr>
          <w:p w14:paraId="258D7A80" w14:textId="77777777" w:rsidR="00A548BD" w:rsidRPr="000105C7" w:rsidRDefault="00A548BD" w:rsidP="00D96293">
            <w:pPr>
              <w:rPr>
                <w:b/>
              </w:rPr>
            </w:pPr>
            <w:r w:rsidRPr="000105C7">
              <w:rPr>
                <w:b/>
              </w:rPr>
              <w:t>HCP</w:t>
            </w:r>
          </w:p>
        </w:tc>
        <w:tc>
          <w:tcPr>
            <w:tcW w:w="7468" w:type="dxa"/>
            <w:vAlign w:val="center"/>
          </w:tcPr>
          <w:p w14:paraId="3FA14A28" w14:textId="77777777" w:rsidR="00A548BD" w:rsidRDefault="00A548BD" w:rsidP="00D96293">
            <w:r>
              <w:t xml:space="preserve">Hospital </w:t>
            </w:r>
            <w:proofErr w:type="spellStart"/>
            <w:r>
              <w:t>Casemix</w:t>
            </w:r>
            <w:proofErr w:type="spellEnd"/>
            <w:r>
              <w:t xml:space="preserve"> Protocol</w:t>
            </w:r>
          </w:p>
        </w:tc>
      </w:tr>
      <w:tr w:rsidR="00A548BD" w14:paraId="05125907" w14:textId="77777777" w:rsidTr="00D96293">
        <w:tc>
          <w:tcPr>
            <w:tcW w:w="2268" w:type="dxa"/>
            <w:vAlign w:val="center"/>
          </w:tcPr>
          <w:p w14:paraId="79B65DCC" w14:textId="77777777" w:rsidR="00A548BD" w:rsidRPr="000105C7" w:rsidRDefault="00A548BD" w:rsidP="00D96293">
            <w:pPr>
              <w:rPr>
                <w:b/>
              </w:rPr>
            </w:pPr>
            <w:r w:rsidRPr="000105C7">
              <w:rPr>
                <w:b/>
              </w:rPr>
              <w:t>ICD-10-AM</w:t>
            </w:r>
          </w:p>
        </w:tc>
        <w:tc>
          <w:tcPr>
            <w:tcW w:w="7468" w:type="dxa"/>
            <w:vAlign w:val="center"/>
          </w:tcPr>
          <w:p w14:paraId="64394B80" w14:textId="77777777" w:rsidR="00A548BD" w:rsidRDefault="00A548BD" w:rsidP="00D96293">
            <w:r>
              <w:t>International Statistical Classification of Diseases and Related Health Problems, Tenth Revision, Australian Modification</w:t>
            </w:r>
          </w:p>
        </w:tc>
      </w:tr>
      <w:tr w:rsidR="00A548BD" w14:paraId="22538828" w14:textId="77777777" w:rsidTr="00D96293">
        <w:tc>
          <w:tcPr>
            <w:tcW w:w="2268" w:type="dxa"/>
            <w:vAlign w:val="center"/>
          </w:tcPr>
          <w:p w14:paraId="2BEE07C2" w14:textId="77777777" w:rsidR="00A548BD" w:rsidRPr="000105C7" w:rsidRDefault="00A548BD" w:rsidP="00D96293">
            <w:pPr>
              <w:rPr>
                <w:b/>
              </w:rPr>
            </w:pPr>
            <w:r w:rsidRPr="000105C7">
              <w:rPr>
                <w:b/>
              </w:rPr>
              <w:t>IHACPA</w:t>
            </w:r>
          </w:p>
        </w:tc>
        <w:tc>
          <w:tcPr>
            <w:tcW w:w="7468" w:type="dxa"/>
            <w:vAlign w:val="center"/>
          </w:tcPr>
          <w:p w14:paraId="65AC6960" w14:textId="77777777" w:rsidR="00A548BD" w:rsidRDefault="00A548BD" w:rsidP="00D96293">
            <w:r>
              <w:t>Independent Health and Aged Care Pricing Authority</w:t>
            </w:r>
          </w:p>
        </w:tc>
      </w:tr>
      <w:tr w:rsidR="00A548BD" w14:paraId="5FE6D457" w14:textId="77777777" w:rsidTr="00D96293">
        <w:tc>
          <w:tcPr>
            <w:tcW w:w="2268" w:type="dxa"/>
            <w:vAlign w:val="center"/>
          </w:tcPr>
          <w:p w14:paraId="799B18CE" w14:textId="77777777" w:rsidR="00A548BD" w:rsidRPr="000105C7" w:rsidRDefault="00A548BD" w:rsidP="00D96293">
            <w:pPr>
              <w:rPr>
                <w:b/>
              </w:rPr>
            </w:pPr>
            <w:r w:rsidRPr="000105C7">
              <w:rPr>
                <w:b/>
              </w:rPr>
              <w:t>IHPA</w:t>
            </w:r>
          </w:p>
        </w:tc>
        <w:tc>
          <w:tcPr>
            <w:tcW w:w="7468" w:type="dxa"/>
            <w:vAlign w:val="center"/>
          </w:tcPr>
          <w:p w14:paraId="4E139278" w14:textId="77777777" w:rsidR="00A548BD" w:rsidRDefault="00A548BD" w:rsidP="00D96293">
            <w:r>
              <w:t>Independent Hospital Pricing Authority</w:t>
            </w:r>
          </w:p>
        </w:tc>
      </w:tr>
      <w:tr w:rsidR="00A548BD" w14:paraId="089CF2C3" w14:textId="77777777" w:rsidTr="00D96293">
        <w:tc>
          <w:tcPr>
            <w:tcW w:w="2268" w:type="dxa"/>
            <w:vAlign w:val="center"/>
          </w:tcPr>
          <w:p w14:paraId="356D0A23" w14:textId="77777777" w:rsidR="00A548BD" w:rsidRPr="000105C7" w:rsidRDefault="00A548BD" w:rsidP="00D96293">
            <w:pPr>
              <w:rPr>
                <w:b/>
              </w:rPr>
            </w:pPr>
            <w:r w:rsidRPr="000105C7">
              <w:rPr>
                <w:b/>
              </w:rPr>
              <w:t>MBS</w:t>
            </w:r>
          </w:p>
        </w:tc>
        <w:tc>
          <w:tcPr>
            <w:tcW w:w="7468" w:type="dxa"/>
            <w:vAlign w:val="center"/>
          </w:tcPr>
          <w:p w14:paraId="332AB636" w14:textId="77777777" w:rsidR="00A548BD" w:rsidRDefault="00A548BD" w:rsidP="00D96293">
            <w:r>
              <w:t>Medicare Benefits Schedule</w:t>
            </w:r>
          </w:p>
        </w:tc>
      </w:tr>
      <w:tr w:rsidR="00A548BD" w14:paraId="7F94F339" w14:textId="77777777" w:rsidTr="00D96293">
        <w:tc>
          <w:tcPr>
            <w:tcW w:w="2268" w:type="dxa"/>
            <w:vAlign w:val="center"/>
          </w:tcPr>
          <w:p w14:paraId="0819DEB6" w14:textId="77777777" w:rsidR="00A548BD" w:rsidRPr="000105C7" w:rsidRDefault="00A548BD" w:rsidP="00D96293">
            <w:pPr>
              <w:rPr>
                <w:b/>
              </w:rPr>
            </w:pPr>
            <w:r w:rsidRPr="000105C7">
              <w:rPr>
                <w:b/>
              </w:rPr>
              <w:t>MDC</w:t>
            </w:r>
          </w:p>
        </w:tc>
        <w:tc>
          <w:tcPr>
            <w:tcW w:w="7468" w:type="dxa"/>
            <w:vAlign w:val="center"/>
          </w:tcPr>
          <w:p w14:paraId="6381A49C" w14:textId="77777777" w:rsidR="00A548BD" w:rsidRDefault="00A548BD" w:rsidP="00D96293">
            <w:r>
              <w:t>Major Diagnostic Category</w:t>
            </w:r>
          </w:p>
        </w:tc>
      </w:tr>
      <w:tr w:rsidR="00A548BD" w14:paraId="3F761F84" w14:textId="77777777" w:rsidTr="00D96293">
        <w:tc>
          <w:tcPr>
            <w:tcW w:w="2268" w:type="dxa"/>
            <w:vAlign w:val="center"/>
          </w:tcPr>
          <w:p w14:paraId="1043C9E5" w14:textId="77777777" w:rsidR="00A548BD" w:rsidRPr="000105C7" w:rsidRDefault="00A548BD" w:rsidP="00D96293">
            <w:pPr>
              <w:rPr>
                <w:b/>
              </w:rPr>
            </w:pPr>
            <w:r w:rsidRPr="000105C7">
              <w:rPr>
                <w:b/>
              </w:rPr>
              <w:t>NEP</w:t>
            </w:r>
          </w:p>
        </w:tc>
        <w:tc>
          <w:tcPr>
            <w:tcW w:w="7468" w:type="dxa"/>
            <w:vAlign w:val="center"/>
          </w:tcPr>
          <w:p w14:paraId="13A51728" w14:textId="77777777" w:rsidR="00A548BD" w:rsidRDefault="00A548BD" w:rsidP="00D96293">
            <w:r>
              <w:t>National Efficient Price</w:t>
            </w:r>
          </w:p>
        </w:tc>
      </w:tr>
      <w:tr w:rsidR="00A548BD" w14:paraId="4CEC6EB9" w14:textId="77777777" w:rsidTr="00D96293">
        <w:tc>
          <w:tcPr>
            <w:tcW w:w="2268" w:type="dxa"/>
            <w:vAlign w:val="center"/>
          </w:tcPr>
          <w:p w14:paraId="31A3D775" w14:textId="77777777" w:rsidR="00A548BD" w:rsidRPr="000105C7" w:rsidRDefault="00A548BD" w:rsidP="00D96293">
            <w:pPr>
              <w:rPr>
                <w:b/>
              </w:rPr>
            </w:pPr>
            <w:r w:rsidRPr="000105C7">
              <w:rPr>
                <w:b/>
              </w:rPr>
              <w:t>NHR</w:t>
            </w:r>
            <w:r>
              <w:rPr>
                <w:b/>
              </w:rPr>
              <w:t xml:space="preserve"> Act</w:t>
            </w:r>
          </w:p>
        </w:tc>
        <w:tc>
          <w:tcPr>
            <w:tcW w:w="7468" w:type="dxa"/>
            <w:vAlign w:val="center"/>
          </w:tcPr>
          <w:p w14:paraId="758D686F" w14:textId="77777777" w:rsidR="00A548BD" w:rsidRDefault="00A548BD" w:rsidP="00D96293">
            <w:r>
              <w:t>National Health Reform Act 2011</w:t>
            </w:r>
          </w:p>
        </w:tc>
      </w:tr>
      <w:tr w:rsidR="00A548BD" w14:paraId="5241BD7B" w14:textId="77777777" w:rsidTr="00D96293">
        <w:tc>
          <w:tcPr>
            <w:tcW w:w="2268" w:type="dxa"/>
            <w:vAlign w:val="center"/>
          </w:tcPr>
          <w:p w14:paraId="2560878D" w14:textId="77777777" w:rsidR="00A548BD" w:rsidRPr="000105C7" w:rsidRDefault="00A548BD" w:rsidP="00D96293">
            <w:pPr>
              <w:rPr>
                <w:b/>
              </w:rPr>
            </w:pPr>
            <w:r w:rsidRPr="000105C7">
              <w:rPr>
                <w:b/>
              </w:rPr>
              <w:t>PHDB</w:t>
            </w:r>
          </w:p>
        </w:tc>
        <w:tc>
          <w:tcPr>
            <w:tcW w:w="7468" w:type="dxa"/>
            <w:vAlign w:val="center"/>
          </w:tcPr>
          <w:p w14:paraId="033CE59F" w14:textId="77777777" w:rsidR="00A548BD" w:rsidRDefault="00A548BD" w:rsidP="00D96293">
            <w:r>
              <w:t>Private Hospital Data Bureau</w:t>
            </w:r>
          </w:p>
        </w:tc>
      </w:tr>
      <w:tr w:rsidR="00A548BD" w14:paraId="69FCE348" w14:textId="77777777" w:rsidTr="00D96293">
        <w:trPr>
          <w:trHeight w:val="140"/>
        </w:trPr>
        <w:tc>
          <w:tcPr>
            <w:tcW w:w="2268" w:type="dxa"/>
            <w:vAlign w:val="center"/>
          </w:tcPr>
          <w:p w14:paraId="3F0F04C8" w14:textId="77777777" w:rsidR="00A548BD" w:rsidRPr="000105C7" w:rsidRDefault="00A548BD" w:rsidP="00D96293">
            <w:pPr>
              <w:rPr>
                <w:b/>
              </w:rPr>
            </w:pPr>
            <w:r w:rsidRPr="000105C7">
              <w:rPr>
                <w:b/>
              </w:rPr>
              <w:t>PL</w:t>
            </w:r>
          </w:p>
        </w:tc>
        <w:tc>
          <w:tcPr>
            <w:tcW w:w="7468" w:type="dxa"/>
            <w:vAlign w:val="center"/>
          </w:tcPr>
          <w:p w14:paraId="3E37491E" w14:textId="77777777" w:rsidR="00A548BD" w:rsidRDefault="00A548BD" w:rsidP="00D96293">
            <w:r>
              <w:t>Prostheses List</w:t>
            </w:r>
          </w:p>
        </w:tc>
      </w:tr>
      <w:tr w:rsidR="00A548BD" w14:paraId="082F674D" w14:textId="77777777" w:rsidTr="00D96293">
        <w:tc>
          <w:tcPr>
            <w:tcW w:w="2268" w:type="dxa"/>
            <w:vAlign w:val="center"/>
          </w:tcPr>
          <w:p w14:paraId="25A823C4" w14:textId="77777777" w:rsidR="00A548BD" w:rsidRPr="000105C7" w:rsidRDefault="00A548BD" w:rsidP="00D96293">
            <w:pPr>
              <w:rPr>
                <w:b/>
              </w:rPr>
            </w:pPr>
            <w:r w:rsidRPr="000105C7">
              <w:rPr>
                <w:b/>
              </w:rPr>
              <w:t>PLRWG</w:t>
            </w:r>
          </w:p>
        </w:tc>
        <w:tc>
          <w:tcPr>
            <w:tcW w:w="7468" w:type="dxa"/>
            <w:vAlign w:val="center"/>
          </w:tcPr>
          <w:p w14:paraId="3E70CB2E" w14:textId="77777777" w:rsidR="00A548BD" w:rsidRDefault="00A548BD" w:rsidP="00D96293">
            <w:r>
              <w:t>Prostheses List Reform Working Group</w:t>
            </w:r>
          </w:p>
        </w:tc>
      </w:tr>
    </w:tbl>
    <w:p w14:paraId="7C8C6B4E" w14:textId="77777777" w:rsidR="00A548BD" w:rsidRDefault="00A548BD">
      <w:pPr>
        <w:spacing w:line="259" w:lineRule="auto"/>
        <w:rPr>
          <w:rFonts w:eastAsiaTheme="majorEastAsia" w:cstheme="majorBidi"/>
          <w:b/>
          <w:sz w:val="72"/>
          <w:szCs w:val="32"/>
        </w:rPr>
      </w:pPr>
      <w:r>
        <w:br w:type="page"/>
      </w:r>
    </w:p>
    <w:p w14:paraId="4C25B400" w14:textId="2152B23C" w:rsidR="00465AF6" w:rsidRDefault="00465AF6" w:rsidP="003F4DE9">
      <w:pPr>
        <w:pStyle w:val="Heading1"/>
      </w:pPr>
      <w:bookmarkStart w:id="1" w:name="_Toc121130768"/>
      <w:bookmarkStart w:id="2" w:name="_Hlk119939113"/>
      <w:r>
        <w:lastRenderedPageBreak/>
        <w:t>Executive summary</w:t>
      </w:r>
      <w:bookmarkEnd w:id="1"/>
    </w:p>
    <w:p w14:paraId="5228F1B3" w14:textId="12436183" w:rsidR="007148BB" w:rsidRDefault="007148BB" w:rsidP="007175ED">
      <w:pPr>
        <w:pStyle w:val="Heading2"/>
      </w:pPr>
      <w:bookmarkStart w:id="3" w:name="_Toc121130769"/>
      <w:r>
        <w:t>Purpose</w:t>
      </w:r>
      <w:bookmarkEnd w:id="3"/>
    </w:p>
    <w:p w14:paraId="4E9F0C93" w14:textId="53463F9E" w:rsidR="007148BB" w:rsidRDefault="007148BB" w:rsidP="007148BB">
      <w:r>
        <w:t>This report details advice on bundling arrangements for General Use Items (GUIs)</w:t>
      </w:r>
      <w:r w:rsidR="001804B6">
        <w:t xml:space="preserve"> on the Prostheses List (PL)</w:t>
      </w:r>
      <w:r>
        <w:t xml:space="preserve">. </w:t>
      </w:r>
      <w:bookmarkStart w:id="4" w:name="_Hlk119845956"/>
      <w:r>
        <w:t xml:space="preserve">The purpose of this advice is to support the private health sector in establishing alternative arrangements for the payment of benefits for </w:t>
      </w:r>
      <w:r w:rsidR="001804B6">
        <w:t>GUIs</w:t>
      </w:r>
      <w:r>
        <w:t xml:space="preserve"> that are to be removed from the PL on 1 July 2023.</w:t>
      </w:r>
      <w:bookmarkEnd w:id="4"/>
    </w:p>
    <w:p w14:paraId="0495CE25" w14:textId="516A5010" w:rsidR="007148BB" w:rsidRPr="00F324AD" w:rsidRDefault="007148BB" w:rsidP="007175ED">
      <w:pPr>
        <w:pStyle w:val="Heading2"/>
      </w:pPr>
      <w:bookmarkStart w:id="5" w:name="_Toc121130770"/>
      <w:r>
        <w:t>Overview</w:t>
      </w:r>
      <w:bookmarkEnd w:id="5"/>
    </w:p>
    <w:p w14:paraId="74312382" w14:textId="535CB4E2" w:rsidR="007D2A79" w:rsidRDefault="007D2A79" w:rsidP="007148BB">
      <w:r w:rsidRPr="007D2A79">
        <w:t xml:space="preserve">In 2021, </w:t>
      </w:r>
      <w:r w:rsidR="00D05F18">
        <w:t xml:space="preserve">the </w:t>
      </w:r>
      <w:r w:rsidR="00D05F18" w:rsidRPr="00D05F18">
        <w:t xml:space="preserve">Australian Government Department of Health and Aged Care </w:t>
      </w:r>
      <w:r w:rsidR="00D05F18">
        <w:t>(</w:t>
      </w:r>
      <w:r w:rsidRPr="007D2A79">
        <w:t>the Department</w:t>
      </w:r>
      <w:r w:rsidR="00D05F18">
        <w:t>)</w:t>
      </w:r>
      <w:r w:rsidRPr="007D2A79">
        <w:t xml:space="preserve"> commenced </w:t>
      </w:r>
      <w:r w:rsidR="00BC6852">
        <w:t>four</w:t>
      </w:r>
      <w:r w:rsidRPr="007D2A79">
        <w:t xml:space="preserve"> years of reform activity to improve the PL and its arrangements. These reforms include changes aimed at improving the alignment of the PL scheduled benefits with prices paid in the public hospital system, streamlining the administration of the list, and better defining the purpose and scope of the PL.</w:t>
      </w:r>
    </w:p>
    <w:p w14:paraId="62CBE36B" w14:textId="73B5643F" w:rsidR="007D2A79" w:rsidRDefault="007D2A79" w:rsidP="007148BB">
      <w:r w:rsidRPr="007D2A79">
        <w:t xml:space="preserve">The PL reforms </w:t>
      </w:r>
      <w:r w:rsidR="000B3731">
        <w:t xml:space="preserve">that are </w:t>
      </w:r>
      <w:r w:rsidRPr="007D2A79">
        <w:t xml:space="preserve">aimed at clarifying the scope of the PL </w:t>
      </w:r>
      <w:r>
        <w:t xml:space="preserve">include </w:t>
      </w:r>
      <w:r w:rsidR="000B3731">
        <w:t>refining</w:t>
      </w:r>
      <w:r>
        <w:t xml:space="preserve"> </w:t>
      </w:r>
      <w:r w:rsidRPr="007D2A79">
        <w:t>the definition of which prostheses are eligible for inclusion on the PL and removing ineligible items. The items identified for removal from the PL are used in a broad range of surgeries and are referred to as ‘General Use Items’</w:t>
      </w:r>
      <w:r>
        <w:t xml:space="preserve"> (GUIs)</w:t>
      </w:r>
      <w:r w:rsidRPr="007D2A79">
        <w:t xml:space="preserve">. Once removed from the PL on 1 July 2023, alternative arrangements will need to be in place between insurers and hospitals to support the purchase and </w:t>
      </w:r>
      <w:proofErr w:type="spellStart"/>
      <w:r w:rsidRPr="007D2A79">
        <w:t>utilisation</w:t>
      </w:r>
      <w:proofErr w:type="spellEnd"/>
      <w:r w:rsidRPr="007D2A79">
        <w:t xml:space="preserve"> of </w:t>
      </w:r>
      <w:r>
        <w:t>GUIs</w:t>
      </w:r>
      <w:r w:rsidRPr="007D2A79">
        <w:t xml:space="preserve"> for </w:t>
      </w:r>
      <w:r w:rsidR="00B0651F">
        <w:t xml:space="preserve">admitted </w:t>
      </w:r>
      <w:r w:rsidRPr="007D2A79">
        <w:t>services provided to privately insured individuals.</w:t>
      </w:r>
    </w:p>
    <w:p w14:paraId="12E0CB8D" w14:textId="627C1B25" w:rsidR="00A41AD1" w:rsidRDefault="00A41AD1" w:rsidP="007148BB">
      <w:r>
        <w:t xml:space="preserve">The Independent Health and Aged Care Pricing Authority (IHACPA) is an independent government agency established to improve health outcomes for all Australians and </w:t>
      </w:r>
      <w:r w:rsidR="007D2A79">
        <w:t xml:space="preserve">support the sustainability of the </w:t>
      </w:r>
      <w:r>
        <w:t xml:space="preserve">Australian health system. </w:t>
      </w:r>
      <w:r w:rsidR="008D3FD4">
        <w:t xml:space="preserve">The </w:t>
      </w:r>
      <w:bookmarkStart w:id="6" w:name="_Hlk119845904"/>
      <w:r w:rsidR="008D3FD4">
        <w:t xml:space="preserve">Department has requested that </w:t>
      </w:r>
      <w:r>
        <w:t xml:space="preserve">IHACPA provide advice on bundling arrangements for </w:t>
      </w:r>
      <w:r w:rsidR="007D2A79">
        <w:t>GUIs</w:t>
      </w:r>
      <w:r>
        <w:t xml:space="preserve"> </w:t>
      </w:r>
      <w:r w:rsidR="00065017">
        <w:t xml:space="preserve">that </w:t>
      </w:r>
      <w:r w:rsidR="00DC0D33">
        <w:t xml:space="preserve">may inform the </w:t>
      </w:r>
      <w:r w:rsidR="00C33275">
        <w:t>establishment of alternative arrangements for the payment of benefits for GUIs that are to be removed from the PL on 1 July 2023</w:t>
      </w:r>
      <w:r>
        <w:t>.</w:t>
      </w:r>
      <w:bookmarkEnd w:id="6"/>
    </w:p>
    <w:p w14:paraId="15779104" w14:textId="6EC49FAA" w:rsidR="00A41AD1" w:rsidRDefault="00A41AD1" w:rsidP="007148BB">
      <w:r>
        <w:t>The contents o</w:t>
      </w:r>
      <w:r w:rsidR="000B3731">
        <w:t>f</w:t>
      </w:r>
      <w:r>
        <w:t xml:space="preserve"> this report </w:t>
      </w:r>
      <w:r w:rsidR="00DC0D33">
        <w:t xml:space="preserve">and its </w:t>
      </w:r>
      <w:r w:rsidR="00E471CD">
        <w:t>appendices</w:t>
      </w:r>
      <w:r>
        <w:t xml:space="preserve"> constitute </w:t>
      </w:r>
      <w:r w:rsidR="00CA13CF">
        <w:t>IHACPA’s</w:t>
      </w:r>
      <w:r>
        <w:t xml:space="preserve"> advice</w:t>
      </w:r>
      <w:r w:rsidR="00CA13CF">
        <w:t xml:space="preserve"> on bundling arrangements for GUIs on the PL</w:t>
      </w:r>
      <w:r>
        <w:t xml:space="preserve">. The advice includes information on the composition of bundles and their benefits. The advice </w:t>
      </w:r>
      <w:r w:rsidR="00A563FC">
        <w:t xml:space="preserve">is evidence-based and </w:t>
      </w:r>
      <w:r>
        <w:t xml:space="preserve">has been developed incorporating feedback received from a public consultation process and </w:t>
      </w:r>
      <w:r w:rsidR="00EC1BA3">
        <w:t>supported by</w:t>
      </w:r>
      <w:r>
        <w:t xml:space="preserve"> the Prostheses List Reform Working Group (PLRWG).</w:t>
      </w:r>
    </w:p>
    <w:p w14:paraId="133166D2" w14:textId="505F9611" w:rsidR="007148BB" w:rsidRDefault="007148BB" w:rsidP="007148BB">
      <w:pPr>
        <w:pStyle w:val="Heading2"/>
      </w:pPr>
      <w:bookmarkStart w:id="7" w:name="_Toc121130771"/>
      <w:r>
        <w:t xml:space="preserve">Bundling </w:t>
      </w:r>
      <w:r w:rsidR="00F51123">
        <w:t>of General Use Items</w:t>
      </w:r>
      <w:bookmarkEnd w:id="7"/>
    </w:p>
    <w:p w14:paraId="6930B1FC" w14:textId="51C02F09" w:rsidR="00F51123" w:rsidRDefault="00F51123" w:rsidP="005C0F82">
      <w:r>
        <w:t xml:space="preserve">IHACPA’s advice </w:t>
      </w:r>
      <w:r w:rsidR="00A563FC">
        <w:t>pertains to GUIs defined by Part D of the August 2022 publication of the PL. The bundled benefits of these GUIs are defined using the</w:t>
      </w:r>
      <w:r w:rsidR="00E44E14">
        <w:t>ir</w:t>
      </w:r>
      <w:r w:rsidR="00A563FC">
        <w:t xml:space="preserve"> </w:t>
      </w:r>
      <w:r w:rsidR="00E44E14">
        <w:t xml:space="preserve">expected March 2023 PL </w:t>
      </w:r>
      <w:r w:rsidR="00A563FC">
        <w:t xml:space="preserve">scheduled benefits, which will </w:t>
      </w:r>
      <w:r w:rsidR="00E44E14">
        <w:t xml:space="preserve">be the </w:t>
      </w:r>
      <w:r w:rsidR="00A563FC">
        <w:t xml:space="preserve">final </w:t>
      </w:r>
      <w:r w:rsidR="00E44E14">
        <w:t xml:space="preserve">PL </w:t>
      </w:r>
      <w:r w:rsidR="00A563FC">
        <w:t xml:space="preserve">benefit levels </w:t>
      </w:r>
      <w:r w:rsidR="00E44E14">
        <w:t xml:space="preserve">in place </w:t>
      </w:r>
      <w:r w:rsidR="00A563FC">
        <w:t xml:space="preserve">before </w:t>
      </w:r>
      <w:r w:rsidR="00E44E14">
        <w:t xml:space="preserve">the items </w:t>
      </w:r>
      <w:r w:rsidR="00A563FC">
        <w:t xml:space="preserve">transition off the PL from </w:t>
      </w:r>
      <w:r w:rsidR="00B0651F">
        <w:t>1 </w:t>
      </w:r>
      <w:r w:rsidR="00A563FC">
        <w:t>July</w:t>
      </w:r>
      <w:r w:rsidR="00B0651F">
        <w:t> </w:t>
      </w:r>
      <w:r w:rsidR="00A563FC">
        <w:t>2023.</w:t>
      </w:r>
    </w:p>
    <w:p w14:paraId="31E58A48" w14:textId="2513EE86" w:rsidR="0010464A" w:rsidRDefault="007148BB" w:rsidP="005C0F82">
      <w:r>
        <w:t xml:space="preserve">IHACPA’s advice sets out </w:t>
      </w:r>
      <w:r w:rsidR="008D3FD4" w:rsidRPr="006E536C">
        <w:t xml:space="preserve">a </w:t>
      </w:r>
      <w:r w:rsidR="008D3FD4">
        <w:t>schedule</w:t>
      </w:r>
      <w:r w:rsidR="008D3FD4" w:rsidRPr="006E536C">
        <w:t xml:space="preserve"> of </w:t>
      </w:r>
      <w:r w:rsidR="00A41AD1">
        <w:t>GUI</w:t>
      </w:r>
      <w:r>
        <w:t xml:space="preserve"> bundles </w:t>
      </w:r>
      <w:r w:rsidR="008D3FD4">
        <w:t xml:space="preserve">and their associated benefit levels. </w:t>
      </w:r>
      <w:r w:rsidR="005C0F82">
        <w:t xml:space="preserve">The full schedule is included </w:t>
      </w:r>
      <w:r w:rsidR="00BE0B0A">
        <w:t xml:space="preserve">at </w:t>
      </w:r>
      <w:r w:rsidR="00BE0B0A">
        <w:fldChar w:fldCharType="begin"/>
      </w:r>
      <w:r w:rsidR="00BE0B0A">
        <w:instrText xml:space="preserve"> REF _Ref119848406 \h </w:instrText>
      </w:r>
      <w:r w:rsidR="00BE0B0A">
        <w:fldChar w:fldCharType="separate"/>
      </w:r>
      <w:r w:rsidR="00106CD4" w:rsidRPr="008A5E4F">
        <w:t xml:space="preserve">Appendix A – </w:t>
      </w:r>
      <w:r w:rsidR="00106CD4">
        <w:t>Schedule of General Use Item Bundles</w:t>
      </w:r>
      <w:r w:rsidR="00BE0B0A">
        <w:fldChar w:fldCharType="end"/>
      </w:r>
      <w:r w:rsidR="005C0F82">
        <w:t>.</w:t>
      </w:r>
      <w:r w:rsidR="00E44E14">
        <w:t xml:space="preserve"> The GUI bundles </w:t>
      </w:r>
      <w:r w:rsidR="0010464A">
        <w:lastRenderedPageBreak/>
        <w:t xml:space="preserve">aggregate GUI </w:t>
      </w:r>
      <w:proofErr w:type="spellStart"/>
      <w:r w:rsidR="0010464A">
        <w:t>utilisation</w:t>
      </w:r>
      <w:proofErr w:type="spellEnd"/>
      <w:r w:rsidR="0010464A">
        <w:t xml:space="preserve"> and associated PL benefits to the level of an episode of </w:t>
      </w:r>
      <w:r w:rsidR="00792D57">
        <w:t xml:space="preserve">admitted patient </w:t>
      </w:r>
      <w:r w:rsidR="0010464A">
        <w:t>care.</w:t>
      </w:r>
    </w:p>
    <w:p w14:paraId="79B5EEC1" w14:textId="3CB06C0B" w:rsidR="00737F94" w:rsidRDefault="0010464A" w:rsidP="005C0F82">
      <w:r>
        <w:t>IHACPA’s advice defines three types of GUI bundle variants across the set of all GUI products.</w:t>
      </w:r>
      <w:r w:rsidR="00737F94">
        <w:t xml:space="preserve"> These three variant types capture different sources of variation in the </w:t>
      </w:r>
      <w:proofErr w:type="spellStart"/>
      <w:r w:rsidR="00737F94">
        <w:t>utilisation</w:t>
      </w:r>
      <w:proofErr w:type="spellEnd"/>
      <w:r w:rsidR="00737F94">
        <w:t xml:space="preserve"> of GUIs and their associated PL benefits. As described further in Section </w:t>
      </w:r>
      <w:r w:rsidR="00737F94">
        <w:fldChar w:fldCharType="begin"/>
      </w:r>
      <w:r w:rsidR="00737F94">
        <w:instrText xml:space="preserve"> REF _Ref119916175 \r \h </w:instrText>
      </w:r>
      <w:r w:rsidR="00737F94">
        <w:fldChar w:fldCharType="separate"/>
      </w:r>
      <w:r w:rsidR="00106CD4">
        <w:t>1.5</w:t>
      </w:r>
      <w:r w:rsidR="00737F94">
        <w:fldChar w:fldCharType="end"/>
      </w:r>
      <w:r w:rsidR="00737F94">
        <w:t xml:space="preserve">, the variant types align at a system level, and are designed to provide flexibility in their application, when used in either negotiated or </w:t>
      </w:r>
      <w:r w:rsidR="00DC396F">
        <w:t>prescribed</w:t>
      </w:r>
      <w:r w:rsidR="00737F94">
        <w:t xml:space="preserve"> arrangements.</w:t>
      </w:r>
    </w:p>
    <w:p w14:paraId="7A3D4777" w14:textId="41EF5490" w:rsidR="00C336E8" w:rsidRDefault="0010464A" w:rsidP="005C0F82">
      <w:r>
        <w:t xml:space="preserve">The </w:t>
      </w:r>
      <w:r w:rsidR="004A6783">
        <w:t xml:space="preserve">first type of </w:t>
      </w:r>
      <w:r>
        <w:t xml:space="preserve">bundle variant is </w:t>
      </w:r>
      <w:r w:rsidR="004A6783">
        <w:t xml:space="preserve">defined </w:t>
      </w:r>
      <w:r w:rsidR="000F13AF">
        <w:t xml:space="preserve">by </w:t>
      </w:r>
      <w:r w:rsidR="004A6783">
        <w:t xml:space="preserve">the classification of GUI products into 24 </w:t>
      </w:r>
      <w:r w:rsidR="002373C7">
        <w:t>‘</w:t>
      </w:r>
      <w:r w:rsidR="00BE0B0A">
        <w:t>product classes</w:t>
      </w:r>
      <w:r w:rsidR="002373C7">
        <w:t>’</w:t>
      </w:r>
      <w:r w:rsidR="004A6783">
        <w:t xml:space="preserve"> based on the existing classification structure of the PL</w:t>
      </w:r>
      <w:r w:rsidR="003F32F8">
        <w:t xml:space="preserve"> (see</w:t>
      </w:r>
      <w:r w:rsidR="00601AD9">
        <w:t xml:space="preserve"> </w:t>
      </w:r>
      <w:r w:rsidR="00601AD9">
        <w:fldChar w:fldCharType="begin"/>
      </w:r>
      <w:r w:rsidR="00601AD9">
        <w:instrText xml:space="preserve"> REF _Ref120095290 \h </w:instrText>
      </w:r>
      <w:r w:rsidR="00601AD9">
        <w:fldChar w:fldCharType="separate"/>
      </w:r>
      <w:r w:rsidR="00106CD4">
        <w:t xml:space="preserve">Table </w:t>
      </w:r>
      <w:r w:rsidR="00106CD4">
        <w:rPr>
          <w:noProof/>
        </w:rPr>
        <w:t>3</w:t>
      </w:r>
      <w:r w:rsidR="00601AD9">
        <w:fldChar w:fldCharType="end"/>
      </w:r>
      <w:r w:rsidR="003F32F8">
        <w:t>)</w:t>
      </w:r>
      <w:r w:rsidR="004A6783">
        <w:t>.</w:t>
      </w:r>
      <w:r w:rsidR="00737F94">
        <w:t xml:space="preserve"> </w:t>
      </w:r>
      <w:r w:rsidR="000F13AF">
        <w:t xml:space="preserve">For each of the 24 GUI product classes, </w:t>
      </w:r>
      <w:r w:rsidR="00BE0B0A">
        <w:t xml:space="preserve">a </w:t>
      </w:r>
      <w:r w:rsidR="000F13AF">
        <w:t xml:space="preserve">GUI product bundle </w:t>
      </w:r>
      <w:r w:rsidR="00BE0B0A">
        <w:t xml:space="preserve">variant </w:t>
      </w:r>
      <w:r w:rsidR="000F13AF">
        <w:t>is defined</w:t>
      </w:r>
      <w:r w:rsidR="00C336E8">
        <w:t xml:space="preserve"> </w:t>
      </w:r>
      <w:r w:rsidR="00BE0B0A">
        <w:t xml:space="preserve">as the collection of </w:t>
      </w:r>
      <w:r w:rsidR="000F13AF">
        <w:t xml:space="preserve">all items from </w:t>
      </w:r>
      <w:r w:rsidR="00C336E8">
        <w:t xml:space="preserve">the </w:t>
      </w:r>
      <w:r w:rsidR="000F13AF">
        <w:t>product class used within an individual admitted episode.</w:t>
      </w:r>
      <w:r w:rsidR="00737F94">
        <w:t xml:space="preserve"> </w:t>
      </w:r>
      <w:r w:rsidR="00C336E8">
        <w:t xml:space="preserve">For example, </w:t>
      </w:r>
      <w:r w:rsidR="003F32F8">
        <w:t>an</w:t>
      </w:r>
      <w:r w:rsidR="00E833F5">
        <w:t xml:space="preserve"> instance of the ‘Infusion Pumps, Balloon Based’ product bundle </w:t>
      </w:r>
      <w:r w:rsidR="00402E0C">
        <w:t xml:space="preserve">would </w:t>
      </w:r>
      <w:r w:rsidR="003F32F8">
        <w:t xml:space="preserve">correspond </w:t>
      </w:r>
      <w:r w:rsidR="00402E0C">
        <w:t>with</w:t>
      </w:r>
      <w:r w:rsidR="003F32F8">
        <w:t xml:space="preserve"> an </w:t>
      </w:r>
      <w:r w:rsidR="00E833F5">
        <w:t xml:space="preserve">admitted episode in which items from the ‘Infusion Pumps, Balloon Based’ product class </w:t>
      </w:r>
      <w:r w:rsidR="00402E0C">
        <w:t xml:space="preserve">were </w:t>
      </w:r>
      <w:r w:rsidR="00E833F5">
        <w:t>used.</w:t>
      </w:r>
    </w:p>
    <w:p w14:paraId="11F40611" w14:textId="16BFE750" w:rsidR="000B3731" w:rsidRDefault="000B3731" w:rsidP="005C0F82">
      <w:r w:rsidRPr="000B3731">
        <w:t xml:space="preserve">It is possible for </w:t>
      </w:r>
      <w:r w:rsidR="00F52F48">
        <w:t>multiple bundles to be identified against a single admitted episode.</w:t>
      </w:r>
      <w:r>
        <w:t xml:space="preserve"> </w:t>
      </w:r>
      <w:r w:rsidRPr="000B3731">
        <w:t>This</w:t>
      </w:r>
      <w:r w:rsidR="00F52F48">
        <w:t xml:space="preserve"> </w:t>
      </w:r>
      <w:r w:rsidRPr="000B3731">
        <w:t>occur</w:t>
      </w:r>
      <w:r w:rsidR="00F52F48">
        <w:t>s</w:t>
      </w:r>
      <w:r w:rsidRPr="000B3731">
        <w:t xml:space="preserve"> </w:t>
      </w:r>
      <w:r w:rsidR="00F52F48">
        <w:t>in cases where</w:t>
      </w:r>
      <w:r w:rsidRPr="000B3731">
        <w:t xml:space="preserve"> items across multiple product classes are used within the same episode.</w:t>
      </w:r>
    </w:p>
    <w:p w14:paraId="239C4718" w14:textId="544CBC93" w:rsidR="000C259C" w:rsidRDefault="000F13AF" w:rsidP="005C0F82">
      <w:r>
        <w:t xml:space="preserve">The second type of GUI bundle variant </w:t>
      </w:r>
      <w:r w:rsidR="000C259C">
        <w:t xml:space="preserve">splits each of the 24 </w:t>
      </w:r>
      <w:r>
        <w:t>GUI product bundle</w:t>
      </w:r>
      <w:r w:rsidR="000C259C">
        <w:t xml:space="preserve"> variants</w:t>
      </w:r>
      <w:r>
        <w:t xml:space="preserve"> based on </w:t>
      </w:r>
      <w:r w:rsidR="002E2957">
        <w:t xml:space="preserve">the facility in which </w:t>
      </w:r>
      <w:r w:rsidR="00BC6852">
        <w:t xml:space="preserve">an </w:t>
      </w:r>
      <w:r w:rsidR="002E2957">
        <w:t>episode occur</w:t>
      </w:r>
      <w:r w:rsidR="003F32F8">
        <w:t>s</w:t>
      </w:r>
      <w:r w:rsidR="000C259C">
        <w:t xml:space="preserve">; that is, </w:t>
      </w:r>
      <w:r w:rsidR="00BC6852">
        <w:t xml:space="preserve">a </w:t>
      </w:r>
      <w:r w:rsidR="000C259C">
        <w:t>private overnight, private day, or public</w:t>
      </w:r>
      <w:r w:rsidR="00BC6852">
        <w:t xml:space="preserve"> hospital facility</w:t>
      </w:r>
      <w:r w:rsidR="002E2957">
        <w:t>.</w:t>
      </w:r>
      <w:r w:rsidR="000C259C">
        <w:t xml:space="preserve"> There are a total of 72 facility-type GUI bundle variants (i.e. 24 </w:t>
      </w:r>
      <w:r w:rsidR="003F32F8">
        <w:t xml:space="preserve">product bundles split into </w:t>
      </w:r>
      <w:r w:rsidR="00E276BE">
        <w:t>three</w:t>
      </w:r>
      <w:r w:rsidR="003F32F8">
        <w:t xml:space="preserve"> facility types</w:t>
      </w:r>
      <w:r w:rsidR="000C259C">
        <w:t xml:space="preserve">). </w:t>
      </w:r>
      <w:r w:rsidR="00045EEF">
        <w:t xml:space="preserve">However, it may be the case that some GUI product classes </w:t>
      </w:r>
      <w:r w:rsidR="00EA1637">
        <w:t xml:space="preserve">are limited in their use to only </w:t>
      </w:r>
      <w:r w:rsidR="003F32F8">
        <w:t xml:space="preserve">one or </w:t>
      </w:r>
      <w:r w:rsidR="00EA1637">
        <w:t>two facility type</w:t>
      </w:r>
      <w:r w:rsidR="003F32F8">
        <w:t>s</w:t>
      </w:r>
      <w:r w:rsidR="00EA1637">
        <w:t xml:space="preserve"> (e.g. a given GUI product bundle may have no observed occurrence within private day facilities).</w:t>
      </w:r>
    </w:p>
    <w:p w14:paraId="077D978F" w14:textId="66BD9A7E" w:rsidR="000F13AF" w:rsidRDefault="000C259C" w:rsidP="005C0F82">
      <w:r>
        <w:t xml:space="preserve">The third type of GUI bundle variant splits each of the 24 GUI product bundle variants into </w:t>
      </w:r>
      <w:r w:rsidR="00AA283E">
        <w:t>up to five classes based on the Major Diagnostic Category (MDC) of the episode</w:t>
      </w:r>
      <w:r w:rsidR="00F52F48">
        <w:t xml:space="preserve"> (see Table</w:t>
      </w:r>
      <w:r w:rsidR="00E81930">
        <w:t> </w:t>
      </w:r>
      <w:r w:rsidR="00F52F48">
        <w:t>A4 of Appendix A).</w:t>
      </w:r>
      <w:r w:rsidR="00AA283E">
        <w:t xml:space="preserve"> MDCs are a classification of admitted episodes</w:t>
      </w:r>
      <w:r w:rsidR="00792D57">
        <w:t xml:space="preserve"> </w:t>
      </w:r>
      <w:r w:rsidR="00AA283E">
        <w:t>that form a part of the Australian Refined Diagnosis Related Groups (AR</w:t>
      </w:r>
      <w:r w:rsidR="00AA283E">
        <w:noBreakHyphen/>
        <w:t>DRG) classification, and IHACPA has used AR</w:t>
      </w:r>
      <w:r w:rsidR="00953AE8">
        <w:noBreakHyphen/>
      </w:r>
      <w:r w:rsidR="00AA283E">
        <w:t>DRG Version</w:t>
      </w:r>
      <w:r w:rsidR="00953AE8">
        <w:t> </w:t>
      </w:r>
      <w:r w:rsidR="00AA283E">
        <w:t>10 in the development of this advice.</w:t>
      </w:r>
    </w:p>
    <w:p w14:paraId="4B4957F8" w14:textId="12AD404E" w:rsidR="000B3731" w:rsidRDefault="00AA283E" w:rsidP="005C0F82">
      <w:r>
        <w:t xml:space="preserve">The splitting of each GUI product bundle variant into MDC-based variants is dependent on observed variation in GUI </w:t>
      </w:r>
      <w:proofErr w:type="spellStart"/>
      <w:r>
        <w:t>utilisation</w:t>
      </w:r>
      <w:proofErr w:type="spellEnd"/>
      <w:r>
        <w:t xml:space="preserve"> across clinical characteristics. In particular, the more variation that is observed, the greater the number of splits, and where no variation</w:t>
      </w:r>
      <w:r w:rsidR="00960F6B">
        <w:t xml:space="preserve"> is observed</w:t>
      </w:r>
      <w:r>
        <w:t>, there is no split</w:t>
      </w:r>
      <w:r w:rsidR="00AD3455">
        <w:t>,</w:t>
      </w:r>
      <w:r w:rsidR="00960F6B">
        <w:t xml:space="preserve"> and the resulting MDC-based variant is identical to the product bundle for that </w:t>
      </w:r>
      <w:r w:rsidR="006E2B56">
        <w:t xml:space="preserve">GUI product </w:t>
      </w:r>
      <w:r w:rsidR="00960F6B">
        <w:t xml:space="preserve">class. There are a total of </w:t>
      </w:r>
      <w:r w:rsidR="00DE0683">
        <w:t>54 MDC-based GUI bundle variants across the 24 GUI product classes.</w:t>
      </w:r>
    </w:p>
    <w:p w14:paraId="545378AF" w14:textId="2D32C4AF" w:rsidR="000F13AF" w:rsidRDefault="00CF1A59" w:rsidP="00DC2C60">
      <w:pPr>
        <w:pStyle w:val="Heading2"/>
      </w:pPr>
      <w:bookmarkStart w:id="8" w:name="_Toc121130772"/>
      <w:r>
        <w:t>General Use Item</w:t>
      </w:r>
      <w:r w:rsidR="00DC2C60">
        <w:t xml:space="preserve"> bundle</w:t>
      </w:r>
      <w:r w:rsidR="00F710AF">
        <w:t xml:space="preserve"> benefits</w:t>
      </w:r>
      <w:bookmarkEnd w:id="8"/>
    </w:p>
    <w:p w14:paraId="1FE08BEC" w14:textId="0D803395" w:rsidR="00314798" w:rsidRDefault="00314798" w:rsidP="005C0F82">
      <w:r>
        <w:t xml:space="preserve">IHACPA </w:t>
      </w:r>
      <w:r w:rsidR="004359BC">
        <w:t xml:space="preserve">has </w:t>
      </w:r>
      <w:r>
        <w:t xml:space="preserve">used the Hospital </w:t>
      </w:r>
      <w:proofErr w:type="spellStart"/>
      <w:r>
        <w:t>Casemix</w:t>
      </w:r>
      <w:proofErr w:type="spellEnd"/>
      <w:r>
        <w:t xml:space="preserve"> Protocol (HCP) data collection to represent the </w:t>
      </w:r>
      <w:proofErr w:type="spellStart"/>
      <w:r>
        <w:t>utilisation</w:t>
      </w:r>
      <w:proofErr w:type="spellEnd"/>
      <w:r>
        <w:t xml:space="preserve"> of GUIs within privately insured admitted episodes. Specifically, HCP data </w:t>
      </w:r>
      <w:r w:rsidR="004661EE">
        <w:t xml:space="preserve">has been </w:t>
      </w:r>
      <w:r>
        <w:t>restricted to admitted episodes</w:t>
      </w:r>
      <w:r w:rsidR="00792D57">
        <w:t xml:space="preserve"> </w:t>
      </w:r>
      <w:r>
        <w:t xml:space="preserve">that separated in the 2020-21 financial year for this purpose. </w:t>
      </w:r>
      <w:r w:rsidR="004359BC">
        <w:t>IHACPA has also undertaken h</w:t>
      </w:r>
      <w:r>
        <w:t xml:space="preserve">istorical analysis </w:t>
      </w:r>
      <w:r w:rsidR="004359BC">
        <w:t xml:space="preserve">of GUI bundles </w:t>
      </w:r>
      <w:r>
        <w:t>using the preceding three financial years of HCP data</w:t>
      </w:r>
      <w:r w:rsidR="004359BC">
        <w:t>, from 2017-18 to 2019-20</w:t>
      </w:r>
      <w:r>
        <w:t>.</w:t>
      </w:r>
    </w:p>
    <w:p w14:paraId="49618B5C" w14:textId="5C22C1E9" w:rsidR="008D3FD4" w:rsidRDefault="00A64417" w:rsidP="005C0F82">
      <w:r>
        <w:t>Each individual occurrence of a GUI bundle</w:t>
      </w:r>
      <w:r w:rsidR="008A1A2C">
        <w:t xml:space="preserve"> within the HCP data</w:t>
      </w:r>
      <w:r>
        <w:t xml:space="preserve"> </w:t>
      </w:r>
      <w:r w:rsidR="00F710AF">
        <w:t xml:space="preserve">(i.e. an observed </w:t>
      </w:r>
      <w:r w:rsidR="00792D57">
        <w:t xml:space="preserve">admitted </w:t>
      </w:r>
      <w:r w:rsidR="00F710AF">
        <w:t xml:space="preserve">episode) </w:t>
      </w:r>
      <w:r>
        <w:t xml:space="preserve">comprises a set of items </w:t>
      </w:r>
      <w:r w:rsidR="000D755B">
        <w:t xml:space="preserve">from a specific GUI product class together with </w:t>
      </w:r>
      <w:r>
        <w:t xml:space="preserve">their associated benefits as defined by the March 2023 PL. The mix and number of items can vary across individual bundles </w:t>
      </w:r>
      <w:r w:rsidR="00CF1A59">
        <w:t xml:space="preserve">of </w:t>
      </w:r>
      <w:r>
        <w:t xml:space="preserve">a given GUI bundle variant. This variation may be significant or only slight, depending on the GUI product class and the </w:t>
      </w:r>
      <w:r w:rsidR="003140E1">
        <w:t xml:space="preserve">type of </w:t>
      </w:r>
      <w:r w:rsidR="00FB0DD2">
        <w:t xml:space="preserve">bundle </w:t>
      </w:r>
      <w:r>
        <w:t>variant</w:t>
      </w:r>
      <w:r w:rsidR="003140E1">
        <w:t>.</w:t>
      </w:r>
    </w:p>
    <w:p w14:paraId="4A8BD60D" w14:textId="156E46E2" w:rsidR="003140E1" w:rsidRDefault="003140E1" w:rsidP="005C0F82">
      <w:r>
        <w:lastRenderedPageBreak/>
        <w:t xml:space="preserve">For a given GUI bundle variant, </w:t>
      </w:r>
      <w:r w:rsidR="00CF1A59">
        <w:t xml:space="preserve">its </w:t>
      </w:r>
      <w:r w:rsidR="00F710AF">
        <w:t xml:space="preserve">‘bundle </w:t>
      </w:r>
      <w:r w:rsidR="00CF1A59">
        <w:t>benefit</w:t>
      </w:r>
      <w:r w:rsidR="00F710AF">
        <w:t>’</w:t>
      </w:r>
      <w:r w:rsidR="00CF1A59">
        <w:t xml:space="preserve"> is defined as the total </w:t>
      </w:r>
      <w:r w:rsidR="00F710AF">
        <w:t xml:space="preserve">PL </w:t>
      </w:r>
      <w:r w:rsidR="00CF1A59">
        <w:t>benefits</w:t>
      </w:r>
      <w:r w:rsidR="00F710AF">
        <w:t xml:space="preserve"> </w:t>
      </w:r>
      <w:r w:rsidR="001C6BE6">
        <w:t xml:space="preserve">for items of the given GUI product class that occur </w:t>
      </w:r>
      <w:r w:rsidR="00CF1A59">
        <w:t xml:space="preserve">across all </w:t>
      </w:r>
      <w:r w:rsidR="00F710AF">
        <w:t xml:space="preserve">observed </w:t>
      </w:r>
      <w:r w:rsidR="00CF1A59">
        <w:t>bundles of that variant, divided by the number of observed bundles</w:t>
      </w:r>
      <w:r w:rsidR="00A751F6">
        <w:t xml:space="preserve"> of the variant</w:t>
      </w:r>
      <w:r w:rsidR="00CF1A59">
        <w:t>. This is effectively the average PL benefit</w:t>
      </w:r>
      <w:r w:rsidR="00A751F6">
        <w:t>s</w:t>
      </w:r>
      <w:r w:rsidR="00CF1A59">
        <w:t xml:space="preserve"> per episode associated with usage of items </w:t>
      </w:r>
      <w:r w:rsidR="00F710AF">
        <w:t xml:space="preserve">from </w:t>
      </w:r>
      <w:r w:rsidR="00CF1A59">
        <w:t>the given GUI product class and restricted to the episodes specified by the given variant (</w:t>
      </w:r>
      <w:r w:rsidR="00D57F76">
        <w:t>e.g</w:t>
      </w:r>
      <w:r w:rsidR="00CF1A59">
        <w:t>. those that occur within a given facility type or are classified as belonging to a given collection of MDCs).</w:t>
      </w:r>
    </w:p>
    <w:p w14:paraId="2163F41E" w14:textId="1B3C4E4A" w:rsidR="00326568" w:rsidRDefault="00DA6235" w:rsidP="00DA6235">
      <w:r>
        <w:t>To illustrate</w:t>
      </w:r>
      <w:r w:rsidR="00B577DE">
        <w:t xml:space="preserve"> the bundle variants and their benefits</w:t>
      </w:r>
      <w:r>
        <w:t xml:space="preserve">, </w:t>
      </w:r>
      <w:r w:rsidR="00326568">
        <w:fldChar w:fldCharType="begin"/>
      </w:r>
      <w:r w:rsidR="00326568">
        <w:instrText xml:space="preserve"> REF _Ref119852721 \h </w:instrText>
      </w:r>
      <w:r w:rsidR="00326568">
        <w:fldChar w:fldCharType="separate"/>
      </w:r>
      <w:r w:rsidR="00106CD4">
        <w:t xml:space="preserve">Table </w:t>
      </w:r>
      <w:r w:rsidR="00106CD4">
        <w:rPr>
          <w:noProof/>
        </w:rPr>
        <w:t>1</w:t>
      </w:r>
      <w:r w:rsidR="00326568">
        <w:fldChar w:fldCharType="end"/>
      </w:r>
      <w:r w:rsidR="00326568">
        <w:t xml:space="preserve"> </w:t>
      </w:r>
      <w:r>
        <w:t xml:space="preserve">details the </w:t>
      </w:r>
      <w:r w:rsidR="00B577DE">
        <w:t xml:space="preserve">complete set of </w:t>
      </w:r>
      <w:r>
        <w:t xml:space="preserve">variants </w:t>
      </w:r>
      <w:r w:rsidR="00B577DE">
        <w:t>associated with</w:t>
      </w:r>
      <w:r>
        <w:t xml:space="preserve"> the ‘</w:t>
      </w:r>
      <w:r w:rsidR="001751A8">
        <w:t>Matrix</w:t>
      </w:r>
      <w:r>
        <w:t>’ GUI product class.</w:t>
      </w:r>
      <w:r w:rsidR="00326568">
        <w:t xml:space="preserve"> This information is </w:t>
      </w:r>
      <w:r w:rsidR="00B577DE">
        <w:t xml:space="preserve">a combined </w:t>
      </w:r>
      <w:r w:rsidR="00326568">
        <w:t>extract from</w:t>
      </w:r>
      <w:r w:rsidR="00B577DE">
        <w:t xml:space="preserve"> Tables A2, A3 and A5 from Appendix A.</w:t>
      </w:r>
    </w:p>
    <w:p w14:paraId="2351D28E" w14:textId="2CE7F192" w:rsidR="00326568" w:rsidRDefault="00326568" w:rsidP="00326568">
      <w:pPr>
        <w:pStyle w:val="Caption"/>
        <w:keepNext/>
      </w:pPr>
      <w:bookmarkStart w:id="9" w:name="_Ref119852721"/>
      <w:r>
        <w:t xml:space="preserve">Table </w:t>
      </w:r>
      <w:fldSimple w:instr=" SEQ Table \* ARABIC ">
        <w:r w:rsidR="00106CD4">
          <w:rPr>
            <w:noProof/>
          </w:rPr>
          <w:t>1</w:t>
        </w:r>
      </w:fldSimple>
      <w:bookmarkEnd w:id="9"/>
      <w:r>
        <w:t xml:space="preserve">: GUI bundle variants and bundle benefits - </w:t>
      </w:r>
      <w:r w:rsidR="00767ED0">
        <w:t>Matrix</w:t>
      </w:r>
      <w:r>
        <w:t xml:space="preserve"> GUI product class</w:t>
      </w:r>
    </w:p>
    <w:tbl>
      <w:tblPr>
        <w:tblW w:w="38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with 4 sections, showing product class as A45 Matrix, variant bunch with three sections of Product only, Facility Type or Major Diagnostic Category Grouping, followed by bundle variant and bundle benefit. "/>
      </w:tblPr>
      <w:tblGrid>
        <w:gridCol w:w="987"/>
        <w:gridCol w:w="1277"/>
        <w:gridCol w:w="855"/>
        <w:gridCol w:w="3261"/>
        <w:gridCol w:w="1133"/>
      </w:tblGrid>
      <w:tr w:rsidR="00326568" w:rsidRPr="008464D8" w14:paraId="30886972" w14:textId="77777777" w:rsidTr="001751A8">
        <w:trPr>
          <w:trHeight w:val="300"/>
          <w:tblHeader/>
        </w:trPr>
        <w:tc>
          <w:tcPr>
            <w:tcW w:w="65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noWrap/>
            <w:vAlign w:val="center"/>
            <w:hideMark/>
          </w:tcPr>
          <w:p w14:paraId="71ECCCFE" w14:textId="56CF7BD2" w:rsidR="00326568" w:rsidRPr="008464D8" w:rsidRDefault="00326568" w:rsidP="002D59A0">
            <w:pPr>
              <w:spacing w:before="120" w:after="120"/>
              <w:jc w:val="center"/>
              <w:rPr>
                <w:rFonts w:eastAsia="Times New Roman" w:cs="Arial"/>
                <w:b/>
                <w:bCs/>
                <w:color w:val="FFFFFF" w:themeColor="background2"/>
                <w:sz w:val="18"/>
                <w:szCs w:val="18"/>
                <w:lang w:val="en-US"/>
              </w:rPr>
            </w:pPr>
            <w:r w:rsidRPr="008464D8">
              <w:rPr>
                <w:rFonts w:eastAsia="Times New Roman" w:cs="Arial"/>
                <w:b/>
                <w:bCs/>
                <w:color w:val="FFFFFF" w:themeColor="background2"/>
                <w:sz w:val="18"/>
                <w:szCs w:val="18"/>
                <w:lang w:val="en-US"/>
              </w:rPr>
              <w:t xml:space="preserve">Product </w:t>
            </w:r>
            <w:r w:rsidR="00003A6F">
              <w:rPr>
                <w:rFonts w:eastAsia="Times New Roman" w:cs="Arial"/>
                <w:b/>
                <w:bCs/>
                <w:color w:val="FFFFFF" w:themeColor="background2"/>
                <w:sz w:val="18"/>
                <w:szCs w:val="18"/>
                <w:lang w:val="en-US"/>
              </w:rPr>
              <w:t>c</w:t>
            </w:r>
            <w:r>
              <w:rPr>
                <w:rFonts w:eastAsia="Times New Roman" w:cs="Arial"/>
                <w:b/>
                <w:bCs/>
                <w:color w:val="FFFFFF" w:themeColor="background2"/>
                <w:sz w:val="18"/>
                <w:szCs w:val="18"/>
                <w:lang w:val="en-US"/>
              </w:rPr>
              <w:t>lass</w:t>
            </w:r>
          </w:p>
        </w:tc>
        <w:tc>
          <w:tcPr>
            <w:tcW w:w="850" w:type="pct"/>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2481145A" w14:textId="2E46F009" w:rsidR="00326568" w:rsidRPr="008464D8" w:rsidRDefault="00326568" w:rsidP="002D59A0">
            <w:pPr>
              <w:spacing w:before="120" w:after="120"/>
              <w:jc w:val="center"/>
              <w:rPr>
                <w:rFonts w:eastAsia="Times New Roman" w:cs="Arial"/>
                <w:b/>
                <w:bCs/>
                <w:color w:val="FFFFFF" w:themeColor="background2"/>
                <w:sz w:val="18"/>
                <w:szCs w:val="18"/>
                <w:lang w:val="en-US"/>
              </w:rPr>
            </w:pPr>
            <w:r>
              <w:rPr>
                <w:rFonts w:eastAsia="Times New Roman" w:cs="Arial"/>
                <w:b/>
                <w:bCs/>
                <w:color w:val="FFFFFF" w:themeColor="background2"/>
                <w:sz w:val="18"/>
                <w:szCs w:val="18"/>
                <w:lang w:val="en-US"/>
              </w:rPr>
              <w:t xml:space="preserve">Variant </w:t>
            </w:r>
            <w:r w:rsidR="00003A6F">
              <w:rPr>
                <w:rFonts w:eastAsia="Times New Roman" w:cs="Arial"/>
                <w:b/>
                <w:bCs/>
                <w:color w:val="FFFFFF" w:themeColor="background2"/>
                <w:sz w:val="18"/>
                <w:szCs w:val="18"/>
                <w:lang w:val="en-US"/>
              </w:rPr>
              <w:t>b</w:t>
            </w:r>
            <w:r>
              <w:rPr>
                <w:rFonts w:eastAsia="Times New Roman" w:cs="Arial"/>
                <w:b/>
                <w:bCs/>
                <w:color w:val="FFFFFF" w:themeColor="background2"/>
                <w:sz w:val="18"/>
                <w:szCs w:val="18"/>
                <w:lang w:val="en-US"/>
              </w:rPr>
              <w:t>ranch</w:t>
            </w:r>
          </w:p>
        </w:tc>
        <w:tc>
          <w:tcPr>
            <w:tcW w:w="2738" w:type="pct"/>
            <w:gridSpan w:val="2"/>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noWrap/>
            <w:vAlign w:val="center"/>
            <w:hideMark/>
          </w:tcPr>
          <w:p w14:paraId="06F67FB7" w14:textId="4D63953A" w:rsidR="00326568" w:rsidRPr="008464D8" w:rsidRDefault="00326568" w:rsidP="002D59A0">
            <w:pPr>
              <w:spacing w:before="120" w:after="120"/>
              <w:jc w:val="center"/>
              <w:rPr>
                <w:rFonts w:eastAsia="Times New Roman" w:cs="Arial"/>
                <w:b/>
                <w:bCs/>
                <w:color w:val="FFFFFF" w:themeColor="background2"/>
                <w:sz w:val="18"/>
                <w:szCs w:val="18"/>
                <w:lang w:val="en-US"/>
              </w:rPr>
            </w:pPr>
            <w:r w:rsidRPr="008464D8">
              <w:rPr>
                <w:rFonts w:eastAsia="Times New Roman" w:cs="Arial"/>
                <w:b/>
                <w:bCs/>
                <w:color w:val="FFFFFF" w:themeColor="background2"/>
                <w:sz w:val="18"/>
                <w:szCs w:val="18"/>
                <w:lang w:val="en-US"/>
              </w:rPr>
              <w:t>Bundle</w:t>
            </w:r>
            <w:r>
              <w:rPr>
                <w:rFonts w:eastAsia="Times New Roman" w:cs="Arial"/>
                <w:b/>
                <w:bCs/>
                <w:color w:val="FFFFFF" w:themeColor="background2"/>
                <w:sz w:val="18"/>
                <w:szCs w:val="18"/>
                <w:lang w:val="en-US"/>
              </w:rPr>
              <w:t xml:space="preserve"> </w:t>
            </w:r>
            <w:r w:rsidR="00003A6F">
              <w:rPr>
                <w:rFonts w:eastAsia="Times New Roman" w:cs="Arial"/>
                <w:b/>
                <w:bCs/>
                <w:color w:val="FFFFFF" w:themeColor="background2"/>
                <w:sz w:val="18"/>
                <w:szCs w:val="18"/>
                <w:lang w:val="en-US"/>
              </w:rPr>
              <w:t>v</w:t>
            </w:r>
            <w:r>
              <w:rPr>
                <w:rFonts w:eastAsia="Times New Roman" w:cs="Arial"/>
                <w:b/>
                <w:bCs/>
                <w:color w:val="FFFFFF" w:themeColor="background2"/>
                <w:sz w:val="18"/>
                <w:szCs w:val="18"/>
                <w:lang w:val="en-US"/>
              </w:rPr>
              <w:t>ariant</w:t>
            </w:r>
          </w:p>
        </w:tc>
        <w:tc>
          <w:tcPr>
            <w:tcW w:w="755" w:type="pct"/>
            <w:tcBorders>
              <w:top w:val="single" w:sz="4" w:space="0" w:color="808080" w:themeColor="background2" w:themeShade="80"/>
              <w:left w:val="single" w:sz="4" w:space="0" w:color="FFFFFF" w:themeColor="background2"/>
              <w:bottom w:val="single" w:sz="4" w:space="0" w:color="808080" w:themeColor="background2" w:themeShade="80"/>
              <w:right w:val="single" w:sz="4" w:space="0" w:color="808080" w:themeColor="background2" w:themeShade="80"/>
            </w:tcBorders>
            <w:shd w:val="clear" w:color="auto" w:fill="104F99" w:themeFill="accent2"/>
            <w:vAlign w:val="center"/>
          </w:tcPr>
          <w:p w14:paraId="4FEC1FAF" w14:textId="1725E187" w:rsidR="00326568" w:rsidRPr="008464D8" w:rsidRDefault="00326568" w:rsidP="002D59A0">
            <w:pPr>
              <w:spacing w:before="120" w:after="120"/>
              <w:jc w:val="center"/>
              <w:rPr>
                <w:rFonts w:eastAsia="Times New Roman" w:cs="Arial"/>
                <w:b/>
                <w:bCs/>
                <w:color w:val="FFFFFF" w:themeColor="background2"/>
                <w:sz w:val="18"/>
                <w:szCs w:val="18"/>
                <w:lang w:val="en-US"/>
              </w:rPr>
            </w:pPr>
            <w:r w:rsidRPr="008464D8">
              <w:rPr>
                <w:rFonts w:eastAsia="Times New Roman" w:cs="Arial"/>
                <w:b/>
                <w:bCs/>
                <w:color w:val="FFFFFF" w:themeColor="background2"/>
                <w:sz w:val="18"/>
                <w:szCs w:val="18"/>
                <w:lang w:val="en-US"/>
              </w:rPr>
              <w:t xml:space="preserve">Bundle </w:t>
            </w:r>
            <w:r w:rsidR="00003A6F">
              <w:rPr>
                <w:rFonts w:eastAsia="Times New Roman" w:cs="Arial"/>
                <w:b/>
                <w:bCs/>
                <w:color w:val="FFFFFF" w:themeColor="background2"/>
                <w:sz w:val="18"/>
                <w:szCs w:val="18"/>
                <w:lang w:val="en-US"/>
              </w:rPr>
              <w:t>b</w:t>
            </w:r>
            <w:r>
              <w:rPr>
                <w:rFonts w:eastAsia="Times New Roman" w:cs="Arial"/>
                <w:b/>
                <w:bCs/>
                <w:color w:val="FFFFFF" w:themeColor="background2"/>
                <w:sz w:val="18"/>
                <w:szCs w:val="18"/>
                <w:lang w:val="en-US"/>
              </w:rPr>
              <w:t>enefit</w:t>
            </w:r>
          </w:p>
        </w:tc>
      </w:tr>
      <w:tr w:rsidR="00326568" w:rsidRPr="008464D8" w14:paraId="738756CB" w14:textId="77777777" w:rsidTr="001751A8">
        <w:trPr>
          <w:trHeight w:val="300"/>
        </w:trPr>
        <w:tc>
          <w:tcPr>
            <w:tcW w:w="657" w:type="pct"/>
            <w:vMerge w:val="restar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7C421154" w14:textId="5BC072D5" w:rsidR="00326568" w:rsidRDefault="00326568" w:rsidP="002D59A0">
            <w:pPr>
              <w:spacing w:before="120" w:after="120"/>
              <w:jc w:val="center"/>
              <w:rPr>
                <w:rFonts w:eastAsia="Times New Roman" w:cs="Arial"/>
                <w:color w:val="000000"/>
                <w:sz w:val="18"/>
                <w:szCs w:val="18"/>
                <w:lang w:val="en-US"/>
              </w:rPr>
            </w:pPr>
            <w:r w:rsidRPr="008464D8">
              <w:rPr>
                <w:rFonts w:eastAsia="Times New Roman" w:cs="Arial"/>
                <w:color w:val="000000"/>
                <w:sz w:val="18"/>
                <w:szCs w:val="18"/>
                <w:lang w:val="en-US"/>
              </w:rPr>
              <w:t>A</w:t>
            </w:r>
            <w:r w:rsidR="00767ED0">
              <w:rPr>
                <w:rFonts w:eastAsia="Times New Roman" w:cs="Arial"/>
                <w:color w:val="000000"/>
                <w:sz w:val="18"/>
                <w:szCs w:val="18"/>
                <w:lang w:val="en-US"/>
              </w:rPr>
              <w:t>45</w:t>
            </w:r>
          </w:p>
          <w:p w14:paraId="0D9FB855" w14:textId="35DFDD3E" w:rsidR="00326568" w:rsidRPr="008464D8" w:rsidRDefault="00767ED0" w:rsidP="002D59A0">
            <w:pPr>
              <w:spacing w:before="120" w:after="120"/>
              <w:jc w:val="center"/>
              <w:rPr>
                <w:rFonts w:eastAsia="Times New Roman" w:cs="Arial"/>
                <w:color w:val="000000"/>
                <w:sz w:val="18"/>
                <w:szCs w:val="18"/>
                <w:lang w:val="en-US"/>
              </w:rPr>
            </w:pPr>
            <w:r>
              <w:rPr>
                <w:rFonts w:eastAsia="Times New Roman" w:cs="Arial"/>
                <w:color w:val="000000"/>
                <w:sz w:val="18"/>
                <w:szCs w:val="18"/>
                <w:lang w:val="en-US"/>
              </w:rPr>
              <w:t>Matrix</w:t>
            </w:r>
          </w:p>
        </w:tc>
        <w:tc>
          <w:tcPr>
            <w:tcW w:w="85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436F4F40" w14:textId="77777777" w:rsidR="00326568" w:rsidRDefault="00326568" w:rsidP="002D59A0">
            <w:pPr>
              <w:spacing w:before="120" w:after="120"/>
              <w:jc w:val="center"/>
              <w:rPr>
                <w:rFonts w:eastAsia="Times New Roman" w:cs="Arial"/>
                <w:color w:val="000000"/>
                <w:sz w:val="18"/>
                <w:szCs w:val="18"/>
                <w:lang w:val="en-US"/>
              </w:rPr>
            </w:pPr>
            <w:r>
              <w:rPr>
                <w:rFonts w:eastAsia="Times New Roman" w:cs="Arial"/>
                <w:color w:val="000000"/>
                <w:sz w:val="18"/>
                <w:szCs w:val="18"/>
                <w:lang w:val="en-US"/>
              </w:rPr>
              <w:t>A</w:t>
            </w:r>
          </w:p>
          <w:p w14:paraId="204010D6" w14:textId="77777777" w:rsidR="00326568" w:rsidRPr="008464D8" w:rsidRDefault="00326568" w:rsidP="002D59A0">
            <w:pPr>
              <w:spacing w:before="120" w:after="120"/>
              <w:jc w:val="center"/>
              <w:rPr>
                <w:rFonts w:eastAsia="Times New Roman" w:cs="Arial"/>
                <w:color w:val="000000"/>
                <w:sz w:val="18"/>
                <w:szCs w:val="18"/>
                <w:lang w:val="en-US"/>
              </w:rPr>
            </w:pPr>
            <w:r>
              <w:rPr>
                <w:rFonts w:eastAsia="Times New Roman" w:cs="Arial"/>
                <w:color w:val="000000"/>
                <w:sz w:val="18"/>
                <w:szCs w:val="18"/>
                <w:lang w:val="en-US"/>
              </w:rPr>
              <w:t>Product Only</w:t>
            </w:r>
          </w:p>
        </w:tc>
        <w:tc>
          <w:tcPr>
            <w:tcW w:w="569" w:type="pct"/>
            <w:tcBorders>
              <w:top w:val="single" w:sz="4" w:space="0" w:color="808080" w:themeColor="background2" w:themeShade="80"/>
              <w:left w:val="single" w:sz="4" w:space="0" w:color="808080" w:themeColor="background2" w:themeShade="80"/>
              <w:bottom w:val="single" w:sz="4" w:space="0" w:color="808080" w:themeColor="background2" w:themeShade="80"/>
              <w:right w:val="nil"/>
            </w:tcBorders>
            <w:shd w:val="clear" w:color="auto" w:fill="auto"/>
            <w:noWrap/>
            <w:vAlign w:val="center"/>
            <w:hideMark/>
          </w:tcPr>
          <w:p w14:paraId="54D29943" w14:textId="6AD5E78F" w:rsidR="00326568" w:rsidRPr="008464D8" w:rsidRDefault="00326568" w:rsidP="002D59A0">
            <w:pPr>
              <w:spacing w:before="120" w:after="120"/>
              <w:rPr>
                <w:rFonts w:eastAsia="Times New Roman" w:cs="Arial"/>
                <w:color w:val="000000"/>
                <w:sz w:val="18"/>
                <w:szCs w:val="18"/>
                <w:lang w:val="en-US"/>
              </w:rPr>
            </w:pPr>
            <w:r w:rsidRPr="00326568">
              <w:rPr>
                <w:rFonts w:eastAsia="Times New Roman" w:cs="Arial"/>
                <w:color w:val="000000"/>
                <w:sz w:val="18"/>
                <w:szCs w:val="18"/>
                <w:lang w:val="en-US"/>
              </w:rPr>
              <w:t>A</w:t>
            </w:r>
            <w:r w:rsidR="00767ED0">
              <w:rPr>
                <w:rFonts w:eastAsia="Times New Roman" w:cs="Arial"/>
                <w:color w:val="000000"/>
                <w:sz w:val="18"/>
                <w:szCs w:val="18"/>
                <w:lang w:val="en-US"/>
              </w:rPr>
              <w:t>45</w:t>
            </w:r>
            <w:r w:rsidRPr="00326568">
              <w:rPr>
                <w:rFonts w:eastAsia="Times New Roman" w:cs="Arial"/>
                <w:color w:val="000000"/>
                <w:sz w:val="18"/>
                <w:szCs w:val="18"/>
                <w:lang w:val="en-US"/>
              </w:rPr>
              <w:t>A1</w:t>
            </w:r>
          </w:p>
        </w:tc>
        <w:tc>
          <w:tcPr>
            <w:tcW w:w="2170" w:type="pct"/>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tcPr>
          <w:p w14:paraId="2E4E9009" w14:textId="30B082DD" w:rsidR="00326568" w:rsidRPr="008464D8" w:rsidRDefault="00767ED0" w:rsidP="002D59A0">
            <w:pPr>
              <w:spacing w:before="120" w:after="120"/>
              <w:rPr>
                <w:rFonts w:eastAsia="Times New Roman" w:cs="Arial"/>
                <w:color w:val="000000"/>
                <w:sz w:val="18"/>
                <w:szCs w:val="18"/>
                <w:lang w:val="en-US"/>
              </w:rPr>
            </w:pPr>
            <w:r>
              <w:rPr>
                <w:rFonts w:eastAsia="Times New Roman" w:cs="Arial"/>
                <w:color w:val="000000"/>
                <w:sz w:val="18"/>
                <w:szCs w:val="18"/>
                <w:lang w:val="en-US"/>
              </w:rPr>
              <w:t>Matrix</w:t>
            </w:r>
          </w:p>
        </w:tc>
        <w:tc>
          <w:tcPr>
            <w:tcW w:w="75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03371759" w14:textId="775265AD" w:rsidR="00326568" w:rsidRPr="008464D8" w:rsidRDefault="00767ED0" w:rsidP="002D59A0">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767ED0">
              <w:rPr>
                <w:rFonts w:eastAsia="Times New Roman" w:cs="Arial"/>
                <w:color w:val="000000"/>
                <w:sz w:val="18"/>
                <w:szCs w:val="18"/>
                <w:lang w:val="en-US"/>
              </w:rPr>
              <w:t>698.62</w:t>
            </w:r>
          </w:p>
        </w:tc>
      </w:tr>
      <w:tr w:rsidR="00326568" w:rsidRPr="008464D8" w14:paraId="5478783D" w14:textId="77777777" w:rsidTr="001751A8">
        <w:trPr>
          <w:trHeight w:val="300"/>
        </w:trPr>
        <w:tc>
          <w:tcPr>
            <w:tcW w:w="657"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2A19A30F" w14:textId="77777777" w:rsidR="00326568" w:rsidRPr="008464D8" w:rsidRDefault="00326568" w:rsidP="002D59A0">
            <w:pPr>
              <w:spacing w:before="120" w:after="120"/>
              <w:jc w:val="center"/>
              <w:rPr>
                <w:rFonts w:eastAsia="Times New Roman" w:cs="Arial"/>
                <w:color w:val="000000"/>
                <w:sz w:val="18"/>
                <w:szCs w:val="18"/>
                <w:lang w:val="en-US"/>
              </w:rPr>
            </w:pPr>
          </w:p>
        </w:tc>
        <w:tc>
          <w:tcPr>
            <w:tcW w:w="850" w:type="pct"/>
            <w:vMerge w:val="restar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49143DA" w14:textId="77777777" w:rsidR="00326568" w:rsidRDefault="00326568" w:rsidP="002D59A0">
            <w:pPr>
              <w:spacing w:before="120" w:after="120"/>
              <w:jc w:val="center"/>
              <w:rPr>
                <w:rFonts w:eastAsia="Times New Roman" w:cs="Arial"/>
                <w:color w:val="000000"/>
                <w:sz w:val="18"/>
                <w:szCs w:val="18"/>
                <w:lang w:val="en-US"/>
              </w:rPr>
            </w:pPr>
            <w:r>
              <w:rPr>
                <w:rFonts w:eastAsia="Times New Roman" w:cs="Arial"/>
                <w:color w:val="000000"/>
                <w:sz w:val="18"/>
                <w:szCs w:val="18"/>
                <w:lang w:val="en-US"/>
              </w:rPr>
              <w:t>B</w:t>
            </w:r>
          </w:p>
          <w:p w14:paraId="43E4CE06" w14:textId="77777777" w:rsidR="00326568" w:rsidRPr="008464D8" w:rsidRDefault="00326568" w:rsidP="002D59A0">
            <w:pPr>
              <w:spacing w:before="120" w:after="120"/>
              <w:jc w:val="center"/>
              <w:rPr>
                <w:rFonts w:eastAsia="Times New Roman" w:cs="Arial"/>
                <w:color w:val="000000"/>
                <w:sz w:val="18"/>
                <w:szCs w:val="18"/>
                <w:lang w:val="en-US"/>
              </w:rPr>
            </w:pPr>
            <w:r>
              <w:rPr>
                <w:rFonts w:eastAsia="Times New Roman" w:cs="Arial"/>
                <w:color w:val="000000"/>
                <w:sz w:val="18"/>
                <w:szCs w:val="18"/>
                <w:lang w:val="en-US"/>
              </w:rPr>
              <w:t>Facility Type</w:t>
            </w:r>
          </w:p>
        </w:tc>
        <w:tc>
          <w:tcPr>
            <w:tcW w:w="569" w:type="pct"/>
            <w:tcBorders>
              <w:top w:val="single" w:sz="4" w:space="0" w:color="808080" w:themeColor="background2" w:themeShade="80"/>
              <w:left w:val="single" w:sz="4" w:space="0" w:color="808080" w:themeColor="background2" w:themeShade="80"/>
              <w:bottom w:val="single" w:sz="4" w:space="0" w:color="808080" w:themeColor="background2" w:themeShade="80"/>
              <w:right w:val="nil"/>
            </w:tcBorders>
            <w:shd w:val="clear" w:color="auto" w:fill="auto"/>
            <w:noWrap/>
            <w:vAlign w:val="center"/>
            <w:hideMark/>
          </w:tcPr>
          <w:p w14:paraId="3BC08F20" w14:textId="419FF860" w:rsidR="00326568" w:rsidRPr="008464D8" w:rsidRDefault="00326568" w:rsidP="002D59A0">
            <w:pPr>
              <w:spacing w:before="120" w:after="120"/>
              <w:rPr>
                <w:rFonts w:eastAsia="Times New Roman" w:cs="Arial"/>
                <w:color w:val="000000"/>
                <w:sz w:val="18"/>
                <w:szCs w:val="18"/>
                <w:lang w:val="en-US"/>
              </w:rPr>
            </w:pPr>
            <w:r w:rsidRPr="00C414C8">
              <w:rPr>
                <w:rFonts w:eastAsia="Times New Roman" w:cs="Arial"/>
                <w:color w:val="000000"/>
                <w:sz w:val="18"/>
                <w:szCs w:val="18"/>
                <w:lang w:val="en-US"/>
              </w:rPr>
              <w:t>A</w:t>
            </w:r>
            <w:r w:rsidR="00767ED0">
              <w:rPr>
                <w:rFonts w:eastAsia="Times New Roman" w:cs="Arial"/>
                <w:color w:val="000000"/>
                <w:sz w:val="18"/>
                <w:szCs w:val="18"/>
                <w:lang w:val="en-US"/>
              </w:rPr>
              <w:t>45</w:t>
            </w:r>
            <w:r>
              <w:rPr>
                <w:rFonts w:eastAsia="Times New Roman" w:cs="Arial"/>
                <w:color w:val="000000"/>
                <w:sz w:val="18"/>
                <w:szCs w:val="18"/>
                <w:lang w:val="en-US"/>
              </w:rPr>
              <w:t>B</w:t>
            </w:r>
            <w:r w:rsidRPr="00C414C8">
              <w:rPr>
                <w:rFonts w:eastAsia="Times New Roman" w:cs="Arial"/>
                <w:color w:val="000000"/>
                <w:sz w:val="18"/>
                <w:szCs w:val="18"/>
                <w:lang w:val="en-US"/>
              </w:rPr>
              <w:t>1</w:t>
            </w:r>
          </w:p>
        </w:tc>
        <w:tc>
          <w:tcPr>
            <w:tcW w:w="2170" w:type="pct"/>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tcPr>
          <w:p w14:paraId="653F9B62" w14:textId="55F9A93C" w:rsidR="00326568" w:rsidRPr="008464D8" w:rsidRDefault="00767ED0" w:rsidP="002D59A0">
            <w:pPr>
              <w:spacing w:before="120" w:after="120"/>
              <w:rPr>
                <w:rFonts w:eastAsia="Times New Roman" w:cs="Arial"/>
                <w:color w:val="000000"/>
                <w:sz w:val="18"/>
                <w:szCs w:val="18"/>
                <w:lang w:val="en-US"/>
              </w:rPr>
            </w:pPr>
            <w:r>
              <w:rPr>
                <w:rFonts w:eastAsia="Times New Roman" w:cs="Arial"/>
                <w:color w:val="000000"/>
                <w:sz w:val="18"/>
                <w:szCs w:val="18"/>
                <w:lang w:val="en-US"/>
              </w:rPr>
              <w:t>Matrix</w:t>
            </w:r>
            <w:r w:rsidR="00326568" w:rsidRPr="00DF4B98">
              <w:rPr>
                <w:rFonts w:eastAsia="Times New Roman" w:cs="Arial"/>
                <w:color w:val="000000"/>
                <w:sz w:val="18"/>
                <w:szCs w:val="18"/>
                <w:lang w:val="en-US"/>
              </w:rPr>
              <w:t xml:space="preserve"> - Private Overnight Facilities</w:t>
            </w:r>
          </w:p>
        </w:tc>
        <w:tc>
          <w:tcPr>
            <w:tcW w:w="75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E3D65D5" w14:textId="7EDE40E9" w:rsidR="00326568" w:rsidRPr="008464D8" w:rsidRDefault="00767ED0" w:rsidP="002D59A0">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767ED0">
              <w:rPr>
                <w:rFonts w:eastAsia="Times New Roman" w:cs="Arial"/>
                <w:color w:val="000000"/>
                <w:sz w:val="18"/>
                <w:szCs w:val="18"/>
                <w:lang w:val="en-US"/>
              </w:rPr>
              <w:t>700.89</w:t>
            </w:r>
          </w:p>
        </w:tc>
      </w:tr>
      <w:tr w:rsidR="00326568" w:rsidRPr="008464D8" w14:paraId="6341969E" w14:textId="77777777" w:rsidTr="001751A8">
        <w:trPr>
          <w:trHeight w:val="300"/>
        </w:trPr>
        <w:tc>
          <w:tcPr>
            <w:tcW w:w="657"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2CA9B086" w14:textId="77777777" w:rsidR="00326568" w:rsidRPr="008464D8" w:rsidRDefault="00326568" w:rsidP="002D59A0">
            <w:pPr>
              <w:spacing w:before="120" w:after="120"/>
              <w:jc w:val="center"/>
              <w:rPr>
                <w:rFonts w:eastAsia="Times New Roman" w:cs="Arial"/>
                <w:color w:val="000000"/>
                <w:sz w:val="18"/>
                <w:szCs w:val="18"/>
                <w:lang w:val="en-US"/>
              </w:rPr>
            </w:pPr>
          </w:p>
        </w:tc>
        <w:tc>
          <w:tcPr>
            <w:tcW w:w="850"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04E5E1E5" w14:textId="77777777" w:rsidR="00326568" w:rsidRPr="008464D8" w:rsidRDefault="00326568" w:rsidP="002D59A0">
            <w:pPr>
              <w:spacing w:before="120" w:after="120"/>
              <w:jc w:val="center"/>
              <w:rPr>
                <w:rFonts w:eastAsia="Times New Roman" w:cs="Arial"/>
                <w:color w:val="000000"/>
                <w:sz w:val="18"/>
                <w:szCs w:val="18"/>
                <w:lang w:val="en-US"/>
              </w:rPr>
            </w:pPr>
          </w:p>
        </w:tc>
        <w:tc>
          <w:tcPr>
            <w:tcW w:w="569" w:type="pct"/>
            <w:tcBorders>
              <w:top w:val="single" w:sz="4" w:space="0" w:color="808080" w:themeColor="background2" w:themeShade="80"/>
              <w:left w:val="single" w:sz="4" w:space="0" w:color="808080" w:themeColor="background2" w:themeShade="80"/>
              <w:bottom w:val="single" w:sz="4" w:space="0" w:color="808080" w:themeColor="background2" w:themeShade="80"/>
              <w:right w:val="nil"/>
            </w:tcBorders>
            <w:shd w:val="clear" w:color="auto" w:fill="auto"/>
            <w:noWrap/>
            <w:vAlign w:val="center"/>
            <w:hideMark/>
          </w:tcPr>
          <w:p w14:paraId="0217C02C" w14:textId="2A221109" w:rsidR="00326568" w:rsidRPr="008464D8" w:rsidRDefault="00326568" w:rsidP="002D59A0">
            <w:pPr>
              <w:spacing w:before="120" w:after="120"/>
              <w:rPr>
                <w:rFonts w:eastAsia="Times New Roman" w:cs="Arial"/>
                <w:color w:val="000000"/>
                <w:sz w:val="18"/>
                <w:szCs w:val="18"/>
                <w:lang w:val="en-US"/>
              </w:rPr>
            </w:pPr>
            <w:r w:rsidRPr="00C414C8">
              <w:rPr>
                <w:rFonts w:eastAsia="Times New Roman" w:cs="Arial"/>
                <w:color w:val="000000"/>
                <w:sz w:val="18"/>
                <w:szCs w:val="18"/>
                <w:lang w:val="en-US"/>
              </w:rPr>
              <w:t>A</w:t>
            </w:r>
            <w:r w:rsidR="00767ED0">
              <w:rPr>
                <w:rFonts w:eastAsia="Times New Roman" w:cs="Arial"/>
                <w:color w:val="000000"/>
                <w:sz w:val="18"/>
                <w:szCs w:val="18"/>
                <w:lang w:val="en-US"/>
              </w:rPr>
              <w:t>45</w:t>
            </w:r>
            <w:r>
              <w:rPr>
                <w:rFonts w:eastAsia="Times New Roman" w:cs="Arial"/>
                <w:color w:val="000000"/>
                <w:sz w:val="18"/>
                <w:szCs w:val="18"/>
                <w:lang w:val="en-US"/>
              </w:rPr>
              <w:t>B2</w:t>
            </w:r>
          </w:p>
        </w:tc>
        <w:tc>
          <w:tcPr>
            <w:tcW w:w="2170" w:type="pct"/>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tcPr>
          <w:p w14:paraId="64341161" w14:textId="1D3E630F" w:rsidR="00326568" w:rsidRPr="008464D8" w:rsidRDefault="00767ED0" w:rsidP="002D59A0">
            <w:pPr>
              <w:spacing w:before="120" w:after="120"/>
              <w:rPr>
                <w:rFonts w:eastAsia="Times New Roman" w:cs="Arial"/>
                <w:color w:val="000000"/>
                <w:sz w:val="18"/>
                <w:szCs w:val="18"/>
                <w:lang w:val="en-US"/>
              </w:rPr>
            </w:pPr>
            <w:r>
              <w:rPr>
                <w:rFonts w:eastAsia="Times New Roman" w:cs="Arial"/>
                <w:color w:val="000000"/>
                <w:sz w:val="18"/>
                <w:szCs w:val="18"/>
                <w:lang w:val="en-US"/>
              </w:rPr>
              <w:t>Matrix</w:t>
            </w:r>
            <w:r w:rsidR="00326568" w:rsidRPr="00DF4B98">
              <w:rPr>
                <w:rFonts w:eastAsia="Times New Roman" w:cs="Arial"/>
                <w:color w:val="000000"/>
                <w:sz w:val="18"/>
                <w:szCs w:val="18"/>
                <w:lang w:val="en-US"/>
              </w:rPr>
              <w:t xml:space="preserve"> - Private Day Facilities</w:t>
            </w:r>
          </w:p>
        </w:tc>
        <w:tc>
          <w:tcPr>
            <w:tcW w:w="75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7666DD38" w14:textId="2F6D192A" w:rsidR="00326568" w:rsidRPr="008464D8" w:rsidRDefault="00767ED0" w:rsidP="002D59A0">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767ED0">
              <w:rPr>
                <w:rFonts w:eastAsia="Times New Roman" w:cs="Arial"/>
                <w:color w:val="000000"/>
                <w:sz w:val="18"/>
                <w:szCs w:val="18"/>
                <w:lang w:val="en-US"/>
              </w:rPr>
              <w:t>440.11</w:t>
            </w:r>
          </w:p>
        </w:tc>
      </w:tr>
      <w:tr w:rsidR="00326568" w:rsidRPr="008464D8" w14:paraId="3A780842" w14:textId="77777777" w:rsidTr="001751A8">
        <w:trPr>
          <w:trHeight w:val="300"/>
        </w:trPr>
        <w:tc>
          <w:tcPr>
            <w:tcW w:w="657"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663C0D2E" w14:textId="77777777" w:rsidR="00326568" w:rsidRPr="008464D8" w:rsidRDefault="00326568" w:rsidP="002D59A0">
            <w:pPr>
              <w:spacing w:before="120" w:after="120"/>
              <w:jc w:val="center"/>
              <w:rPr>
                <w:rFonts w:eastAsia="Times New Roman" w:cs="Arial"/>
                <w:color w:val="000000"/>
                <w:sz w:val="18"/>
                <w:szCs w:val="18"/>
                <w:lang w:val="en-US"/>
              </w:rPr>
            </w:pPr>
          </w:p>
        </w:tc>
        <w:tc>
          <w:tcPr>
            <w:tcW w:w="850"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28D27920" w14:textId="77777777" w:rsidR="00326568" w:rsidRPr="008464D8" w:rsidRDefault="00326568" w:rsidP="002D59A0">
            <w:pPr>
              <w:spacing w:before="120" w:after="120"/>
              <w:jc w:val="center"/>
              <w:rPr>
                <w:rFonts w:eastAsia="Times New Roman" w:cs="Arial"/>
                <w:color w:val="000000"/>
                <w:sz w:val="18"/>
                <w:szCs w:val="18"/>
                <w:lang w:val="en-US"/>
              </w:rPr>
            </w:pPr>
          </w:p>
        </w:tc>
        <w:tc>
          <w:tcPr>
            <w:tcW w:w="569" w:type="pct"/>
            <w:tcBorders>
              <w:top w:val="single" w:sz="4" w:space="0" w:color="808080" w:themeColor="background2" w:themeShade="80"/>
              <w:left w:val="single" w:sz="4" w:space="0" w:color="808080" w:themeColor="background2" w:themeShade="80"/>
              <w:bottom w:val="single" w:sz="4" w:space="0" w:color="808080" w:themeColor="background2" w:themeShade="80"/>
              <w:right w:val="nil"/>
            </w:tcBorders>
            <w:shd w:val="clear" w:color="auto" w:fill="auto"/>
            <w:noWrap/>
            <w:vAlign w:val="center"/>
            <w:hideMark/>
          </w:tcPr>
          <w:p w14:paraId="2D7D8B2E" w14:textId="75516141" w:rsidR="00326568" w:rsidRPr="008464D8" w:rsidRDefault="00326568" w:rsidP="002D59A0">
            <w:pPr>
              <w:spacing w:before="120" w:after="120"/>
              <w:rPr>
                <w:rFonts w:eastAsia="Times New Roman" w:cs="Arial"/>
                <w:color w:val="000000"/>
                <w:sz w:val="18"/>
                <w:szCs w:val="18"/>
                <w:lang w:val="en-US"/>
              </w:rPr>
            </w:pPr>
            <w:r w:rsidRPr="00C414C8">
              <w:rPr>
                <w:rFonts w:eastAsia="Times New Roman" w:cs="Arial"/>
                <w:color w:val="000000"/>
                <w:sz w:val="18"/>
                <w:szCs w:val="18"/>
                <w:lang w:val="en-US"/>
              </w:rPr>
              <w:t>A</w:t>
            </w:r>
            <w:r w:rsidR="00767ED0">
              <w:rPr>
                <w:rFonts w:eastAsia="Times New Roman" w:cs="Arial"/>
                <w:color w:val="000000"/>
                <w:sz w:val="18"/>
                <w:szCs w:val="18"/>
                <w:lang w:val="en-US"/>
              </w:rPr>
              <w:t>45</w:t>
            </w:r>
            <w:r>
              <w:rPr>
                <w:rFonts w:eastAsia="Times New Roman" w:cs="Arial"/>
                <w:color w:val="000000"/>
                <w:sz w:val="18"/>
                <w:szCs w:val="18"/>
                <w:lang w:val="en-US"/>
              </w:rPr>
              <w:t>B3</w:t>
            </w:r>
          </w:p>
        </w:tc>
        <w:tc>
          <w:tcPr>
            <w:tcW w:w="2170" w:type="pct"/>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tcPr>
          <w:p w14:paraId="44513349" w14:textId="090D413D" w:rsidR="00326568" w:rsidRPr="008464D8" w:rsidRDefault="00767ED0" w:rsidP="002D59A0">
            <w:pPr>
              <w:spacing w:before="120" w:after="120"/>
              <w:rPr>
                <w:rFonts w:eastAsia="Times New Roman" w:cs="Arial"/>
                <w:color w:val="000000"/>
                <w:sz w:val="18"/>
                <w:szCs w:val="18"/>
                <w:lang w:val="en-US"/>
              </w:rPr>
            </w:pPr>
            <w:r>
              <w:rPr>
                <w:rFonts w:eastAsia="Times New Roman" w:cs="Arial"/>
                <w:color w:val="000000"/>
                <w:sz w:val="18"/>
                <w:szCs w:val="18"/>
                <w:lang w:val="en-US"/>
              </w:rPr>
              <w:t>Matrix</w:t>
            </w:r>
            <w:r w:rsidR="00326568" w:rsidRPr="00DF4B98">
              <w:rPr>
                <w:rFonts w:eastAsia="Times New Roman" w:cs="Arial"/>
                <w:color w:val="000000"/>
                <w:sz w:val="18"/>
                <w:szCs w:val="18"/>
                <w:lang w:val="en-US"/>
              </w:rPr>
              <w:t xml:space="preserve"> - Public Facilities</w:t>
            </w:r>
          </w:p>
        </w:tc>
        <w:tc>
          <w:tcPr>
            <w:tcW w:w="75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739AB93" w14:textId="36747C05" w:rsidR="00326568" w:rsidRPr="008464D8" w:rsidRDefault="00767ED0" w:rsidP="002D59A0">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767ED0">
              <w:rPr>
                <w:rFonts w:eastAsia="Times New Roman" w:cs="Arial"/>
                <w:color w:val="000000"/>
                <w:sz w:val="18"/>
                <w:szCs w:val="18"/>
                <w:lang w:val="en-US"/>
              </w:rPr>
              <w:t>634.2</w:t>
            </w:r>
            <w:r>
              <w:rPr>
                <w:rFonts w:eastAsia="Times New Roman" w:cs="Arial"/>
                <w:color w:val="000000"/>
                <w:sz w:val="18"/>
                <w:szCs w:val="18"/>
                <w:lang w:val="en-US"/>
              </w:rPr>
              <w:t>0</w:t>
            </w:r>
          </w:p>
        </w:tc>
      </w:tr>
      <w:tr w:rsidR="00326568" w:rsidRPr="008464D8" w14:paraId="76E3B9D1" w14:textId="77777777" w:rsidTr="001751A8">
        <w:trPr>
          <w:trHeight w:val="300"/>
        </w:trPr>
        <w:tc>
          <w:tcPr>
            <w:tcW w:w="657"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29E1AE5C" w14:textId="77777777" w:rsidR="00326568" w:rsidRPr="008464D8" w:rsidRDefault="00326568" w:rsidP="002D59A0">
            <w:pPr>
              <w:spacing w:before="120" w:after="120"/>
              <w:jc w:val="center"/>
              <w:rPr>
                <w:rFonts w:eastAsia="Times New Roman" w:cs="Arial"/>
                <w:color w:val="000000"/>
                <w:sz w:val="18"/>
                <w:szCs w:val="18"/>
                <w:lang w:val="en-US"/>
              </w:rPr>
            </w:pPr>
          </w:p>
        </w:tc>
        <w:tc>
          <w:tcPr>
            <w:tcW w:w="850" w:type="pct"/>
            <w:vMerge w:val="restar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51EAC5DB" w14:textId="77777777" w:rsidR="00326568" w:rsidRDefault="00326568" w:rsidP="002D59A0">
            <w:pPr>
              <w:spacing w:before="120" w:after="120"/>
              <w:jc w:val="center"/>
              <w:rPr>
                <w:rFonts w:eastAsia="Times New Roman" w:cs="Arial"/>
                <w:color w:val="000000"/>
                <w:sz w:val="18"/>
                <w:szCs w:val="18"/>
                <w:lang w:val="en-US"/>
              </w:rPr>
            </w:pPr>
            <w:r>
              <w:rPr>
                <w:rFonts w:eastAsia="Times New Roman" w:cs="Arial"/>
                <w:color w:val="000000"/>
                <w:sz w:val="18"/>
                <w:szCs w:val="18"/>
                <w:lang w:val="en-US"/>
              </w:rPr>
              <w:t>C</w:t>
            </w:r>
          </w:p>
          <w:p w14:paraId="36B53282" w14:textId="77777777" w:rsidR="00326568" w:rsidRPr="008464D8" w:rsidRDefault="00326568" w:rsidP="002D59A0">
            <w:pPr>
              <w:spacing w:before="120" w:after="120"/>
              <w:jc w:val="center"/>
              <w:rPr>
                <w:rFonts w:eastAsia="Times New Roman" w:cs="Arial"/>
                <w:color w:val="000000"/>
                <w:sz w:val="18"/>
                <w:szCs w:val="18"/>
                <w:lang w:val="en-US"/>
              </w:rPr>
            </w:pPr>
            <w:r>
              <w:rPr>
                <w:rFonts w:eastAsia="Times New Roman" w:cs="Arial"/>
                <w:color w:val="000000"/>
                <w:sz w:val="18"/>
                <w:szCs w:val="18"/>
                <w:lang w:val="en-US"/>
              </w:rPr>
              <w:t>Major Diagnostic Category Grouping</w:t>
            </w:r>
          </w:p>
        </w:tc>
        <w:tc>
          <w:tcPr>
            <w:tcW w:w="569" w:type="pct"/>
            <w:tcBorders>
              <w:top w:val="single" w:sz="4" w:space="0" w:color="808080" w:themeColor="background2" w:themeShade="80"/>
              <w:left w:val="single" w:sz="4" w:space="0" w:color="808080" w:themeColor="background2" w:themeShade="80"/>
              <w:bottom w:val="single" w:sz="4" w:space="0" w:color="808080" w:themeColor="background2" w:themeShade="80"/>
              <w:right w:val="nil"/>
            </w:tcBorders>
            <w:shd w:val="clear" w:color="auto" w:fill="auto"/>
            <w:noWrap/>
            <w:vAlign w:val="center"/>
          </w:tcPr>
          <w:p w14:paraId="605F77CC" w14:textId="62190004" w:rsidR="00326568" w:rsidRPr="008464D8" w:rsidRDefault="00326568" w:rsidP="002D59A0">
            <w:pPr>
              <w:spacing w:before="120" w:after="120"/>
              <w:rPr>
                <w:rFonts w:eastAsia="Times New Roman" w:cs="Arial"/>
                <w:color w:val="000000"/>
                <w:sz w:val="18"/>
                <w:szCs w:val="18"/>
                <w:lang w:val="en-US"/>
              </w:rPr>
            </w:pPr>
            <w:r w:rsidRPr="00C414C8">
              <w:rPr>
                <w:rFonts w:eastAsia="Times New Roman" w:cs="Arial"/>
                <w:color w:val="000000"/>
                <w:sz w:val="18"/>
                <w:szCs w:val="18"/>
                <w:lang w:val="en-US"/>
              </w:rPr>
              <w:t>A</w:t>
            </w:r>
            <w:r w:rsidR="00767ED0">
              <w:rPr>
                <w:rFonts w:eastAsia="Times New Roman" w:cs="Arial"/>
                <w:color w:val="000000"/>
                <w:sz w:val="18"/>
                <w:szCs w:val="18"/>
                <w:lang w:val="en-US"/>
              </w:rPr>
              <w:t>45</w:t>
            </w:r>
            <w:r w:rsidRPr="00C414C8">
              <w:rPr>
                <w:rFonts w:eastAsia="Times New Roman" w:cs="Arial"/>
                <w:color w:val="000000"/>
                <w:sz w:val="18"/>
                <w:szCs w:val="18"/>
                <w:lang w:val="en-US"/>
              </w:rPr>
              <w:t>C1</w:t>
            </w:r>
          </w:p>
        </w:tc>
        <w:tc>
          <w:tcPr>
            <w:tcW w:w="2170" w:type="pct"/>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tcPr>
          <w:p w14:paraId="4983AD64" w14:textId="7D809129" w:rsidR="00326568" w:rsidRPr="008464D8" w:rsidRDefault="00767ED0" w:rsidP="002D59A0">
            <w:pPr>
              <w:spacing w:before="120" w:after="120"/>
              <w:rPr>
                <w:rFonts w:eastAsia="Times New Roman" w:cs="Arial"/>
                <w:color w:val="000000"/>
                <w:sz w:val="18"/>
                <w:szCs w:val="18"/>
                <w:lang w:val="en-US"/>
              </w:rPr>
            </w:pPr>
            <w:r>
              <w:rPr>
                <w:rFonts w:eastAsia="Times New Roman" w:cs="Arial"/>
                <w:color w:val="000000"/>
                <w:sz w:val="18"/>
                <w:szCs w:val="18"/>
                <w:lang w:val="en-US"/>
              </w:rPr>
              <w:t>Matrix</w:t>
            </w:r>
            <w:r w:rsidR="00326568" w:rsidRPr="00C414C8">
              <w:rPr>
                <w:rFonts w:eastAsia="Times New Roman" w:cs="Arial"/>
                <w:color w:val="000000"/>
                <w:sz w:val="18"/>
                <w:szCs w:val="18"/>
                <w:lang w:val="en-US"/>
              </w:rPr>
              <w:t xml:space="preserve"> - Very High MDC</w:t>
            </w:r>
            <w:r w:rsidR="000B3731">
              <w:rPr>
                <w:rFonts w:eastAsia="Times New Roman" w:cs="Arial"/>
                <w:color w:val="000000"/>
                <w:sz w:val="18"/>
                <w:szCs w:val="18"/>
                <w:lang w:val="en-US"/>
              </w:rPr>
              <w:t xml:space="preserve"> Grouping</w:t>
            </w:r>
          </w:p>
        </w:tc>
        <w:tc>
          <w:tcPr>
            <w:tcW w:w="75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A1947C9" w14:textId="643EFEA8" w:rsidR="00326568" w:rsidRPr="008464D8" w:rsidRDefault="00767ED0" w:rsidP="002D59A0">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767ED0">
              <w:rPr>
                <w:rFonts w:eastAsia="Times New Roman" w:cs="Arial"/>
                <w:color w:val="000000"/>
                <w:sz w:val="18"/>
                <w:szCs w:val="18"/>
                <w:lang w:val="en-US"/>
              </w:rPr>
              <w:t>833.05</w:t>
            </w:r>
          </w:p>
        </w:tc>
      </w:tr>
      <w:tr w:rsidR="00326568" w:rsidRPr="008464D8" w14:paraId="5B664906" w14:textId="77777777" w:rsidTr="001751A8">
        <w:trPr>
          <w:trHeight w:val="300"/>
        </w:trPr>
        <w:tc>
          <w:tcPr>
            <w:tcW w:w="657"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195C71ED" w14:textId="77777777" w:rsidR="00326568" w:rsidRPr="008464D8" w:rsidRDefault="00326568" w:rsidP="002D59A0">
            <w:pPr>
              <w:spacing w:before="120" w:after="120"/>
              <w:rPr>
                <w:rFonts w:eastAsia="Times New Roman" w:cs="Arial"/>
                <w:color w:val="000000"/>
                <w:sz w:val="18"/>
                <w:szCs w:val="18"/>
                <w:lang w:val="en-US"/>
              </w:rPr>
            </w:pPr>
          </w:p>
        </w:tc>
        <w:tc>
          <w:tcPr>
            <w:tcW w:w="850"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tcPr>
          <w:p w14:paraId="0A8B5343" w14:textId="77777777" w:rsidR="00326568" w:rsidRDefault="00326568" w:rsidP="002D59A0">
            <w:pPr>
              <w:spacing w:before="120" w:after="120"/>
              <w:rPr>
                <w:rFonts w:eastAsia="Times New Roman" w:cs="Arial"/>
                <w:color w:val="000000"/>
                <w:sz w:val="18"/>
                <w:szCs w:val="18"/>
                <w:lang w:val="en-US"/>
              </w:rPr>
            </w:pPr>
          </w:p>
        </w:tc>
        <w:tc>
          <w:tcPr>
            <w:tcW w:w="569" w:type="pct"/>
            <w:tcBorders>
              <w:top w:val="single" w:sz="4" w:space="0" w:color="808080" w:themeColor="background2" w:themeShade="80"/>
              <w:left w:val="single" w:sz="4" w:space="0" w:color="808080" w:themeColor="background2" w:themeShade="80"/>
              <w:bottom w:val="single" w:sz="4" w:space="0" w:color="808080" w:themeColor="background2" w:themeShade="80"/>
              <w:right w:val="nil"/>
            </w:tcBorders>
            <w:shd w:val="clear" w:color="auto" w:fill="auto"/>
            <w:noWrap/>
            <w:vAlign w:val="center"/>
          </w:tcPr>
          <w:p w14:paraId="1E05F3BB" w14:textId="6D11C359" w:rsidR="00326568" w:rsidRPr="008464D8" w:rsidRDefault="00326568" w:rsidP="002D59A0">
            <w:pPr>
              <w:spacing w:before="120" w:after="120"/>
              <w:rPr>
                <w:rFonts w:eastAsia="Times New Roman" w:cs="Arial"/>
                <w:color w:val="000000"/>
                <w:sz w:val="18"/>
                <w:szCs w:val="18"/>
                <w:lang w:val="en-US"/>
              </w:rPr>
            </w:pPr>
            <w:r w:rsidRPr="00C414C8">
              <w:rPr>
                <w:rFonts w:eastAsia="Times New Roman" w:cs="Arial"/>
                <w:color w:val="000000"/>
                <w:sz w:val="18"/>
                <w:szCs w:val="18"/>
                <w:lang w:val="en-US"/>
              </w:rPr>
              <w:t>A</w:t>
            </w:r>
            <w:r w:rsidR="00767ED0">
              <w:rPr>
                <w:rFonts w:eastAsia="Times New Roman" w:cs="Arial"/>
                <w:color w:val="000000"/>
                <w:sz w:val="18"/>
                <w:szCs w:val="18"/>
                <w:lang w:val="en-US"/>
              </w:rPr>
              <w:t>45</w:t>
            </w:r>
            <w:r w:rsidRPr="00C414C8">
              <w:rPr>
                <w:rFonts w:eastAsia="Times New Roman" w:cs="Arial"/>
                <w:color w:val="000000"/>
                <w:sz w:val="18"/>
                <w:szCs w:val="18"/>
                <w:lang w:val="en-US"/>
              </w:rPr>
              <w:t>C</w:t>
            </w:r>
            <w:r>
              <w:rPr>
                <w:rFonts w:eastAsia="Times New Roman" w:cs="Arial"/>
                <w:color w:val="000000"/>
                <w:sz w:val="18"/>
                <w:szCs w:val="18"/>
                <w:lang w:val="en-US"/>
              </w:rPr>
              <w:t>2</w:t>
            </w:r>
          </w:p>
        </w:tc>
        <w:tc>
          <w:tcPr>
            <w:tcW w:w="2170" w:type="pct"/>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tcPr>
          <w:p w14:paraId="6563FDDC" w14:textId="577F8BEB" w:rsidR="00326568" w:rsidRPr="008464D8" w:rsidRDefault="00767ED0" w:rsidP="002D59A0">
            <w:pPr>
              <w:spacing w:before="120" w:after="120"/>
              <w:rPr>
                <w:rFonts w:eastAsia="Times New Roman" w:cs="Arial"/>
                <w:color w:val="000000"/>
                <w:sz w:val="18"/>
                <w:szCs w:val="18"/>
                <w:lang w:val="en-US"/>
              </w:rPr>
            </w:pPr>
            <w:r>
              <w:rPr>
                <w:rFonts w:eastAsia="Times New Roman" w:cs="Arial"/>
                <w:color w:val="000000"/>
                <w:sz w:val="18"/>
                <w:szCs w:val="18"/>
                <w:lang w:val="en-US"/>
              </w:rPr>
              <w:t>Matrix</w:t>
            </w:r>
            <w:r w:rsidR="00326568" w:rsidRPr="00C414C8">
              <w:rPr>
                <w:rFonts w:eastAsia="Times New Roman" w:cs="Arial"/>
                <w:color w:val="000000"/>
                <w:sz w:val="18"/>
                <w:szCs w:val="18"/>
                <w:lang w:val="en-US"/>
              </w:rPr>
              <w:t xml:space="preserve"> - High MDC</w:t>
            </w:r>
            <w:r w:rsidR="000B3731">
              <w:rPr>
                <w:rFonts w:eastAsia="Times New Roman" w:cs="Arial"/>
                <w:color w:val="000000"/>
                <w:sz w:val="18"/>
                <w:szCs w:val="18"/>
                <w:lang w:val="en-US"/>
              </w:rPr>
              <w:t xml:space="preserve"> Grouping</w:t>
            </w:r>
          </w:p>
        </w:tc>
        <w:tc>
          <w:tcPr>
            <w:tcW w:w="75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43DB9EC2" w14:textId="5FBC6346" w:rsidR="00326568" w:rsidRPr="008464D8" w:rsidRDefault="00767ED0" w:rsidP="002D59A0">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767ED0">
              <w:rPr>
                <w:rFonts w:eastAsia="Times New Roman" w:cs="Arial"/>
                <w:color w:val="000000"/>
                <w:sz w:val="18"/>
                <w:szCs w:val="18"/>
                <w:lang w:val="en-US"/>
              </w:rPr>
              <w:t>750.51</w:t>
            </w:r>
          </w:p>
        </w:tc>
      </w:tr>
      <w:tr w:rsidR="00326568" w:rsidRPr="008464D8" w14:paraId="2768E3CE" w14:textId="77777777" w:rsidTr="001751A8">
        <w:trPr>
          <w:trHeight w:val="300"/>
        </w:trPr>
        <w:tc>
          <w:tcPr>
            <w:tcW w:w="657"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7E0C4F21" w14:textId="77777777" w:rsidR="00326568" w:rsidRPr="008464D8" w:rsidRDefault="00326568" w:rsidP="002D59A0">
            <w:pPr>
              <w:spacing w:before="120" w:after="120"/>
              <w:rPr>
                <w:rFonts w:eastAsia="Times New Roman" w:cs="Arial"/>
                <w:color w:val="000000"/>
                <w:sz w:val="18"/>
                <w:szCs w:val="18"/>
                <w:lang w:val="en-US"/>
              </w:rPr>
            </w:pPr>
          </w:p>
        </w:tc>
        <w:tc>
          <w:tcPr>
            <w:tcW w:w="850"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tcPr>
          <w:p w14:paraId="3944B108" w14:textId="77777777" w:rsidR="00326568" w:rsidRDefault="00326568" w:rsidP="002D59A0">
            <w:pPr>
              <w:spacing w:before="120" w:after="120"/>
              <w:rPr>
                <w:rFonts w:eastAsia="Times New Roman" w:cs="Arial"/>
                <w:color w:val="000000"/>
                <w:sz w:val="18"/>
                <w:szCs w:val="18"/>
                <w:lang w:val="en-US"/>
              </w:rPr>
            </w:pPr>
          </w:p>
        </w:tc>
        <w:tc>
          <w:tcPr>
            <w:tcW w:w="569" w:type="pct"/>
            <w:tcBorders>
              <w:top w:val="single" w:sz="4" w:space="0" w:color="808080" w:themeColor="background2" w:themeShade="80"/>
              <w:left w:val="single" w:sz="4" w:space="0" w:color="808080" w:themeColor="background2" w:themeShade="80"/>
              <w:bottom w:val="single" w:sz="4" w:space="0" w:color="808080" w:themeColor="background2" w:themeShade="80"/>
              <w:right w:val="nil"/>
            </w:tcBorders>
            <w:shd w:val="clear" w:color="auto" w:fill="auto"/>
            <w:noWrap/>
            <w:vAlign w:val="center"/>
          </w:tcPr>
          <w:p w14:paraId="1B48461E" w14:textId="194E734C" w:rsidR="00326568" w:rsidRPr="008464D8" w:rsidRDefault="00326568" w:rsidP="002D59A0">
            <w:pPr>
              <w:spacing w:before="120" w:after="120"/>
              <w:rPr>
                <w:rFonts w:eastAsia="Times New Roman" w:cs="Arial"/>
                <w:color w:val="000000"/>
                <w:sz w:val="18"/>
                <w:szCs w:val="18"/>
                <w:lang w:val="en-US"/>
              </w:rPr>
            </w:pPr>
            <w:r w:rsidRPr="00C414C8">
              <w:rPr>
                <w:rFonts w:eastAsia="Times New Roman" w:cs="Arial"/>
                <w:color w:val="000000"/>
                <w:sz w:val="18"/>
                <w:szCs w:val="18"/>
                <w:lang w:val="en-US"/>
              </w:rPr>
              <w:t>A</w:t>
            </w:r>
            <w:r w:rsidR="00767ED0">
              <w:rPr>
                <w:rFonts w:eastAsia="Times New Roman" w:cs="Arial"/>
                <w:color w:val="000000"/>
                <w:sz w:val="18"/>
                <w:szCs w:val="18"/>
                <w:lang w:val="en-US"/>
              </w:rPr>
              <w:t>45</w:t>
            </w:r>
            <w:r w:rsidRPr="00C414C8">
              <w:rPr>
                <w:rFonts w:eastAsia="Times New Roman" w:cs="Arial"/>
                <w:color w:val="000000"/>
                <w:sz w:val="18"/>
                <w:szCs w:val="18"/>
                <w:lang w:val="en-US"/>
              </w:rPr>
              <w:t>C</w:t>
            </w:r>
            <w:r>
              <w:rPr>
                <w:rFonts w:eastAsia="Times New Roman" w:cs="Arial"/>
                <w:color w:val="000000"/>
                <w:sz w:val="18"/>
                <w:szCs w:val="18"/>
                <w:lang w:val="en-US"/>
              </w:rPr>
              <w:t>3</w:t>
            </w:r>
          </w:p>
        </w:tc>
        <w:tc>
          <w:tcPr>
            <w:tcW w:w="2170" w:type="pct"/>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tcPr>
          <w:p w14:paraId="3EB6A7F1" w14:textId="2FF3D7DE" w:rsidR="00326568" w:rsidRPr="008464D8" w:rsidRDefault="00767ED0" w:rsidP="002D59A0">
            <w:pPr>
              <w:spacing w:before="120" w:after="120"/>
              <w:rPr>
                <w:rFonts w:eastAsia="Times New Roman" w:cs="Arial"/>
                <w:color w:val="000000"/>
                <w:sz w:val="18"/>
                <w:szCs w:val="18"/>
                <w:lang w:val="en-US"/>
              </w:rPr>
            </w:pPr>
            <w:r>
              <w:rPr>
                <w:rFonts w:eastAsia="Times New Roman" w:cs="Arial"/>
                <w:color w:val="000000"/>
                <w:sz w:val="18"/>
                <w:szCs w:val="18"/>
                <w:lang w:val="en-US"/>
              </w:rPr>
              <w:t>Matrix</w:t>
            </w:r>
            <w:r w:rsidR="00326568" w:rsidRPr="00C414C8">
              <w:rPr>
                <w:rFonts w:eastAsia="Times New Roman" w:cs="Arial"/>
                <w:color w:val="000000"/>
                <w:sz w:val="18"/>
                <w:szCs w:val="18"/>
                <w:lang w:val="en-US"/>
              </w:rPr>
              <w:t xml:space="preserve"> - Moderate MDC</w:t>
            </w:r>
            <w:r w:rsidR="000B3731">
              <w:rPr>
                <w:rFonts w:eastAsia="Times New Roman" w:cs="Arial"/>
                <w:color w:val="000000"/>
                <w:sz w:val="18"/>
                <w:szCs w:val="18"/>
                <w:lang w:val="en-US"/>
              </w:rPr>
              <w:t xml:space="preserve"> Grouping</w:t>
            </w:r>
          </w:p>
        </w:tc>
        <w:tc>
          <w:tcPr>
            <w:tcW w:w="75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94501F5" w14:textId="2FA70B97" w:rsidR="00326568" w:rsidRPr="008464D8" w:rsidRDefault="00767ED0" w:rsidP="002D59A0">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767ED0">
              <w:rPr>
                <w:rFonts w:eastAsia="Times New Roman" w:cs="Arial"/>
                <w:color w:val="000000"/>
                <w:sz w:val="18"/>
                <w:szCs w:val="18"/>
                <w:lang w:val="en-US"/>
              </w:rPr>
              <w:t>628.5</w:t>
            </w:r>
            <w:r>
              <w:rPr>
                <w:rFonts w:eastAsia="Times New Roman" w:cs="Arial"/>
                <w:color w:val="000000"/>
                <w:sz w:val="18"/>
                <w:szCs w:val="18"/>
                <w:lang w:val="en-US"/>
              </w:rPr>
              <w:t>0</w:t>
            </w:r>
          </w:p>
        </w:tc>
      </w:tr>
      <w:tr w:rsidR="00326568" w:rsidRPr="008464D8" w14:paraId="24CE420D" w14:textId="77777777" w:rsidTr="001751A8">
        <w:trPr>
          <w:trHeight w:val="300"/>
        </w:trPr>
        <w:tc>
          <w:tcPr>
            <w:tcW w:w="657"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137529B1" w14:textId="77777777" w:rsidR="00326568" w:rsidRPr="008464D8" w:rsidRDefault="00326568" w:rsidP="002D59A0">
            <w:pPr>
              <w:spacing w:before="120" w:after="120"/>
              <w:rPr>
                <w:rFonts w:eastAsia="Times New Roman" w:cs="Arial"/>
                <w:color w:val="000000"/>
                <w:sz w:val="18"/>
                <w:szCs w:val="18"/>
                <w:lang w:val="en-US"/>
              </w:rPr>
            </w:pPr>
          </w:p>
        </w:tc>
        <w:tc>
          <w:tcPr>
            <w:tcW w:w="850"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tcPr>
          <w:p w14:paraId="10CD1E1B" w14:textId="77777777" w:rsidR="00326568" w:rsidRDefault="00326568" w:rsidP="002D59A0">
            <w:pPr>
              <w:spacing w:before="120" w:after="120"/>
              <w:rPr>
                <w:rFonts w:eastAsia="Times New Roman" w:cs="Arial"/>
                <w:color w:val="000000"/>
                <w:sz w:val="18"/>
                <w:szCs w:val="18"/>
                <w:lang w:val="en-US"/>
              </w:rPr>
            </w:pPr>
          </w:p>
        </w:tc>
        <w:tc>
          <w:tcPr>
            <w:tcW w:w="569" w:type="pct"/>
            <w:tcBorders>
              <w:top w:val="single" w:sz="4" w:space="0" w:color="808080" w:themeColor="background2" w:themeShade="80"/>
              <w:left w:val="single" w:sz="4" w:space="0" w:color="808080" w:themeColor="background2" w:themeShade="80"/>
              <w:bottom w:val="single" w:sz="4" w:space="0" w:color="808080" w:themeColor="background2" w:themeShade="80"/>
              <w:right w:val="nil"/>
            </w:tcBorders>
            <w:shd w:val="clear" w:color="auto" w:fill="auto"/>
            <w:noWrap/>
            <w:vAlign w:val="center"/>
          </w:tcPr>
          <w:p w14:paraId="2808AB21" w14:textId="649A7BF4" w:rsidR="00326568" w:rsidRPr="008464D8" w:rsidRDefault="00D05F18" w:rsidP="002D59A0">
            <w:pPr>
              <w:spacing w:before="120" w:after="120"/>
              <w:rPr>
                <w:rFonts w:eastAsia="Times New Roman" w:cs="Arial"/>
                <w:color w:val="000000"/>
                <w:sz w:val="18"/>
                <w:szCs w:val="18"/>
                <w:lang w:val="en-US"/>
              </w:rPr>
            </w:pPr>
            <w:r w:rsidRPr="00C414C8">
              <w:rPr>
                <w:rFonts w:eastAsia="Times New Roman" w:cs="Arial"/>
                <w:color w:val="000000"/>
                <w:sz w:val="18"/>
                <w:szCs w:val="18"/>
                <w:lang w:val="en-US"/>
              </w:rPr>
              <w:t>A</w:t>
            </w:r>
            <w:r>
              <w:rPr>
                <w:rFonts w:eastAsia="Times New Roman" w:cs="Arial"/>
                <w:color w:val="000000"/>
                <w:sz w:val="18"/>
                <w:szCs w:val="18"/>
                <w:lang w:val="en-US"/>
              </w:rPr>
              <w:t>45</w:t>
            </w:r>
            <w:r w:rsidRPr="00C414C8">
              <w:rPr>
                <w:rFonts w:eastAsia="Times New Roman" w:cs="Arial"/>
                <w:color w:val="000000"/>
                <w:sz w:val="18"/>
                <w:szCs w:val="18"/>
                <w:lang w:val="en-US"/>
              </w:rPr>
              <w:t>C</w:t>
            </w:r>
            <w:r>
              <w:rPr>
                <w:rFonts w:eastAsia="Times New Roman" w:cs="Arial"/>
                <w:color w:val="000000"/>
                <w:sz w:val="18"/>
                <w:szCs w:val="18"/>
                <w:lang w:val="en-US"/>
              </w:rPr>
              <w:t>4</w:t>
            </w:r>
          </w:p>
        </w:tc>
        <w:tc>
          <w:tcPr>
            <w:tcW w:w="2170" w:type="pct"/>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tcPr>
          <w:p w14:paraId="6F99E91A" w14:textId="6766AEE2" w:rsidR="00326568" w:rsidRPr="008464D8" w:rsidRDefault="00767ED0" w:rsidP="002D59A0">
            <w:pPr>
              <w:spacing w:before="120" w:after="120"/>
              <w:rPr>
                <w:rFonts w:eastAsia="Times New Roman" w:cs="Arial"/>
                <w:color w:val="000000"/>
                <w:sz w:val="18"/>
                <w:szCs w:val="18"/>
                <w:lang w:val="en-US"/>
              </w:rPr>
            </w:pPr>
            <w:r>
              <w:rPr>
                <w:rFonts w:eastAsia="Times New Roman" w:cs="Arial"/>
                <w:color w:val="000000"/>
                <w:sz w:val="18"/>
                <w:szCs w:val="18"/>
                <w:lang w:val="en-US"/>
              </w:rPr>
              <w:t>Matrix</w:t>
            </w:r>
            <w:r w:rsidR="00326568" w:rsidRPr="00C414C8">
              <w:rPr>
                <w:rFonts w:eastAsia="Times New Roman" w:cs="Arial"/>
                <w:color w:val="000000"/>
                <w:sz w:val="18"/>
                <w:szCs w:val="18"/>
                <w:lang w:val="en-US"/>
              </w:rPr>
              <w:t xml:space="preserve"> - Low MDC</w:t>
            </w:r>
            <w:r w:rsidR="000B3731">
              <w:rPr>
                <w:rFonts w:eastAsia="Times New Roman" w:cs="Arial"/>
                <w:color w:val="000000"/>
                <w:sz w:val="18"/>
                <w:szCs w:val="18"/>
                <w:lang w:val="en-US"/>
              </w:rPr>
              <w:t xml:space="preserve"> Grouping</w:t>
            </w:r>
          </w:p>
        </w:tc>
        <w:tc>
          <w:tcPr>
            <w:tcW w:w="75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74881D05" w14:textId="09341F72" w:rsidR="00326568" w:rsidRPr="008464D8" w:rsidRDefault="00767ED0" w:rsidP="002D59A0">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767ED0">
              <w:rPr>
                <w:rFonts w:eastAsia="Times New Roman" w:cs="Arial"/>
                <w:color w:val="000000"/>
                <w:sz w:val="18"/>
                <w:szCs w:val="18"/>
                <w:lang w:val="en-US"/>
              </w:rPr>
              <w:t>453.37</w:t>
            </w:r>
          </w:p>
        </w:tc>
      </w:tr>
    </w:tbl>
    <w:p w14:paraId="278430E1" w14:textId="77777777" w:rsidR="00DA6235" w:rsidRDefault="00DA6235" w:rsidP="005C0F82"/>
    <w:p w14:paraId="100A3D79" w14:textId="4FAF4948" w:rsidR="005A53E4" w:rsidRDefault="00F710AF" w:rsidP="00F710AF">
      <w:pPr>
        <w:pStyle w:val="Heading2"/>
      </w:pPr>
      <w:bookmarkStart w:id="10" w:name="_Ref119916175"/>
      <w:bookmarkStart w:id="11" w:name="_Toc121130773"/>
      <w:r>
        <w:t>Application of General Use Item bundles</w:t>
      </w:r>
      <w:bookmarkEnd w:id="10"/>
      <w:bookmarkEnd w:id="11"/>
    </w:p>
    <w:p w14:paraId="4F86FE4D" w14:textId="3325A03A" w:rsidR="00A4476D" w:rsidRDefault="00A4476D" w:rsidP="005C0F82">
      <w:r>
        <w:t>The</w:t>
      </w:r>
      <w:r w:rsidR="001175EF">
        <w:t xml:space="preserve"> purpose of IHACPA’s advice is to support the private health sector in establishing arrangements for the payment of benefits for GUIs, as an alternative </w:t>
      </w:r>
      <w:r w:rsidR="004B3A34">
        <w:t xml:space="preserve">to, and </w:t>
      </w:r>
      <w:r w:rsidR="00F0286F">
        <w:t xml:space="preserve">in </w:t>
      </w:r>
      <w:r w:rsidR="001175EF">
        <w:t>replacement of</w:t>
      </w:r>
      <w:r w:rsidR="004B3A34">
        <w:t>,</w:t>
      </w:r>
      <w:r w:rsidR="001175EF">
        <w:t xml:space="preserve"> the current PL payment mechanism.</w:t>
      </w:r>
    </w:p>
    <w:p w14:paraId="698C868F" w14:textId="77777777" w:rsidR="00D33166" w:rsidRDefault="004B3A34" w:rsidP="005C0F82">
      <w:r>
        <w:t xml:space="preserve">IHACPA has defined GUI bundles </w:t>
      </w:r>
      <w:r w:rsidR="001D2F72">
        <w:t xml:space="preserve">so that they may </w:t>
      </w:r>
      <w:r>
        <w:t xml:space="preserve">be </w:t>
      </w:r>
      <w:r w:rsidR="001D2F72">
        <w:t xml:space="preserve">applied in a way that is consistent with the current practice of raising charges and paying benefits for usage of items </w:t>
      </w:r>
      <w:r w:rsidR="00415DEE">
        <w:t xml:space="preserve">listed </w:t>
      </w:r>
      <w:r w:rsidR="001D2F72">
        <w:t xml:space="preserve">on the PL. </w:t>
      </w:r>
    </w:p>
    <w:p w14:paraId="03C6A09B" w14:textId="3C75DC17" w:rsidR="00AD1085" w:rsidRDefault="001D2F72" w:rsidP="005C0F82">
      <w:r>
        <w:t>Specifically,</w:t>
      </w:r>
      <w:r w:rsidR="00F0286F">
        <w:t xml:space="preserve"> </w:t>
      </w:r>
      <w:r w:rsidR="00490001">
        <w:t xml:space="preserve">the application of GUI bundles would require </w:t>
      </w:r>
      <w:r>
        <w:t xml:space="preserve">providers </w:t>
      </w:r>
      <w:r w:rsidR="00F0286F">
        <w:t xml:space="preserve">(i.e. hospitals) </w:t>
      </w:r>
      <w:r w:rsidR="00490001">
        <w:t xml:space="preserve">to </w:t>
      </w:r>
      <w:r>
        <w:t>rais</w:t>
      </w:r>
      <w:r w:rsidR="00F0286F">
        <w:t>e</w:t>
      </w:r>
      <w:r>
        <w:t xml:space="preserve"> </w:t>
      </w:r>
      <w:r w:rsidR="00490001">
        <w:t xml:space="preserve">a GUI bundle charge against an admitted episode in which </w:t>
      </w:r>
      <w:r w:rsidR="008D6E19">
        <w:t xml:space="preserve">one or more </w:t>
      </w:r>
      <w:r w:rsidR="00490001">
        <w:t xml:space="preserve">items from a particular GUI product class </w:t>
      </w:r>
      <w:r w:rsidR="00E20F03">
        <w:t>were</w:t>
      </w:r>
      <w:r w:rsidR="00490001">
        <w:t xml:space="preserve"> used. There may be multiple bundle charges raised</w:t>
      </w:r>
      <w:r w:rsidR="00AD1085">
        <w:t xml:space="preserve"> against an individual episode in cases where items across multiple product classes are used. However, </w:t>
      </w:r>
      <w:r w:rsidR="00D33166">
        <w:t>a single episode can</w:t>
      </w:r>
      <w:r w:rsidR="00BC6852">
        <w:t xml:space="preserve">not have multiple bundle charges raised for a single </w:t>
      </w:r>
      <w:r w:rsidR="00D33166">
        <w:t>GUI product class</w:t>
      </w:r>
      <w:r w:rsidR="00AD1085">
        <w:t>.</w:t>
      </w:r>
    </w:p>
    <w:p w14:paraId="5F46CEB2" w14:textId="008F9A48" w:rsidR="00025BEC" w:rsidRDefault="00AD1085" w:rsidP="005C0F82">
      <w:r>
        <w:t>In response</w:t>
      </w:r>
      <w:r w:rsidR="00E20F03">
        <w:t xml:space="preserve"> to a raised GUI bundle charge</w:t>
      </w:r>
      <w:r>
        <w:t xml:space="preserve">, </w:t>
      </w:r>
      <w:r w:rsidR="00791671">
        <w:t xml:space="preserve">an </w:t>
      </w:r>
      <w:r>
        <w:t>insurer would pay a benefit to the provider that is consistent with the agreed bundle benefit of the GUI bundle.</w:t>
      </w:r>
    </w:p>
    <w:p w14:paraId="14ECF315" w14:textId="1D5E5CFF" w:rsidR="00AD1085" w:rsidRDefault="00025BEC" w:rsidP="005C0F82">
      <w:r>
        <w:lastRenderedPageBreak/>
        <w:t xml:space="preserve">As illustrated in </w:t>
      </w:r>
      <w:r>
        <w:fldChar w:fldCharType="begin"/>
      </w:r>
      <w:r>
        <w:instrText xml:space="preserve"> REF _Ref119852721 \h </w:instrText>
      </w:r>
      <w:r>
        <w:fldChar w:fldCharType="separate"/>
      </w:r>
      <w:r w:rsidR="00106CD4">
        <w:t xml:space="preserve">Table </w:t>
      </w:r>
      <w:r w:rsidR="00106CD4">
        <w:rPr>
          <w:noProof/>
        </w:rPr>
        <w:t>1</w:t>
      </w:r>
      <w:r>
        <w:fldChar w:fldCharType="end"/>
      </w:r>
      <w:r>
        <w:t xml:space="preserve">, each GUI bundle </w:t>
      </w:r>
      <w:r w:rsidR="00110898">
        <w:t xml:space="preserve">variant </w:t>
      </w:r>
      <w:r>
        <w:t>is identified using a five-character code (e.g. the ‘</w:t>
      </w:r>
      <w:r w:rsidRPr="00025BEC">
        <w:t>Matrix - Private Overnight Facilities</w:t>
      </w:r>
      <w:r>
        <w:t>’</w:t>
      </w:r>
      <w:r w:rsidRPr="00025BEC">
        <w:t xml:space="preserve"> </w:t>
      </w:r>
      <w:r>
        <w:t xml:space="preserve">bundle variant is identified by the code </w:t>
      </w:r>
      <w:r w:rsidRPr="00025BEC">
        <w:t>A45B1</w:t>
      </w:r>
      <w:r>
        <w:t>).</w:t>
      </w:r>
      <w:r w:rsidR="00110898">
        <w:t xml:space="preserve"> These codes have been designed in this way so that GUI bundle charge and benefit information may be captured within the existing HCP Prosthesis data collection, similar to the capture of PL </w:t>
      </w:r>
      <w:r w:rsidR="00A75239">
        <w:t xml:space="preserve">charge and benefit </w:t>
      </w:r>
      <w:r w:rsidR="00110898">
        <w:t>information using five-character PL billing codes.</w:t>
      </w:r>
    </w:p>
    <w:p w14:paraId="5C6D720D" w14:textId="10892D09" w:rsidR="0018569B" w:rsidRDefault="00E20F03" w:rsidP="00B577DE">
      <w:r>
        <w:t xml:space="preserve">Each of the three </w:t>
      </w:r>
      <w:r w:rsidR="00AD1085">
        <w:t>types of GUI bundle variants</w:t>
      </w:r>
      <w:r>
        <w:t xml:space="preserve">, together with </w:t>
      </w:r>
      <w:r w:rsidR="00D33166">
        <w:t>their</w:t>
      </w:r>
      <w:r>
        <w:t xml:space="preserve"> bundle benefits, </w:t>
      </w:r>
      <w:r w:rsidR="003404B6">
        <w:t xml:space="preserve">have </w:t>
      </w:r>
      <w:r>
        <w:t xml:space="preserve">been defined so that, </w:t>
      </w:r>
      <w:r w:rsidR="003404B6">
        <w:t xml:space="preserve">when </w:t>
      </w:r>
      <w:r>
        <w:t xml:space="preserve">applied across </w:t>
      </w:r>
      <w:r w:rsidR="00B577DE">
        <w:t>all privately insured admitted episodes</w:t>
      </w:r>
      <w:r>
        <w:t xml:space="preserve">, </w:t>
      </w:r>
      <w:r w:rsidR="003404B6">
        <w:t>they</w:t>
      </w:r>
      <w:r>
        <w:t xml:space="preserve"> </w:t>
      </w:r>
      <w:r w:rsidR="00B577DE">
        <w:t xml:space="preserve">are estimated to </w:t>
      </w:r>
      <w:r>
        <w:t xml:space="preserve">deliver the same </w:t>
      </w:r>
      <w:r w:rsidR="00B577DE">
        <w:t xml:space="preserve">total </w:t>
      </w:r>
      <w:r>
        <w:t>amount of GUI benefits as would be distributed by the current PL payment mechanism using the March 2023 PL scheduled benefits.</w:t>
      </w:r>
      <w:r w:rsidR="0018569B">
        <w:t xml:space="preserve"> </w:t>
      </w:r>
      <w:r w:rsidR="00C1306C">
        <w:t>In this way, the bundle benefit of each variant is defined at a national level.</w:t>
      </w:r>
    </w:p>
    <w:p w14:paraId="1A420D48" w14:textId="79915B1A" w:rsidR="004A21CC" w:rsidRDefault="00C1306C" w:rsidP="00B577DE">
      <w:r>
        <w:t xml:space="preserve">In contrast, </w:t>
      </w:r>
      <w:r w:rsidR="004A21CC">
        <w:t>individual provider</w:t>
      </w:r>
      <w:r>
        <w:t>s</w:t>
      </w:r>
      <w:r w:rsidR="004A21CC">
        <w:t xml:space="preserve"> or insurer</w:t>
      </w:r>
      <w:r>
        <w:t>s</w:t>
      </w:r>
      <w:r w:rsidR="004A21CC">
        <w:t xml:space="preserve"> will have their own observed mix of GUI </w:t>
      </w:r>
      <w:proofErr w:type="spellStart"/>
      <w:r w:rsidR="004A21CC">
        <w:t>utilisation</w:t>
      </w:r>
      <w:proofErr w:type="spellEnd"/>
      <w:r w:rsidR="004A21CC">
        <w:t xml:space="preserve"> across admitted episodes</w:t>
      </w:r>
      <w:r w:rsidR="00836ECA">
        <w:t xml:space="preserve">, resulting in variation in </w:t>
      </w:r>
      <w:r w:rsidR="00BC4946">
        <w:t xml:space="preserve">their </w:t>
      </w:r>
      <w:r w:rsidR="00836ECA">
        <w:t xml:space="preserve">average </w:t>
      </w:r>
      <w:r w:rsidR="007463FE">
        <w:t>PL</w:t>
      </w:r>
      <w:r w:rsidR="00836ECA">
        <w:t xml:space="preserve"> benefits per episode</w:t>
      </w:r>
      <w:r>
        <w:t xml:space="preserve"> </w:t>
      </w:r>
      <w:r w:rsidR="007463FE">
        <w:t xml:space="preserve">for GUIs </w:t>
      </w:r>
      <w:r>
        <w:t xml:space="preserve">compared with the </w:t>
      </w:r>
      <w:r w:rsidR="007463FE">
        <w:t xml:space="preserve">nationally defined </w:t>
      </w:r>
      <w:r>
        <w:t>bundle benefit</w:t>
      </w:r>
      <w:r w:rsidR="00836ECA">
        <w:t>. The</w:t>
      </w:r>
      <w:r w:rsidR="00BC4946">
        <w:t>ir</w:t>
      </w:r>
      <w:r w:rsidR="00836ECA">
        <w:t xml:space="preserve"> observed variation in average </w:t>
      </w:r>
      <w:r w:rsidR="007463FE">
        <w:t>PL</w:t>
      </w:r>
      <w:r w:rsidR="00836ECA">
        <w:t xml:space="preserve"> benefits per episode is driven by variation in average </w:t>
      </w:r>
      <w:r w:rsidR="007463FE">
        <w:t xml:space="preserve">PL </w:t>
      </w:r>
      <w:r w:rsidR="00836ECA">
        <w:t xml:space="preserve">benefit per item (i.e. differences in the types of GUI products used), combined with variation in the average number of items used per episode. Smaller providers or insurers may </w:t>
      </w:r>
      <w:r w:rsidR="00EA05D2">
        <w:t xml:space="preserve">be susceptible to greater </w:t>
      </w:r>
      <w:r w:rsidR="00836ECA">
        <w:t xml:space="preserve">variation in their average </w:t>
      </w:r>
      <w:r w:rsidR="007463FE">
        <w:t xml:space="preserve">PL </w:t>
      </w:r>
      <w:r w:rsidR="00836ECA">
        <w:t xml:space="preserve">benefits per episode due to </w:t>
      </w:r>
      <w:r w:rsidR="00A4596F">
        <w:t xml:space="preserve">the </w:t>
      </w:r>
      <w:r w:rsidR="00EA05D2">
        <w:t xml:space="preserve">increased influence of individual episodes with unusual </w:t>
      </w:r>
      <w:r w:rsidR="00BC4946">
        <w:t xml:space="preserve">patterns </w:t>
      </w:r>
      <w:r w:rsidR="00EA05D2">
        <w:t xml:space="preserve">of GUI </w:t>
      </w:r>
      <w:proofErr w:type="spellStart"/>
      <w:r w:rsidR="00EA05D2">
        <w:t>utilisation</w:t>
      </w:r>
      <w:proofErr w:type="spellEnd"/>
      <w:r w:rsidR="00EA05D2">
        <w:t>.</w:t>
      </w:r>
    </w:p>
    <w:p w14:paraId="4FDE2FE7" w14:textId="78CDE9D5" w:rsidR="00BC4946" w:rsidRDefault="00E916DD" w:rsidP="00B577DE">
      <w:r>
        <w:t xml:space="preserve">To provide insurers and providers with </w:t>
      </w:r>
      <w:r w:rsidR="002302C3">
        <w:t xml:space="preserve">the ability to compare their own observed variation against the national profile, IHACPA’s advice includes </w:t>
      </w:r>
      <w:r w:rsidR="007463FE">
        <w:t xml:space="preserve">GUI </w:t>
      </w:r>
      <w:r w:rsidR="002302C3">
        <w:t>percentile statistics for</w:t>
      </w:r>
      <w:r w:rsidR="007463FE">
        <w:t xml:space="preserve"> ‘average PL benefits per episode’, ‘average PL benefits per item’ and ‘average items per episode’</w:t>
      </w:r>
      <w:r w:rsidR="002302C3">
        <w:t xml:space="preserve"> </w:t>
      </w:r>
      <w:r w:rsidR="007463FE">
        <w:t xml:space="preserve">across </w:t>
      </w:r>
      <w:r w:rsidR="002302C3">
        <w:t xml:space="preserve">all bundle variants and for different </w:t>
      </w:r>
      <w:r w:rsidR="007463FE">
        <w:t xml:space="preserve">volumes of </w:t>
      </w:r>
      <w:r w:rsidR="002302C3">
        <w:t>episode</w:t>
      </w:r>
      <w:r w:rsidR="007463FE">
        <w:t>s</w:t>
      </w:r>
      <w:r w:rsidR="002302C3">
        <w:t xml:space="preserve"> (</w:t>
      </w:r>
      <w:r w:rsidR="002302C3">
        <w:fldChar w:fldCharType="begin"/>
      </w:r>
      <w:r w:rsidR="002302C3">
        <w:instrText xml:space="preserve"> REF _Ref119920263 \h </w:instrText>
      </w:r>
      <w:r w:rsidR="002302C3">
        <w:fldChar w:fldCharType="separate"/>
      </w:r>
      <w:r w:rsidR="00106CD4">
        <w:t>Appendix D – General Use Item bundle variation statistics</w:t>
      </w:r>
      <w:r w:rsidR="002302C3">
        <w:fldChar w:fldCharType="end"/>
      </w:r>
      <w:r w:rsidR="002302C3">
        <w:t>).</w:t>
      </w:r>
    </w:p>
    <w:p w14:paraId="3224F9C4" w14:textId="1931610E" w:rsidR="00E916DD" w:rsidRDefault="00C77C99" w:rsidP="00B577DE">
      <w:r>
        <w:t xml:space="preserve">The purpose of this information is to </w:t>
      </w:r>
      <w:r w:rsidR="00A4596F">
        <w:t>enable</w:t>
      </w:r>
      <w:r>
        <w:t xml:space="preserve"> insurers and providers </w:t>
      </w:r>
      <w:r w:rsidR="007463FE">
        <w:t xml:space="preserve">to </w:t>
      </w:r>
      <w:r>
        <w:t xml:space="preserve">understand how their GUI </w:t>
      </w:r>
      <w:proofErr w:type="spellStart"/>
      <w:r>
        <w:t>utilisation</w:t>
      </w:r>
      <w:proofErr w:type="spellEnd"/>
      <w:r>
        <w:t xml:space="preserve"> compares nationally, and to provide an information base </w:t>
      </w:r>
      <w:r w:rsidR="007463FE">
        <w:t xml:space="preserve">for use </w:t>
      </w:r>
      <w:r>
        <w:t xml:space="preserve">in cases where </w:t>
      </w:r>
      <w:r w:rsidR="007463FE">
        <w:t xml:space="preserve">insurers and providers are able to negotiate </w:t>
      </w:r>
      <w:r w:rsidR="00A4596F">
        <w:t>variations</w:t>
      </w:r>
      <w:r w:rsidR="007463FE">
        <w:t xml:space="preserve"> from </w:t>
      </w:r>
      <w:r>
        <w:t>IHACPA’s advi</w:t>
      </w:r>
      <w:r w:rsidR="007463FE">
        <w:t xml:space="preserve">ce on </w:t>
      </w:r>
      <w:r>
        <w:t>bundle benefits</w:t>
      </w:r>
      <w:r w:rsidR="007463FE">
        <w:t>.</w:t>
      </w:r>
    </w:p>
    <w:p w14:paraId="1A76AB3B" w14:textId="3A25CAAC" w:rsidR="005229E3" w:rsidRDefault="00045A56" w:rsidP="00B577DE">
      <w:r>
        <w:t>Finally, t</w:t>
      </w:r>
      <w:r w:rsidR="00B577DE">
        <w:t xml:space="preserve">he GUI bundles have been designed </w:t>
      </w:r>
      <w:r w:rsidR="003842F9">
        <w:t xml:space="preserve">so that different </w:t>
      </w:r>
      <w:r w:rsidR="005229E3">
        <w:t xml:space="preserve">variant types </w:t>
      </w:r>
      <w:r w:rsidR="003842F9">
        <w:t xml:space="preserve">may be adopted </w:t>
      </w:r>
      <w:r w:rsidR="005229E3">
        <w:t>across</w:t>
      </w:r>
      <w:r w:rsidR="003842F9">
        <w:t xml:space="preserve"> </w:t>
      </w:r>
      <w:r w:rsidR="005229E3">
        <w:t>different GUI product classes. However, the three types of variants are not designed for combined use within a single GUI product class.</w:t>
      </w:r>
    </w:p>
    <w:p w14:paraId="7B9FF330" w14:textId="09D86B78" w:rsidR="005229E3" w:rsidRDefault="003842F9" w:rsidP="00B577DE">
      <w:r>
        <w:t xml:space="preserve">In cases where providers and insurers </w:t>
      </w:r>
      <w:r w:rsidR="00C75D74">
        <w:t xml:space="preserve">are </w:t>
      </w:r>
      <w:r>
        <w:t>able to negotiate</w:t>
      </w:r>
      <w:r w:rsidR="00C75D74">
        <w:t xml:space="preserve"> alternative arrangements</w:t>
      </w:r>
      <w:r w:rsidR="00E71A16">
        <w:t xml:space="preserve">, bundle variants could be </w:t>
      </w:r>
      <w:r w:rsidR="00C75D74">
        <w:t xml:space="preserve">selected to suit circumstances. </w:t>
      </w:r>
      <w:r w:rsidR="005229E3">
        <w:t xml:space="preserve">In cases where there is no opportunity or ability for a </w:t>
      </w:r>
      <w:r w:rsidR="00C75D74">
        <w:t xml:space="preserve">negotiated </w:t>
      </w:r>
      <w:r w:rsidR="005229E3">
        <w:t>approach, then</w:t>
      </w:r>
      <w:r w:rsidR="003B34C2">
        <w:t xml:space="preserve"> </w:t>
      </w:r>
      <w:r w:rsidR="00C75D74">
        <w:t xml:space="preserve">a </w:t>
      </w:r>
      <w:r w:rsidR="00B1411C">
        <w:t xml:space="preserve">possible hierarchical </w:t>
      </w:r>
      <w:r w:rsidR="003B34C2">
        <w:t xml:space="preserve">approach to the adoption of </w:t>
      </w:r>
      <w:r w:rsidR="00C75D74">
        <w:t xml:space="preserve">GUI </w:t>
      </w:r>
      <w:r w:rsidR="003B34C2">
        <w:t>bundle variants would be:</w:t>
      </w:r>
    </w:p>
    <w:p w14:paraId="018E1583" w14:textId="400F6ACB" w:rsidR="003B34C2" w:rsidRDefault="003B34C2" w:rsidP="007102CA">
      <w:pPr>
        <w:pStyle w:val="ListParagraph"/>
        <w:numPr>
          <w:ilvl w:val="0"/>
          <w:numId w:val="14"/>
        </w:numPr>
      </w:pPr>
      <w:r>
        <w:t>If a provider</w:t>
      </w:r>
      <w:r w:rsidR="00B1411C">
        <w:t>’s</w:t>
      </w:r>
      <w:r>
        <w:t xml:space="preserve"> </w:t>
      </w:r>
      <w:r w:rsidR="00C75D74">
        <w:t xml:space="preserve">GUI </w:t>
      </w:r>
      <w:r w:rsidR="003842F9">
        <w:t xml:space="preserve">charge </w:t>
      </w:r>
      <w:r w:rsidR="00B1411C">
        <w:t xml:space="preserve">data includes sufficient clinical information </w:t>
      </w:r>
      <w:r w:rsidR="00894C61">
        <w:t>(i.e. ICD-10-AM diagnosis codes and ACHI intervention codes</w:t>
      </w:r>
      <w:r w:rsidR="00163D61">
        <w:rPr>
          <w:rStyle w:val="FootnoteReference"/>
        </w:rPr>
        <w:footnoteReference w:id="1"/>
      </w:r>
      <w:r w:rsidR="00894C61">
        <w:t xml:space="preserve">) </w:t>
      </w:r>
      <w:r w:rsidR="00B1411C">
        <w:t xml:space="preserve">to enable episodes to be classified </w:t>
      </w:r>
      <w:r w:rsidR="003842F9">
        <w:t xml:space="preserve">by </w:t>
      </w:r>
      <w:r w:rsidR="00B1411C">
        <w:t xml:space="preserve">AR-DRG, then </w:t>
      </w:r>
      <w:r>
        <w:t xml:space="preserve">use MDC-based </w:t>
      </w:r>
      <w:r w:rsidR="00B1411C">
        <w:t>bundle v</w:t>
      </w:r>
      <w:r>
        <w:t>ariants</w:t>
      </w:r>
    </w:p>
    <w:p w14:paraId="42DBE73B" w14:textId="1A72CC41" w:rsidR="003B34C2" w:rsidRDefault="00B1411C" w:rsidP="007102CA">
      <w:pPr>
        <w:pStyle w:val="ListParagraph"/>
        <w:numPr>
          <w:ilvl w:val="0"/>
          <w:numId w:val="14"/>
        </w:numPr>
      </w:pPr>
      <w:r>
        <w:t>Else if the provider</w:t>
      </w:r>
      <w:r w:rsidR="003842F9">
        <w:t xml:space="preserve">’s </w:t>
      </w:r>
      <w:r w:rsidR="00D16327">
        <w:t xml:space="preserve">GUI </w:t>
      </w:r>
      <w:r w:rsidR="003842F9">
        <w:t xml:space="preserve">charge </w:t>
      </w:r>
      <w:r>
        <w:t xml:space="preserve">data includes </w:t>
      </w:r>
      <w:r w:rsidR="003B34C2">
        <w:t xml:space="preserve">facility type, then use facility type </w:t>
      </w:r>
      <w:r>
        <w:t xml:space="preserve">bundle </w:t>
      </w:r>
      <w:r w:rsidR="003B34C2">
        <w:t>variants</w:t>
      </w:r>
    </w:p>
    <w:p w14:paraId="74CFD377" w14:textId="6037BFC9" w:rsidR="003B34C2" w:rsidRDefault="003B34C2" w:rsidP="007102CA">
      <w:pPr>
        <w:pStyle w:val="ListParagraph"/>
        <w:numPr>
          <w:ilvl w:val="0"/>
          <w:numId w:val="14"/>
        </w:numPr>
      </w:pPr>
      <w:r>
        <w:t>Otherwise use product bundle variants.</w:t>
      </w:r>
    </w:p>
    <w:p w14:paraId="5AC86E98" w14:textId="43706C36" w:rsidR="00F45D9D" w:rsidRDefault="00F45D9D" w:rsidP="007148BB"/>
    <w:bookmarkEnd w:id="2"/>
    <w:p w14:paraId="149F0CC2" w14:textId="01F7BF1C" w:rsidR="00DE43AA" w:rsidRDefault="00DE43AA" w:rsidP="007175ED">
      <w:r>
        <w:br w:type="page"/>
      </w:r>
    </w:p>
    <w:p w14:paraId="7FF09CB1" w14:textId="5551250B" w:rsidR="00374D0F" w:rsidRDefault="00DE43AA" w:rsidP="005C0F82">
      <w:pPr>
        <w:pStyle w:val="Heading1"/>
      </w:pPr>
      <w:r w:rsidRPr="005C0F82" w:rsidDel="0035149C">
        <w:lastRenderedPageBreak/>
        <w:t xml:space="preserve"> </w:t>
      </w:r>
      <w:bookmarkStart w:id="12" w:name="_Toc121130774"/>
      <w:r w:rsidR="00713ADC">
        <w:t>Background</w:t>
      </w:r>
      <w:bookmarkEnd w:id="12"/>
    </w:p>
    <w:p w14:paraId="7E7CCFF1" w14:textId="77777777" w:rsidR="00F96D99" w:rsidRDefault="00F96D99" w:rsidP="00F96D99">
      <w:pPr>
        <w:pStyle w:val="Heading2"/>
      </w:pPr>
      <w:bookmarkStart w:id="13" w:name="_Toc118831498"/>
      <w:bookmarkStart w:id="14" w:name="_Toc121130775"/>
      <w:r>
        <w:t>Independent Health and Aged Care Pricing Authority</w:t>
      </w:r>
      <w:bookmarkEnd w:id="13"/>
      <w:bookmarkEnd w:id="14"/>
    </w:p>
    <w:p w14:paraId="15423AA7" w14:textId="363AB7A4" w:rsidR="00F96D99" w:rsidRDefault="00F96D99" w:rsidP="00F96D99">
      <w:bookmarkStart w:id="15" w:name="_Hlk111467578"/>
      <w:r>
        <w:t xml:space="preserve">The Independent Health and Aged Care Pricing Authority (IHACPA) is an independent government agency established under the </w:t>
      </w:r>
      <w:r w:rsidRPr="00F70DD1">
        <w:rPr>
          <w:i/>
          <w:iCs/>
        </w:rPr>
        <w:t>National Health Reform Act 2011</w:t>
      </w:r>
      <w:r w:rsidRPr="007D77C6">
        <w:t xml:space="preserve"> </w:t>
      </w:r>
      <w:r>
        <w:t xml:space="preserve">(NHR Act) to improve health outcomes for all Australians and ensure the Australian health system is sustainable. IHACPA was originally established as the Independent Hospital Pricing Authority </w:t>
      </w:r>
      <w:r w:rsidR="00A548BD">
        <w:t xml:space="preserve">(IHPA) </w:t>
      </w:r>
      <w:r>
        <w:t xml:space="preserve">as part of the </w:t>
      </w:r>
      <w:r w:rsidRPr="00FF0BDF">
        <w:t>National Health Reform Agreement</w:t>
      </w:r>
      <w:r>
        <w:t xml:space="preserve"> reached by all Australian governments in 2011.</w:t>
      </w:r>
      <w:r>
        <w:rPr>
          <w:rStyle w:val="FootnoteReference"/>
        </w:rPr>
        <w:footnoteReference w:id="2"/>
      </w:r>
    </w:p>
    <w:p w14:paraId="28D0D3F0" w14:textId="77777777" w:rsidR="00F96D99" w:rsidRDefault="00F96D99" w:rsidP="00F96D99">
      <w:r>
        <w:t>Since its establishment in 2011, IHACPA's primary function has been to determine an annual national efficient price (NEP) for public hospital services. The NEP is a major determinant of the level of Australian Government funding for public hospital services and provides a price signal or benchmark for the efficient cost of providing public hospital services.</w:t>
      </w:r>
    </w:p>
    <w:p w14:paraId="6E5F6BA9" w14:textId="77777777" w:rsidR="00F96D99" w:rsidRDefault="00F96D99" w:rsidP="00F96D99">
      <w:r>
        <w:t>A</w:t>
      </w:r>
      <w:r w:rsidRPr="002A326D">
        <w:t xml:space="preserve">mendments to the NHR Act </w:t>
      </w:r>
      <w:r>
        <w:t xml:space="preserve">that </w:t>
      </w:r>
      <w:r w:rsidRPr="002A326D">
        <w:t xml:space="preserve">came into effect </w:t>
      </w:r>
      <w:r>
        <w:t xml:space="preserve">on </w:t>
      </w:r>
      <w:r w:rsidRPr="002A326D">
        <w:t>12 August 2022</w:t>
      </w:r>
      <w:r>
        <w:t xml:space="preserve"> expand </w:t>
      </w:r>
      <w:r w:rsidRPr="002A326D">
        <w:t>IHACPA</w:t>
      </w:r>
      <w:r>
        <w:t xml:space="preserve">’s role to include provision of </w:t>
      </w:r>
      <w:r w:rsidRPr="002A326D">
        <w:t xml:space="preserve">costing and pricing advice on aged care </w:t>
      </w:r>
      <w:r>
        <w:t xml:space="preserve">services </w:t>
      </w:r>
      <w:r w:rsidRPr="002A326D">
        <w:t xml:space="preserve">to the </w:t>
      </w:r>
      <w:r>
        <w:t>Australian</w:t>
      </w:r>
      <w:r w:rsidRPr="002A326D">
        <w:t xml:space="preserve"> Government.</w:t>
      </w:r>
    </w:p>
    <w:p w14:paraId="173DB57D" w14:textId="66974E4C" w:rsidR="00F96D99" w:rsidRPr="003C117D" w:rsidRDefault="00F96D99" w:rsidP="00F96D99">
      <w:r>
        <w:t xml:space="preserve">IHACPA also </w:t>
      </w:r>
      <w:r w:rsidRPr="00492D48">
        <w:t xml:space="preserve">plays a role in </w:t>
      </w:r>
      <w:r>
        <w:t xml:space="preserve">reforms to the </w:t>
      </w:r>
      <w:r w:rsidRPr="00492D48">
        <w:t xml:space="preserve">Prostheses List </w:t>
      </w:r>
      <w:r>
        <w:t xml:space="preserve">and its arrangements </w:t>
      </w:r>
      <w:r w:rsidRPr="00492D48">
        <w:t xml:space="preserve">by providing advice to the Australian Government Department of Health and Aged Care </w:t>
      </w:r>
      <w:r>
        <w:t xml:space="preserve">(the Department) </w:t>
      </w:r>
      <w:r w:rsidRPr="00492D48">
        <w:t>to support the implementation of the reforms.</w:t>
      </w:r>
      <w:bookmarkEnd w:id="15"/>
    </w:p>
    <w:p w14:paraId="35683A27" w14:textId="77777777" w:rsidR="00F96D99" w:rsidRDefault="00F96D99" w:rsidP="00F96D99">
      <w:pPr>
        <w:pStyle w:val="Heading2"/>
      </w:pPr>
      <w:bookmarkStart w:id="16" w:name="_Toc118831499"/>
      <w:bookmarkStart w:id="17" w:name="_Toc121130776"/>
      <w:r>
        <w:t>Prostheses List reform and the role of IHACPA</w:t>
      </w:r>
      <w:bookmarkEnd w:id="16"/>
      <w:bookmarkEnd w:id="17"/>
    </w:p>
    <w:p w14:paraId="7A8BB76A" w14:textId="77777777" w:rsidR="00F96D99" w:rsidRPr="00495495" w:rsidRDefault="00F96D99" w:rsidP="00F96D99">
      <w:r w:rsidRPr="00495495">
        <w:t>The Prostheses List (PL) is a schedule of medical devices and benefits that define</w:t>
      </w:r>
      <w:r>
        <w:t>s</w:t>
      </w:r>
      <w:r w:rsidRPr="00495495">
        <w:t xml:space="preserve"> the minimum amount private health insurers are required to pay hospitals that </w:t>
      </w:r>
      <w:proofErr w:type="spellStart"/>
      <w:r w:rsidRPr="00495495">
        <w:t>utilise</w:t>
      </w:r>
      <w:proofErr w:type="spellEnd"/>
      <w:r w:rsidRPr="00495495">
        <w:t xml:space="preserve"> these devices in the provision of care to privately insured individuals. The PL forms part of the </w:t>
      </w:r>
      <w:r w:rsidRPr="00A052DD">
        <w:t>Private Health Insurance (Prostheses) Rules</w:t>
      </w:r>
      <w:r w:rsidRPr="00495495">
        <w:t xml:space="preserve">, which is a legislative instrument made under the </w:t>
      </w:r>
      <w:r w:rsidRPr="00495495">
        <w:rPr>
          <w:i/>
          <w:iCs/>
        </w:rPr>
        <w:t>Private Health Insurance Act 2007</w:t>
      </w:r>
      <w:r w:rsidRPr="00495495">
        <w:t>.</w:t>
      </w:r>
    </w:p>
    <w:p w14:paraId="5D086820" w14:textId="77777777" w:rsidR="00F96D99" w:rsidRPr="00495495" w:rsidRDefault="00F96D99" w:rsidP="00F96D99">
      <w:r w:rsidRPr="00495495">
        <w:t>The PL uses billing codes to identify registered medical devices. There are 11,18</w:t>
      </w:r>
      <w:r>
        <w:t>3</w:t>
      </w:r>
      <w:r w:rsidRPr="00495495">
        <w:t xml:space="preserve"> billing codes specified in the </w:t>
      </w:r>
      <w:r>
        <w:t>August</w:t>
      </w:r>
      <w:r w:rsidRPr="00495495">
        <w:t xml:space="preserve"> 2022 publication of the PL, which are hierarchically </w:t>
      </w:r>
      <w:proofErr w:type="spellStart"/>
      <w:r w:rsidRPr="00495495">
        <w:t>categorised</w:t>
      </w:r>
      <w:proofErr w:type="spellEnd"/>
      <w:r w:rsidRPr="00495495">
        <w:t xml:space="preserve"> into parts, categories, subcategories, groups, subgroups and suffixes.</w:t>
      </w:r>
    </w:p>
    <w:p w14:paraId="268F6EF7" w14:textId="66CC79D1" w:rsidR="00F96D99" w:rsidRDefault="00F96D99" w:rsidP="00F96D99">
      <w:pPr>
        <w:rPr>
          <w:rFonts w:eastAsia="Arial" w:cs="Arial"/>
        </w:rPr>
      </w:pPr>
      <w:r w:rsidRPr="00E644E5">
        <w:t xml:space="preserve">In 2021, the Department commenced </w:t>
      </w:r>
      <w:r w:rsidR="00713ADC">
        <w:t>four</w:t>
      </w:r>
      <w:r w:rsidRPr="00E644E5">
        <w:t xml:space="preserve"> years of reform activity</w:t>
      </w:r>
      <w:r w:rsidRPr="00495495">
        <w:t xml:space="preserve"> to improv</w:t>
      </w:r>
      <w:r>
        <w:t>e</w:t>
      </w:r>
      <w:r w:rsidRPr="00495495">
        <w:t xml:space="preserve"> the </w:t>
      </w:r>
      <w:r>
        <w:t>PL</w:t>
      </w:r>
      <w:r w:rsidRPr="00495495">
        <w:t xml:space="preserve"> and its arrangements. These reforms include changes aimed at improving the alignment of the PL scheduled benefits with prices paid in the public hospital system, streamlining the administration of the list, and better defining the purpose and scope of the PL. Revisions to the purpose and scope of the PL aim to provide greater clarity </w:t>
      </w:r>
      <w:r w:rsidRPr="00495495">
        <w:rPr>
          <w:rFonts w:eastAsia="Arial" w:cs="Arial"/>
        </w:rPr>
        <w:t>and certainty about which items are e</w:t>
      </w:r>
      <w:r>
        <w:rPr>
          <w:rFonts w:eastAsia="Arial" w:cs="Arial"/>
        </w:rPr>
        <w:t>ligible for inclusion on the PL.</w:t>
      </w:r>
    </w:p>
    <w:p w14:paraId="67A0BD50" w14:textId="77777777" w:rsidR="00F96D99" w:rsidRPr="00C97575" w:rsidRDefault="00F96D99" w:rsidP="00F96D99">
      <w:r w:rsidRPr="00495495">
        <w:t xml:space="preserve">To support the implementation of the </w:t>
      </w:r>
      <w:r>
        <w:t>PL</w:t>
      </w:r>
      <w:r w:rsidRPr="00495495">
        <w:t xml:space="preserve"> reforms, IHACPA has established a public benchmark price for prostheses in Australian public hospitals.</w:t>
      </w:r>
      <w:r w:rsidRPr="00495495">
        <w:rPr>
          <w:rStyle w:val="FootnoteReference"/>
        </w:rPr>
        <w:footnoteReference w:id="3"/>
      </w:r>
      <w:r w:rsidRPr="00495495">
        <w:t xml:space="preserve"> This public benchmark price has informed benefit reductions implemented in the July 2022 publication of the PL.</w:t>
      </w:r>
    </w:p>
    <w:p w14:paraId="1C8BA020" w14:textId="77777777" w:rsidR="00F96D99" w:rsidRDefault="00F96D99" w:rsidP="00F96D99">
      <w:pPr>
        <w:pStyle w:val="Heading2"/>
      </w:pPr>
      <w:bookmarkStart w:id="18" w:name="_Toc118831500"/>
      <w:bookmarkStart w:id="19" w:name="_Toc121130777"/>
      <w:r>
        <w:lastRenderedPageBreak/>
        <w:t>Removal of General Use Items from the Prostheses List</w:t>
      </w:r>
      <w:bookmarkEnd w:id="18"/>
      <w:bookmarkEnd w:id="19"/>
    </w:p>
    <w:p w14:paraId="338A9AFB" w14:textId="6B37CC65" w:rsidR="00F96D99" w:rsidRPr="00495495" w:rsidRDefault="00F96D99" w:rsidP="00F96D99">
      <w:r w:rsidRPr="00495495">
        <w:t>The PL reforms include changes aimed at clarifying the scope of the PL by refining the definition of which prostheses are eligible for inclusion on the PL and removing ineligible items. The items identified for removal from the PL are used in a broad range of surgeries and are referred to as ‘General Use Items’</w:t>
      </w:r>
      <w:r w:rsidR="00DB36EB">
        <w:t xml:space="preserve"> (GUIs)</w:t>
      </w:r>
      <w:r w:rsidRPr="00495495">
        <w:t>.</w:t>
      </w:r>
      <w:r>
        <w:t xml:space="preserve"> </w:t>
      </w:r>
      <w:r w:rsidRPr="00495495">
        <w:t>Once removed from the PL</w:t>
      </w:r>
      <w:r>
        <w:t xml:space="preserve"> on 1 July 2023</w:t>
      </w:r>
      <w:r w:rsidRPr="00495495">
        <w:t xml:space="preserve">, alternative arrangements will need to be in place between insurers and hospitals to support the purchase and </w:t>
      </w:r>
      <w:proofErr w:type="spellStart"/>
      <w:r w:rsidRPr="00495495">
        <w:t>utilisation</w:t>
      </w:r>
      <w:proofErr w:type="spellEnd"/>
      <w:r w:rsidRPr="00495495">
        <w:t xml:space="preserve"> of </w:t>
      </w:r>
      <w:r w:rsidR="00DB36EB">
        <w:t>GUIs</w:t>
      </w:r>
      <w:r w:rsidRPr="00495495">
        <w:t xml:space="preserve"> for services provided to privately insured individuals.</w:t>
      </w:r>
    </w:p>
    <w:p w14:paraId="6768613A" w14:textId="21F2F112" w:rsidR="00F96D99" w:rsidRPr="00495495" w:rsidRDefault="00F96D99" w:rsidP="00F96D99">
      <w:r w:rsidRPr="00495495">
        <w:t xml:space="preserve">In developing the list of </w:t>
      </w:r>
      <w:r w:rsidR="00DB36EB">
        <w:t>GUIs</w:t>
      </w:r>
      <w:r w:rsidRPr="00495495">
        <w:t xml:space="preserve"> to be removed from the PL, the Department has sought clinical advice from the Clinical Implementation Reference Group (CIRG) on the </w:t>
      </w:r>
      <w:r w:rsidR="00DB36EB">
        <w:t>GUIs</w:t>
      </w:r>
      <w:r w:rsidRPr="00495495">
        <w:t xml:space="preserve"> identified for removal. The CIRG confirmed that </w:t>
      </w:r>
      <w:r>
        <w:t xml:space="preserve">nearly 500 </w:t>
      </w:r>
      <w:r w:rsidRPr="00495495">
        <w:t>of these products could be removed from the PL with no clinical implications or adverse outcomes to patients, as long as the products are still available for use by doctors under a different funding agreement.</w:t>
      </w:r>
      <w:r>
        <w:rPr>
          <w:rStyle w:val="FootnoteReference"/>
        </w:rPr>
        <w:footnoteReference w:id="4"/>
      </w:r>
      <w:r w:rsidRPr="00A052DD">
        <w:rPr>
          <w:vertAlign w:val="superscript"/>
        </w:rPr>
        <w:t>,</w:t>
      </w:r>
      <w:r w:rsidRPr="00495495">
        <w:rPr>
          <w:rStyle w:val="FootnoteReference"/>
        </w:rPr>
        <w:footnoteReference w:id="5"/>
      </w:r>
    </w:p>
    <w:p w14:paraId="2A66EA4E" w14:textId="0DA638E9" w:rsidR="00F96D99" w:rsidRPr="00495495" w:rsidRDefault="00F96D99" w:rsidP="00F96D99">
      <w:r w:rsidRPr="00495495">
        <w:t xml:space="preserve">The list of </w:t>
      </w:r>
      <w:r w:rsidR="00DB36EB">
        <w:t>GUIs</w:t>
      </w:r>
      <w:r w:rsidRPr="00495495">
        <w:t xml:space="preserve"> to be removed from the PL </w:t>
      </w:r>
      <w:r>
        <w:t>is defined by the creation of Part D in the August 2022 publication of the PL</w:t>
      </w:r>
      <w:r>
        <w:rPr>
          <w:rStyle w:val="FootnoteReference"/>
        </w:rPr>
        <w:footnoteReference w:id="6"/>
      </w:r>
      <w:r>
        <w:t xml:space="preserve"> </w:t>
      </w:r>
      <w:r w:rsidRPr="00495495">
        <w:t>and covers the following item types from the General Miscellaneous, Neurosurgical and Vascular categories:</w:t>
      </w:r>
    </w:p>
    <w:p w14:paraId="49376BF5" w14:textId="77777777" w:rsidR="00F96D99" w:rsidRPr="00495495" w:rsidRDefault="00F96D99" w:rsidP="007102CA">
      <w:pPr>
        <w:pStyle w:val="ListParagraph"/>
        <w:numPr>
          <w:ilvl w:val="0"/>
          <w:numId w:val="5"/>
        </w:numPr>
      </w:pPr>
      <w:r w:rsidRPr="002857ED">
        <w:rPr>
          <w:b/>
          <w:bCs/>
        </w:rPr>
        <w:t>General Miscellaneous</w:t>
      </w:r>
      <w:r w:rsidRPr="00495495">
        <w:t xml:space="preserve">: The items to be removed within this category include infusion pumps (not including insulin pumps), gastrostomy tubes, powder, sponges, pliable patches, select ligating devices and staples and tackers. </w:t>
      </w:r>
    </w:p>
    <w:p w14:paraId="6E3563A1" w14:textId="77777777" w:rsidR="00F96D99" w:rsidRPr="00495495" w:rsidRDefault="00F96D99" w:rsidP="007102CA">
      <w:pPr>
        <w:pStyle w:val="ListParagraph"/>
        <w:numPr>
          <w:ilvl w:val="0"/>
          <w:numId w:val="5"/>
        </w:numPr>
      </w:pPr>
      <w:r w:rsidRPr="002857ED">
        <w:rPr>
          <w:b/>
          <w:bCs/>
        </w:rPr>
        <w:t>Neurosurgical</w:t>
      </w:r>
      <w:r w:rsidRPr="00495495">
        <w:t xml:space="preserve">: The items to be removed within this category include liquid sealants and select self-adhesive membrane sealant (not including large types </w:t>
      </w:r>
      <w:r>
        <w:t xml:space="preserve">between </w:t>
      </w:r>
      <w:r w:rsidRPr="00495495">
        <w:t>50 and 100 cm</w:t>
      </w:r>
      <w:r w:rsidRPr="00B32D93">
        <w:rPr>
          <w:vertAlign w:val="superscript"/>
        </w:rPr>
        <w:t>2</w:t>
      </w:r>
      <w:r w:rsidRPr="00495495">
        <w:t>).</w:t>
      </w:r>
    </w:p>
    <w:p w14:paraId="113BF839" w14:textId="77777777" w:rsidR="00F96D99" w:rsidRDefault="00F96D99" w:rsidP="007102CA">
      <w:pPr>
        <w:pStyle w:val="ListParagraph"/>
        <w:numPr>
          <w:ilvl w:val="0"/>
          <w:numId w:val="5"/>
        </w:numPr>
      </w:pPr>
      <w:r w:rsidRPr="002857ED">
        <w:rPr>
          <w:b/>
          <w:bCs/>
        </w:rPr>
        <w:t>Vascular</w:t>
      </w:r>
      <w:r w:rsidRPr="00495495">
        <w:t xml:space="preserve">: The items to be removed within this category include arterial closure devices, and select percutaneous catheters (not including percutaneous catheters, multiple lumen for </w:t>
      </w:r>
      <w:proofErr w:type="spellStart"/>
      <w:r w:rsidRPr="00495495">
        <w:t>haemodialysi</w:t>
      </w:r>
      <w:r>
        <w:t>s</w:t>
      </w:r>
      <w:proofErr w:type="spellEnd"/>
      <w:r>
        <w:t>).</w:t>
      </w:r>
    </w:p>
    <w:p w14:paraId="44AE695D" w14:textId="77777777" w:rsidR="00F96D99" w:rsidRDefault="00F96D99" w:rsidP="00F96D99">
      <w:pPr>
        <w:pStyle w:val="Heading2"/>
      </w:pPr>
      <w:bookmarkStart w:id="20" w:name="_Toc118831501"/>
      <w:bookmarkStart w:id="21" w:name="_Toc121130778"/>
      <w:r>
        <w:t>Advice on bundling arrangements for General Use Items</w:t>
      </w:r>
      <w:bookmarkEnd w:id="20"/>
      <w:bookmarkEnd w:id="21"/>
    </w:p>
    <w:p w14:paraId="720CF9A3" w14:textId="38C322F9" w:rsidR="00F96D99" w:rsidRDefault="00F96D99" w:rsidP="00F96D99">
      <w:r w:rsidRPr="00495495">
        <w:t xml:space="preserve">To </w:t>
      </w:r>
      <w:r>
        <w:t xml:space="preserve">provide further support to the implementation of PL reforms, </w:t>
      </w:r>
      <w:r w:rsidRPr="00495495">
        <w:t>the Department has requested that IHACPA provide advice on bundling arrangements f</w:t>
      </w:r>
      <w:r>
        <w:t xml:space="preserve">or </w:t>
      </w:r>
      <w:r w:rsidR="00DB36EB">
        <w:t>GUIs</w:t>
      </w:r>
      <w:r>
        <w:t xml:space="preserve">. The contents of this report combined with its </w:t>
      </w:r>
      <w:r w:rsidR="00E471CD">
        <w:t>appendices</w:t>
      </w:r>
      <w:r w:rsidR="00113363">
        <w:t xml:space="preserve"> </w:t>
      </w:r>
      <w:r>
        <w:t>constitute this advice.</w:t>
      </w:r>
    </w:p>
    <w:p w14:paraId="76D1CEC8" w14:textId="254F0112" w:rsidR="00F96D99" w:rsidRDefault="00F96D99" w:rsidP="00F96D99">
      <w:r w:rsidRPr="000828CB">
        <w:t xml:space="preserve">The advice on alternative bundling arrangements for </w:t>
      </w:r>
      <w:r w:rsidR="00DB36EB">
        <w:t>GUIs</w:t>
      </w:r>
      <w:r w:rsidRPr="000828CB">
        <w:t xml:space="preserve"> on the PL include</w:t>
      </w:r>
      <w:r w:rsidR="00113363">
        <w:t>s</w:t>
      </w:r>
      <w:r w:rsidRPr="000828CB">
        <w:t xml:space="preserve"> information on the composition of bundles and their benefits, based on the March 2023 PL scheduled benefits.</w:t>
      </w:r>
      <w:r w:rsidRPr="000828CB">
        <w:rPr>
          <w:rStyle w:val="FootnoteReference"/>
        </w:rPr>
        <w:footnoteReference w:id="7"/>
      </w:r>
      <w:r w:rsidRPr="000828CB">
        <w:t xml:space="preserve"> The bundles apply to items used in admitted services provided to privately insured individuals in private</w:t>
      </w:r>
      <w:r w:rsidR="00113363">
        <w:t xml:space="preserve"> overnight</w:t>
      </w:r>
      <w:r w:rsidRPr="000828CB">
        <w:t xml:space="preserve"> </w:t>
      </w:r>
      <w:r w:rsidR="00343358">
        <w:t>facilities</w:t>
      </w:r>
      <w:r w:rsidRPr="000828CB">
        <w:t xml:space="preserve">, public </w:t>
      </w:r>
      <w:r w:rsidR="00343358">
        <w:t>facilities</w:t>
      </w:r>
      <w:r w:rsidR="00343358" w:rsidRPr="000828CB">
        <w:t xml:space="preserve"> </w:t>
      </w:r>
      <w:r w:rsidRPr="000828CB">
        <w:t xml:space="preserve">and </w:t>
      </w:r>
      <w:r w:rsidR="00113363">
        <w:t xml:space="preserve">private </w:t>
      </w:r>
      <w:r w:rsidRPr="000828CB">
        <w:t>day facilities.</w:t>
      </w:r>
    </w:p>
    <w:p w14:paraId="69F6D680" w14:textId="7FA6B305" w:rsidR="00F96D99" w:rsidRDefault="00F96D99" w:rsidP="00F96D99">
      <w:r w:rsidRPr="00A667B7">
        <w:t xml:space="preserve">A </w:t>
      </w:r>
      <w:r w:rsidR="003A36C5">
        <w:t xml:space="preserve">GUI </w:t>
      </w:r>
      <w:r w:rsidRPr="00A667B7">
        <w:t>bundle group</w:t>
      </w:r>
      <w:r w:rsidR="00113363">
        <w:t>s</w:t>
      </w:r>
      <w:r w:rsidRPr="00A667B7">
        <w:t xml:space="preserve"> </w:t>
      </w:r>
      <w:r w:rsidR="003A36C5">
        <w:t xml:space="preserve">all in-scope items used </w:t>
      </w:r>
      <w:r w:rsidRPr="00A667B7">
        <w:t>for a</w:t>
      </w:r>
      <w:r>
        <w:t>n</w:t>
      </w:r>
      <w:r w:rsidRPr="00A667B7">
        <w:t xml:space="preserve"> </w:t>
      </w:r>
      <w:r>
        <w:t xml:space="preserve">individual hospital </w:t>
      </w:r>
      <w:r w:rsidRPr="00A667B7">
        <w:t>admission</w:t>
      </w:r>
      <w:r>
        <w:t xml:space="preserve">, </w:t>
      </w:r>
      <w:proofErr w:type="spellStart"/>
      <w:r w:rsidRPr="00A667B7">
        <w:t>recognising</w:t>
      </w:r>
      <w:proofErr w:type="spellEnd"/>
      <w:r w:rsidRPr="00A667B7">
        <w:t xml:space="preserve"> that there may be different bundles for different </w:t>
      </w:r>
      <w:r>
        <w:t xml:space="preserve">groups of items and </w:t>
      </w:r>
      <w:r w:rsidRPr="00A667B7">
        <w:t>types of admissions</w:t>
      </w:r>
      <w:r>
        <w:t>.</w:t>
      </w:r>
    </w:p>
    <w:p w14:paraId="3D8FD27A" w14:textId="06C727BA" w:rsidR="00F96D99" w:rsidRDefault="00F96D99" w:rsidP="00F96D99">
      <w:pPr>
        <w:pStyle w:val="Heading3"/>
      </w:pPr>
      <w:bookmarkStart w:id="22" w:name="_Toc121130779"/>
      <w:r>
        <w:lastRenderedPageBreak/>
        <w:t xml:space="preserve">Consultation </w:t>
      </w:r>
      <w:r w:rsidR="009B3433">
        <w:t>process</w:t>
      </w:r>
      <w:bookmarkEnd w:id="22"/>
    </w:p>
    <w:p w14:paraId="77DFE6CB" w14:textId="7C004F84" w:rsidR="00960434" w:rsidRDefault="00010EF5" w:rsidP="00F96D99">
      <w:r>
        <w:t xml:space="preserve">IHACPA undertook a public consultation process from 14 September to 12 October 2022, inviting feedback to support the formulation of advice on alternative bundling arrangements for </w:t>
      </w:r>
      <w:r w:rsidR="003A36C5">
        <w:t>GUIs</w:t>
      </w:r>
      <w:r>
        <w:t xml:space="preserve"> on the PL.</w:t>
      </w:r>
      <w:r w:rsidR="007D2336">
        <w:t xml:space="preserve"> To guide the consultation process, </w:t>
      </w:r>
      <w:r w:rsidR="009B3433">
        <w:t xml:space="preserve">IHACPA released the </w:t>
      </w:r>
      <w:hyperlink r:id="rId15" w:history="1">
        <w:r w:rsidR="009B3433" w:rsidRPr="009B3433">
          <w:rPr>
            <w:rStyle w:val="Hyperlink"/>
            <w:i/>
          </w:rPr>
          <w:t>Consultation Paper on Bundling Arrangements for General Use Items on the Prostheses List</w:t>
        </w:r>
      </w:hyperlink>
      <w:r w:rsidR="009B3433">
        <w:rPr>
          <w:i/>
        </w:rPr>
        <w:t xml:space="preserve"> </w:t>
      </w:r>
      <w:r w:rsidR="009B3433">
        <w:t xml:space="preserve">(the Consultation Paper). </w:t>
      </w:r>
      <w:r w:rsidR="00960434">
        <w:t>The release of the Consultation Paper</w:t>
      </w:r>
      <w:r w:rsidR="009B3433">
        <w:t xml:space="preserve"> was accompanied by a stakeholder forum on 21 September 2022</w:t>
      </w:r>
      <w:r w:rsidR="00960434">
        <w:t>. The purpose of the stakeholder forum was</w:t>
      </w:r>
      <w:r w:rsidR="009B3433">
        <w:t xml:space="preserve"> to introduce the Consultation Paper and invite discussion to clarify the consultation</w:t>
      </w:r>
      <w:r w:rsidR="00960434">
        <w:t xml:space="preserve"> process and the role of IHACPA.</w:t>
      </w:r>
    </w:p>
    <w:p w14:paraId="6789B664" w14:textId="13E3F80C" w:rsidR="0007504C" w:rsidRDefault="00010EF5" w:rsidP="00F96D99">
      <w:r>
        <w:t xml:space="preserve">IHACPA received a total of 20 submissions on the Consultation Paper. </w:t>
      </w:r>
      <w:r w:rsidR="0007504C">
        <w:t xml:space="preserve">All submissions </w:t>
      </w:r>
      <w:r w:rsidR="003A36C5">
        <w:t xml:space="preserve">will be </w:t>
      </w:r>
      <w:r w:rsidR="0007504C">
        <w:t>published on the IHACPA website, except where respondents specifically identified any sections that they believe should be kept confidential for commercial or other reasons.</w:t>
      </w:r>
    </w:p>
    <w:p w14:paraId="1528F7C5" w14:textId="41E8D6EF" w:rsidR="00010EF5" w:rsidRDefault="00010EF5" w:rsidP="00F96D99">
      <w:r>
        <w:t xml:space="preserve">The development of advice on alternative bundling arrangements for </w:t>
      </w:r>
      <w:r w:rsidR="003A36C5">
        <w:t>GUIs</w:t>
      </w:r>
      <w:r>
        <w:t xml:space="preserve"> on the PL has been informed by feedback received to the Consultation Paper. An overview of consultation submissions received and detail on how this feedback has been considered in the formulation of the advice is provided in</w:t>
      </w:r>
      <w:r w:rsidR="007F2BE1">
        <w:t xml:space="preserve"> </w:t>
      </w:r>
      <w:r w:rsidR="007F2BE1">
        <w:fldChar w:fldCharType="begin"/>
      </w:r>
      <w:r w:rsidR="007F2BE1">
        <w:instrText xml:space="preserve"> REF _Ref119844328 \h </w:instrText>
      </w:r>
      <w:r w:rsidR="007F2BE1">
        <w:fldChar w:fldCharType="separate"/>
      </w:r>
      <w:r w:rsidR="00106CD4">
        <w:t>Appendix B – Feedback to the Consultation Paper</w:t>
      </w:r>
      <w:r w:rsidR="007F2BE1">
        <w:fldChar w:fldCharType="end"/>
      </w:r>
      <w:r>
        <w:t>.</w:t>
      </w:r>
    </w:p>
    <w:p w14:paraId="027E9F68" w14:textId="172CEEAA" w:rsidR="009B3433" w:rsidRPr="009B3433" w:rsidRDefault="009B3433" w:rsidP="003E26F7">
      <w:pPr>
        <w:pStyle w:val="Heading3"/>
      </w:pPr>
      <w:bookmarkStart w:id="23" w:name="_Toc121130780"/>
      <w:r>
        <w:t>Prostheses List Reform Working Group</w:t>
      </w:r>
      <w:bookmarkEnd w:id="23"/>
    </w:p>
    <w:p w14:paraId="479D8478" w14:textId="6A16F84D" w:rsidR="00F96D99" w:rsidRDefault="009B3433" w:rsidP="00F96D99">
      <w:r>
        <w:t xml:space="preserve">IHACPA has formed a Prostheses List Reform Working Group (PLRWG) to support the development and provision of advice that is evidence-based and fit-for-purpose. </w:t>
      </w:r>
      <w:r w:rsidR="00F96D99">
        <w:t>The PLRWG guides IHACPA on issues of relevance, provide</w:t>
      </w:r>
      <w:r>
        <w:t>s</w:t>
      </w:r>
      <w:r w:rsidR="00F96D99">
        <w:t xml:space="preserve"> data and other empirical information, and assist</w:t>
      </w:r>
      <w:r>
        <w:t>s</w:t>
      </w:r>
      <w:r w:rsidR="00F96D99">
        <w:t xml:space="preserve"> IHACPA in the interpretation of information gathered through consultative processes. The following </w:t>
      </w:r>
      <w:proofErr w:type="spellStart"/>
      <w:r w:rsidR="00F96D99">
        <w:t>organisations</w:t>
      </w:r>
      <w:proofErr w:type="spellEnd"/>
      <w:r w:rsidR="00F96D99">
        <w:t xml:space="preserve"> are represented on the PLRWG.</w:t>
      </w:r>
    </w:p>
    <w:p w14:paraId="00EFD427" w14:textId="77777777" w:rsidR="00F96D99" w:rsidRPr="003E26F7" w:rsidRDefault="00F96D99" w:rsidP="00F96D99">
      <w:pPr>
        <w:rPr>
          <w:b/>
        </w:rPr>
      </w:pPr>
      <w:r w:rsidRPr="003E26F7">
        <w:rPr>
          <w:b/>
        </w:rPr>
        <w:t>Prostheses List Reform Working Group membership</w:t>
      </w:r>
    </w:p>
    <w:p w14:paraId="0BAA8682" w14:textId="77777777" w:rsidR="00F96D99" w:rsidRDefault="00F96D99" w:rsidP="007102CA">
      <w:pPr>
        <w:pStyle w:val="ListParagraph"/>
        <w:numPr>
          <w:ilvl w:val="0"/>
          <w:numId w:val="6"/>
        </w:numPr>
      </w:pPr>
      <w:r>
        <w:t>Australia Private Hospitals Association</w:t>
      </w:r>
    </w:p>
    <w:p w14:paraId="27F6CE65" w14:textId="77777777" w:rsidR="00F96D99" w:rsidRDefault="00F96D99" w:rsidP="007102CA">
      <w:pPr>
        <w:pStyle w:val="ListParagraph"/>
        <w:numPr>
          <w:ilvl w:val="0"/>
          <w:numId w:val="6"/>
        </w:numPr>
      </w:pPr>
      <w:r>
        <w:t>Australian Government Department of Health and Aged Care</w:t>
      </w:r>
    </w:p>
    <w:p w14:paraId="4258BB44" w14:textId="77777777" w:rsidR="00F96D99" w:rsidRDefault="00F96D99" w:rsidP="007102CA">
      <w:pPr>
        <w:pStyle w:val="ListParagraph"/>
        <w:numPr>
          <w:ilvl w:val="0"/>
          <w:numId w:val="6"/>
        </w:numPr>
      </w:pPr>
      <w:r>
        <w:t>Australian Health Service Alliance</w:t>
      </w:r>
    </w:p>
    <w:p w14:paraId="6114F53B" w14:textId="77777777" w:rsidR="00F96D99" w:rsidRDefault="00F96D99" w:rsidP="007102CA">
      <w:pPr>
        <w:pStyle w:val="ListParagraph"/>
        <w:numPr>
          <w:ilvl w:val="0"/>
          <w:numId w:val="6"/>
        </w:numPr>
      </w:pPr>
      <w:r>
        <w:t>Australian Medical Association</w:t>
      </w:r>
    </w:p>
    <w:p w14:paraId="7C10D290" w14:textId="77777777" w:rsidR="00F96D99" w:rsidRDefault="00F96D99" w:rsidP="007102CA">
      <w:pPr>
        <w:pStyle w:val="ListParagraph"/>
        <w:numPr>
          <w:ilvl w:val="0"/>
          <w:numId w:val="6"/>
        </w:numPr>
      </w:pPr>
      <w:r>
        <w:t>Catholic Health Australia</w:t>
      </w:r>
    </w:p>
    <w:p w14:paraId="2C6AE15D" w14:textId="77777777" w:rsidR="00F96D99" w:rsidRDefault="00F96D99" w:rsidP="007102CA">
      <w:pPr>
        <w:pStyle w:val="ListParagraph"/>
        <w:numPr>
          <w:ilvl w:val="0"/>
          <w:numId w:val="6"/>
        </w:numPr>
      </w:pPr>
      <w:r>
        <w:t>Consumers Health Forum of Australia</w:t>
      </w:r>
    </w:p>
    <w:p w14:paraId="1B547ACA" w14:textId="77777777" w:rsidR="00F96D99" w:rsidRDefault="00F96D99" w:rsidP="007102CA">
      <w:pPr>
        <w:pStyle w:val="ListParagraph"/>
        <w:numPr>
          <w:ilvl w:val="0"/>
          <w:numId w:val="6"/>
        </w:numPr>
      </w:pPr>
      <w:r>
        <w:t>Day Hospitals Australia</w:t>
      </w:r>
    </w:p>
    <w:p w14:paraId="12F74E3C" w14:textId="77777777" w:rsidR="00F96D99" w:rsidRDefault="00F96D99" w:rsidP="007102CA">
      <w:pPr>
        <w:pStyle w:val="ListParagraph"/>
        <w:numPr>
          <w:ilvl w:val="0"/>
          <w:numId w:val="6"/>
        </w:numPr>
      </w:pPr>
      <w:r>
        <w:t>Healthscope Operations Pty Ltd</w:t>
      </w:r>
    </w:p>
    <w:p w14:paraId="348105C6" w14:textId="77777777" w:rsidR="00F96D99" w:rsidRDefault="00F96D99" w:rsidP="007102CA">
      <w:pPr>
        <w:pStyle w:val="ListParagraph"/>
        <w:numPr>
          <w:ilvl w:val="0"/>
          <w:numId w:val="6"/>
        </w:numPr>
      </w:pPr>
      <w:r>
        <w:t>Medical Technology Association of Australia</w:t>
      </w:r>
    </w:p>
    <w:p w14:paraId="54C75CB0" w14:textId="77777777" w:rsidR="00F96D99" w:rsidRDefault="00F96D99" w:rsidP="007102CA">
      <w:pPr>
        <w:pStyle w:val="ListParagraph"/>
        <w:numPr>
          <w:ilvl w:val="0"/>
          <w:numId w:val="6"/>
        </w:numPr>
      </w:pPr>
      <w:r>
        <w:t>Members Health Fund Alliance</w:t>
      </w:r>
    </w:p>
    <w:p w14:paraId="62183287" w14:textId="77777777" w:rsidR="00010EF5" w:rsidRDefault="00F96D99" w:rsidP="007102CA">
      <w:pPr>
        <w:pStyle w:val="ListParagraph"/>
        <w:numPr>
          <w:ilvl w:val="0"/>
          <w:numId w:val="6"/>
        </w:numPr>
      </w:pPr>
      <w:r>
        <w:t>Private Healthcare Australia</w:t>
      </w:r>
    </w:p>
    <w:p w14:paraId="3FF7A5C6" w14:textId="2B61CD92" w:rsidR="00EA0D2F" w:rsidRPr="002948E2" w:rsidRDefault="00EA0D2F" w:rsidP="003E26F7">
      <w:r>
        <w:br w:type="page"/>
      </w:r>
    </w:p>
    <w:p w14:paraId="323B3EA0" w14:textId="617ECE1C" w:rsidR="00530F59" w:rsidRDefault="00530F59" w:rsidP="00530F59">
      <w:pPr>
        <w:pStyle w:val="Heading1"/>
        <w:spacing w:after="360"/>
      </w:pPr>
      <w:bookmarkStart w:id="24" w:name="_Ref119319316"/>
      <w:bookmarkStart w:id="25" w:name="_Ref119319330"/>
      <w:bookmarkStart w:id="26" w:name="_Toc121130781"/>
      <w:r>
        <w:lastRenderedPageBreak/>
        <w:t xml:space="preserve">Bundling </w:t>
      </w:r>
      <w:bookmarkEnd w:id="24"/>
      <w:bookmarkEnd w:id="25"/>
      <w:r w:rsidR="00767B82">
        <w:t>of General Use Items</w:t>
      </w:r>
      <w:bookmarkEnd w:id="26"/>
    </w:p>
    <w:p w14:paraId="5CBD27C6" w14:textId="39899863" w:rsidR="00530F59" w:rsidRDefault="00530F59" w:rsidP="00530F59">
      <w:pPr>
        <w:pStyle w:val="Heading2"/>
      </w:pPr>
      <w:bookmarkStart w:id="27" w:name="_Toc121130782"/>
      <w:r>
        <w:t>Introduction</w:t>
      </w:r>
      <w:bookmarkEnd w:id="27"/>
    </w:p>
    <w:p w14:paraId="63BB5B50" w14:textId="7E159480" w:rsidR="001C18B3" w:rsidRDefault="00A2184D" w:rsidP="001C18B3">
      <w:r w:rsidRPr="006E536C">
        <w:t xml:space="preserve">The Independent </w:t>
      </w:r>
      <w:r w:rsidR="005A10F5">
        <w:t>Health</w:t>
      </w:r>
      <w:r w:rsidR="005A10F5" w:rsidRPr="006E536C">
        <w:t xml:space="preserve"> </w:t>
      </w:r>
      <w:r w:rsidRPr="006E536C">
        <w:t>and Aged Care Pricing Authority’s (IHACPA</w:t>
      </w:r>
      <w:r w:rsidR="00A225C2">
        <w:t>’s</w:t>
      </w:r>
      <w:r w:rsidRPr="006E536C">
        <w:t xml:space="preserve">) </w:t>
      </w:r>
      <w:r w:rsidR="00EA0D2F" w:rsidRPr="006E536C">
        <w:t>advice</w:t>
      </w:r>
      <w:r w:rsidR="006E536C">
        <w:t xml:space="preserve"> </w:t>
      </w:r>
      <w:r w:rsidR="00CB7C0D">
        <w:t xml:space="preserve">on bundling arrangements for General Use Items (GUIs) on the Prostheses List (PL) </w:t>
      </w:r>
      <w:r w:rsidR="001C18B3">
        <w:t xml:space="preserve">is defined with respect to </w:t>
      </w:r>
      <w:r w:rsidR="001C18B3" w:rsidRPr="006E536C">
        <w:t>GUI</w:t>
      </w:r>
      <w:r w:rsidR="001C18B3">
        <w:t>s</w:t>
      </w:r>
      <w:r w:rsidR="001C18B3" w:rsidRPr="006E536C">
        <w:t xml:space="preserve"> </w:t>
      </w:r>
      <w:r w:rsidR="001C18B3">
        <w:t>identified</w:t>
      </w:r>
      <w:r w:rsidR="001C18B3" w:rsidRPr="00180221">
        <w:t xml:space="preserve"> by Part D of the August 2022 publication of the </w:t>
      </w:r>
      <w:r w:rsidR="001C18B3">
        <w:t>Prostheses List (</w:t>
      </w:r>
      <w:r w:rsidR="001C18B3" w:rsidRPr="00180221">
        <w:t>PL</w:t>
      </w:r>
      <w:r w:rsidR="001C18B3">
        <w:t>). The bundled benefits of these GUIs are defined using their expected March 2023 PL scheduled benefits,</w:t>
      </w:r>
      <w:r w:rsidR="001C18B3">
        <w:rPr>
          <w:rStyle w:val="FootnoteReference"/>
        </w:rPr>
        <w:footnoteReference w:id="8"/>
      </w:r>
      <w:r w:rsidR="001C18B3">
        <w:t xml:space="preserve"> which will be the final PL benefit levels in place before the items transition off the PL from 1 July 2023.</w:t>
      </w:r>
    </w:p>
    <w:p w14:paraId="6BE4020C" w14:textId="0FDFBB67" w:rsidR="00792D57" w:rsidRDefault="001C18B3" w:rsidP="00EA0D2F">
      <w:r>
        <w:t xml:space="preserve">IHACPA’s advice sets out a schedule of GUI bundles and their associated benefit levels </w:t>
      </w:r>
      <w:r>
        <w:fldChar w:fldCharType="begin"/>
      </w:r>
      <w:r>
        <w:instrText xml:space="preserve"> REF _Ref119848406 \h </w:instrText>
      </w:r>
      <w:r>
        <w:fldChar w:fldCharType="separate"/>
      </w:r>
      <w:r w:rsidR="00106CD4" w:rsidRPr="008A5E4F">
        <w:t xml:space="preserve">Appendix A – </w:t>
      </w:r>
      <w:r w:rsidR="00106CD4">
        <w:t>Schedule of General Use Item Bundles</w:t>
      </w:r>
      <w:r>
        <w:fldChar w:fldCharType="end"/>
      </w:r>
      <w:r>
        <w:t xml:space="preserve">). The GUI bundles aggregate GUI </w:t>
      </w:r>
      <w:proofErr w:type="spellStart"/>
      <w:r>
        <w:t>utilisation</w:t>
      </w:r>
      <w:proofErr w:type="spellEnd"/>
      <w:r>
        <w:t xml:space="preserve"> and associated PL benefits to the level of an episode of admitted patient care.</w:t>
      </w:r>
      <w:r>
        <w:rPr>
          <w:rStyle w:val="FootnoteReference"/>
        </w:rPr>
        <w:footnoteReference w:id="9"/>
      </w:r>
    </w:p>
    <w:p w14:paraId="030A01C4" w14:textId="32B5D392" w:rsidR="00F80272" w:rsidRDefault="00343015" w:rsidP="00343015">
      <w:pPr>
        <w:pStyle w:val="Heading2"/>
      </w:pPr>
      <w:bookmarkStart w:id="28" w:name="_Toc121130783"/>
      <w:r>
        <w:t xml:space="preserve">General Use Item </w:t>
      </w:r>
      <w:r w:rsidR="00E91D40">
        <w:t>b</w:t>
      </w:r>
      <w:r>
        <w:t xml:space="preserve">undle </w:t>
      </w:r>
      <w:r w:rsidR="00E91D40">
        <w:t>v</w:t>
      </w:r>
      <w:r>
        <w:t>ariants</w:t>
      </w:r>
      <w:bookmarkEnd w:id="28"/>
    </w:p>
    <w:p w14:paraId="03DCCA85" w14:textId="77777777" w:rsidR="00C535FE" w:rsidRDefault="00C535FE" w:rsidP="00C535FE">
      <w:r w:rsidRPr="00C535FE">
        <w:t xml:space="preserve">IHACPA’s advice defines three types of GUI bundle variants across the set of all GUI products. These three variant types capture different sources of variation in the </w:t>
      </w:r>
      <w:proofErr w:type="spellStart"/>
      <w:r w:rsidRPr="00C535FE">
        <w:t>utilisation</w:t>
      </w:r>
      <w:proofErr w:type="spellEnd"/>
      <w:r w:rsidRPr="00C535FE">
        <w:t xml:space="preserve"> of GUIs and their associated PL benefits</w:t>
      </w:r>
      <w:r>
        <w:t xml:space="preserve"> across admitted episodes</w:t>
      </w:r>
      <w:r w:rsidRPr="00C535FE">
        <w:t>.</w:t>
      </w:r>
    </w:p>
    <w:p w14:paraId="4DC118AF" w14:textId="12E74849" w:rsidR="00C535FE" w:rsidRPr="00C535FE" w:rsidRDefault="00C535FE" w:rsidP="00C535FE">
      <w:r w:rsidRPr="002373C7">
        <w:t xml:space="preserve">The variant types align at a system level, and </w:t>
      </w:r>
      <w:r w:rsidR="002373C7">
        <w:t xml:space="preserve">can be used interchangeably at a GUI product class level </w:t>
      </w:r>
      <w:r w:rsidR="007C7B01">
        <w:t xml:space="preserve">to </w:t>
      </w:r>
      <w:r w:rsidRPr="002373C7">
        <w:t>provide flexibility in their application, when used in either negotiated or prescribed arrangements.</w:t>
      </w:r>
      <w:r w:rsidR="002B4FA2">
        <w:t xml:space="preserve"> The following sections define each of the three types of GUI bundle variants.</w:t>
      </w:r>
    </w:p>
    <w:p w14:paraId="77A45E49" w14:textId="15B30BCA" w:rsidR="00D2031A" w:rsidRPr="00AB3C46" w:rsidRDefault="00284F52" w:rsidP="003E26F7">
      <w:pPr>
        <w:pStyle w:val="Heading3"/>
      </w:pPr>
      <w:bookmarkStart w:id="29" w:name="_Toc121130784"/>
      <w:r w:rsidRPr="00543EEB">
        <w:t>P</w:t>
      </w:r>
      <w:r w:rsidR="00D2031A" w:rsidRPr="00543EEB">
        <w:t xml:space="preserve">roduct </w:t>
      </w:r>
      <w:r w:rsidR="00E91D40">
        <w:t>b</w:t>
      </w:r>
      <w:r w:rsidR="00D2031A" w:rsidRPr="00AB3C46">
        <w:t>undles</w:t>
      </w:r>
      <w:bookmarkEnd w:id="29"/>
    </w:p>
    <w:p w14:paraId="5DABE83F" w14:textId="0E4A1213" w:rsidR="00F80272" w:rsidRPr="00825EA6" w:rsidRDefault="00F80272" w:rsidP="00F80272">
      <w:r>
        <w:t xml:space="preserve">The PL hierarchically </w:t>
      </w:r>
      <w:proofErr w:type="spellStart"/>
      <w:r>
        <w:t>categorises</w:t>
      </w:r>
      <w:proofErr w:type="spellEnd"/>
      <w:r>
        <w:t xml:space="preserve"> all products on the list into parts, categories, subcategories, groups, subgroups and suffixes. </w:t>
      </w:r>
      <w:r w:rsidR="002373C7">
        <w:t xml:space="preserve">Part D of the </w:t>
      </w:r>
      <w:r>
        <w:t xml:space="preserve">August 2022 </w:t>
      </w:r>
      <w:r w:rsidRPr="008F59EC">
        <w:t xml:space="preserve">publication of the PL includes </w:t>
      </w:r>
      <w:r w:rsidR="009F4B02" w:rsidRPr="007175ED">
        <w:t>492</w:t>
      </w:r>
      <w:r w:rsidRPr="00825EA6">
        <w:t xml:space="preserve"> billing codes relating to GUIs</w:t>
      </w:r>
      <w:r w:rsidR="00E475F8">
        <w:t>, which are</w:t>
      </w:r>
      <w:r w:rsidRPr="00825EA6">
        <w:t xml:space="preserve"> divided into </w:t>
      </w:r>
      <w:r w:rsidR="009F4B02" w:rsidRPr="007175ED">
        <w:t>25</w:t>
      </w:r>
      <w:r w:rsidRPr="00825EA6">
        <w:t xml:space="preserve"> distinct </w:t>
      </w:r>
      <w:r w:rsidR="002373C7">
        <w:t xml:space="preserve">PL </w:t>
      </w:r>
      <w:r w:rsidRPr="00825EA6">
        <w:t>product groups.</w:t>
      </w:r>
    </w:p>
    <w:p w14:paraId="2F4FFE7E" w14:textId="4A5E0BB3" w:rsidR="00492533" w:rsidRDefault="00E475F8" w:rsidP="00E475F8">
      <w:r>
        <w:t xml:space="preserve">IHACPA has defined 24 ‘GUI product classes’ across the GUIs, </w:t>
      </w:r>
      <w:r w:rsidR="00492533">
        <w:t xml:space="preserve">which </w:t>
      </w:r>
      <w:r>
        <w:t>align</w:t>
      </w:r>
      <w:r w:rsidR="00492533">
        <w:t xml:space="preserve"> primarily</w:t>
      </w:r>
      <w:r>
        <w:t xml:space="preserve"> with PL product groups</w:t>
      </w:r>
      <w:r w:rsidR="00492533">
        <w:t xml:space="preserve">. </w:t>
      </w:r>
      <w:r>
        <w:t xml:space="preserve">Further detail on the </w:t>
      </w:r>
      <w:r w:rsidR="00492533">
        <w:t xml:space="preserve">definition </w:t>
      </w:r>
      <w:r>
        <w:t>of GUI product classes is provided in</w:t>
      </w:r>
      <w:r w:rsidR="00492533">
        <w:t xml:space="preserve"> Section </w:t>
      </w:r>
      <w:r w:rsidR="00492533">
        <w:fldChar w:fldCharType="begin"/>
      </w:r>
      <w:r w:rsidR="00492533">
        <w:instrText xml:space="preserve"> REF _Ref119073178 \r \h </w:instrText>
      </w:r>
      <w:r w:rsidR="00492533">
        <w:fldChar w:fldCharType="separate"/>
      </w:r>
      <w:r w:rsidR="00106CD4">
        <w:t>5</w:t>
      </w:r>
      <w:r w:rsidR="00492533">
        <w:fldChar w:fldCharType="end"/>
      </w:r>
      <w:r>
        <w:t xml:space="preserve">. A </w:t>
      </w:r>
      <w:r w:rsidR="00492533">
        <w:t xml:space="preserve">complete listing of billing codes in each GUI product class is provided in Table A1 of </w:t>
      </w:r>
      <w:r w:rsidR="00492533">
        <w:fldChar w:fldCharType="begin"/>
      </w:r>
      <w:r w:rsidR="00492533">
        <w:instrText xml:space="preserve"> REF _Ref119848406 \h </w:instrText>
      </w:r>
      <w:r w:rsidR="00492533">
        <w:fldChar w:fldCharType="separate"/>
      </w:r>
      <w:r w:rsidR="00106CD4" w:rsidRPr="008A5E4F">
        <w:t xml:space="preserve">Appendix A – </w:t>
      </w:r>
      <w:r w:rsidR="00106CD4">
        <w:t>Schedule of General Use Item Bundles</w:t>
      </w:r>
      <w:r w:rsidR="00492533">
        <w:fldChar w:fldCharType="end"/>
      </w:r>
      <w:r w:rsidR="00492533">
        <w:t>.</w:t>
      </w:r>
    </w:p>
    <w:p w14:paraId="75C42F38" w14:textId="47FFA1EF" w:rsidR="00A3273E" w:rsidRDefault="002B4FA2" w:rsidP="00A2184D">
      <w:r w:rsidRPr="002B4FA2">
        <w:t xml:space="preserve">For each of the 24 GUI product classes, a </w:t>
      </w:r>
      <w:r w:rsidR="00492533">
        <w:t>‘</w:t>
      </w:r>
      <w:r w:rsidRPr="002B4FA2">
        <w:t>GUI product bundle</w:t>
      </w:r>
      <w:r>
        <w:t>’</w:t>
      </w:r>
      <w:r w:rsidRPr="002B4FA2">
        <w:t xml:space="preserve"> is defined as the collection of all items from the product class used within an individual admitted episode. For example, an instance of the ‘Infusion Pumps, Balloon Based’ product bundle </w:t>
      </w:r>
      <w:r w:rsidR="00402E0C">
        <w:t xml:space="preserve">would </w:t>
      </w:r>
      <w:r w:rsidRPr="002B4FA2">
        <w:t>correspond</w:t>
      </w:r>
      <w:r w:rsidR="00402E0C">
        <w:t xml:space="preserve"> with </w:t>
      </w:r>
      <w:r w:rsidRPr="002B4FA2">
        <w:t xml:space="preserve">an admitted episode in which items from the ‘Infusion Pumps, Balloon Based’ product class </w:t>
      </w:r>
      <w:r w:rsidR="00402E0C">
        <w:t xml:space="preserve">were </w:t>
      </w:r>
      <w:r w:rsidRPr="002B4FA2">
        <w:t>used.</w:t>
      </w:r>
    </w:p>
    <w:p w14:paraId="4F6AB843" w14:textId="31A46D16" w:rsidR="00023714" w:rsidRDefault="00492533" w:rsidP="00492533">
      <w:pPr>
        <w:pStyle w:val="Heading3"/>
      </w:pPr>
      <w:bookmarkStart w:id="30" w:name="_Toc121130785"/>
      <w:r>
        <w:lastRenderedPageBreak/>
        <w:t xml:space="preserve">Facility </w:t>
      </w:r>
      <w:r w:rsidR="00E91D40">
        <w:t>t</w:t>
      </w:r>
      <w:r>
        <w:t xml:space="preserve">ype </w:t>
      </w:r>
      <w:r w:rsidR="00E91D40">
        <w:t>b</w:t>
      </w:r>
      <w:r>
        <w:t xml:space="preserve">undle </w:t>
      </w:r>
      <w:r w:rsidR="00E91D40">
        <w:t>v</w:t>
      </w:r>
      <w:r w:rsidR="00B56087">
        <w:t>ariants</w:t>
      </w:r>
      <w:bookmarkEnd w:id="30"/>
    </w:p>
    <w:p w14:paraId="13B582D5" w14:textId="119A4496" w:rsidR="0098241A" w:rsidRDefault="00114166">
      <w:r w:rsidRPr="00114166">
        <w:t>The second type of GUI bundle variant splits each of the 24 GUI product bundle variants based on the facility in which an episode occurs; that is, a private overnight, private day, or public hospital facility.</w:t>
      </w:r>
      <w:r w:rsidR="0098241A" w:rsidRPr="0098241A">
        <w:t xml:space="preserve"> </w:t>
      </w:r>
      <w:r w:rsidR="0098241A">
        <w:t xml:space="preserve">GUI facility type bundle variants account for variation in GUI </w:t>
      </w:r>
      <w:proofErr w:type="spellStart"/>
      <w:r w:rsidR="0098241A">
        <w:t>utilisation</w:t>
      </w:r>
      <w:proofErr w:type="spellEnd"/>
      <w:r w:rsidR="0098241A">
        <w:t xml:space="preserve"> and associated PL benefits that may occur between facility types.</w:t>
      </w:r>
    </w:p>
    <w:p w14:paraId="3D1DEFF5" w14:textId="39DC8E4B" w:rsidR="00B56087" w:rsidRDefault="00114166">
      <w:r w:rsidRPr="00114166">
        <w:t>There are a total of 72 facility-type GUI bundle variants (i.e. 24 product bundles split into three facility types). However, it may be the case that some GUI product classes are limited in their use to only one or two facility types (e.g. a given GUI product bundle may have no observed occurrence within private day facilities).</w:t>
      </w:r>
    </w:p>
    <w:p w14:paraId="1929FF66" w14:textId="007DFC22" w:rsidR="00C8759E" w:rsidRPr="00095821" w:rsidRDefault="00853E84" w:rsidP="00853E84">
      <w:pPr>
        <w:pStyle w:val="Heading3"/>
      </w:pPr>
      <w:bookmarkStart w:id="31" w:name="_Toc121130786"/>
      <w:r>
        <w:t xml:space="preserve">Major Diagnostic Category </w:t>
      </w:r>
      <w:r w:rsidR="00E91D40">
        <w:t>b</w:t>
      </w:r>
      <w:r>
        <w:t xml:space="preserve">ased </w:t>
      </w:r>
      <w:r w:rsidR="00E91D40">
        <w:t>b</w:t>
      </w:r>
      <w:r>
        <w:t xml:space="preserve">undle </w:t>
      </w:r>
      <w:r w:rsidR="00E91D40">
        <w:t>v</w:t>
      </w:r>
      <w:r>
        <w:t>ariant</w:t>
      </w:r>
      <w:r w:rsidR="00E91D40">
        <w:t>s</w:t>
      </w:r>
      <w:bookmarkEnd w:id="31"/>
    </w:p>
    <w:p w14:paraId="72FACF78" w14:textId="1B45CD72" w:rsidR="00ED5C6B" w:rsidRDefault="00853E84" w:rsidP="00ED5C6B">
      <w:r>
        <w:t xml:space="preserve">Some GUI product classes exhibit significant </w:t>
      </w:r>
      <w:r w:rsidR="00C23384">
        <w:t xml:space="preserve">variation in </w:t>
      </w:r>
      <w:r>
        <w:t xml:space="preserve">GUI </w:t>
      </w:r>
      <w:proofErr w:type="spellStart"/>
      <w:r>
        <w:t>utilisation</w:t>
      </w:r>
      <w:proofErr w:type="spellEnd"/>
      <w:r>
        <w:t xml:space="preserve"> and associated PL benefits that can be associated with </w:t>
      </w:r>
      <w:r w:rsidR="00C23384">
        <w:t>differences in the clinical characteristics of episodes</w:t>
      </w:r>
      <w:r>
        <w:t xml:space="preserve"> of admitted patient care. IHACPA has examined the association between </w:t>
      </w:r>
      <w:r w:rsidR="00ED5C6B">
        <w:t xml:space="preserve">characteristics of </w:t>
      </w:r>
      <w:r>
        <w:t xml:space="preserve">GUI </w:t>
      </w:r>
      <w:proofErr w:type="spellStart"/>
      <w:r>
        <w:t>utilisation</w:t>
      </w:r>
      <w:proofErr w:type="spellEnd"/>
      <w:r>
        <w:t xml:space="preserve"> and clinical characteristics using</w:t>
      </w:r>
      <w:r w:rsidRPr="00853E84">
        <w:t xml:space="preserve"> the ICD-10-AM/ACHI/ACS disease and intervention classification systems,</w:t>
      </w:r>
      <w:r w:rsidR="00ED5C6B">
        <w:rPr>
          <w:rStyle w:val="FootnoteReference"/>
        </w:rPr>
        <w:footnoteReference w:id="10"/>
      </w:r>
      <w:r w:rsidRPr="00853E84">
        <w:t xml:space="preserve"> </w:t>
      </w:r>
      <w:r w:rsidR="00ED5C6B">
        <w:t>and</w:t>
      </w:r>
      <w:r w:rsidRPr="00853E84">
        <w:t xml:space="preserve"> the AR</w:t>
      </w:r>
      <w:r w:rsidR="00ED5C6B">
        <w:t>-</w:t>
      </w:r>
      <w:r w:rsidRPr="00853E84">
        <w:t xml:space="preserve">DRG episode </w:t>
      </w:r>
      <w:r w:rsidR="00ED5C6B">
        <w:t>classification.</w:t>
      </w:r>
      <w:r w:rsidR="00ED5C6B">
        <w:rPr>
          <w:rStyle w:val="FootnoteReference"/>
        </w:rPr>
        <w:footnoteReference w:id="11"/>
      </w:r>
      <w:r w:rsidR="00ED5C6B">
        <w:t xml:space="preserve"> Further detail on these analyses is provided in </w:t>
      </w:r>
      <w:r w:rsidR="00ED5C6B">
        <w:fldChar w:fldCharType="begin"/>
      </w:r>
      <w:r w:rsidR="00ED5C6B">
        <w:instrText xml:space="preserve"> REF _Ref118990034 \h </w:instrText>
      </w:r>
      <w:r w:rsidR="00ED5C6B">
        <w:fldChar w:fldCharType="separate"/>
      </w:r>
      <w:r w:rsidR="00106CD4">
        <w:t>Appendix C – Supporting analyses</w:t>
      </w:r>
      <w:r w:rsidR="00ED5C6B">
        <w:fldChar w:fldCharType="end"/>
      </w:r>
      <w:r w:rsidR="00ED5C6B">
        <w:t>.</w:t>
      </w:r>
    </w:p>
    <w:p w14:paraId="3D06389B" w14:textId="78D1DC83" w:rsidR="00ED5C6B" w:rsidRDefault="00ED5C6B" w:rsidP="00ED5C6B">
      <w:r>
        <w:t>The third type of GUI bundle variant splits each of the 24 GUI product bundle variants into up to five classes based on the Major Diagnostic Category (MDC) of the episode (see Table A4 of Appendix A). MDCs are a classification of admitted episodes of care that form a part of the Australian Refined Diagnosis Related Groups (AR</w:t>
      </w:r>
      <w:r>
        <w:noBreakHyphen/>
        <w:t>DRG) classification, and IHACPA has used AR</w:t>
      </w:r>
      <w:r>
        <w:noBreakHyphen/>
        <w:t>DRG Version 10 in the development of this advice.</w:t>
      </w:r>
    </w:p>
    <w:p w14:paraId="14CAFED0" w14:textId="48641C25" w:rsidR="009A76F9" w:rsidRPr="00AA7066" w:rsidRDefault="00ED5C6B" w:rsidP="006D551D">
      <w:r>
        <w:t xml:space="preserve">The splitting of each GUI product bundle variant into MDC-based variants is dependent on observed variation in GUI </w:t>
      </w:r>
      <w:proofErr w:type="spellStart"/>
      <w:r>
        <w:t>utilisation</w:t>
      </w:r>
      <w:proofErr w:type="spellEnd"/>
      <w:r>
        <w:t xml:space="preserve"> across clinical characteristics. In particular, the more variation that is observed, the greater the number of splits, and where no variation is observed, there is no split, and the resulting MDC-based variant is identical to the product bundle for that GUI product class. There are a total of 54 MDC-based GUI bundle variants across the 24 GUI product classes. Further detail on the methodology used to define the MDC-based variants is provided in Section </w:t>
      </w:r>
      <w:r>
        <w:fldChar w:fldCharType="begin"/>
      </w:r>
      <w:r>
        <w:instrText xml:space="preserve"> REF _Ref119073178 \r \h </w:instrText>
      </w:r>
      <w:r>
        <w:fldChar w:fldCharType="separate"/>
      </w:r>
      <w:r w:rsidR="00106CD4">
        <w:t>5</w:t>
      </w:r>
      <w:r>
        <w:fldChar w:fldCharType="end"/>
      </w:r>
      <w:r>
        <w:t>.</w:t>
      </w:r>
    </w:p>
    <w:p w14:paraId="7BEB74A7" w14:textId="7BD0DA66" w:rsidR="00530F59" w:rsidRDefault="00E91D40" w:rsidP="00530F59">
      <w:pPr>
        <w:pStyle w:val="Heading2"/>
      </w:pPr>
      <w:bookmarkStart w:id="32" w:name="_Toc121130787"/>
      <w:r>
        <w:t>General Use Item b</w:t>
      </w:r>
      <w:r w:rsidR="00530F59">
        <w:t xml:space="preserve">undled </w:t>
      </w:r>
      <w:r>
        <w:t>b</w:t>
      </w:r>
      <w:r w:rsidR="00673757">
        <w:t>enefits</w:t>
      </w:r>
      <w:bookmarkEnd w:id="32"/>
    </w:p>
    <w:p w14:paraId="7E121733" w14:textId="5E6032B1" w:rsidR="00A13421" w:rsidRDefault="00A13421" w:rsidP="00A13421">
      <w:r>
        <w:t xml:space="preserve">IHACPA has used the Hospital </w:t>
      </w:r>
      <w:proofErr w:type="spellStart"/>
      <w:r>
        <w:t>Casemix</w:t>
      </w:r>
      <w:proofErr w:type="spellEnd"/>
      <w:r>
        <w:t xml:space="preserve"> Protocol (HCP) data collection to represent the </w:t>
      </w:r>
      <w:proofErr w:type="spellStart"/>
      <w:r>
        <w:t>utilisation</w:t>
      </w:r>
      <w:proofErr w:type="spellEnd"/>
      <w:r>
        <w:t xml:space="preserve"> of GUIs within privately insured admitted episodes of care. </w:t>
      </w:r>
      <w:r w:rsidR="00304EAD">
        <w:t xml:space="preserve">For the purpose of developing advice on GUI bundling arrangements, </w:t>
      </w:r>
      <w:r>
        <w:t>HCP data has been restricted to admitted episodes of care that separated in the 2020-21 financial year. IHACPA has also undertaken historical analysis of GUI bundles using the preceding three financial years of HCP data, from 2017-18 to 2019-20.</w:t>
      </w:r>
    </w:p>
    <w:p w14:paraId="171100B5" w14:textId="61EA357A" w:rsidR="00A13421" w:rsidRDefault="00A13421" w:rsidP="00A13421">
      <w:r>
        <w:t>Each individual occurrence of a GUI bundle within the HCP data comprises a set of items from a specific GUI product class together with their associated benefits as defined by the March 2023 PL. The mix and number of items can vary across individual bundles of a given GUI bundle variant. This variation may be significant or only slight, depending on the GUI product class and the type of bundle variant.</w:t>
      </w:r>
    </w:p>
    <w:p w14:paraId="2B4A5503" w14:textId="27DC5DD3" w:rsidR="00A13421" w:rsidRDefault="00A13421" w:rsidP="00A13421">
      <w:r>
        <w:lastRenderedPageBreak/>
        <w:t>For a given GUI bundle variant, its ‘bundle benefit’ is defined as the total PL benefits for items of the given GUI product class that occur across all observed bundles of that variant, divided by the number of observed bundles of the variant. This is effectively the average PL benefits per episode associated with usage of items from the given GUI product class and restricted to the episodes specified by the given variant (e.g. those that occur within a given facility type or are classified as belonging to a given collection of MDCs).</w:t>
      </w:r>
    </w:p>
    <w:p w14:paraId="6A13E652" w14:textId="15FEF045" w:rsidR="001377D5" w:rsidRDefault="00447765" w:rsidP="00A13421">
      <w:r>
        <w:fldChar w:fldCharType="begin"/>
      </w:r>
      <w:r>
        <w:instrText xml:space="preserve"> REF _Ref120006611 \h </w:instrText>
      </w:r>
      <w:r>
        <w:fldChar w:fldCharType="separate"/>
      </w:r>
      <w:r w:rsidR="00106CD4">
        <w:t xml:space="preserve">Table </w:t>
      </w:r>
      <w:r w:rsidR="00106CD4">
        <w:rPr>
          <w:noProof/>
        </w:rPr>
        <w:t>2</w:t>
      </w:r>
      <w:r>
        <w:fldChar w:fldCharType="end"/>
      </w:r>
      <w:r>
        <w:t xml:space="preserve"> illustrates the calculation of bundle benefits for the ‘</w:t>
      </w:r>
      <w:r w:rsidRPr="00447765">
        <w:t>Infusion Pumps, Balloon Based</w:t>
      </w:r>
      <w:r>
        <w:t>’ product bundle variant.</w:t>
      </w:r>
    </w:p>
    <w:p w14:paraId="479CD92D" w14:textId="5A7CB8D8" w:rsidR="006C7C6D" w:rsidRDefault="006C7C6D" w:rsidP="006C7C6D">
      <w:pPr>
        <w:pStyle w:val="Caption"/>
        <w:keepNext/>
      </w:pPr>
      <w:bookmarkStart w:id="33" w:name="_Ref120006611"/>
      <w:r>
        <w:t xml:space="preserve">Table </w:t>
      </w:r>
      <w:fldSimple w:instr=" SEQ Table \* ARABIC ">
        <w:r w:rsidR="00106CD4">
          <w:rPr>
            <w:noProof/>
          </w:rPr>
          <w:t>2</w:t>
        </w:r>
      </w:fldSimple>
      <w:bookmarkEnd w:id="33"/>
      <w:r>
        <w:t xml:space="preserve">: Illustration of GUI bundle benefit calculation - A11A1 Infusion Pumps, Balloon Based </w:t>
      </w:r>
      <w:r w:rsidR="006A23C0">
        <w:t>product bundle</w:t>
      </w:r>
    </w:p>
    <w:tbl>
      <w:tblPr>
        <w:tblStyle w:val="TableGrid"/>
        <w:tblW w:w="10155" w:type="dxa"/>
        <w:tblLook w:val="04A0" w:firstRow="1" w:lastRow="0" w:firstColumn="1" w:lastColumn="0" w:noHBand="0" w:noVBand="1"/>
        <w:tblDescription w:val="Table 2 showing Product Class A1 Drug Delivery, with columns demonstrating variant branch, bundle variant, episodes, benefits and average benefits per epsiode. "/>
      </w:tblPr>
      <w:tblGrid>
        <w:gridCol w:w="897"/>
        <w:gridCol w:w="939"/>
        <w:gridCol w:w="757"/>
        <w:gridCol w:w="2818"/>
        <w:gridCol w:w="1117"/>
        <w:gridCol w:w="1217"/>
        <w:gridCol w:w="1443"/>
        <w:gridCol w:w="967"/>
      </w:tblGrid>
      <w:tr w:rsidR="006C7C6D" w:rsidRPr="001377D5" w14:paraId="098B5855" w14:textId="77777777" w:rsidTr="006C7C6D">
        <w:tc>
          <w:tcPr>
            <w:tcW w:w="89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vAlign w:val="center"/>
          </w:tcPr>
          <w:p w14:paraId="5A5F4E1A" w14:textId="77777777" w:rsidR="001377D5" w:rsidRPr="001377D5" w:rsidRDefault="001377D5" w:rsidP="001377D5">
            <w:pPr>
              <w:spacing w:before="120" w:after="120"/>
              <w:jc w:val="center"/>
              <w:rPr>
                <w:b/>
                <w:bCs/>
                <w:color w:val="FFFFFF" w:themeColor="background2"/>
                <w:sz w:val="18"/>
                <w:szCs w:val="18"/>
              </w:rPr>
            </w:pPr>
            <w:r w:rsidRPr="001377D5">
              <w:rPr>
                <w:b/>
                <w:bCs/>
                <w:color w:val="FFFFFF" w:themeColor="background2"/>
                <w:sz w:val="18"/>
                <w:szCs w:val="18"/>
              </w:rPr>
              <w:t>Product</w:t>
            </w:r>
          </w:p>
          <w:p w14:paraId="33B4469E" w14:textId="38B334A1" w:rsidR="001377D5" w:rsidRPr="001377D5" w:rsidRDefault="00003A6F" w:rsidP="001377D5">
            <w:pPr>
              <w:spacing w:before="120" w:after="120"/>
              <w:jc w:val="center"/>
              <w:rPr>
                <w:b/>
                <w:bCs/>
                <w:color w:val="FFFFFF" w:themeColor="background2"/>
                <w:sz w:val="18"/>
                <w:szCs w:val="18"/>
              </w:rPr>
            </w:pPr>
            <w:r>
              <w:rPr>
                <w:b/>
                <w:bCs/>
                <w:color w:val="FFFFFF" w:themeColor="background2"/>
                <w:sz w:val="18"/>
                <w:szCs w:val="18"/>
              </w:rPr>
              <w:t>c</w:t>
            </w:r>
            <w:r w:rsidR="001377D5" w:rsidRPr="001377D5">
              <w:rPr>
                <w:b/>
                <w:bCs/>
                <w:color w:val="FFFFFF" w:themeColor="background2"/>
                <w:sz w:val="18"/>
                <w:szCs w:val="18"/>
              </w:rPr>
              <w:t>lass</w:t>
            </w:r>
          </w:p>
        </w:tc>
        <w:tc>
          <w:tcPr>
            <w:tcW w:w="939" w:type="dxa"/>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27E0C3EE" w14:textId="77777777" w:rsidR="001377D5" w:rsidRPr="001377D5" w:rsidRDefault="001377D5" w:rsidP="001377D5">
            <w:pPr>
              <w:spacing w:before="120" w:after="120"/>
              <w:jc w:val="center"/>
              <w:rPr>
                <w:b/>
                <w:bCs/>
                <w:color w:val="FFFFFF" w:themeColor="background2"/>
                <w:sz w:val="18"/>
                <w:szCs w:val="18"/>
              </w:rPr>
            </w:pPr>
            <w:r w:rsidRPr="001377D5">
              <w:rPr>
                <w:b/>
                <w:bCs/>
                <w:color w:val="FFFFFF" w:themeColor="background2"/>
                <w:sz w:val="18"/>
                <w:szCs w:val="18"/>
              </w:rPr>
              <w:t>Variant</w:t>
            </w:r>
          </w:p>
          <w:p w14:paraId="2605F17E" w14:textId="0F18B818" w:rsidR="001377D5" w:rsidRPr="001377D5" w:rsidRDefault="00003A6F" w:rsidP="001377D5">
            <w:pPr>
              <w:spacing w:before="120" w:after="120"/>
              <w:jc w:val="center"/>
              <w:rPr>
                <w:b/>
                <w:bCs/>
                <w:color w:val="FFFFFF" w:themeColor="background2"/>
                <w:sz w:val="18"/>
                <w:szCs w:val="18"/>
              </w:rPr>
            </w:pPr>
            <w:r>
              <w:rPr>
                <w:b/>
                <w:bCs/>
                <w:color w:val="FFFFFF" w:themeColor="background2"/>
                <w:sz w:val="18"/>
                <w:szCs w:val="18"/>
              </w:rPr>
              <w:t>b</w:t>
            </w:r>
            <w:r w:rsidR="001377D5" w:rsidRPr="001377D5">
              <w:rPr>
                <w:b/>
                <w:bCs/>
                <w:color w:val="FFFFFF" w:themeColor="background2"/>
                <w:sz w:val="18"/>
                <w:szCs w:val="18"/>
              </w:rPr>
              <w:t>ranch</w:t>
            </w:r>
          </w:p>
        </w:tc>
        <w:tc>
          <w:tcPr>
            <w:tcW w:w="3575" w:type="dxa"/>
            <w:gridSpan w:val="2"/>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3652743C" w14:textId="43FDB83E" w:rsidR="001377D5" w:rsidRPr="001377D5" w:rsidRDefault="001377D5" w:rsidP="001377D5">
            <w:pPr>
              <w:spacing w:before="120" w:after="120"/>
              <w:jc w:val="center"/>
              <w:rPr>
                <w:b/>
                <w:bCs/>
                <w:color w:val="FFFFFF" w:themeColor="background2"/>
                <w:sz w:val="18"/>
                <w:szCs w:val="18"/>
              </w:rPr>
            </w:pPr>
            <w:r w:rsidRPr="001377D5">
              <w:rPr>
                <w:b/>
                <w:bCs/>
                <w:color w:val="FFFFFF" w:themeColor="background2"/>
                <w:sz w:val="18"/>
                <w:szCs w:val="18"/>
              </w:rPr>
              <w:t xml:space="preserve">Bundle </w:t>
            </w:r>
            <w:r w:rsidR="00003A6F">
              <w:rPr>
                <w:b/>
                <w:bCs/>
                <w:color w:val="FFFFFF" w:themeColor="background2"/>
                <w:sz w:val="18"/>
                <w:szCs w:val="18"/>
              </w:rPr>
              <w:t>v</w:t>
            </w:r>
            <w:r w:rsidRPr="001377D5">
              <w:rPr>
                <w:b/>
                <w:bCs/>
                <w:color w:val="FFFFFF" w:themeColor="background2"/>
                <w:sz w:val="18"/>
                <w:szCs w:val="18"/>
              </w:rPr>
              <w:t>ariant</w:t>
            </w:r>
          </w:p>
        </w:tc>
        <w:tc>
          <w:tcPr>
            <w:tcW w:w="1117" w:type="dxa"/>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144203A8" w14:textId="24DFF6C6" w:rsidR="001377D5" w:rsidRPr="001377D5" w:rsidRDefault="001377D5" w:rsidP="001377D5">
            <w:pPr>
              <w:spacing w:before="120" w:after="120"/>
              <w:jc w:val="center"/>
              <w:rPr>
                <w:b/>
                <w:bCs/>
                <w:color w:val="FFFFFF" w:themeColor="background2"/>
                <w:sz w:val="18"/>
                <w:szCs w:val="18"/>
              </w:rPr>
            </w:pPr>
            <w:r w:rsidRPr="001377D5">
              <w:rPr>
                <w:b/>
                <w:bCs/>
                <w:color w:val="FFFFFF" w:themeColor="background2"/>
                <w:sz w:val="18"/>
                <w:szCs w:val="18"/>
              </w:rPr>
              <w:t>Episodes</w:t>
            </w:r>
          </w:p>
        </w:tc>
        <w:tc>
          <w:tcPr>
            <w:tcW w:w="1217" w:type="dxa"/>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4393000D" w14:textId="3F0AD1A3" w:rsidR="001377D5" w:rsidRPr="001377D5" w:rsidRDefault="001377D5" w:rsidP="001377D5">
            <w:pPr>
              <w:spacing w:before="120" w:after="120"/>
              <w:jc w:val="center"/>
              <w:rPr>
                <w:b/>
                <w:bCs/>
                <w:color w:val="FFFFFF" w:themeColor="background2"/>
                <w:sz w:val="18"/>
                <w:szCs w:val="18"/>
              </w:rPr>
            </w:pPr>
            <w:r w:rsidRPr="001377D5">
              <w:rPr>
                <w:b/>
                <w:bCs/>
                <w:color w:val="FFFFFF" w:themeColor="background2"/>
                <w:sz w:val="18"/>
                <w:szCs w:val="18"/>
              </w:rPr>
              <w:t>Benefits</w:t>
            </w:r>
          </w:p>
        </w:tc>
        <w:tc>
          <w:tcPr>
            <w:tcW w:w="1443" w:type="dxa"/>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7975B927" w14:textId="25D8CB16" w:rsidR="001377D5" w:rsidRPr="001377D5" w:rsidRDefault="001377D5" w:rsidP="001377D5">
            <w:pPr>
              <w:spacing w:before="120" w:after="120"/>
              <w:jc w:val="center"/>
              <w:rPr>
                <w:b/>
                <w:bCs/>
                <w:color w:val="FFFFFF" w:themeColor="background2"/>
                <w:sz w:val="18"/>
                <w:szCs w:val="18"/>
              </w:rPr>
            </w:pPr>
            <w:r w:rsidRPr="001377D5">
              <w:rPr>
                <w:b/>
                <w:bCs/>
                <w:color w:val="FFFFFF" w:themeColor="background2"/>
                <w:sz w:val="18"/>
                <w:szCs w:val="18"/>
              </w:rPr>
              <w:t xml:space="preserve">Average </w:t>
            </w:r>
            <w:r w:rsidR="00003A6F">
              <w:rPr>
                <w:b/>
                <w:bCs/>
                <w:color w:val="FFFFFF" w:themeColor="background2"/>
                <w:sz w:val="18"/>
                <w:szCs w:val="18"/>
              </w:rPr>
              <w:t>b</w:t>
            </w:r>
            <w:r w:rsidRPr="001377D5">
              <w:rPr>
                <w:b/>
                <w:bCs/>
                <w:color w:val="FFFFFF" w:themeColor="background2"/>
                <w:sz w:val="18"/>
                <w:szCs w:val="18"/>
              </w:rPr>
              <w:t xml:space="preserve">enefits per </w:t>
            </w:r>
            <w:r w:rsidR="00003A6F">
              <w:rPr>
                <w:b/>
                <w:bCs/>
                <w:color w:val="FFFFFF" w:themeColor="background2"/>
                <w:sz w:val="18"/>
                <w:szCs w:val="18"/>
              </w:rPr>
              <w:t>e</w:t>
            </w:r>
            <w:r w:rsidRPr="001377D5">
              <w:rPr>
                <w:b/>
                <w:bCs/>
                <w:color w:val="FFFFFF" w:themeColor="background2"/>
                <w:sz w:val="18"/>
                <w:szCs w:val="18"/>
              </w:rPr>
              <w:t>pisode</w:t>
            </w:r>
          </w:p>
        </w:tc>
        <w:tc>
          <w:tcPr>
            <w:tcW w:w="967" w:type="dxa"/>
            <w:tcBorders>
              <w:top w:val="single" w:sz="4" w:space="0" w:color="808080" w:themeColor="background2" w:themeShade="80"/>
              <w:left w:val="single" w:sz="4" w:space="0" w:color="FFFFFF" w:themeColor="background2"/>
              <w:bottom w:val="single" w:sz="4" w:space="0" w:color="808080" w:themeColor="background2" w:themeShade="80"/>
              <w:right w:val="single" w:sz="4" w:space="0" w:color="808080" w:themeColor="background2" w:themeShade="80"/>
            </w:tcBorders>
            <w:shd w:val="clear" w:color="auto" w:fill="104F99" w:themeFill="accent2"/>
            <w:vAlign w:val="center"/>
          </w:tcPr>
          <w:p w14:paraId="344D037B" w14:textId="0BF57B37" w:rsidR="001377D5" w:rsidRPr="001377D5" w:rsidRDefault="001377D5" w:rsidP="006C7C6D">
            <w:pPr>
              <w:spacing w:before="120" w:after="120"/>
              <w:jc w:val="center"/>
              <w:rPr>
                <w:b/>
                <w:bCs/>
                <w:color w:val="FFFFFF" w:themeColor="background2"/>
                <w:sz w:val="18"/>
                <w:szCs w:val="18"/>
              </w:rPr>
            </w:pPr>
            <w:r w:rsidRPr="001377D5">
              <w:rPr>
                <w:b/>
                <w:bCs/>
                <w:color w:val="FFFFFF" w:themeColor="background2"/>
                <w:sz w:val="18"/>
                <w:szCs w:val="18"/>
              </w:rPr>
              <w:t>Bundle</w:t>
            </w:r>
            <w:r w:rsidR="006C7C6D">
              <w:rPr>
                <w:b/>
                <w:bCs/>
                <w:color w:val="FFFFFF" w:themeColor="background2"/>
                <w:sz w:val="18"/>
                <w:szCs w:val="18"/>
              </w:rPr>
              <w:t xml:space="preserve"> </w:t>
            </w:r>
            <w:r w:rsidR="00003A6F">
              <w:rPr>
                <w:b/>
                <w:bCs/>
                <w:color w:val="FFFFFF" w:themeColor="background2"/>
                <w:sz w:val="18"/>
                <w:szCs w:val="18"/>
              </w:rPr>
              <w:t>b</w:t>
            </w:r>
            <w:r w:rsidRPr="001377D5">
              <w:rPr>
                <w:b/>
                <w:bCs/>
                <w:color w:val="FFFFFF" w:themeColor="background2"/>
                <w:sz w:val="18"/>
                <w:szCs w:val="18"/>
              </w:rPr>
              <w:t>enefit</w:t>
            </w:r>
          </w:p>
        </w:tc>
      </w:tr>
      <w:tr w:rsidR="006C7C6D" w:rsidRPr="001377D5" w14:paraId="3AB8DB77" w14:textId="77777777" w:rsidTr="006C7C6D">
        <w:tc>
          <w:tcPr>
            <w:tcW w:w="89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08BD1031" w14:textId="77777777" w:rsidR="001377D5" w:rsidRDefault="001377D5" w:rsidP="006C7C6D">
            <w:pPr>
              <w:spacing w:before="120" w:after="120"/>
              <w:jc w:val="center"/>
              <w:rPr>
                <w:sz w:val="18"/>
                <w:szCs w:val="18"/>
              </w:rPr>
            </w:pPr>
            <w:r>
              <w:rPr>
                <w:sz w:val="18"/>
                <w:szCs w:val="18"/>
              </w:rPr>
              <w:t>A1</w:t>
            </w:r>
          </w:p>
          <w:p w14:paraId="41C875C4" w14:textId="4A0A5072" w:rsidR="001377D5" w:rsidRPr="001377D5" w:rsidRDefault="001377D5" w:rsidP="006C7C6D">
            <w:pPr>
              <w:spacing w:before="120" w:after="120"/>
              <w:jc w:val="center"/>
              <w:rPr>
                <w:sz w:val="18"/>
                <w:szCs w:val="18"/>
              </w:rPr>
            </w:pPr>
            <w:r w:rsidRPr="001377D5">
              <w:rPr>
                <w:sz w:val="18"/>
                <w:szCs w:val="18"/>
              </w:rPr>
              <w:t>Drug Delivery</w:t>
            </w:r>
          </w:p>
        </w:tc>
        <w:tc>
          <w:tcPr>
            <w:tcW w:w="939"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6F7FFA6A" w14:textId="77777777" w:rsidR="001377D5" w:rsidRDefault="001377D5" w:rsidP="006C7C6D">
            <w:pPr>
              <w:spacing w:before="120" w:after="120"/>
              <w:jc w:val="center"/>
              <w:rPr>
                <w:rFonts w:eastAsia="Times New Roman" w:cs="Arial"/>
                <w:color w:val="000000"/>
                <w:sz w:val="18"/>
                <w:szCs w:val="18"/>
                <w:lang w:val="en-US"/>
              </w:rPr>
            </w:pPr>
            <w:r>
              <w:rPr>
                <w:rFonts w:eastAsia="Times New Roman" w:cs="Arial"/>
                <w:color w:val="000000"/>
                <w:sz w:val="18"/>
                <w:szCs w:val="18"/>
                <w:lang w:val="en-US"/>
              </w:rPr>
              <w:t>A</w:t>
            </w:r>
          </w:p>
          <w:p w14:paraId="425AC595" w14:textId="000669D8" w:rsidR="001377D5" w:rsidRPr="001377D5" w:rsidRDefault="001377D5" w:rsidP="006C7C6D">
            <w:pPr>
              <w:spacing w:before="120" w:after="120"/>
              <w:jc w:val="center"/>
              <w:rPr>
                <w:rFonts w:eastAsia="Times New Roman" w:cs="Arial"/>
                <w:color w:val="000000"/>
                <w:sz w:val="18"/>
                <w:szCs w:val="18"/>
                <w:lang w:val="en-US"/>
              </w:rPr>
            </w:pPr>
            <w:r>
              <w:rPr>
                <w:rFonts w:eastAsia="Times New Roman" w:cs="Arial"/>
                <w:color w:val="000000"/>
                <w:sz w:val="18"/>
                <w:szCs w:val="18"/>
                <w:lang w:val="en-US"/>
              </w:rPr>
              <w:t>Product</w:t>
            </w:r>
            <w:r w:rsidR="006C7C6D">
              <w:rPr>
                <w:rFonts w:eastAsia="Times New Roman" w:cs="Arial"/>
                <w:color w:val="000000"/>
                <w:sz w:val="18"/>
                <w:szCs w:val="18"/>
                <w:lang w:val="en-US"/>
              </w:rPr>
              <w:t xml:space="preserve"> </w:t>
            </w:r>
            <w:r>
              <w:rPr>
                <w:rFonts w:eastAsia="Times New Roman" w:cs="Arial"/>
                <w:color w:val="000000"/>
                <w:sz w:val="18"/>
                <w:szCs w:val="18"/>
                <w:lang w:val="en-US"/>
              </w:rPr>
              <w:t>Only</w:t>
            </w:r>
          </w:p>
        </w:tc>
        <w:tc>
          <w:tcPr>
            <w:tcW w:w="757" w:type="dxa"/>
            <w:tcBorders>
              <w:top w:val="single" w:sz="4" w:space="0" w:color="808080" w:themeColor="background2" w:themeShade="80"/>
              <w:left w:val="single" w:sz="4" w:space="0" w:color="808080" w:themeColor="background2" w:themeShade="80"/>
              <w:bottom w:val="single" w:sz="4" w:space="0" w:color="808080" w:themeColor="background2" w:themeShade="80"/>
              <w:right w:val="nil"/>
            </w:tcBorders>
            <w:vAlign w:val="center"/>
          </w:tcPr>
          <w:p w14:paraId="2F5AB5C1" w14:textId="13260488" w:rsidR="001377D5" w:rsidRPr="001377D5" w:rsidRDefault="001377D5" w:rsidP="006C7C6D">
            <w:pPr>
              <w:spacing w:before="120" w:after="120"/>
              <w:rPr>
                <w:sz w:val="18"/>
                <w:szCs w:val="18"/>
              </w:rPr>
            </w:pPr>
            <w:r w:rsidRPr="001377D5">
              <w:rPr>
                <w:sz w:val="18"/>
                <w:szCs w:val="18"/>
              </w:rPr>
              <w:t>A11A1</w:t>
            </w:r>
          </w:p>
        </w:tc>
        <w:tc>
          <w:tcPr>
            <w:tcW w:w="2818"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vAlign w:val="center"/>
          </w:tcPr>
          <w:p w14:paraId="45FB71AC" w14:textId="5ADC2D1A" w:rsidR="001377D5" w:rsidRPr="001377D5" w:rsidRDefault="001377D5" w:rsidP="006C7C6D">
            <w:pPr>
              <w:spacing w:before="120" w:after="120"/>
              <w:rPr>
                <w:sz w:val="18"/>
                <w:szCs w:val="18"/>
              </w:rPr>
            </w:pPr>
            <w:r w:rsidRPr="001377D5">
              <w:rPr>
                <w:sz w:val="18"/>
                <w:szCs w:val="18"/>
              </w:rPr>
              <w:t>Infusion Pumps, Balloon Based</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5A44B50A" w14:textId="5FEC4E12" w:rsidR="001377D5" w:rsidRPr="001377D5" w:rsidRDefault="001377D5" w:rsidP="006C7C6D">
            <w:pPr>
              <w:spacing w:before="120" w:after="120"/>
              <w:jc w:val="center"/>
              <w:rPr>
                <w:sz w:val="18"/>
                <w:szCs w:val="18"/>
              </w:rPr>
            </w:pPr>
            <w:r w:rsidRPr="001377D5">
              <w:rPr>
                <w:sz w:val="18"/>
                <w:szCs w:val="18"/>
              </w:rPr>
              <w:t>39</w:t>
            </w:r>
            <w:r>
              <w:rPr>
                <w:sz w:val="18"/>
                <w:szCs w:val="18"/>
              </w:rPr>
              <w:t>,</w:t>
            </w:r>
            <w:r w:rsidRPr="001377D5">
              <w:rPr>
                <w:sz w:val="18"/>
                <w:szCs w:val="18"/>
              </w:rPr>
              <w:t>190</w:t>
            </w:r>
          </w:p>
        </w:tc>
        <w:tc>
          <w:tcPr>
            <w:tcW w:w="12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18E22D82" w14:textId="3B48BFA1" w:rsidR="001377D5" w:rsidRPr="001377D5" w:rsidRDefault="001377D5" w:rsidP="006C7C6D">
            <w:pPr>
              <w:spacing w:before="120" w:after="120"/>
              <w:jc w:val="center"/>
              <w:rPr>
                <w:sz w:val="18"/>
                <w:szCs w:val="18"/>
              </w:rPr>
            </w:pPr>
            <w:r>
              <w:rPr>
                <w:sz w:val="18"/>
                <w:szCs w:val="18"/>
              </w:rPr>
              <w:t>$</w:t>
            </w:r>
            <w:r w:rsidRPr="001377D5">
              <w:rPr>
                <w:sz w:val="18"/>
                <w:szCs w:val="18"/>
              </w:rPr>
              <w:t>5</w:t>
            </w:r>
            <w:r>
              <w:rPr>
                <w:sz w:val="18"/>
                <w:szCs w:val="18"/>
              </w:rPr>
              <w:t>,</w:t>
            </w:r>
            <w:r w:rsidRPr="001377D5">
              <w:rPr>
                <w:sz w:val="18"/>
                <w:szCs w:val="18"/>
              </w:rPr>
              <w:t>206</w:t>
            </w:r>
            <w:r>
              <w:rPr>
                <w:sz w:val="18"/>
                <w:szCs w:val="18"/>
              </w:rPr>
              <w:t>,</w:t>
            </w:r>
            <w:r w:rsidRPr="001377D5">
              <w:rPr>
                <w:sz w:val="18"/>
                <w:szCs w:val="18"/>
              </w:rPr>
              <w:t>823</w:t>
            </w:r>
          </w:p>
        </w:tc>
        <w:tc>
          <w:tcPr>
            <w:tcW w:w="144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7F884C8" w14:textId="6B90CBC8" w:rsidR="001377D5" w:rsidRPr="001377D5" w:rsidRDefault="001377D5" w:rsidP="006C7C6D">
            <w:pPr>
              <w:spacing w:before="120" w:after="120"/>
              <w:jc w:val="center"/>
              <w:rPr>
                <w:sz w:val="18"/>
                <w:szCs w:val="18"/>
              </w:rPr>
            </w:pPr>
            <w:r>
              <w:rPr>
                <w:sz w:val="18"/>
                <w:szCs w:val="18"/>
              </w:rPr>
              <w:t>$</w:t>
            </w:r>
            <w:r w:rsidRPr="001377D5">
              <w:rPr>
                <w:sz w:val="18"/>
                <w:szCs w:val="18"/>
              </w:rPr>
              <w:t>132.86</w:t>
            </w:r>
          </w:p>
        </w:tc>
        <w:tc>
          <w:tcPr>
            <w:tcW w:w="96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540ABB1B" w14:textId="2CE6B982" w:rsidR="001377D5" w:rsidRPr="001377D5" w:rsidRDefault="001377D5" w:rsidP="006C7C6D">
            <w:pPr>
              <w:spacing w:before="120" w:after="120"/>
              <w:jc w:val="center"/>
              <w:rPr>
                <w:sz w:val="18"/>
                <w:szCs w:val="18"/>
              </w:rPr>
            </w:pPr>
            <w:r>
              <w:rPr>
                <w:sz w:val="18"/>
                <w:szCs w:val="18"/>
              </w:rPr>
              <w:t>$</w:t>
            </w:r>
            <w:r w:rsidRPr="001377D5">
              <w:rPr>
                <w:sz w:val="18"/>
                <w:szCs w:val="18"/>
              </w:rPr>
              <w:t>132.86</w:t>
            </w:r>
          </w:p>
        </w:tc>
      </w:tr>
    </w:tbl>
    <w:p w14:paraId="2A199ABC" w14:textId="3351DEA9" w:rsidR="001A0615" w:rsidRDefault="001A0615"/>
    <w:p w14:paraId="66D7D45B" w14:textId="1EC13D0D" w:rsidR="001A0615" w:rsidRDefault="001A0615" w:rsidP="001A0615">
      <w:pPr>
        <w:pStyle w:val="Heading2"/>
      </w:pPr>
      <w:bookmarkStart w:id="34" w:name="_Toc121130788"/>
      <w:r>
        <w:t>Application</w:t>
      </w:r>
      <w:r w:rsidR="00E91D40">
        <w:t xml:space="preserve"> </w:t>
      </w:r>
      <w:r>
        <w:t xml:space="preserve">of </w:t>
      </w:r>
      <w:r w:rsidR="00E91D40">
        <w:t xml:space="preserve">General Use Item </w:t>
      </w:r>
      <w:r>
        <w:t>bundles</w:t>
      </w:r>
      <w:bookmarkEnd w:id="34"/>
    </w:p>
    <w:p w14:paraId="1D54A7F4" w14:textId="0EEF0F5C" w:rsidR="00E91D40" w:rsidRDefault="00E91D40" w:rsidP="00E91D40">
      <w:r>
        <w:t xml:space="preserve">The purpose of IHACPA’s advice is to support the private health sector in establishing arrangements for the payment of benefits for GUIs, as an alternative to, and in replacement of, the </w:t>
      </w:r>
      <w:r w:rsidR="0023285E">
        <w:t xml:space="preserve">current use of the </w:t>
      </w:r>
      <w:r>
        <w:t xml:space="preserve">PL </w:t>
      </w:r>
      <w:r w:rsidR="0023285E">
        <w:t xml:space="preserve">as a </w:t>
      </w:r>
      <w:r>
        <w:t>payment mechanism.</w:t>
      </w:r>
    </w:p>
    <w:p w14:paraId="53BC024C" w14:textId="77777777" w:rsidR="00E91D40" w:rsidRDefault="00E91D40" w:rsidP="00E91D40">
      <w:r>
        <w:t xml:space="preserve">IHACPA has defined GUI bundles so that they may be applied in a way that is consistent with the current practice of raising charges and paying benefits for usage of items listed on the PL. </w:t>
      </w:r>
    </w:p>
    <w:p w14:paraId="6EB10276" w14:textId="77777777" w:rsidR="00E91D40" w:rsidRDefault="00E91D40" w:rsidP="00E91D40">
      <w:r>
        <w:t>Specifically, the application of GUI bundles would require providers (i.e. hospitals) to raise a GUI bundle charge against an admitted episode in which one or more items from a particular GUI product class were used. There may be multiple bundle charges raised against an individual episode in cases where items across multiple product classes are used. However, a single episode cannot have multiple bundle charges raised for a single GUI product class.</w:t>
      </w:r>
    </w:p>
    <w:p w14:paraId="17B85571" w14:textId="77777777" w:rsidR="00E91D40" w:rsidRDefault="00E91D40" w:rsidP="00E91D40">
      <w:r>
        <w:t>In response to a raised GUI bundle charge, an insurer would pay a benefit to the provider that is consistent with the agreed bundle benefit of the GUI bundle.</w:t>
      </w:r>
    </w:p>
    <w:p w14:paraId="15B28B2C" w14:textId="71BACFCD" w:rsidR="00E91D40" w:rsidRDefault="0023285E" w:rsidP="00E91D40">
      <w:r>
        <w:t>E</w:t>
      </w:r>
      <w:r w:rsidR="00E91D40">
        <w:t>ach GUI bundle variant is identified using a five-character code (e.g. the ‘</w:t>
      </w:r>
      <w:r w:rsidRPr="0023285E">
        <w:t>Infusion Pumps, Balloon Based</w:t>
      </w:r>
      <w:r w:rsidR="00E91D40">
        <w:t>’</w:t>
      </w:r>
      <w:r w:rsidR="00E91D40" w:rsidRPr="00025BEC">
        <w:t xml:space="preserve"> </w:t>
      </w:r>
      <w:r>
        <w:t xml:space="preserve">product </w:t>
      </w:r>
      <w:r w:rsidR="00E91D40">
        <w:t xml:space="preserve">bundle is identified by the code </w:t>
      </w:r>
      <w:r w:rsidR="00E91D40" w:rsidRPr="00025BEC">
        <w:t>A</w:t>
      </w:r>
      <w:r>
        <w:t>11A</w:t>
      </w:r>
      <w:r w:rsidR="00E91D40" w:rsidRPr="00025BEC">
        <w:t>1</w:t>
      </w:r>
      <w:r w:rsidR="00E91D40">
        <w:t>). These codes have been designed in this way so that GUI bundle charge and benefit information may be captured within the existing HCP Prosthesis data collection, similar to the capture of PL charge and benefit information using five-character PL billing codes.</w:t>
      </w:r>
    </w:p>
    <w:p w14:paraId="7D91D685" w14:textId="2FEACFEC" w:rsidR="00E91D40" w:rsidRDefault="00E91D40" w:rsidP="00E91D40">
      <w:r>
        <w:t>Each of the three types of GUI bundle variants, together with their bundle benefits, have been defined so that, when applied across all privately insured admitted episodes, they are estimated to deliver the same total amount of GUI benefits as would be distributed by the current PL payment mechanism using the March 2023 PL scheduled benefits. In this way, the bundle benefit of each variant is defined at a national level</w:t>
      </w:r>
      <w:r w:rsidR="0023285E">
        <w:t xml:space="preserve">, and each type of bundle variant may be used interchangeably at a GUI product class level. That is, for each GUI product class, each of the three sets of bundle </w:t>
      </w:r>
      <w:r w:rsidR="0023285E">
        <w:lastRenderedPageBreak/>
        <w:t>variants for that product class are estimated to deliver back the same amount of benefits at a national level as would be delivered for GUIs in the product class by the current PL payment mechanism.</w:t>
      </w:r>
    </w:p>
    <w:p w14:paraId="5EDFADB7" w14:textId="77777777" w:rsidR="00E91D40" w:rsidRDefault="00E91D40" w:rsidP="00E91D40">
      <w:r>
        <w:t xml:space="preserve">In contrast, individual providers or insurers will have their own observed mix of GUI </w:t>
      </w:r>
      <w:proofErr w:type="spellStart"/>
      <w:r>
        <w:t>utilisation</w:t>
      </w:r>
      <w:proofErr w:type="spellEnd"/>
      <w:r>
        <w:t xml:space="preserve"> across admitted episodes, resulting in variation in their average PL benefits per episode for GUIs compared with the nationally defined bundle benefit. Their observed variation in average PL benefits per episode is driven by variation in average PL benefit per item (i.e. differences in the types of GUI products used), combined with variation in the average number of items used per episode. Smaller providers or insurers may be susceptible to greater variation in their average PL benefits per episode due to the increased influence of individual episodes with unusual patterns of GUI </w:t>
      </w:r>
      <w:proofErr w:type="spellStart"/>
      <w:r>
        <w:t>utilisation</w:t>
      </w:r>
      <w:proofErr w:type="spellEnd"/>
      <w:r>
        <w:t>.</w:t>
      </w:r>
    </w:p>
    <w:p w14:paraId="461839FE" w14:textId="1506AF80" w:rsidR="00E91D40" w:rsidRDefault="00E91D40" w:rsidP="00E91D40">
      <w:r>
        <w:t>To provide insurers and providers with the ability to compare their own observed variation against the national profile, IHACPA’s advice includes GUI percentile statistics for ‘average PL benefits per episode’, ‘average PL benefits per item’ and ‘average items per episode’ across all bundle variants and for different volumes of episodes (</w:t>
      </w:r>
      <w:r>
        <w:fldChar w:fldCharType="begin"/>
      </w:r>
      <w:r>
        <w:instrText xml:space="preserve"> REF _Ref119920263 \h </w:instrText>
      </w:r>
      <w:r>
        <w:fldChar w:fldCharType="separate"/>
      </w:r>
      <w:r w:rsidR="00106CD4">
        <w:t>Appendix D – General Use Item bundle variation statistics</w:t>
      </w:r>
      <w:r>
        <w:fldChar w:fldCharType="end"/>
      </w:r>
      <w:r>
        <w:t>).</w:t>
      </w:r>
    </w:p>
    <w:p w14:paraId="2A75B06C" w14:textId="5E374AE1" w:rsidR="00E91D40" w:rsidRDefault="00E91D40" w:rsidP="00E91D40">
      <w:r>
        <w:t xml:space="preserve">The purpose of this information is to enable insurers and providers to understand how their GUI </w:t>
      </w:r>
      <w:proofErr w:type="spellStart"/>
      <w:r>
        <w:t>utilisation</w:t>
      </w:r>
      <w:proofErr w:type="spellEnd"/>
      <w:r>
        <w:t xml:space="preserve"> compares nationally, and to provide an information base for use in cases where insurers and providers are able to negotiate variations from IHACPA’s advice on bundle benefits.</w:t>
      </w:r>
    </w:p>
    <w:p w14:paraId="0A4071C8" w14:textId="08154D35" w:rsidR="0023285E" w:rsidRDefault="0023285E" w:rsidP="00E91D40">
      <w:r>
        <w:t xml:space="preserve">In practice, a stakeholder would </w:t>
      </w:r>
      <w:r w:rsidR="00A841E5">
        <w:t xml:space="preserve">calculate their total items, benefits and episodes associated with each (or a specific) GUI bundle variant, then calculate the average benefits per episode, </w:t>
      </w:r>
      <w:r w:rsidR="005B42C3">
        <w:t xml:space="preserve">average </w:t>
      </w:r>
      <w:r w:rsidR="00A841E5">
        <w:t xml:space="preserve">benefits per item and </w:t>
      </w:r>
      <w:r w:rsidR="005B42C3">
        <w:t xml:space="preserve">average </w:t>
      </w:r>
      <w:r w:rsidR="00A841E5">
        <w:t>items per episode statistics. The</w:t>
      </w:r>
      <w:r w:rsidR="005B42C3">
        <w:t xml:space="preserve">se statistics can then be compared against </w:t>
      </w:r>
      <w:r w:rsidR="00705604">
        <w:t xml:space="preserve">the </w:t>
      </w:r>
      <w:r w:rsidR="005B42C3">
        <w:t xml:space="preserve">percentile statistics by </w:t>
      </w:r>
      <w:r w:rsidR="00705604">
        <w:t xml:space="preserve">corresponding </w:t>
      </w:r>
      <w:r w:rsidR="005B42C3">
        <w:t xml:space="preserve">bundle variant and episode count </w:t>
      </w:r>
      <w:r w:rsidR="00705604">
        <w:t xml:space="preserve">that are </w:t>
      </w:r>
      <w:r w:rsidR="005B42C3">
        <w:t xml:space="preserve">provided in </w:t>
      </w:r>
      <w:r w:rsidR="005B42C3">
        <w:fldChar w:fldCharType="begin"/>
      </w:r>
      <w:r w:rsidR="005B42C3">
        <w:instrText xml:space="preserve"> REF _Ref119920263 \h </w:instrText>
      </w:r>
      <w:r w:rsidR="005B42C3">
        <w:fldChar w:fldCharType="separate"/>
      </w:r>
      <w:r w:rsidR="00106CD4">
        <w:t>Appendix D – General Use Item bundle variation statistics</w:t>
      </w:r>
      <w:r w:rsidR="005B42C3">
        <w:fldChar w:fldCharType="end"/>
      </w:r>
      <w:r w:rsidR="005B42C3">
        <w:t xml:space="preserve">. </w:t>
      </w:r>
      <w:r w:rsidR="00705604">
        <w:t xml:space="preserve">These comparisons </w:t>
      </w:r>
      <w:r w:rsidR="005B42C3">
        <w:t xml:space="preserve">would provide the stakeholder with </w:t>
      </w:r>
      <w:r w:rsidR="00705604">
        <w:t xml:space="preserve">information that may assist them in </w:t>
      </w:r>
      <w:r w:rsidR="005B42C3">
        <w:t xml:space="preserve">understanding how their profile of GUI </w:t>
      </w:r>
      <w:proofErr w:type="spellStart"/>
      <w:r w:rsidR="005B42C3">
        <w:t>utilisation</w:t>
      </w:r>
      <w:proofErr w:type="spellEnd"/>
      <w:r w:rsidR="005B42C3">
        <w:t xml:space="preserve"> compares against the national profile.</w:t>
      </w:r>
    </w:p>
    <w:p w14:paraId="7FFDEF54" w14:textId="6AC0DDC3" w:rsidR="00E91D40" w:rsidRDefault="002B0BA0" w:rsidP="00E91D40">
      <w:r>
        <w:t xml:space="preserve">As described above, </w:t>
      </w:r>
      <w:r w:rsidR="00E91D40">
        <w:t>GUI bundle</w:t>
      </w:r>
      <w:r>
        <w:t xml:space="preserve">s have been defined so that the three bundle variants may be interchangeably applied by GUI product class, so that </w:t>
      </w:r>
      <w:r w:rsidR="00E91D40">
        <w:t>different variant types may be adopted across different GUI product classes. However, the three types of variants are not designed for combined use within a single GUI product class.</w:t>
      </w:r>
    </w:p>
    <w:p w14:paraId="4BD37063" w14:textId="77777777" w:rsidR="00E91D40" w:rsidRDefault="00E91D40" w:rsidP="00E91D40">
      <w:r>
        <w:t>In cases where providers and insurers are able to negotiate alternative arrangements, bundle variants could be selected to suit circumstances. In cases where there is no opportunity or ability for a negotiated approach, then a possible hierarchical approach to the adoption of GUI bundle variants would be:</w:t>
      </w:r>
    </w:p>
    <w:p w14:paraId="098B5E02" w14:textId="04086918" w:rsidR="00E91D40" w:rsidRDefault="00E91D40" w:rsidP="007102CA">
      <w:pPr>
        <w:pStyle w:val="ListParagraph"/>
        <w:numPr>
          <w:ilvl w:val="0"/>
          <w:numId w:val="15"/>
        </w:numPr>
      </w:pPr>
      <w:r>
        <w:t>If a provider’s GUI charge data includes sufficient clinical information (i.e. ICD-10-AM diagnosis codes and ACHI intervention codes) to enable episodes to be classified by AR-DRG, then use MDC-based bundle variants</w:t>
      </w:r>
    </w:p>
    <w:p w14:paraId="42A2369D" w14:textId="77777777" w:rsidR="00E91D40" w:rsidRDefault="00E91D40" w:rsidP="007102CA">
      <w:pPr>
        <w:pStyle w:val="ListParagraph"/>
        <w:numPr>
          <w:ilvl w:val="0"/>
          <w:numId w:val="15"/>
        </w:numPr>
      </w:pPr>
      <w:r>
        <w:t>Else if the provider’s GUI charge data includes facility type, then use facility type bundle variants</w:t>
      </w:r>
    </w:p>
    <w:p w14:paraId="5B661B01" w14:textId="27360716" w:rsidR="001A0615" w:rsidRDefault="00E91D40" w:rsidP="007102CA">
      <w:pPr>
        <w:pStyle w:val="ListParagraph"/>
        <w:numPr>
          <w:ilvl w:val="0"/>
          <w:numId w:val="15"/>
        </w:numPr>
      </w:pPr>
      <w:r>
        <w:t>Otherwise use product bundle variants.</w:t>
      </w:r>
    </w:p>
    <w:p w14:paraId="5EBAA584" w14:textId="77777777" w:rsidR="004C38D0" w:rsidRDefault="004C38D0" w:rsidP="004C38D0"/>
    <w:p w14:paraId="7C67A1CC" w14:textId="138E7689" w:rsidR="00EA0D2F" w:rsidRPr="00095821" w:rsidRDefault="009D03B4" w:rsidP="00095821">
      <w:r>
        <w:t xml:space="preserve"> </w:t>
      </w:r>
      <w:r w:rsidR="00EA0D2F">
        <w:br w:type="page"/>
      </w:r>
    </w:p>
    <w:p w14:paraId="65FD71A2" w14:textId="5B9EF69C" w:rsidR="00530F59" w:rsidRDefault="00530F59" w:rsidP="00530F59">
      <w:pPr>
        <w:pStyle w:val="Heading1"/>
        <w:spacing w:after="360"/>
      </w:pPr>
      <w:bookmarkStart w:id="35" w:name="_Ref119330522"/>
      <w:bookmarkStart w:id="36" w:name="_Toc121130789"/>
      <w:r>
        <w:lastRenderedPageBreak/>
        <w:t>Data sources</w:t>
      </w:r>
      <w:bookmarkEnd w:id="35"/>
      <w:bookmarkEnd w:id="36"/>
    </w:p>
    <w:p w14:paraId="50A9D295" w14:textId="060AD70F" w:rsidR="00530F59" w:rsidRDefault="00530F59" w:rsidP="00530F59">
      <w:pPr>
        <w:pStyle w:val="Heading2"/>
      </w:pPr>
      <w:bookmarkStart w:id="37" w:name="_Toc121130790"/>
      <w:r>
        <w:t>Introduction</w:t>
      </w:r>
      <w:bookmarkEnd w:id="37"/>
    </w:p>
    <w:p w14:paraId="7C416B52" w14:textId="1747B995" w:rsidR="007F1459" w:rsidRDefault="007F1459" w:rsidP="007F1459">
      <w:r w:rsidRPr="00495495">
        <w:t>Advice on alternative bundling a</w:t>
      </w:r>
      <w:r>
        <w:t xml:space="preserve">rrangements is </w:t>
      </w:r>
      <w:r w:rsidRPr="00495495">
        <w:t xml:space="preserve">evidence-based to ensure it accurately reflects the usage </w:t>
      </w:r>
      <w:r>
        <w:t xml:space="preserve">of </w:t>
      </w:r>
      <w:r w:rsidRPr="00495495">
        <w:t>General Use Items</w:t>
      </w:r>
      <w:r w:rsidR="00EF4486">
        <w:t xml:space="preserve"> (GUIs)</w:t>
      </w:r>
      <w:r w:rsidRPr="00495495">
        <w:t xml:space="preserve"> in </w:t>
      </w:r>
      <w:r w:rsidR="0082484E">
        <w:t xml:space="preserve">admitted </w:t>
      </w:r>
      <w:r w:rsidRPr="00495495">
        <w:t>services provided to privately insured individuals</w:t>
      </w:r>
      <w:r>
        <w:t xml:space="preserve"> and the associated </w:t>
      </w:r>
      <w:r w:rsidR="0082484E">
        <w:t xml:space="preserve">PL </w:t>
      </w:r>
      <w:r>
        <w:t>benefits paid</w:t>
      </w:r>
      <w:r w:rsidRPr="00495495">
        <w:t xml:space="preserve">. There are several data sources </w:t>
      </w:r>
      <w:r>
        <w:t xml:space="preserve">that are </w:t>
      </w:r>
      <w:r w:rsidRPr="00495495">
        <w:t xml:space="preserve">available </w:t>
      </w:r>
      <w:r>
        <w:t>to</w:t>
      </w:r>
      <w:r w:rsidRPr="00495495">
        <w:t xml:space="preserve"> </w:t>
      </w:r>
      <w:r>
        <w:t>the Independent Health and Aged Care Pricing Authority (</w:t>
      </w:r>
      <w:r w:rsidRPr="00495495">
        <w:t>IHACPA</w:t>
      </w:r>
      <w:r>
        <w:t>)</w:t>
      </w:r>
      <w:r w:rsidRPr="00495495">
        <w:t xml:space="preserve"> to develop</w:t>
      </w:r>
      <w:r>
        <w:t xml:space="preserve"> </w:t>
      </w:r>
      <w:r w:rsidRPr="00495495">
        <w:t>advice on alternative bundling arrangements.</w:t>
      </w:r>
      <w:r>
        <w:t xml:space="preserve"> The following datasets are used in the formulation of the advice:</w:t>
      </w:r>
    </w:p>
    <w:p w14:paraId="74BF1F8C" w14:textId="7921D605" w:rsidR="007F1459" w:rsidRDefault="007F1459" w:rsidP="007102CA">
      <w:pPr>
        <w:pStyle w:val="ListParagraph"/>
        <w:numPr>
          <w:ilvl w:val="0"/>
          <w:numId w:val="7"/>
        </w:numPr>
      </w:pPr>
      <w:r>
        <w:t>The Prostheses List</w:t>
      </w:r>
      <w:r w:rsidR="00567DCD">
        <w:t xml:space="preserve"> (PL)</w:t>
      </w:r>
    </w:p>
    <w:p w14:paraId="632A3A50" w14:textId="794C5D21" w:rsidR="007F1459" w:rsidRDefault="0082484E" w:rsidP="007102CA">
      <w:pPr>
        <w:pStyle w:val="ListParagraph"/>
        <w:numPr>
          <w:ilvl w:val="0"/>
          <w:numId w:val="7"/>
        </w:numPr>
      </w:pPr>
      <w:r>
        <w:t xml:space="preserve">The </w:t>
      </w:r>
      <w:r w:rsidR="007F1459">
        <w:t xml:space="preserve">Hospital </w:t>
      </w:r>
      <w:proofErr w:type="spellStart"/>
      <w:r w:rsidR="007F1459">
        <w:t>Casemix</w:t>
      </w:r>
      <w:proofErr w:type="spellEnd"/>
      <w:r w:rsidR="007F1459">
        <w:t xml:space="preserve"> Protocol </w:t>
      </w:r>
      <w:r w:rsidR="00567DCD">
        <w:t xml:space="preserve">(HCP) </w:t>
      </w:r>
      <w:r w:rsidR="007F1459">
        <w:t>data collection</w:t>
      </w:r>
    </w:p>
    <w:p w14:paraId="660C0406" w14:textId="4930DF28" w:rsidR="007F1459" w:rsidRDefault="0082484E" w:rsidP="007102CA">
      <w:pPr>
        <w:pStyle w:val="ListParagraph"/>
        <w:numPr>
          <w:ilvl w:val="0"/>
          <w:numId w:val="7"/>
        </w:numPr>
      </w:pPr>
      <w:r>
        <w:t xml:space="preserve">The </w:t>
      </w:r>
      <w:r w:rsidR="007F1459">
        <w:t xml:space="preserve">Private Hospital Data Bureau </w:t>
      </w:r>
      <w:r w:rsidR="00567DCD">
        <w:t xml:space="preserve">(PHDB) </w:t>
      </w:r>
      <w:r w:rsidR="007F1459">
        <w:t>data collection</w:t>
      </w:r>
    </w:p>
    <w:p w14:paraId="760348C5" w14:textId="02D86C1F" w:rsidR="007F1459" w:rsidRDefault="0082484E" w:rsidP="007102CA">
      <w:pPr>
        <w:pStyle w:val="ListParagraph"/>
        <w:numPr>
          <w:ilvl w:val="0"/>
          <w:numId w:val="7"/>
        </w:numPr>
      </w:pPr>
      <w:r>
        <w:t xml:space="preserve">The </w:t>
      </w:r>
      <w:r w:rsidR="00567DCD">
        <w:t xml:space="preserve">IHACPA </w:t>
      </w:r>
      <w:r w:rsidR="007F1459">
        <w:t xml:space="preserve">Public Hospital Admitted </w:t>
      </w:r>
      <w:r w:rsidR="00567DCD">
        <w:t>Patient Care (APC) A</w:t>
      </w:r>
      <w:r w:rsidR="007F1459">
        <w:t>ctivity data collection</w:t>
      </w:r>
    </w:p>
    <w:p w14:paraId="770BB1A9" w14:textId="70A9B153" w:rsidR="007F1459" w:rsidRPr="00B6465E" w:rsidRDefault="007F1459" w:rsidP="007102CA">
      <w:pPr>
        <w:pStyle w:val="ListParagraph"/>
        <w:numPr>
          <w:ilvl w:val="0"/>
          <w:numId w:val="7"/>
        </w:numPr>
      </w:pPr>
      <w:r>
        <w:t xml:space="preserve">Australian Prudential Regulation Authority </w:t>
      </w:r>
      <w:r w:rsidR="00567DCD">
        <w:t xml:space="preserve">(APRA) </w:t>
      </w:r>
      <w:r>
        <w:t>statistics</w:t>
      </w:r>
      <w:r w:rsidR="0082484E">
        <w:t>.</w:t>
      </w:r>
    </w:p>
    <w:p w14:paraId="16ABA997" w14:textId="77777777" w:rsidR="007F1459" w:rsidRDefault="007F1459" w:rsidP="007F1459">
      <w:pPr>
        <w:pStyle w:val="Heading2"/>
      </w:pPr>
      <w:bookmarkStart w:id="38" w:name="_Toc118831508"/>
      <w:bookmarkStart w:id="39" w:name="_Toc121130791"/>
      <w:r>
        <w:t>Prostheses List</w:t>
      </w:r>
      <w:bookmarkEnd w:id="38"/>
      <w:bookmarkEnd w:id="39"/>
    </w:p>
    <w:p w14:paraId="2BB88A75" w14:textId="3EF44306" w:rsidR="00567DCD" w:rsidRDefault="00567DCD" w:rsidP="007F1459">
      <w:r>
        <w:t xml:space="preserve">Part D of </w:t>
      </w:r>
      <w:r w:rsidR="007F1459" w:rsidRPr="00495495">
        <w:t xml:space="preserve">the </w:t>
      </w:r>
      <w:r>
        <w:t xml:space="preserve">August 2022 publication of the </w:t>
      </w:r>
      <w:r w:rsidR="007F1459" w:rsidRPr="00495495">
        <w:t>PL</w:t>
      </w:r>
      <w:r w:rsidR="007F1459" w:rsidRPr="007C7EA0">
        <w:t xml:space="preserve"> </w:t>
      </w:r>
      <w:r>
        <w:t xml:space="preserve">is used </w:t>
      </w:r>
      <w:r w:rsidR="007F1459" w:rsidRPr="007C7EA0">
        <w:t xml:space="preserve">to identify </w:t>
      </w:r>
      <w:r w:rsidR="003A36C5">
        <w:t>GUIs</w:t>
      </w:r>
      <w:r w:rsidR="007F1459" w:rsidRPr="007C7EA0">
        <w:t xml:space="preserve"> by the billing codes they are registered under.</w:t>
      </w:r>
      <w:r>
        <w:t xml:space="preserve"> </w:t>
      </w:r>
      <w:r w:rsidR="006D6B09">
        <w:t xml:space="preserve">Aspects of the </w:t>
      </w:r>
      <w:r>
        <w:t xml:space="preserve">PL </w:t>
      </w:r>
      <w:r w:rsidR="006D6B09">
        <w:t xml:space="preserve">product </w:t>
      </w:r>
      <w:r>
        <w:t xml:space="preserve">classification </w:t>
      </w:r>
      <w:r w:rsidR="006D6B09">
        <w:t xml:space="preserve">are also used within the definition of </w:t>
      </w:r>
      <w:r>
        <w:t>GUI bundles.</w:t>
      </w:r>
    </w:p>
    <w:p w14:paraId="5295CFCF" w14:textId="1A6733A0" w:rsidR="007F1459" w:rsidRDefault="00567DCD" w:rsidP="007F1459">
      <w:r>
        <w:t>T</w:t>
      </w:r>
      <w:r w:rsidR="007F1459" w:rsidRPr="007C7EA0">
        <w:t xml:space="preserve">he expected scheduled benefits for the March 2023 PL </w:t>
      </w:r>
      <w:r>
        <w:t xml:space="preserve">are used </w:t>
      </w:r>
      <w:r w:rsidR="007F1459" w:rsidRPr="007C7EA0">
        <w:t xml:space="preserve">in </w:t>
      </w:r>
      <w:r>
        <w:t>the calculation of GUI bundle benefits</w:t>
      </w:r>
      <w:r w:rsidR="007F1459" w:rsidRPr="00495495">
        <w:t xml:space="preserve">, so that the advice aligns with the benefit levels that will be in </w:t>
      </w:r>
      <w:r>
        <w:t xml:space="preserve">place </w:t>
      </w:r>
      <w:r w:rsidR="007F1459" w:rsidRPr="00495495">
        <w:t xml:space="preserve">when </w:t>
      </w:r>
      <w:r w:rsidR="003A36C5">
        <w:t>GUIs</w:t>
      </w:r>
      <w:r w:rsidR="007F1459" w:rsidRPr="00495495">
        <w:t xml:space="preserve"> transition off t</w:t>
      </w:r>
      <w:r w:rsidR="007F1459">
        <w:t>he PL</w:t>
      </w:r>
      <w:r>
        <w:t xml:space="preserve"> on 1 July 2023</w:t>
      </w:r>
      <w:r w:rsidR="007F1459">
        <w:t>.</w:t>
      </w:r>
    </w:p>
    <w:p w14:paraId="6101F429" w14:textId="0F2CBD10" w:rsidR="00567DCD" w:rsidRDefault="00567DCD" w:rsidP="007F1459">
      <w:r>
        <w:t xml:space="preserve">Finally, historical </w:t>
      </w:r>
      <w:r w:rsidR="006D6B09">
        <w:t>publications of the PL are used to track changes in GUI billing codes over time.</w:t>
      </w:r>
    </w:p>
    <w:p w14:paraId="58521CC0" w14:textId="77777777" w:rsidR="007F1459" w:rsidRDefault="007F1459" w:rsidP="007F1459">
      <w:pPr>
        <w:pStyle w:val="Heading2"/>
      </w:pPr>
      <w:bookmarkStart w:id="40" w:name="_Toc118831509"/>
      <w:bookmarkStart w:id="41" w:name="_Ref119592247"/>
      <w:bookmarkStart w:id="42" w:name="_Ref119592250"/>
      <w:bookmarkStart w:id="43" w:name="_Ref119592749"/>
      <w:bookmarkStart w:id="44" w:name="_Ref119592752"/>
      <w:bookmarkStart w:id="45" w:name="_Toc121130792"/>
      <w:r>
        <w:t xml:space="preserve">Hospital </w:t>
      </w:r>
      <w:proofErr w:type="spellStart"/>
      <w:r>
        <w:t>Casemix</w:t>
      </w:r>
      <w:proofErr w:type="spellEnd"/>
      <w:r>
        <w:t xml:space="preserve"> Protocol data collection</w:t>
      </w:r>
      <w:bookmarkEnd w:id="40"/>
      <w:bookmarkEnd w:id="41"/>
      <w:bookmarkEnd w:id="42"/>
      <w:bookmarkEnd w:id="43"/>
      <w:bookmarkEnd w:id="44"/>
      <w:bookmarkEnd w:id="45"/>
    </w:p>
    <w:p w14:paraId="6125E8CF" w14:textId="4AB53901" w:rsidR="007F1459" w:rsidRPr="00495495" w:rsidRDefault="007F1459" w:rsidP="007F1459">
      <w:r w:rsidRPr="00495495">
        <w:t xml:space="preserve">The </w:t>
      </w:r>
      <w:r>
        <w:t xml:space="preserve">HCP </w:t>
      </w:r>
      <w:r w:rsidR="00C538E0">
        <w:t xml:space="preserve">data </w:t>
      </w:r>
      <w:r w:rsidRPr="00495495">
        <w:t>collection includes clinical, demographic and financial information for privately insured admitted patient services</w:t>
      </w:r>
      <w:r>
        <w:t xml:space="preserve"> in private </w:t>
      </w:r>
      <w:r w:rsidR="00343358">
        <w:t>overnight facilities</w:t>
      </w:r>
      <w:r>
        <w:t xml:space="preserve">, public </w:t>
      </w:r>
      <w:r w:rsidR="00343358">
        <w:t xml:space="preserve">facilities </w:t>
      </w:r>
      <w:r>
        <w:t xml:space="preserve">and </w:t>
      </w:r>
      <w:r w:rsidR="00343358">
        <w:t xml:space="preserve">private </w:t>
      </w:r>
      <w:r>
        <w:t>day facilities</w:t>
      </w:r>
      <w:r w:rsidRPr="00495495">
        <w:t>.</w:t>
      </w:r>
    </w:p>
    <w:p w14:paraId="4F5E6969" w14:textId="3AE04E9B" w:rsidR="00C538E0" w:rsidRDefault="007F1459" w:rsidP="007F1459">
      <w:r w:rsidRPr="00495495">
        <w:t>HCP data includes detailed information on PL devices used in each episode</w:t>
      </w:r>
      <w:r>
        <w:t xml:space="preserve">, including </w:t>
      </w:r>
      <w:r w:rsidR="003A36C5">
        <w:t>GUIs</w:t>
      </w:r>
      <w:r w:rsidRPr="00495495">
        <w:t xml:space="preserve">, as well as information on </w:t>
      </w:r>
      <w:bookmarkStart w:id="46" w:name="_Hlk113979394"/>
      <w:r w:rsidRPr="00495495">
        <w:t xml:space="preserve">Medicare Benefits Schedule </w:t>
      </w:r>
      <w:bookmarkEnd w:id="46"/>
      <w:r w:rsidRPr="00495495">
        <w:t>items billed, and the benefits paid by insurers. The HCP data also includes clinical information on diagnoses and interventions, as well as patient characteristics and administrative information including provider and insurer details.</w:t>
      </w:r>
    </w:p>
    <w:p w14:paraId="641FB5EB" w14:textId="65F5C105" w:rsidR="00AF182C" w:rsidRDefault="00AF182C" w:rsidP="00507E89">
      <w:pPr>
        <w:pStyle w:val="Heading3"/>
      </w:pPr>
      <w:bookmarkStart w:id="47" w:name="_Toc121130793"/>
      <w:r>
        <w:t xml:space="preserve">Implications of data </w:t>
      </w:r>
      <w:r w:rsidRPr="00507E89">
        <w:t>issues</w:t>
      </w:r>
      <w:r>
        <w:t xml:space="preserve"> and limitations</w:t>
      </w:r>
      <w:bookmarkEnd w:id="47"/>
    </w:p>
    <w:p w14:paraId="3FD74966" w14:textId="4503309D" w:rsidR="00AF182C" w:rsidRDefault="00AF182C" w:rsidP="00AF182C">
      <w:r>
        <w:t xml:space="preserve">IHACPA has considered the extent to which the issues raised by stakeholders in the consultation submissions regarding HCP data </w:t>
      </w:r>
      <w:r w:rsidR="00520232">
        <w:t xml:space="preserve">may </w:t>
      </w:r>
      <w:r>
        <w:t xml:space="preserve">place limitations on its use in </w:t>
      </w:r>
      <w:r w:rsidR="00304EAD">
        <w:t xml:space="preserve">the </w:t>
      </w:r>
      <w:r>
        <w:t>development of IHACPA’s advice.</w:t>
      </w:r>
      <w:r w:rsidR="00520232">
        <w:t xml:space="preserve"> </w:t>
      </w:r>
      <w:r>
        <w:t>In particular, there are two key areas of concern noted regarding issues or limitations of the HCP data collection. These are:</w:t>
      </w:r>
    </w:p>
    <w:p w14:paraId="4A58F71B" w14:textId="1929BC62" w:rsidR="00AF182C" w:rsidRDefault="00AF182C" w:rsidP="007102CA">
      <w:pPr>
        <w:pStyle w:val="ListParagraph"/>
        <w:numPr>
          <w:ilvl w:val="0"/>
          <w:numId w:val="9"/>
        </w:numPr>
      </w:pPr>
      <w:r>
        <w:t>Potential impact of COVID-19 and other variations over time</w:t>
      </w:r>
    </w:p>
    <w:p w14:paraId="3D2EA2C1" w14:textId="411B3A62" w:rsidR="00AF182C" w:rsidRDefault="00AF182C" w:rsidP="007102CA">
      <w:pPr>
        <w:pStyle w:val="ListParagraph"/>
        <w:numPr>
          <w:ilvl w:val="0"/>
          <w:numId w:val="9"/>
        </w:numPr>
      </w:pPr>
      <w:r>
        <w:lastRenderedPageBreak/>
        <w:t>Incompleteness of public hospital data</w:t>
      </w:r>
    </w:p>
    <w:p w14:paraId="18644A69" w14:textId="1D7D4FBA" w:rsidR="00FC4050" w:rsidRDefault="00FC4050" w:rsidP="00FC4050">
      <w:r>
        <w:t xml:space="preserve">Further to these areas of concern, stakeholders raised issues regarding the extent to which HCP data accurately records GUI </w:t>
      </w:r>
      <w:proofErr w:type="spellStart"/>
      <w:r>
        <w:t>utilisation</w:t>
      </w:r>
      <w:proofErr w:type="spellEnd"/>
      <w:r>
        <w:t xml:space="preserve">. </w:t>
      </w:r>
    </w:p>
    <w:p w14:paraId="6B684B70" w14:textId="40C7F79B" w:rsidR="00FC4050" w:rsidRDefault="00FC4050" w:rsidP="00FC4050">
      <w:r>
        <w:t>These concerns are discussed further in the following sections. Comparative statistics</w:t>
      </w:r>
      <w:r w:rsidR="009D6A53">
        <w:t xml:space="preserve"> and analyses</w:t>
      </w:r>
      <w:r>
        <w:t xml:space="preserve"> are also provided </w:t>
      </w:r>
      <w:r w:rsidR="009D6A53">
        <w:t xml:space="preserve">in </w:t>
      </w:r>
      <w:r w:rsidR="009D6A53">
        <w:fldChar w:fldCharType="begin"/>
      </w:r>
      <w:r w:rsidR="009D6A53">
        <w:instrText xml:space="preserve"> REF _Ref118990034 \h </w:instrText>
      </w:r>
      <w:r w:rsidR="009D6A53">
        <w:fldChar w:fldCharType="separate"/>
      </w:r>
      <w:r w:rsidR="00106CD4">
        <w:t>Appendix C – Supporting analyses</w:t>
      </w:r>
      <w:r w:rsidR="009D6A53">
        <w:fldChar w:fldCharType="end"/>
      </w:r>
      <w:r w:rsidR="009D6A53">
        <w:t xml:space="preserve"> </w:t>
      </w:r>
      <w:r>
        <w:t xml:space="preserve">to assist stakeholders in understanding </w:t>
      </w:r>
      <w:r w:rsidR="009D6A53">
        <w:t xml:space="preserve">the extent to which these issues may </w:t>
      </w:r>
      <w:r w:rsidR="006410E4">
        <w:t xml:space="preserve">be of relevance to </w:t>
      </w:r>
      <w:r w:rsidR="009D6A53">
        <w:t>IHACPA’s advice.</w:t>
      </w:r>
    </w:p>
    <w:p w14:paraId="0B8E72C0" w14:textId="37FA4A9A" w:rsidR="00AF182C" w:rsidRDefault="00AF182C" w:rsidP="003E26F7">
      <w:r w:rsidRPr="0071053C">
        <w:t xml:space="preserve">Notwithstanding these potential </w:t>
      </w:r>
      <w:r>
        <w:t xml:space="preserve">issues or </w:t>
      </w:r>
      <w:r w:rsidRPr="0071053C">
        <w:t xml:space="preserve">limitations, IHACPA </w:t>
      </w:r>
      <w:r w:rsidR="00304EAD">
        <w:t xml:space="preserve">still </w:t>
      </w:r>
      <w:r w:rsidRPr="0071053C">
        <w:t>consider</w:t>
      </w:r>
      <w:r w:rsidR="00FC4050">
        <w:t>s</w:t>
      </w:r>
      <w:r w:rsidRPr="0071053C">
        <w:t xml:space="preserve"> the HCP data collection as the </w:t>
      </w:r>
      <w:r w:rsidR="00304EAD">
        <w:t xml:space="preserve">best available </w:t>
      </w:r>
      <w:r w:rsidRPr="0071053C">
        <w:t xml:space="preserve">primary data source for the development of </w:t>
      </w:r>
      <w:r w:rsidR="00304EAD">
        <w:t xml:space="preserve">its </w:t>
      </w:r>
      <w:r w:rsidRPr="0071053C">
        <w:t>advice</w:t>
      </w:r>
      <w:r w:rsidR="00304EAD">
        <w:t xml:space="preserve">. The HCP data collection </w:t>
      </w:r>
      <w:r w:rsidRPr="0071053C">
        <w:t xml:space="preserve">is the only </w:t>
      </w:r>
      <w:r w:rsidR="00304EAD">
        <w:t xml:space="preserve">available source of </w:t>
      </w:r>
      <w:r w:rsidR="00FC4050">
        <w:t xml:space="preserve">national </w:t>
      </w:r>
      <w:r w:rsidRPr="0071053C">
        <w:t xml:space="preserve">data that provides sufficiently detailed information on the usage of GUIs </w:t>
      </w:r>
      <w:r w:rsidR="00FC4050">
        <w:t>in privately insured admitted episodes</w:t>
      </w:r>
      <w:r w:rsidRPr="0071053C">
        <w:t>.</w:t>
      </w:r>
      <w:r>
        <w:t xml:space="preserve"> </w:t>
      </w:r>
    </w:p>
    <w:p w14:paraId="615927B2" w14:textId="10F41246" w:rsidR="00AF182C" w:rsidRDefault="00AF182C" w:rsidP="003E26F7">
      <w:pPr>
        <w:rPr>
          <w:b/>
        </w:rPr>
      </w:pPr>
      <w:r>
        <w:rPr>
          <w:b/>
        </w:rPr>
        <w:t>Potential impact of COVID-19 and other variations over time</w:t>
      </w:r>
    </w:p>
    <w:p w14:paraId="63B26D26" w14:textId="78A58C0D" w:rsidR="00543EEB" w:rsidRDefault="00543EEB" w:rsidP="00543EEB">
      <w:r w:rsidRPr="007C5301">
        <w:t xml:space="preserve">Uncertainty around the potential impact of COVID-19 </w:t>
      </w:r>
      <w:r>
        <w:t>on the</w:t>
      </w:r>
      <w:r w:rsidRPr="007C5301">
        <w:t xml:space="preserve"> </w:t>
      </w:r>
      <w:proofErr w:type="spellStart"/>
      <w:r w:rsidRPr="007C5301">
        <w:t>utilisation</w:t>
      </w:r>
      <w:proofErr w:type="spellEnd"/>
      <w:r w:rsidRPr="007C5301">
        <w:t xml:space="preserve"> rates </w:t>
      </w:r>
      <w:r>
        <w:t xml:space="preserve">and mix </w:t>
      </w:r>
      <w:r w:rsidRPr="007C5301">
        <w:t>of GUIs</w:t>
      </w:r>
      <w:r>
        <w:t xml:space="preserve"> was raised as a concern </w:t>
      </w:r>
      <w:r w:rsidR="006410E4">
        <w:t xml:space="preserve">by stakeholders </w:t>
      </w:r>
      <w:r>
        <w:t xml:space="preserve">around the usage of HCP data. Additionally, there was </w:t>
      </w:r>
      <w:r w:rsidR="00FB73C8">
        <w:t xml:space="preserve">concern regarding the </w:t>
      </w:r>
      <w:r>
        <w:t xml:space="preserve">potential for variation in </w:t>
      </w:r>
      <w:proofErr w:type="spellStart"/>
      <w:r>
        <w:t>utilisation</w:t>
      </w:r>
      <w:proofErr w:type="spellEnd"/>
      <w:r>
        <w:t xml:space="preserve"> of GUIs between years</w:t>
      </w:r>
      <w:r w:rsidR="00FB73C8">
        <w:t>,</w:t>
      </w:r>
      <w:r>
        <w:t xml:space="preserve"> impacting on the bundle benefit calculat</w:t>
      </w:r>
      <w:r w:rsidR="006410E4">
        <w:t>ions</w:t>
      </w:r>
      <w:r>
        <w:t xml:space="preserve"> </w:t>
      </w:r>
      <w:r w:rsidR="006410E4">
        <w:t xml:space="preserve">undertaken </w:t>
      </w:r>
      <w:r>
        <w:t xml:space="preserve">using the 2020-21 </w:t>
      </w:r>
      <w:r w:rsidR="006410E4">
        <w:t xml:space="preserve">financial year of the </w:t>
      </w:r>
      <w:r>
        <w:t>HCP Prosthesis data.</w:t>
      </w:r>
    </w:p>
    <w:p w14:paraId="0B6CE20F" w14:textId="60791220" w:rsidR="00543EEB" w:rsidRPr="00E9697B" w:rsidRDefault="00543EEB" w:rsidP="00543EEB">
      <w:r>
        <w:t xml:space="preserve">IHACPA </w:t>
      </w:r>
      <w:r w:rsidR="00352658">
        <w:t xml:space="preserve">has undertaken </w:t>
      </w:r>
      <w:r>
        <w:t xml:space="preserve">a </w:t>
      </w:r>
      <w:r w:rsidR="00352658">
        <w:t xml:space="preserve">comparative analysis of </w:t>
      </w:r>
      <w:r>
        <w:t xml:space="preserve">GUI bundle benefit statistics </w:t>
      </w:r>
      <w:r w:rsidR="00352658">
        <w:t xml:space="preserve">calculated across four </w:t>
      </w:r>
      <w:r>
        <w:t xml:space="preserve">years of historical </w:t>
      </w:r>
      <w:r w:rsidR="00352658">
        <w:t xml:space="preserve">HCP </w:t>
      </w:r>
      <w:r>
        <w:t xml:space="preserve">data </w:t>
      </w:r>
      <w:r w:rsidR="00352658">
        <w:t xml:space="preserve">from </w:t>
      </w:r>
      <w:r>
        <w:t xml:space="preserve">2017-18 </w:t>
      </w:r>
      <w:r w:rsidR="00352658">
        <w:t xml:space="preserve">to 2020-21, </w:t>
      </w:r>
      <w:r>
        <w:t xml:space="preserve">to understand the extent </w:t>
      </w:r>
      <w:r w:rsidR="00352658">
        <w:t xml:space="preserve">and cause </w:t>
      </w:r>
      <w:r>
        <w:t>of any variation</w:t>
      </w:r>
      <w:r w:rsidR="00352658">
        <w:t xml:space="preserve"> over years</w:t>
      </w:r>
      <w:r>
        <w:t xml:space="preserve">. </w:t>
      </w:r>
      <w:r w:rsidR="00352658">
        <w:t xml:space="preserve">Changes in </w:t>
      </w:r>
      <w:r w:rsidR="009E54C2">
        <w:t xml:space="preserve">usage </w:t>
      </w:r>
      <w:r w:rsidR="00352658">
        <w:t xml:space="preserve">between years </w:t>
      </w:r>
      <w:r w:rsidR="009E54C2">
        <w:t xml:space="preserve">were </w:t>
      </w:r>
      <w:r w:rsidR="00D82FEB">
        <w:t>observed</w:t>
      </w:r>
      <w:r w:rsidR="009E54C2">
        <w:t xml:space="preserve"> </w:t>
      </w:r>
      <w:r w:rsidR="00D82FEB">
        <w:t>across some GUI product classes</w:t>
      </w:r>
      <w:r w:rsidR="009E54C2">
        <w:t xml:space="preserve">, however </w:t>
      </w:r>
      <w:r w:rsidR="00D82FEB">
        <w:t xml:space="preserve">these changes </w:t>
      </w:r>
      <w:r w:rsidR="009E54C2">
        <w:t>reflect</w:t>
      </w:r>
      <w:r w:rsidR="00D82FEB">
        <w:t>ed</w:t>
      </w:r>
      <w:r w:rsidR="009E54C2">
        <w:t xml:space="preserve"> continuations of existing trends and </w:t>
      </w:r>
      <w:r w:rsidR="00D82FEB">
        <w:t xml:space="preserve">did not appear to be associated with </w:t>
      </w:r>
      <w:r w:rsidR="009E54C2">
        <w:t>COVID-19 related factors.</w:t>
      </w:r>
      <w:r w:rsidR="00D82FEB">
        <w:t xml:space="preserve"> </w:t>
      </w:r>
      <w:r>
        <w:t>Further details on th</w:t>
      </w:r>
      <w:r w:rsidR="00352658">
        <w:t xml:space="preserve">is comparative analysis </w:t>
      </w:r>
      <w:r>
        <w:t xml:space="preserve">can be found in </w:t>
      </w:r>
      <w:r>
        <w:fldChar w:fldCharType="begin"/>
      </w:r>
      <w:r>
        <w:instrText xml:space="preserve"> REF _Ref118990034 \h </w:instrText>
      </w:r>
      <w:r>
        <w:fldChar w:fldCharType="separate"/>
      </w:r>
      <w:r w:rsidR="00106CD4">
        <w:t>Appendix C – Supporting analyses</w:t>
      </w:r>
      <w:r>
        <w:fldChar w:fldCharType="end"/>
      </w:r>
      <w:r>
        <w:t>.</w:t>
      </w:r>
    </w:p>
    <w:p w14:paraId="7E6DCCF6" w14:textId="44976ECE" w:rsidR="00AF182C" w:rsidRPr="003E26F7" w:rsidRDefault="00AF182C" w:rsidP="003E26F7">
      <w:pPr>
        <w:rPr>
          <w:b/>
        </w:rPr>
      </w:pPr>
      <w:r w:rsidRPr="003E26F7">
        <w:rPr>
          <w:b/>
        </w:rPr>
        <w:t>Incompleteness of public hospital data</w:t>
      </w:r>
    </w:p>
    <w:p w14:paraId="053FBDB0" w14:textId="07A511E2" w:rsidR="00C42370" w:rsidRDefault="00C42370">
      <w:r w:rsidRPr="003E26F7">
        <w:t xml:space="preserve">The incompleteness of data on privately insured episodes of admitted patient </w:t>
      </w:r>
      <w:r w:rsidR="00E77FE8">
        <w:t>care</w:t>
      </w:r>
      <w:r w:rsidRPr="003E26F7">
        <w:t xml:space="preserve"> in public hospitals is a known limitation of the HCP data collection. </w:t>
      </w:r>
      <w:r>
        <w:t xml:space="preserve">Additionally, a large proportion of public hospital </w:t>
      </w:r>
      <w:r w:rsidR="00E77FE8">
        <w:t xml:space="preserve">HCP </w:t>
      </w:r>
      <w:r>
        <w:t xml:space="preserve">records are missing </w:t>
      </w:r>
      <w:r w:rsidR="00E77FE8">
        <w:t xml:space="preserve">clinical information such as principal </w:t>
      </w:r>
      <w:r>
        <w:t>diagnosis</w:t>
      </w:r>
      <w:r w:rsidR="00E77FE8">
        <w:t>, which</w:t>
      </w:r>
      <w:r>
        <w:t xml:space="preserve"> </w:t>
      </w:r>
      <w:r w:rsidR="00E77FE8">
        <w:t>limits their usefulness in analyses that require these attributes.</w:t>
      </w:r>
    </w:p>
    <w:p w14:paraId="00C62217" w14:textId="01C588C7" w:rsidR="00C42370" w:rsidRDefault="00E77FE8">
      <w:r>
        <w:t>IHACPA observes that</w:t>
      </w:r>
      <w:r w:rsidR="00C42370">
        <w:t>, after data preparation</w:t>
      </w:r>
      <w:r>
        <w:t xml:space="preserve"> including the removal of episodes with missing clinical attributes,</w:t>
      </w:r>
      <w:r w:rsidR="00C42370">
        <w:t xml:space="preserve"> there are </w:t>
      </w:r>
      <w:r>
        <w:t xml:space="preserve">approximately </w:t>
      </w:r>
      <w:r w:rsidR="00401247" w:rsidRPr="003E26F7">
        <w:t>60</w:t>
      </w:r>
      <w:r w:rsidR="00C42370" w:rsidRPr="00FD7F8C">
        <w:t>%</w:t>
      </w:r>
      <w:r w:rsidR="00C42370">
        <w:t xml:space="preserve"> fewer privately insured public hospital episodes in the HCP data collection than recorded in the IHACPA </w:t>
      </w:r>
      <w:r w:rsidR="002953F0">
        <w:t xml:space="preserve">APC </w:t>
      </w:r>
      <w:r w:rsidR="00C42370">
        <w:t xml:space="preserve">data collection. </w:t>
      </w:r>
    </w:p>
    <w:p w14:paraId="402C44F2" w14:textId="12336C4D" w:rsidR="00AF182C" w:rsidRPr="0071053C" w:rsidRDefault="00C42370" w:rsidP="007F1459">
      <w:r>
        <w:t xml:space="preserve">Despite the low levels of completeness, </w:t>
      </w:r>
      <w:r w:rsidR="00E77FE8">
        <w:t xml:space="preserve">further analysis shows that </w:t>
      </w:r>
      <w:r>
        <w:t xml:space="preserve">the </w:t>
      </w:r>
      <w:r w:rsidR="00E77FE8">
        <w:t xml:space="preserve">remaining </w:t>
      </w:r>
      <w:r>
        <w:t xml:space="preserve">public hospital episodes </w:t>
      </w:r>
      <w:r w:rsidR="00E77FE8">
        <w:t xml:space="preserve">within the </w:t>
      </w:r>
      <w:r>
        <w:t xml:space="preserve">HCP </w:t>
      </w:r>
      <w:r w:rsidR="00E77FE8">
        <w:t xml:space="preserve">data exhibit a high degree of similarity in comparison </w:t>
      </w:r>
      <w:r w:rsidR="003D6E5F">
        <w:t xml:space="preserve">with </w:t>
      </w:r>
      <w:r>
        <w:t xml:space="preserve">the complete set of </w:t>
      </w:r>
      <w:r w:rsidR="003D6E5F">
        <w:t xml:space="preserve">privately insured admitted </w:t>
      </w:r>
      <w:r>
        <w:t xml:space="preserve">episodes recorded in the IHACPA </w:t>
      </w:r>
      <w:r w:rsidR="002953F0">
        <w:t>APC</w:t>
      </w:r>
      <w:r>
        <w:t xml:space="preserve"> data collection, when comparing distributions of age, gender and clinical characteristics.</w:t>
      </w:r>
      <w:r w:rsidR="003D6E5F">
        <w:t xml:space="preserve"> </w:t>
      </w:r>
      <w:r w:rsidR="00AF182C">
        <w:t>Further detail</w:t>
      </w:r>
      <w:r w:rsidR="00EF4486">
        <w:t xml:space="preserve"> on </w:t>
      </w:r>
      <w:r w:rsidR="003D6E5F">
        <w:t xml:space="preserve">these comparisons </w:t>
      </w:r>
      <w:r w:rsidR="00AF182C">
        <w:t>can be found in</w:t>
      </w:r>
      <w:r w:rsidR="00EF4486">
        <w:t xml:space="preserve"> </w:t>
      </w:r>
      <w:r w:rsidR="00EF4486">
        <w:fldChar w:fldCharType="begin"/>
      </w:r>
      <w:r w:rsidR="00EF4486">
        <w:instrText xml:space="preserve"> REF _Ref118990034 \h </w:instrText>
      </w:r>
      <w:r w:rsidR="00EF4486">
        <w:fldChar w:fldCharType="separate"/>
      </w:r>
      <w:r w:rsidR="00106CD4">
        <w:t>Appendix C – Supporting analyses</w:t>
      </w:r>
      <w:r w:rsidR="00EF4486">
        <w:fldChar w:fldCharType="end"/>
      </w:r>
      <w:r w:rsidR="00AF182C">
        <w:t>.</w:t>
      </w:r>
    </w:p>
    <w:p w14:paraId="189C4BB2" w14:textId="6C15AAF4" w:rsidR="007F1459" w:rsidRDefault="007F1459" w:rsidP="007F1459">
      <w:pPr>
        <w:pStyle w:val="Heading2"/>
      </w:pPr>
      <w:bookmarkStart w:id="48" w:name="_Toc118831510"/>
      <w:bookmarkStart w:id="49" w:name="_Toc121130794"/>
      <w:r>
        <w:t>Private Hospital Data Bureau data collection</w:t>
      </w:r>
      <w:bookmarkEnd w:id="48"/>
      <w:bookmarkEnd w:id="49"/>
    </w:p>
    <w:p w14:paraId="3F10A68F" w14:textId="798AFBC9" w:rsidR="007F1459" w:rsidRPr="00CF2524" w:rsidRDefault="007F1459" w:rsidP="007F1459">
      <w:bookmarkStart w:id="50" w:name="_Hlk112250417"/>
      <w:r w:rsidRPr="00495495">
        <w:t xml:space="preserve">The Private Hospital Data Bureau (PHDB) data collection </w:t>
      </w:r>
      <w:r w:rsidRPr="002857ED">
        <w:t>provide</w:t>
      </w:r>
      <w:r>
        <w:t>s</w:t>
      </w:r>
      <w:r w:rsidRPr="002857ED">
        <w:t xml:space="preserve"> a</w:t>
      </w:r>
      <w:r>
        <w:t xml:space="preserve"> national</w:t>
      </w:r>
      <w:r w:rsidRPr="002857ED">
        <w:t xml:space="preserve"> representation of all admitted episodes of care provided within private </w:t>
      </w:r>
      <w:r w:rsidR="00343358">
        <w:t xml:space="preserve">overnight </w:t>
      </w:r>
      <w:r>
        <w:t xml:space="preserve">and </w:t>
      </w:r>
      <w:r w:rsidR="00343358">
        <w:t xml:space="preserve">private </w:t>
      </w:r>
      <w:r>
        <w:t>day facilities</w:t>
      </w:r>
      <w:r w:rsidRPr="002857ED">
        <w:t>, together with clinical, demographic</w:t>
      </w:r>
      <w:r>
        <w:t>,</w:t>
      </w:r>
      <w:r w:rsidRPr="002857ED">
        <w:t xml:space="preserve"> and administrative information associated with these episodes. </w:t>
      </w:r>
      <w:r>
        <w:t xml:space="preserve">Although the PHDB data collection </w:t>
      </w:r>
      <w:r w:rsidRPr="00495495">
        <w:t xml:space="preserve">does not contain detailed information on </w:t>
      </w:r>
      <w:r w:rsidRPr="002857ED">
        <w:t xml:space="preserve">PL device </w:t>
      </w:r>
      <w:proofErr w:type="spellStart"/>
      <w:r w:rsidRPr="002857ED">
        <w:t>utilisation</w:t>
      </w:r>
      <w:proofErr w:type="spellEnd"/>
      <w:r w:rsidRPr="002857ED">
        <w:t xml:space="preserve"> or the associated benefits paid</w:t>
      </w:r>
      <w:r>
        <w:t xml:space="preserve"> for</w:t>
      </w:r>
      <w:r w:rsidRPr="002857ED">
        <w:t xml:space="preserve"> these items</w:t>
      </w:r>
      <w:r>
        <w:t>,</w:t>
      </w:r>
      <w:r w:rsidRPr="002857ED">
        <w:t xml:space="preserve"> IHACPA</w:t>
      </w:r>
      <w:r>
        <w:t xml:space="preserve"> has used it to </w:t>
      </w:r>
      <w:r w:rsidRPr="00495495">
        <w:t xml:space="preserve">assess representativeness of the </w:t>
      </w:r>
      <w:r w:rsidRPr="00495495">
        <w:lastRenderedPageBreak/>
        <w:t>HCP data collection</w:t>
      </w:r>
      <w:r>
        <w:t xml:space="preserve"> with respect to admitted episodes in private </w:t>
      </w:r>
      <w:r w:rsidR="00343358">
        <w:t xml:space="preserve">overnight </w:t>
      </w:r>
      <w:r>
        <w:t xml:space="preserve">and </w:t>
      </w:r>
      <w:r w:rsidR="00343358">
        <w:t xml:space="preserve">private </w:t>
      </w:r>
      <w:r>
        <w:t>day facilities</w:t>
      </w:r>
      <w:r w:rsidRPr="00495495">
        <w:t>.</w:t>
      </w:r>
      <w:bookmarkEnd w:id="50"/>
      <w:r w:rsidR="00D42C2A">
        <w:t xml:space="preserve"> Further detail on HCP representativeness against PHDB data collection can be found at </w:t>
      </w:r>
      <w:r w:rsidR="00D42C2A">
        <w:fldChar w:fldCharType="begin"/>
      </w:r>
      <w:r w:rsidR="00D42C2A">
        <w:instrText xml:space="preserve"> REF _Ref118990034 \h </w:instrText>
      </w:r>
      <w:r w:rsidR="00D42C2A">
        <w:fldChar w:fldCharType="separate"/>
      </w:r>
      <w:r w:rsidR="00106CD4">
        <w:t>Appendix C – Supporting analyses</w:t>
      </w:r>
      <w:r w:rsidR="00D42C2A">
        <w:fldChar w:fldCharType="end"/>
      </w:r>
      <w:r w:rsidR="00D42C2A">
        <w:t>.</w:t>
      </w:r>
    </w:p>
    <w:p w14:paraId="7CD28CF1" w14:textId="4E831446" w:rsidR="007F1459" w:rsidRDefault="009F53BB" w:rsidP="007F1459">
      <w:pPr>
        <w:pStyle w:val="Heading2"/>
      </w:pPr>
      <w:bookmarkStart w:id="51" w:name="_Toc118831511"/>
      <w:bookmarkStart w:id="52" w:name="_Toc121130795"/>
      <w:r>
        <w:t xml:space="preserve">IHACPA </w:t>
      </w:r>
      <w:r w:rsidR="007F1459">
        <w:t xml:space="preserve">Public Hospital Admitted </w:t>
      </w:r>
      <w:r>
        <w:t xml:space="preserve">Patient Care </w:t>
      </w:r>
      <w:r w:rsidR="007F1459">
        <w:t>Activity data collection</w:t>
      </w:r>
      <w:bookmarkEnd w:id="51"/>
      <w:bookmarkEnd w:id="52"/>
    </w:p>
    <w:p w14:paraId="34760751" w14:textId="00EF8A2B" w:rsidR="007F1459" w:rsidRPr="00F45343" w:rsidRDefault="007F1459" w:rsidP="007F1459">
      <w:r w:rsidRPr="00495495">
        <w:t xml:space="preserve">IHACPA’s national public hospital </w:t>
      </w:r>
      <w:r w:rsidR="009F53BB">
        <w:t xml:space="preserve">APC activity </w:t>
      </w:r>
      <w:r w:rsidRPr="00495495">
        <w:t xml:space="preserve">data collection includes a representation of all privately insured admitted episodes of care provided in public hospitals. Similar to the </w:t>
      </w:r>
      <w:r>
        <w:t xml:space="preserve">use of the </w:t>
      </w:r>
      <w:r w:rsidRPr="00495495">
        <w:t>PHDB</w:t>
      </w:r>
      <w:r>
        <w:t xml:space="preserve"> data collection</w:t>
      </w:r>
      <w:r w:rsidRPr="00495495">
        <w:t xml:space="preserve">, IHACPA </w:t>
      </w:r>
      <w:r>
        <w:t>has used the</w:t>
      </w:r>
      <w:r w:rsidRPr="00495495">
        <w:t xml:space="preserve"> public hospital admitted activity data collection as a source of information to assess the representativeness of the HCP data collection</w:t>
      </w:r>
      <w:r>
        <w:t xml:space="preserve"> with respect to privately insured admitted episodes in public hospitals</w:t>
      </w:r>
      <w:r w:rsidR="009F53BB">
        <w:t xml:space="preserve"> (see </w:t>
      </w:r>
      <w:r w:rsidR="009F53BB">
        <w:fldChar w:fldCharType="begin"/>
      </w:r>
      <w:r w:rsidR="009F53BB">
        <w:instrText xml:space="preserve"> REF _Ref118990034 \h </w:instrText>
      </w:r>
      <w:r w:rsidR="009F53BB">
        <w:fldChar w:fldCharType="separate"/>
      </w:r>
      <w:r w:rsidR="00106CD4">
        <w:t>Appendix C – Supporting analyses</w:t>
      </w:r>
      <w:r w:rsidR="009F53BB">
        <w:fldChar w:fldCharType="end"/>
      </w:r>
      <w:r w:rsidR="009F53BB">
        <w:t>).</w:t>
      </w:r>
    </w:p>
    <w:p w14:paraId="2F037B61" w14:textId="77777777" w:rsidR="007F1459" w:rsidRPr="00F32951" w:rsidRDefault="007F1459" w:rsidP="007F1459">
      <w:pPr>
        <w:pStyle w:val="Heading2"/>
      </w:pPr>
      <w:bookmarkStart w:id="53" w:name="_Toc118831512"/>
      <w:bookmarkStart w:id="54" w:name="_Toc121130796"/>
      <w:r>
        <w:t>Australian Prudential Regulation Authority statistics</w:t>
      </w:r>
      <w:bookmarkEnd w:id="53"/>
      <w:bookmarkEnd w:id="54"/>
    </w:p>
    <w:p w14:paraId="33A1009F" w14:textId="400C317D" w:rsidR="007F1459" w:rsidRPr="00495495" w:rsidRDefault="007F1459" w:rsidP="007F1459">
      <w:r w:rsidRPr="00495495">
        <w:t xml:space="preserve">The Australian Prudential Regulation Authority (APRA) publishes quarterly statistics on the </w:t>
      </w:r>
      <w:proofErr w:type="spellStart"/>
      <w:r w:rsidRPr="00495495">
        <w:t>utilisation</w:t>
      </w:r>
      <w:proofErr w:type="spellEnd"/>
      <w:r w:rsidRPr="00495495">
        <w:t xml:space="preserve"> and benefits paid for PL devices by PL category, state or territory and </w:t>
      </w:r>
      <w:r w:rsidR="00343358">
        <w:t>facility</w:t>
      </w:r>
      <w:r w:rsidR="00343358" w:rsidRPr="00495495">
        <w:t xml:space="preserve"> </w:t>
      </w:r>
      <w:r w:rsidRPr="00495495">
        <w:t>type.</w:t>
      </w:r>
      <w:r>
        <w:t xml:space="preserve"> IHACPA has used</w:t>
      </w:r>
      <w:r w:rsidRPr="00495495">
        <w:t xml:space="preserve"> APRA statistics to </w:t>
      </w:r>
      <w:r w:rsidR="00307D50">
        <w:t xml:space="preserve">undertake a comparative analysis with </w:t>
      </w:r>
      <w:r w:rsidRPr="00495495">
        <w:t>the HCP data collection</w:t>
      </w:r>
      <w:r>
        <w:t xml:space="preserve"> with respect to PL device </w:t>
      </w:r>
      <w:proofErr w:type="spellStart"/>
      <w:r>
        <w:t>utilisation</w:t>
      </w:r>
      <w:proofErr w:type="spellEnd"/>
      <w:r>
        <w:t xml:space="preserve"> and benefits paid</w:t>
      </w:r>
      <w:r w:rsidR="00307D50">
        <w:t xml:space="preserve"> (see </w:t>
      </w:r>
      <w:r w:rsidR="00307D50">
        <w:fldChar w:fldCharType="begin"/>
      </w:r>
      <w:r w:rsidR="00307D50">
        <w:instrText xml:space="preserve"> REF _Ref118990034 \h </w:instrText>
      </w:r>
      <w:r w:rsidR="00307D50">
        <w:fldChar w:fldCharType="separate"/>
      </w:r>
      <w:r w:rsidR="00106CD4">
        <w:t>Appendix C – Supporting analyses</w:t>
      </w:r>
      <w:r w:rsidR="00307D50">
        <w:fldChar w:fldCharType="end"/>
      </w:r>
      <w:r w:rsidR="00307D50">
        <w:t>)</w:t>
      </w:r>
      <w:r w:rsidRPr="00495495">
        <w:t>.</w:t>
      </w:r>
    </w:p>
    <w:p w14:paraId="43D06DFD" w14:textId="46DD8B17" w:rsidR="00EB7949" w:rsidRDefault="00EB7949" w:rsidP="00EB7949"/>
    <w:p w14:paraId="78101282" w14:textId="77777777" w:rsidR="00EA0D2F" w:rsidRDefault="00EA0D2F">
      <w:pPr>
        <w:spacing w:line="259" w:lineRule="auto"/>
        <w:rPr>
          <w:rFonts w:eastAsiaTheme="majorEastAsia" w:cstheme="majorBidi"/>
          <w:b/>
          <w:sz w:val="72"/>
          <w:szCs w:val="32"/>
        </w:rPr>
      </w:pPr>
      <w:r>
        <w:br w:type="page"/>
      </w:r>
    </w:p>
    <w:p w14:paraId="34871784" w14:textId="72CB307D" w:rsidR="00530F59" w:rsidRDefault="00530F59" w:rsidP="00530F59">
      <w:pPr>
        <w:pStyle w:val="Heading1"/>
        <w:spacing w:after="360"/>
      </w:pPr>
      <w:bookmarkStart w:id="55" w:name="_Ref119073178"/>
      <w:bookmarkStart w:id="56" w:name="_Ref119073187"/>
      <w:bookmarkStart w:id="57" w:name="_Toc121130797"/>
      <w:r>
        <w:lastRenderedPageBreak/>
        <w:t>Methods</w:t>
      </w:r>
      <w:bookmarkEnd w:id="55"/>
      <w:bookmarkEnd w:id="56"/>
      <w:bookmarkEnd w:id="57"/>
    </w:p>
    <w:p w14:paraId="25643736" w14:textId="49B5CB71" w:rsidR="00530F59" w:rsidRDefault="00530F59" w:rsidP="00530F59">
      <w:pPr>
        <w:pStyle w:val="Heading2"/>
      </w:pPr>
      <w:bookmarkStart w:id="58" w:name="_Toc121130798"/>
      <w:r>
        <w:t>Introduction</w:t>
      </w:r>
      <w:bookmarkEnd w:id="58"/>
    </w:p>
    <w:p w14:paraId="01C6BB60" w14:textId="5D752E88" w:rsidR="003F0F38" w:rsidRDefault="003F0F38" w:rsidP="003F0F38">
      <w:r>
        <w:t xml:space="preserve">The following sections detail the methods the Independent </w:t>
      </w:r>
      <w:r w:rsidR="005A10F5">
        <w:t xml:space="preserve">Health </w:t>
      </w:r>
      <w:r>
        <w:t xml:space="preserve">and Aged Care Pricing Authority (IHACPA) </w:t>
      </w:r>
      <w:r w:rsidR="005C0E56">
        <w:t xml:space="preserve">has </w:t>
      </w:r>
      <w:r>
        <w:t>applie</w:t>
      </w:r>
      <w:r w:rsidR="005C0E56">
        <w:t>d</w:t>
      </w:r>
      <w:r>
        <w:t xml:space="preserve"> to derive the advice on bundling arrangements for General Use Items (GUIs) on the Prostheses List (PL). These methods include the stages of data preparation, definition of GUI bundles and calculation of GUI bundle </w:t>
      </w:r>
      <w:r w:rsidR="00B444C8">
        <w:t>benefits</w:t>
      </w:r>
      <w:r>
        <w:t>.</w:t>
      </w:r>
    </w:p>
    <w:p w14:paraId="525B2798" w14:textId="35188F19" w:rsidR="00B444C8" w:rsidRDefault="00601AD9" w:rsidP="007175ED">
      <w:r>
        <w:fldChar w:fldCharType="begin"/>
      </w:r>
      <w:r>
        <w:instrText xml:space="preserve"> REF _Ref120096927 \h </w:instrText>
      </w:r>
      <w:r>
        <w:fldChar w:fldCharType="separate"/>
      </w:r>
      <w:r w:rsidR="00106CD4">
        <w:t xml:space="preserve">Figure </w:t>
      </w:r>
      <w:r w:rsidR="00106CD4">
        <w:rPr>
          <w:noProof/>
        </w:rPr>
        <w:t>1</w:t>
      </w:r>
      <w:r>
        <w:fldChar w:fldCharType="end"/>
      </w:r>
      <w:r>
        <w:t xml:space="preserve"> </w:t>
      </w:r>
      <w:r w:rsidR="003F0F38">
        <w:t xml:space="preserve">illustrates the stages of the GUI bundling methodology together with the underlying steps within each stage. </w:t>
      </w:r>
    </w:p>
    <w:p w14:paraId="49DA5671" w14:textId="57D1DF70" w:rsidR="009A100E" w:rsidRDefault="009A100E" w:rsidP="007175ED"/>
    <w:p w14:paraId="32F5B44B" w14:textId="515E764C" w:rsidR="006A212C" w:rsidRDefault="006A212C" w:rsidP="006A212C">
      <w:pPr>
        <w:pStyle w:val="Caption"/>
        <w:keepNext/>
      </w:pPr>
      <w:bookmarkStart w:id="59" w:name="_Ref120096927"/>
      <w:r>
        <w:t xml:space="preserve">Figure </w:t>
      </w:r>
      <w:fldSimple w:instr=" SEQ Figure \* ARABIC ">
        <w:r w:rsidR="00106CD4">
          <w:rPr>
            <w:noProof/>
          </w:rPr>
          <w:t>1</w:t>
        </w:r>
      </w:fldSimple>
      <w:bookmarkEnd w:id="59"/>
      <w:r>
        <w:t xml:space="preserve">: </w:t>
      </w:r>
      <w:r w:rsidRPr="005A74BB">
        <w:t xml:space="preserve">Illustration of the </w:t>
      </w:r>
      <w:r w:rsidR="006505AA">
        <w:t>General Use Item</w:t>
      </w:r>
      <w:r w:rsidRPr="005A74BB">
        <w:t xml:space="preserve"> bundling methodology</w:t>
      </w:r>
    </w:p>
    <w:p w14:paraId="50670525" w14:textId="7FCB7E1E" w:rsidR="0018015F" w:rsidRDefault="0018015F" w:rsidP="006A212C">
      <w:r>
        <w:rPr>
          <w:noProof/>
        </w:rPr>
        <w:drawing>
          <wp:inline distT="0" distB="0" distL="0" distR="0" wp14:anchorId="3CB22E9F" wp14:editId="6106EB53">
            <wp:extent cx="6115050" cy="3038475"/>
            <wp:effectExtent l="0" t="0" r="0" b="0"/>
            <wp:docPr id="64" name="Graphic 64" descr="Flow diagram illustrating stages of General Use Item bundling methodology, including three stages of prepare data, define GUI bundles, and calculate GUI bundle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c 64" descr="Flow diagram illustrating stages of General Use Item bundling methodology, including three stages of prepare data, define GUI bundles, and calculate GUI bundle statistics."/>
                    <pic:cNvPicPr/>
                  </pic:nvPicPr>
                  <pic:blipFill>
                    <a:blip r:embed="rId16">
                      <a:extLst>
                        <a:ext uri="{96DAC541-7B7A-43D3-8B79-37D633B846F1}">
                          <asvg:svgBlip xmlns:asvg="http://schemas.microsoft.com/office/drawing/2016/SVG/main" r:embed="rId17"/>
                        </a:ext>
                      </a:extLst>
                    </a:blip>
                    <a:stretch>
                      <a:fillRect/>
                    </a:stretch>
                  </pic:blipFill>
                  <pic:spPr>
                    <a:xfrm>
                      <a:off x="0" y="0"/>
                      <a:ext cx="6115050" cy="3038475"/>
                    </a:xfrm>
                    <a:prstGeom prst="rect">
                      <a:avLst/>
                    </a:prstGeom>
                  </pic:spPr>
                </pic:pic>
              </a:graphicData>
            </a:graphic>
          </wp:inline>
        </w:drawing>
      </w:r>
    </w:p>
    <w:p w14:paraId="37860FC4" w14:textId="620D59A2" w:rsidR="00530F59" w:rsidRDefault="00E86637" w:rsidP="00530F59">
      <w:pPr>
        <w:pStyle w:val="Heading2"/>
      </w:pPr>
      <w:bookmarkStart w:id="60" w:name="_Toc121130799"/>
      <w:r>
        <w:t>Data pre</w:t>
      </w:r>
      <w:r w:rsidR="00B93411">
        <w:t>paration</w:t>
      </w:r>
      <w:bookmarkEnd w:id="60"/>
    </w:p>
    <w:p w14:paraId="34D6DEEF" w14:textId="77777777" w:rsidR="00646BDD" w:rsidRDefault="00646BDD" w:rsidP="00646BDD">
      <w:r>
        <w:t>Data preparation is required to ensure that the source data used in the calculation of the GUI bundle benefits is fit for purpose. The data preparation steps are detailed in the following subsections.</w:t>
      </w:r>
    </w:p>
    <w:p w14:paraId="3233444D" w14:textId="7787A50F" w:rsidR="00646BDD" w:rsidRDefault="00646BDD" w:rsidP="00507E89">
      <w:pPr>
        <w:pStyle w:val="Heading3"/>
      </w:pPr>
      <w:bookmarkStart w:id="61" w:name="_Toc121130800"/>
      <w:r>
        <w:t>Mapping HCP Prosthes</w:t>
      </w:r>
      <w:r w:rsidR="00377EA6">
        <w:t>i</w:t>
      </w:r>
      <w:r>
        <w:t xml:space="preserve">s data to the </w:t>
      </w:r>
      <w:r w:rsidR="00FD58E0">
        <w:t>March 2023 Prostheses List</w:t>
      </w:r>
      <w:bookmarkEnd w:id="61"/>
    </w:p>
    <w:p w14:paraId="422A4406" w14:textId="13B69BDB" w:rsidR="00377EA6" w:rsidRDefault="00646BDD" w:rsidP="00646BDD">
      <w:r>
        <w:t>The HCP Prosthes</w:t>
      </w:r>
      <w:r w:rsidR="002518FA">
        <w:t>i</w:t>
      </w:r>
      <w:r>
        <w:t xml:space="preserve">s data </w:t>
      </w:r>
      <w:r w:rsidR="002518FA">
        <w:t>captures a historical record of</w:t>
      </w:r>
      <w:r>
        <w:t xml:space="preserve"> </w:t>
      </w:r>
      <w:r w:rsidR="002518FA">
        <w:t xml:space="preserve">charge and benefit information for </w:t>
      </w:r>
      <w:r>
        <w:t xml:space="preserve">devices </w:t>
      </w:r>
      <w:r w:rsidR="002518FA">
        <w:t>registered under billing codes on historical publications of the PL.</w:t>
      </w:r>
      <w:r>
        <w:t xml:space="preserve"> </w:t>
      </w:r>
      <w:r w:rsidR="00A3527D">
        <w:t>C</w:t>
      </w:r>
      <w:r>
        <w:t xml:space="preserve">hanges are made regularly to the PL over time, </w:t>
      </w:r>
      <w:r w:rsidR="00A3527D">
        <w:t xml:space="preserve">as </w:t>
      </w:r>
      <w:r>
        <w:t xml:space="preserve">new </w:t>
      </w:r>
      <w:r w:rsidR="002518FA">
        <w:t>billing codes are added</w:t>
      </w:r>
      <w:r>
        <w:t xml:space="preserve">, </w:t>
      </w:r>
      <w:r w:rsidR="00A3527D">
        <w:t xml:space="preserve">and </w:t>
      </w:r>
      <w:r>
        <w:t xml:space="preserve">existing </w:t>
      </w:r>
      <w:r w:rsidR="002518FA">
        <w:t>billing codes are removed</w:t>
      </w:r>
      <w:r w:rsidR="00377EA6">
        <w:t>, transferred, duplicated or compressed, and scheduled benefits are adjusted.</w:t>
      </w:r>
      <w:r w:rsidR="00A3527D">
        <w:t xml:space="preserve"> </w:t>
      </w:r>
      <w:r w:rsidR="00A3527D" w:rsidRPr="00A3527D">
        <w:t>As part of the data preparation process, such changes need to be accounted for.</w:t>
      </w:r>
    </w:p>
    <w:p w14:paraId="10202465" w14:textId="3933AC5F" w:rsidR="00646BDD" w:rsidRDefault="00377EA6" w:rsidP="00646BDD">
      <w:r>
        <w:t xml:space="preserve">Where appropriate, a </w:t>
      </w:r>
      <w:r w:rsidR="00646BDD">
        <w:t>process of forward mapping is applied</w:t>
      </w:r>
      <w:r>
        <w:t xml:space="preserve"> to superseded billing codes recorded in historical years of the HCP Prosthesis data to account for </w:t>
      </w:r>
      <w:r w:rsidR="00646BDD">
        <w:t>PL changes, such as transferred</w:t>
      </w:r>
      <w:r>
        <w:t xml:space="preserve">, </w:t>
      </w:r>
      <w:r w:rsidR="00646BDD">
        <w:lastRenderedPageBreak/>
        <w:t xml:space="preserve">compressed </w:t>
      </w:r>
      <w:r>
        <w:t xml:space="preserve">or duplicated </w:t>
      </w:r>
      <w:r w:rsidR="00646BDD">
        <w:t>billing codes</w:t>
      </w:r>
      <w:r>
        <w:t>. This process aligns the HCP data to the greatest extent possible with PL billing code</w:t>
      </w:r>
      <w:r w:rsidR="00FD58E0">
        <w:t>s from the August 2022 publication of the PL.</w:t>
      </w:r>
      <w:r w:rsidR="00646BDD">
        <w:t xml:space="preserve"> </w:t>
      </w:r>
      <w:r w:rsidR="00FD58E0">
        <w:t>The expected March 2023 PL scheduled benefits are then assigned to the August 2022 PL billing codes and applied to the mapped billing codes in the HCP Prosthesis data</w:t>
      </w:r>
      <w:r w:rsidR="00646BDD">
        <w:t>.</w:t>
      </w:r>
    </w:p>
    <w:p w14:paraId="3C20ED77" w14:textId="4A8675E0" w:rsidR="00646BDD" w:rsidRDefault="00646BDD" w:rsidP="00507E89">
      <w:pPr>
        <w:pStyle w:val="Heading3"/>
      </w:pPr>
      <w:bookmarkStart w:id="62" w:name="_Toc121130801"/>
      <w:r>
        <w:t xml:space="preserve">Filtering HCP Episode </w:t>
      </w:r>
      <w:r w:rsidRPr="00507E89">
        <w:t>and</w:t>
      </w:r>
      <w:r>
        <w:t xml:space="preserve"> Prosthes</w:t>
      </w:r>
      <w:r w:rsidR="006505AA">
        <w:t>i</w:t>
      </w:r>
      <w:r>
        <w:t>s data for exclusions</w:t>
      </w:r>
      <w:bookmarkEnd w:id="62"/>
    </w:p>
    <w:p w14:paraId="5642BF9A" w14:textId="7DF196B7" w:rsidR="00646BDD" w:rsidRDefault="00FD58E0" w:rsidP="00646BDD">
      <w:r>
        <w:t xml:space="preserve">Several further stages of </w:t>
      </w:r>
      <w:r w:rsidR="00646BDD" w:rsidRPr="00222C94">
        <w:t>data preparati</w:t>
      </w:r>
      <w:r w:rsidR="00646BDD">
        <w:t xml:space="preserve">on </w:t>
      </w:r>
      <w:r>
        <w:t xml:space="preserve">are undertaken to </w:t>
      </w:r>
      <w:r w:rsidR="006505AA">
        <w:t xml:space="preserve">ensure </w:t>
      </w:r>
      <w:r>
        <w:t xml:space="preserve">the HCP data </w:t>
      </w:r>
      <w:r w:rsidR="006505AA">
        <w:t xml:space="preserve">is fit to undertake analysis and statistical modelling of </w:t>
      </w:r>
      <w:r>
        <w:t xml:space="preserve">GUI </w:t>
      </w:r>
      <w:proofErr w:type="spellStart"/>
      <w:r>
        <w:t>utilisation</w:t>
      </w:r>
      <w:proofErr w:type="spellEnd"/>
      <w:r>
        <w:t xml:space="preserve"> </w:t>
      </w:r>
      <w:r w:rsidR="006505AA">
        <w:t xml:space="preserve">and benefits. </w:t>
      </w:r>
      <w:r w:rsidR="00646BDD">
        <w:t xml:space="preserve">These </w:t>
      </w:r>
      <w:r w:rsidR="006505AA">
        <w:t xml:space="preserve">stages </w:t>
      </w:r>
      <w:r w:rsidR="00646BDD">
        <w:t>include:</w:t>
      </w:r>
    </w:p>
    <w:p w14:paraId="59BD5AD3" w14:textId="77777777" w:rsidR="00646BDD" w:rsidRDefault="00646BDD" w:rsidP="007102CA">
      <w:pPr>
        <w:pStyle w:val="ListParagraph"/>
        <w:numPr>
          <w:ilvl w:val="0"/>
          <w:numId w:val="8"/>
        </w:numPr>
      </w:pPr>
      <w:r>
        <w:t>Excluding device records that do not link to an episode record – as they will not have valid episode information for the analysis.</w:t>
      </w:r>
    </w:p>
    <w:p w14:paraId="50522F5C" w14:textId="77777777" w:rsidR="00646BDD" w:rsidRDefault="00646BDD" w:rsidP="007102CA">
      <w:pPr>
        <w:pStyle w:val="ListParagraph"/>
        <w:numPr>
          <w:ilvl w:val="0"/>
          <w:numId w:val="8"/>
        </w:numPr>
      </w:pPr>
      <w:r>
        <w:t>Excluding device records that do not link to the August 2022 PL.</w:t>
      </w:r>
    </w:p>
    <w:p w14:paraId="7BEFCD09" w14:textId="77777777" w:rsidR="00646BDD" w:rsidRDefault="00646BDD" w:rsidP="007102CA">
      <w:pPr>
        <w:pStyle w:val="ListParagraph"/>
        <w:numPr>
          <w:ilvl w:val="0"/>
          <w:numId w:val="8"/>
        </w:numPr>
      </w:pPr>
      <w:r>
        <w:t>Excluding episodes that have no benefits paid.</w:t>
      </w:r>
    </w:p>
    <w:p w14:paraId="3999D2B3" w14:textId="77777777" w:rsidR="00646BDD" w:rsidRDefault="00646BDD" w:rsidP="007102CA">
      <w:pPr>
        <w:pStyle w:val="ListParagraph"/>
        <w:numPr>
          <w:ilvl w:val="0"/>
          <w:numId w:val="8"/>
        </w:numPr>
      </w:pPr>
      <w:r>
        <w:t>Excluding episodes and devices that do not have a valid principal diagnosis.</w:t>
      </w:r>
    </w:p>
    <w:p w14:paraId="5D34DD64" w14:textId="3FA2CB06" w:rsidR="00646BDD" w:rsidRPr="006F5609" w:rsidRDefault="006505AA" w:rsidP="00646BDD">
      <w:r>
        <w:t xml:space="preserve">Finally, the HCP Prosthesis data is restricted to GUI billing codes identified by Part D of the August 2022 publication of the PL. Further </w:t>
      </w:r>
      <w:r w:rsidR="00646BDD">
        <w:t xml:space="preserve">information </w:t>
      </w:r>
      <w:r>
        <w:t xml:space="preserve">on data preparation processes </w:t>
      </w:r>
      <w:r w:rsidR="00646BDD">
        <w:t xml:space="preserve">is </w:t>
      </w:r>
      <w:r>
        <w:t xml:space="preserve">provided </w:t>
      </w:r>
      <w:r w:rsidR="00646BDD">
        <w:t xml:space="preserve">in </w:t>
      </w:r>
      <w:r w:rsidR="007F2BE1">
        <w:rPr>
          <w:highlight w:val="yellow"/>
        </w:rPr>
        <w:fldChar w:fldCharType="begin"/>
      </w:r>
      <w:r w:rsidR="007F2BE1">
        <w:instrText xml:space="preserve"> REF _Ref118990034 \h </w:instrText>
      </w:r>
      <w:r w:rsidR="007F2BE1">
        <w:rPr>
          <w:highlight w:val="yellow"/>
        </w:rPr>
      </w:r>
      <w:r w:rsidR="007F2BE1">
        <w:rPr>
          <w:highlight w:val="yellow"/>
        </w:rPr>
        <w:fldChar w:fldCharType="separate"/>
      </w:r>
      <w:r w:rsidR="00106CD4">
        <w:t>Appendix C – Supporting analyses</w:t>
      </w:r>
      <w:r w:rsidR="007F2BE1">
        <w:rPr>
          <w:highlight w:val="yellow"/>
        </w:rPr>
        <w:fldChar w:fldCharType="end"/>
      </w:r>
      <w:r w:rsidR="007F2BE1">
        <w:t>.</w:t>
      </w:r>
    </w:p>
    <w:p w14:paraId="501E204A" w14:textId="77777777" w:rsidR="00646BDD" w:rsidRDefault="00646BDD" w:rsidP="00646BDD">
      <w:pPr>
        <w:pStyle w:val="Heading2"/>
      </w:pPr>
      <w:bookmarkStart w:id="63" w:name="_Toc121130802"/>
      <w:r>
        <w:t>Definition of GUI bundles</w:t>
      </w:r>
      <w:bookmarkEnd w:id="63"/>
    </w:p>
    <w:p w14:paraId="2EC9A45B" w14:textId="77777777" w:rsidR="00646BDD" w:rsidRDefault="00646BDD" w:rsidP="00646BDD">
      <w:r>
        <w:t xml:space="preserve">The next stage in the calculation of the schedule of benefits for GUI bundles is the definition of the GUI bundles themselves. The following steps are taken to define these bundle and related concepts. </w:t>
      </w:r>
    </w:p>
    <w:p w14:paraId="08B2F900" w14:textId="3C8A34B5" w:rsidR="00646BDD" w:rsidRDefault="00646BDD" w:rsidP="00646BDD">
      <w:pPr>
        <w:pStyle w:val="Heading3"/>
      </w:pPr>
      <w:bookmarkStart w:id="64" w:name="_Ref119499526"/>
      <w:bookmarkStart w:id="65" w:name="_Toc121130803"/>
      <w:r>
        <w:t xml:space="preserve">Defining GUI </w:t>
      </w:r>
      <w:r w:rsidR="00003A6F">
        <w:t>p</w:t>
      </w:r>
      <w:r>
        <w:t xml:space="preserve">roduct </w:t>
      </w:r>
      <w:r w:rsidR="00003A6F">
        <w:t>c</w:t>
      </w:r>
      <w:r>
        <w:t>lasses</w:t>
      </w:r>
      <w:bookmarkEnd w:id="64"/>
      <w:bookmarkEnd w:id="65"/>
    </w:p>
    <w:p w14:paraId="5507227B" w14:textId="5A3AF4FB" w:rsidR="00646BDD" w:rsidRDefault="00245DAA" w:rsidP="00646BDD">
      <w:r>
        <w:t xml:space="preserve">The first stage in the development of GUI bundles partitions </w:t>
      </w:r>
      <w:r w:rsidR="00646BDD">
        <w:t xml:space="preserve">GUI products into </w:t>
      </w:r>
      <w:r>
        <w:t>‘</w:t>
      </w:r>
      <w:r w:rsidR="00646BDD">
        <w:t xml:space="preserve">GUI </w:t>
      </w:r>
      <w:r>
        <w:t>p</w:t>
      </w:r>
      <w:r w:rsidR="00646BDD">
        <w:t xml:space="preserve">roduct </w:t>
      </w:r>
      <w:r>
        <w:t>c</w:t>
      </w:r>
      <w:r w:rsidR="00646BDD">
        <w:t>lasses</w:t>
      </w:r>
      <w:r>
        <w:t>’ based on product characteristics defined by the August 2022 publication of the PL</w:t>
      </w:r>
      <w:r w:rsidR="00646BDD">
        <w:t>.</w:t>
      </w:r>
    </w:p>
    <w:p w14:paraId="2297E94D" w14:textId="06149775" w:rsidR="00F84818" w:rsidRDefault="00646BDD" w:rsidP="00646BDD">
      <w:r>
        <w:t xml:space="preserve">The GUI </w:t>
      </w:r>
      <w:r w:rsidR="00245DAA">
        <w:t>p</w:t>
      </w:r>
      <w:r>
        <w:t xml:space="preserve">roduct </w:t>
      </w:r>
      <w:r w:rsidR="00245DAA">
        <w:t>c</w:t>
      </w:r>
      <w:r>
        <w:t xml:space="preserve">lasses </w:t>
      </w:r>
      <w:r w:rsidR="00245DAA">
        <w:t>align primarily with PL product groups</w:t>
      </w:r>
      <w:r w:rsidR="00F05D39">
        <w:t xml:space="preserve">, with a small number of minor deviations. </w:t>
      </w:r>
      <w:r>
        <w:t xml:space="preserve">A total of 24 </w:t>
      </w:r>
      <w:r w:rsidR="00F05D39">
        <w:t>p</w:t>
      </w:r>
      <w:r>
        <w:t xml:space="preserve">roduct </w:t>
      </w:r>
      <w:r w:rsidR="00F05D39">
        <w:t>c</w:t>
      </w:r>
      <w:r>
        <w:t>lasses are defined</w:t>
      </w:r>
      <w:r w:rsidR="00F05D39">
        <w:t xml:space="preserve"> across all GUIs</w:t>
      </w:r>
      <w:r>
        <w:t xml:space="preserve">. Of these, 17 are defined </w:t>
      </w:r>
      <w:r w:rsidR="00F05D39">
        <w:t xml:space="preserve">by corresponding </w:t>
      </w:r>
      <w:r>
        <w:t xml:space="preserve">PL </w:t>
      </w:r>
      <w:r w:rsidR="00F05D39">
        <w:t xml:space="preserve">product </w:t>
      </w:r>
      <w:r>
        <w:t>group</w:t>
      </w:r>
      <w:r w:rsidR="00F05D39">
        <w:t>s</w:t>
      </w:r>
      <w:r>
        <w:t xml:space="preserve">. </w:t>
      </w:r>
      <w:r w:rsidR="00F05D39">
        <w:t>A</w:t>
      </w:r>
      <w:r w:rsidR="000462E9">
        <w:t xml:space="preserve"> further </w:t>
      </w:r>
      <w:r w:rsidR="00F05D39">
        <w:t>four</w:t>
      </w:r>
      <w:r>
        <w:t xml:space="preserve"> GUI </w:t>
      </w:r>
      <w:r w:rsidR="00F05D39">
        <w:t>p</w:t>
      </w:r>
      <w:r>
        <w:t xml:space="preserve">roduct </w:t>
      </w:r>
      <w:r w:rsidR="00F05D39">
        <w:t>c</w:t>
      </w:r>
      <w:r>
        <w:t xml:space="preserve">lasses </w:t>
      </w:r>
      <w:r w:rsidR="00F05D39">
        <w:t xml:space="preserve">are substantively defined by two PL product groups, each with </w:t>
      </w:r>
      <w:r w:rsidR="002032C2">
        <w:t xml:space="preserve">an </w:t>
      </w:r>
      <w:r w:rsidR="00F05D39">
        <w:t xml:space="preserve">‘accessory’ PL product subgroup partitioned off into a separate GUI product class. </w:t>
      </w:r>
      <w:r>
        <w:t xml:space="preserve">The final </w:t>
      </w:r>
      <w:r w:rsidR="008B5EF1">
        <w:t>three</w:t>
      </w:r>
      <w:r w:rsidR="00F05D39">
        <w:t xml:space="preserve"> </w:t>
      </w:r>
      <w:r w:rsidR="002032C2">
        <w:t xml:space="preserve">of the 24 </w:t>
      </w:r>
      <w:r w:rsidR="00F05D39">
        <w:t xml:space="preserve">GUI product </w:t>
      </w:r>
      <w:r>
        <w:t xml:space="preserve">classes </w:t>
      </w:r>
      <w:r w:rsidR="002032C2">
        <w:t xml:space="preserve">are each defined as an aggregate of two PL product groups. </w:t>
      </w:r>
      <w:r w:rsidR="009F0D81">
        <w:t xml:space="preserve">The detailed </w:t>
      </w:r>
      <w:r w:rsidR="002032C2">
        <w:t>composition of all 24 GUI product classes</w:t>
      </w:r>
      <w:r w:rsidR="009F0D81">
        <w:t xml:space="preserve"> is defined in Table A1 of </w:t>
      </w:r>
      <w:r w:rsidR="009F0D81">
        <w:fldChar w:fldCharType="begin"/>
      </w:r>
      <w:r w:rsidR="009F0D81">
        <w:instrText xml:space="preserve"> REF _Ref119848406 \h </w:instrText>
      </w:r>
      <w:r w:rsidR="009F0D81">
        <w:fldChar w:fldCharType="separate"/>
      </w:r>
      <w:r w:rsidR="00106CD4" w:rsidRPr="008A5E4F">
        <w:t xml:space="preserve">Appendix A – </w:t>
      </w:r>
      <w:r w:rsidR="00106CD4">
        <w:t>Schedule of General Use Item Bundles</w:t>
      </w:r>
      <w:r w:rsidR="009F0D81">
        <w:fldChar w:fldCharType="end"/>
      </w:r>
      <w:r w:rsidR="009F0D81">
        <w:t>.</w:t>
      </w:r>
    </w:p>
    <w:p w14:paraId="51A342E1" w14:textId="3ED8DDAD" w:rsidR="005A4AC7" w:rsidRDefault="00F84818" w:rsidP="00646BDD">
      <w:r>
        <w:fldChar w:fldCharType="begin"/>
      </w:r>
      <w:r>
        <w:instrText xml:space="preserve"> REF _Ref120095290 \h </w:instrText>
      </w:r>
      <w:r>
        <w:fldChar w:fldCharType="separate"/>
      </w:r>
      <w:r w:rsidR="00106CD4">
        <w:t xml:space="preserve">Table </w:t>
      </w:r>
      <w:r w:rsidR="00106CD4">
        <w:rPr>
          <w:noProof/>
        </w:rPr>
        <w:t>3</w:t>
      </w:r>
      <w:r>
        <w:fldChar w:fldCharType="end"/>
      </w:r>
      <w:r>
        <w:t xml:space="preserve"> details the alignment of GUI product classes with the PL product classification. </w:t>
      </w:r>
      <w:r w:rsidR="005A4AC7">
        <w:t>The different types of alignment are illustrated as follows:</w:t>
      </w:r>
    </w:p>
    <w:p w14:paraId="27FB24D2" w14:textId="77777777" w:rsidR="005A4AC7" w:rsidRDefault="00F84818" w:rsidP="005A4AC7">
      <w:pPr>
        <w:pStyle w:val="ListParagraph"/>
        <w:numPr>
          <w:ilvl w:val="0"/>
          <w:numId w:val="7"/>
        </w:numPr>
      </w:pPr>
      <w:r>
        <w:t xml:space="preserve">The four product classes within the ‘A1 Drug Delivery’ GUI product branch (i.e. A11, A12, A13 and A19) are illustrative of the one-to-one mapping between GUI product classes and PL product groups that exists </w:t>
      </w:r>
      <w:r w:rsidR="005A4AC7">
        <w:t xml:space="preserve">for 17 of the </w:t>
      </w:r>
      <w:r w:rsidR="009E3737">
        <w:t>24 GUI product classes</w:t>
      </w:r>
      <w:r w:rsidR="000462E9">
        <w:t>.</w:t>
      </w:r>
    </w:p>
    <w:p w14:paraId="02392A9F" w14:textId="47C934F9" w:rsidR="005A4AC7" w:rsidRDefault="005A4AC7" w:rsidP="005A4AC7">
      <w:pPr>
        <w:pStyle w:val="ListParagraph"/>
        <w:numPr>
          <w:ilvl w:val="0"/>
          <w:numId w:val="7"/>
        </w:numPr>
      </w:pPr>
      <w:r>
        <w:t xml:space="preserve">The A45 and A49 pair of GUI product classes are illustrative of </w:t>
      </w:r>
      <w:r w:rsidR="00825DC3">
        <w:t xml:space="preserve">an </w:t>
      </w:r>
      <w:r>
        <w:t xml:space="preserve">alignment in which one PL product group is split into two </w:t>
      </w:r>
      <w:r w:rsidR="00825DC3">
        <w:t xml:space="preserve">GUI </w:t>
      </w:r>
      <w:r>
        <w:t xml:space="preserve">product classes, with one product class (A45) substantively aligning with the PL product group and the second product class (A49) aligning with an ‘accessories’ subgroup of the PL </w:t>
      </w:r>
      <w:r w:rsidR="00825DC3">
        <w:t xml:space="preserve">product </w:t>
      </w:r>
      <w:r>
        <w:t>group. This example represents one of two pairs of GUI product classes defined in this way</w:t>
      </w:r>
      <w:r w:rsidR="00825DC3">
        <w:t>, the other pair being A52 and A59.</w:t>
      </w:r>
    </w:p>
    <w:p w14:paraId="586D36F6" w14:textId="7ABC64DD" w:rsidR="005A4AC7" w:rsidRDefault="00825DC3" w:rsidP="00646BDD">
      <w:pPr>
        <w:pStyle w:val="ListParagraph"/>
        <w:numPr>
          <w:ilvl w:val="0"/>
          <w:numId w:val="7"/>
        </w:numPr>
      </w:pPr>
      <w:r>
        <w:lastRenderedPageBreak/>
        <w:t>A31 provides an example of a GUI product class defined as an aggregate of two PL product groups (i.e. 10.09.01 and 10.09.02). This example represents one of three GUI product classes that align in this way.</w:t>
      </w:r>
    </w:p>
    <w:p w14:paraId="467FA50E" w14:textId="696E1389" w:rsidR="005E01B3" w:rsidRDefault="005E01B3" w:rsidP="005E01B3">
      <w:pPr>
        <w:pStyle w:val="Caption"/>
        <w:keepNext/>
      </w:pPr>
      <w:bookmarkStart w:id="66" w:name="_Ref120095290"/>
      <w:r>
        <w:t xml:space="preserve">Table </w:t>
      </w:r>
      <w:fldSimple w:instr=" SEQ Table \* ARABIC ">
        <w:r w:rsidR="00106CD4">
          <w:rPr>
            <w:noProof/>
          </w:rPr>
          <w:t>3</w:t>
        </w:r>
      </w:fldSimple>
      <w:bookmarkEnd w:id="66"/>
      <w:r>
        <w:t xml:space="preserve">: </w:t>
      </w:r>
      <w:r w:rsidR="00F84818">
        <w:t xml:space="preserve">Alignment of </w:t>
      </w:r>
      <w:r>
        <w:t xml:space="preserve">GUI product classes and </w:t>
      </w:r>
      <w:r w:rsidR="00F84818">
        <w:t xml:space="preserve">the </w:t>
      </w:r>
      <w:r>
        <w:t>PL product classification</w:t>
      </w:r>
    </w:p>
    <w:tbl>
      <w:tblPr>
        <w:tblW w:w="9493" w:type="dxa"/>
        <w:tblLook w:val="04A0" w:firstRow="1" w:lastRow="0" w:firstColumn="1" w:lastColumn="0" w:noHBand="0" w:noVBand="1"/>
        <w:tblDescription w:val="Table 3 with three columns demonstrating the GUI product Branch, the GUI product Class and PL Product classifications. "/>
      </w:tblPr>
      <w:tblGrid>
        <w:gridCol w:w="1217"/>
        <w:gridCol w:w="621"/>
        <w:gridCol w:w="3119"/>
        <w:gridCol w:w="4536"/>
      </w:tblGrid>
      <w:tr w:rsidR="005E01B3" w:rsidRPr="00461D28" w14:paraId="17F7F094" w14:textId="77777777" w:rsidTr="00F84818">
        <w:trPr>
          <w:cantSplit/>
          <w:trHeight w:val="240"/>
          <w:tblHeader/>
        </w:trPr>
        <w:tc>
          <w:tcPr>
            <w:tcW w:w="12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104F99" w:themeFill="accent2"/>
            <w:noWrap/>
            <w:vAlign w:val="center"/>
            <w:hideMark/>
          </w:tcPr>
          <w:p w14:paraId="610175FB" w14:textId="427B3DEC" w:rsidR="00461D28" w:rsidRPr="00461D28" w:rsidRDefault="005E01B3" w:rsidP="005E01B3">
            <w:pPr>
              <w:spacing w:before="120" w:after="120"/>
              <w:jc w:val="center"/>
              <w:rPr>
                <w:rFonts w:eastAsia="Times New Roman" w:cs="Arial"/>
                <w:b/>
                <w:bCs/>
                <w:color w:val="FFFFFF" w:themeColor="background2"/>
                <w:sz w:val="18"/>
                <w:szCs w:val="18"/>
                <w:lang w:val="en-AU" w:eastAsia="en-AU"/>
              </w:rPr>
            </w:pPr>
            <w:r>
              <w:rPr>
                <w:rFonts w:eastAsia="Times New Roman" w:cs="Arial"/>
                <w:b/>
                <w:bCs/>
                <w:color w:val="FFFFFF" w:themeColor="background2"/>
                <w:sz w:val="18"/>
                <w:szCs w:val="18"/>
                <w:lang w:val="en-AU" w:eastAsia="en-AU"/>
              </w:rPr>
              <w:t>GUI p</w:t>
            </w:r>
            <w:r w:rsidR="00461D28" w:rsidRPr="00461D28">
              <w:rPr>
                <w:rFonts w:eastAsia="Times New Roman" w:cs="Arial"/>
                <w:b/>
                <w:bCs/>
                <w:color w:val="FFFFFF" w:themeColor="background2"/>
                <w:sz w:val="18"/>
                <w:szCs w:val="18"/>
                <w:lang w:val="en-AU" w:eastAsia="en-AU"/>
              </w:rPr>
              <w:t xml:space="preserve">roduct </w:t>
            </w:r>
            <w:r w:rsidRPr="005E01B3">
              <w:rPr>
                <w:rFonts w:eastAsia="Times New Roman" w:cs="Arial"/>
                <w:b/>
                <w:bCs/>
                <w:color w:val="FFFFFF" w:themeColor="background2"/>
                <w:sz w:val="18"/>
                <w:szCs w:val="18"/>
                <w:lang w:val="en-AU" w:eastAsia="en-AU"/>
              </w:rPr>
              <w:t>b</w:t>
            </w:r>
            <w:r w:rsidR="00461D28" w:rsidRPr="00461D28">
              <w:rPr>
                <w:rFonts w:eastAsia="Times New Roman" w:cs="Arial"/>
                <w:b/>
                <w:bCs/>
                <w:color w:val="FFFFFF" w:themeColor="background2"/>
                <w:sz w:val="18"/>
                <w:szCs w:val="18"/>
                <w:lang w:val="en-AU" w:eastAsia="en-AU"/>
              </w:rPr>
              <w:t>ranch</w:t>
            </w:r>
          </w:p>
        </w:tc>
        <w:tc>
          <w:tcPr>
            <w:tcW w:w="3740" w:type="dxa"/>
            <w:gridSpan w:val="2"/>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104F99" w:themeFill="accent2"/>
            <w:noWrap/>
            <w:vAlign w:val="center"/>
            <w:hideMark/>
          </w:tcPr>
          <w:p w14:paraId="101800F1" w14:textId="545DA76E" w:rsidR="00461D28" w:rsidRPr="00461D28" w:rsidRDefault="005E01B3" w:rsidP="005E01B3">
            <w:pPr>
              <w:spacing w:before="120" w:after="120"/>
              <w:jc w:val="center"/>
              <w:rPr>
                <w:rFonts w:eastAsia="Times New Roman" w:cs="Arial"/>
                <w:b/>
                <w:bCs/>
                <w:color w:val="FFFFFF" w:themeColor="background2"/>
                <w:sz w:val="18"/>
                <w:szCs w:val="18"/>
                <w:lang w:val="en-AU" w:eastAsia="en-AU"/>
              </w:rPr>
            </w:pPr>
            <w:r>
              <w:rPr>
                <w:rFonts w:eastAsia="Times New Roman" w:cs="Arial"/>
                <w:b/>
                <w:bCs/>
                <w:color w:val="FFFFFF" w:themeColor="background2"/>
                <w:sz w:val="18"/>
                <w:szCs w:val="18"/>
                <w:lang w:val="en-AU" w:eastAsia="en-AU"/>
              </w:rPr>
              <w:t>GUI p</w:t>
            </w:r>
            <w:r w:rsidR="00461D28" w:rsidRPr="00461D28">
              <w:rPr>
                <w:rFonts w:eastAsia="Times New Roman" w:cs="Arial"/>
                <w:b/>
                <w:bCs/>
                <w:color w:val="FFFFFF" w:themeColor="background2"/>
                <w:sz w:val="18"/>
                <w:szCs w:val="18"/>
                <w:lang w:val="en-AU" w:eastAsia="en-AU"/>
              </w:rPr>
              <w:t xml:space="preserve">roduct </w:t>
            </w:r>
            <w:r w:rsidRPr="005E01B3">
              <w:rPr>
                <w:rFonts w:eastAsia="Times New Roman" w:cs="Arial"/>
                <w:b/>
                <w:bCs/>
                <w:color w:val="FFFFFF" w:themeColor="background2"/>
                <w:sz w:val="18"/>
                <w:szCs w:val="18"/>
                <w:lang w:val="en-AU" w:eastAsia="en-AU"/>
              </w:rPr>
              <w:t>c</w:t>
            </w:r>
            <w:r w:rsidR="00461D28" w:rsidRPr="00461D28">
              <w:rPr>
                <w:rFonts w:eastAsia="Times New Roman" w:cs="Arial"/>
                <w:b/>
                <w:bCs/>
                <w:color w:val="FFFFFF" w:themeColor="background2"/>
                <w:sz w:val="18"/>
                <w:szCs w:val="18"/>
                <w:lang w:val="en-AU" w:eastAsia="en-AU"/>
              </w:rPr>
              <w:t>lass</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104F99" w:themeFill="accent2"/>
            <w:noWrap/>
            <w:vAlign w:val="center"/>
            <w:hideMark/>
          </w:tcPr>
          <w:p w14:paraId="03E8E077" w14:textId="1D981FBA" w:rsidR="00461D28" w:rsidRPr="00461D28" w:rsidRDefault="005E01B3" w:rsidP="005E01B3">
            <w:pPr>
              <w:spacing w:before="120" w:after="120"/>
              <w:jc w:val="center"/>
              <w:rPr>
                <w:rFonts w:eastAsia="Times New Roman" w:cs="Arial"/>
                <w:b/>
                <w:bCs/>
                <w:color w:val="FFFFFF" w:themeColor="background2"/>
                <w:sz w:val="18"/>
                <w:szCs w:val="18"/>
                <w:lang w:val="en-AU" w:eastAsia="en-AU"/>
              </w:rPr>
            </w:pPr>
            <w:r>
              <w:rPr>
                <w:rFonts w:eastAsia="Times New Roman" w:cs="Arial"/>
                <w:b/>
                <w:bCs/>
                <w:color w:val="FFFFFF" w:themeColor="background2"/>
                <w:sz w:val="18"/>
                <w:szCs w:val="18"/>
                <w:lang w:val="en-AU" w:eastAsia="en-AU"/>
              </w:rPr>
              <w:t>PL</w:t>
            </w:r>
            <w:r w:rsidR="00461D28" w:rsidRPr="00461D28">
              <w:rPr>
                <w:rFonts w:eastAsia="Times New Roman" w:cs="Arial"/>
                <w:b/>
                <w:bCs/>
                <w:color w:val="FFFFFF" w:themeColor="background2"/>
                <w:sz w:val="18"/>
                <w:szCs w:val="18"/>
                <w:lang w:val="en-AU" w:eastAsia="en-AU"/>
              </w:rPr>
              <w:t xml:space="preserve"> </w:t>
            </w:r>
            <w:r>
              <w:rPr>
                <w:rFonts w:eastAsia="Times New Roman" w:cs="Arial"/>
                <w:b/>
                <w:bCs/>
                <w:color w:val="FFFFFF" w:themeColor="background2"/>
                <w:sz w:val="18"/>
                <w:szCs w:val="18"/>
                <w:lang w:val="en-AU" w:eastAsia="en-AU"/>
              </w:rPr>
              <w:t>p</w:t>
            </w:r>
            <w:r w:rsidR="00461D28" w:rsidRPr="00461D28">
              <w:rPr>
                <w:rFonts w:eastAsia="Times New Roman" w:cs="Arial"/>
                <w:b/>
                <w:bCs/>
                <w:color w:val="FFFFFF" w:themeColor="background2"/>
                <w:sz w:val="18"/>
                <w:szCs w:val="18"/>
                <w:lang w:val="en-AU" w:eastAsia="en-AU"/>
              </w:rPr>
              <w:t xml:space="preserve">roduct </w:t>
            </w:r>
            <w:r w:rsidRPr="005E01B3">
              <w:rPr>
                <w:rFonts w:eastAsia="Times New Roman" w:cs="Arial"/>
                <w:b/>
                <w:bCs/>
                <w:color w:val="FFFFFF" w:themeColor="background2"/>
                <w:sz w:val="18"/>
                <w:szCs w:val="18"/>
                <w:lang w:val="en-AU" w:eastAsia="en-AU"/>
              </w:rPr>
              <w:t>c</w:t>
            </w:r>
            <w:r w:rsidR="00461D28" w:rsidRPr="00461D28">
              <w:rPr>
                <w:rFonts w:eastAsia="Times New Roman" w:cs="Arial"/>
                <w:b/>
                <w:bCs/>
                <w:color w:val="FFFFFF" w:themeColor="background2"/>
                <w:sz w:val="18"/>
                <w:szCs w:val="18"/>
                <w:lang w:val="en-AU" w:eastAsia="en-AU"/>
              </w:rPr>
              <w:t>lassification</w:t>
            </w:r>
          </w:p>
        </w:tc>
      </w:tr>
      <w:tr w:rsidR="005E01B3" w:rsidRPr="00461D28" w14:paraId="0DA7A225" w14:textId="77777777" w:rsidTr="00F84818">
        <w:trPr>
          <w:cantSplit/>
          <w:trHeight w:val="240"/>
        </w:trPr>
        <w:tc>
          <w:tcPr>
            <w:tcW w:w="1217" w:type="dxa"/>
            <w:vMerge w:val="restar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2D1E812F" w14:textId="77777777" w:rsidR="005E01B3" w:rsidRDefault="005E01B3" w:rsidP="005E01B3">
            <w:pPr>
              <w:spacing w:before="120" w:after="120"/>
              <w:jc w:val="center"/>
              <w:rPr>
                <w:rFonts w:eastAsia="Times New Roman" w:cs="Arial"/>
                <w:color w:val="000000"/>
                <w:sz w:val="18"/>
                <w:szCs w:val="18"/>
                <w:lang w:val="en-AU" w:eastAsia="en-AU"/>
              </w:rPr>
            </w:pPr>
            <w:r w:rsidRPr="00461D28">
              <w:rPr>
                <w:rFonts w:eastAsia="Times New Roman" w:cs="Arial"/>
                <w:color w:val="000000"/>
                <w:sz w:val="18"/>
                <w:szCs w:val="18"/>
                <w:lang w:val="en-AU" w:eastAsia="en-AU"/>
              </w:rPr>
              <w:t>A1</w:t>
            </w:r>
          </w:p>
          <w:p w14:paraId="11345283" w14:textId="5B642CFB" w:rsidR="005E01B3" w:rsidRPr="00461D28" w:rsidRDefault="005E01B3" w:rsidP="005E01B3">
            <w:pPr>
              <w:spacing w:before="120" w:after="120"/>
              <w:jc w:val="center"/>
              <w:rPr>
                <w:rFonts w:eastAsia="Times New Roman" w:cs="Arial"/>
                <w:color w:val="000000"/>
                <w:sz w:val="18"/>
                <w:szCs w:val="18"/>
                <w:lang w:val="en-AU" w:eastAsia="en-AU"/>
              </w:rPr>
            </w:pPr>
            <w:r w:rsidRPr="00461D28">
              <w:rPr>
                <w:rFonts w:eastAsia="Times New Roman" w:cs="Arial"/>
                <w:color w:val="000000"/>
                <w:sz w:val="18"/>
                <w:szCs w:val="18"/>
                <w:lang w:val="en-AU" w:eastAsia="en-AU"/>
              </w:rPr>
              <w:t>Drug Delivery</w:t>
            </w:r>
          </w:p>
        </w:tc>
        <w:tc>
          <w:tcPr>
            <w:tcW w:w="62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1F4E146E" w14:textId="0BD0825F"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A11</w:t>
            </w:r>
          </w:p>
        </w:tc>
        <w:tc>
          <w:tcPr>
            <w:tcW w:w="311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11727337"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Infusion Pumps, Balloon Based</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6EBAC1BF"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03.02.02 - Infusion Pumps, Balloon Based</w:t>
            </w:r>
          </w:p>
        </w:tc>
      </w:tr>
      <w:tr w:rsidR="005E01B3" w:rsidRPr="00461D28" w14:paraId="66F39C72"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7D59D6C4"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7A911EE7" w14:textId="42CB7F39"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A12</w:t>
            </w:r>
          </w:p>
        </w:tc>
        <w:tc>
          <w:tcPr>
            <w:tcW w:w="311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2C5B6DF1"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Infusion Pumps, Battery Powered</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4A95914A"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03.02.03 - Infusion Pumps, Battery Powered</w:t>
            </w:r>
          </w:p>
        </w:tc>
      </w:tr>
      <w:tr w:rsidR="005E01B3" w:rsidRPr="00461D28" w14:paraId="48C66694"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7DE6EFFC"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1F9184C5" w14:textId="2AFFBFBC"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A13</w:t>
            </w:r>
          </w:p>
        </w:tc>
        <w:tc>
          <w:tcPr>
            <w:tcW w:w="311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2C9F3489"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Infusion Pumps, Spring Powered</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72AF43BC"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03.02.04 - Infusion Pumps, Spring Powered</w:t>
            </w:r>
          </w:p>
        </w:tc>
      </w:tr>
      <w:tr w:rsidR="005E01B3" w:rsidRPr="00461D28" w14:paraId="16AA6709"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5F1E8272"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307F48B9" w14:textId="21F8490C"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A19</w:t>
            </w:r>
          </w:p>
        </w:tc>
        <w:tc>
          <w:tcPr>
            <w:tcW w:w="311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1E15BDF8"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Drug Delivery Accessories</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4325A7FD"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03.02.05 - Infusion Pump Accessories</w:t>
            </w:r>
          </w:p>
        </w:tc>
      </w:tr>
      <w:tr w:rsidR="005E01B3" w:rsidRPr="00461D28" w14:paraId="4F20F2FA" w14:textId="77777777" w:rsidTr="00F84818">
        <w:trPr>
          <w:cantSplit/>
          <w:trHeight w:val="240"/>
        </w:trPr>
        <w:tc>
          <w:tcPr>
            <w:tcW w:w="1217" w:type="dxa"/>
            <w:vMerge w:val="restar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39B10106" w14:textId="77777777" w:rsidR="005E01B3" w:rsidRDefault="005E01B3" w:rsidP="005E01B3">
            <w:pPr>
              <w:spacing w:before="120" w:after="120"/>
              <w:jc w:val="center"/>
              <w:rPr>
                <w:rFonts w:eastAsia="Times New Roman" w:cs="Arial"/>
                <w:color w:val="000000"/>
                <w:sz w:val="18"/>
                <w:szCs w:val="18"/>
                <w:lang w:val="en-AU" w:eastAsia="en-AU"/>
              </w:rPr>
            </w:pPr>
            <w:r w:rsidRPr="00461D28">
              <w:rPr>
                <w:rFonts w:eastAsia="Times New Roman" w:cs="Arial"/>
                <w:color w:val="000000"/>
                <w:sz w:val="18"/>
                <w:szCs w:val="18"/>
                <w:lang w:val="en-AU" w:eastAsia="en-AU"/>
              </w:rPr>
              <w:t>A2</w:t>
            </w:r>
          </w:p>
          <w:p w14:paraId="7854A6E2" w14:textId="3CE484C2" w:rsidR="005E01B3" w:rsidRPr="00461D28" w:rsidRDefault="005E01B3" w:rsidP="005E01B3">
            <w:pPr>
              <w:spacing w:before="120" w:after="120"/>
              <w:jc w:val="center"/>
              <w:rPr>
                <w:rFonts w:eastAsia="Times New Roman" w:cs="Arial"/>
                <w:color w:val="000000"/>
                <w:sz w:val="18"/>
                <w:szCs w:val="18"/>
                <w:lang w:val="en-AU" w:eastAsia="en-AU"/>
              </w:rPr>
            </w:pPr>
            <w:r w:rsidRPr="00461D28">
              <w:rPr>
                <w:rFonts w:eastAsia="Times New Roman" w:cs="Arial"/>
                <w:color w:val="000000"/>
                <w:sz w:val="18"/>
                <w:szCs w:val="18"/>
                <w:lang w:val="en-AU" w:eastAsia="en-AU"/>
              </w:rPr>
              <w:t>Enteral</w:t>
            </w:r>
            <w:r w:rsidR="00F412C3">
              <w:rPr>
                <w:rFonts w:eastAsia="Times New Roman" w:cs="Arial"/>
                <w:color w:val="000000"/>
                <w:sz w:val="18"/>
                <w:szCs w:val="18"/>
                <w:lang w:val="en-AU" w:eastAsia="en-AU"/>
              </w:rPr>
              <w:t xml:space="preserve"> Access</w:t>
            </w:r>
          </w:p>
        </w:tc>
        <w:tc>
          <w:tcPr>
            <w:tcW w:w="62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62932077" w14:textId="08F30278"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A21</w:t>
            </w:r>
          </w:p>
        </w:tc>
        <w:tc>
          <w:tcPr>
            <w:tcW w:w="311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41515284"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Feeding Tubes</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67D77143"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03.03.01 - Feeding Tubes</w:t>
            </w:r>
          </w:p>
        </w:tc>
      </w:tr>
      <w:tr w:rsidR="005E01B3" w:rsidRPr="00461D28" w14:paraId="28D7F972"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76ACCD5D"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5E4F665D" w14:textId="6DB2592F"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A22</w:t>
            </w:r>
          </w:p>
        </w:tc>
        <w:tc>
          <w:tcPr>
            <w:tcW w:w="311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2716E81C"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Gastrostomy Tubes</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34D34A59"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03.03.02 - Gastrostomy Tubes</w:t>
            </w:r>
          </w:p>
        </w:tc>
      </w:tr>
      <w:tr w:rsidR="005E01B3" w:rsidRPr="00461D28" w14:paraId="2F06C9BA"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30F4CD81"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3A7C938C" w14:textId="6E1444A0"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A23</w:t>
            </w:r>
          </w:p>
        </w:tc>
        <w:tc>
          <w:tcPr>
            <w:tcW w:w="311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5835445A"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Jejunostomy Tubes</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0E8C14CE"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03.03.03 - Jejunostomy Tubes</w:t>
            </w:r>
          </w:p>
        </w:tc>
      </w:tr>
      <w:tr w:rsidR="005E01B3" w:rsidRPr="00461D28" w14:paraId="2390DC1D"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65E6640E"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52994919" w14:textId="1A99A55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A24</w:t>
            </w:r>
          </w:p>
        </w:tc>
        <w:tc>
          <w:tcPr>
            <w:tcW w:w="311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5D962004" w14:textId="77777777" w:rsidR="005E01B3" w:rsidRPr="00461D28" w:rsidRDefault="005E01B3" w:rsidP="005E01B3">
            <w:pPr>
              <w:spacing w:before="120" w:after="120"/>
              <w:rPr>
                <w:rFonts w:eastAsia="Times New Roman" w:cs="Arial"/>
                <w:color w:val="000000"/>
                <w:sz w:val="18"/>
                <w:szCs w:val="18"/>
                <w:lang w:val="en-AU" w:eastAsia="en-AU"/>
              </w:rPr>
            </w:pPr>
            <w:proofErr w:type="spellStart"/>
            <w:r w:rsidRPr="00461D28">
              <w:rPr>
                <w:rFonts w:eastAsia="Times New Roman" w:cs="Arial"/>
                <w:color w:val="000000"/>
                <w:sz w:val="18"/>
                <w:szCs w:val="18"/>
                <w:lang w:val="en-AU" w:eastAsia="en-AU"/>
              </w:rPr>
              <w:t>Caecostomy</w:t>
            </w:r>
            <w:proofErr w:type="spellEnd"/>
            <w:r w:rsidRPr="00461D28">
              <w:rPr>
                <w:rFonts w:eastAsia="Times New Roman" w:cs="Arial"/>
                <w:color w:val="000000"/>
                <w:sz w:val="18"/>
                <w:szCs w:val="18"/>
                <w:lang w:val="en-AU" w:eastAsia="en-AU"/>
              </w:rPr>
              <w:t xml:space="preserve"> Tubes</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635734C9"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 xml:space="preserve">03.03.04 - </w:t>
            </w:r>
            <w:proofErr w:type="spellStart"/>
            <w:r w:rsidRPr="00461D28">
              <w:rPr>
                <w:rFonts w:eastAsia="Times New Roman" w:cs="Arial"/>
                <w:color w:val="000000"/>
                <w:sz w:val="18"/>
                <w:szCs w:val="18"/>
                <w:lang w:val="en-AU" w:eastAsia="en-AU"/>
              </w:rPr>
              <w:t>Caecostomy</w:t>
            </w:r>
            <w:proofErr w:type="spellEnd"/>
            <w:r w:rsidRPr="00461D28">
              <w:rPr>
                <w:rFonts w:eastAsia="Times New Roman" w:cs="Arial"/>
                <w:color w:val="000000"/>
                <w:sz w:val="18"/>
                <w:szCs w:val="18"/>
                <w:lang w:val="en-AU" w:eastAsia="en-AU"/>
              </w:rPr>
              <w:t xml:space="preserve"> Tubes</w:t>
            </w:r>
          </w:p>
        </w:tc>
      </w:tr>
      <w:tr w:rsidR="005E01B3" w:rsidRPr="00461D28" w14:paraId="74778BD6" w14:textId="77777777" w:rsidTr="00F84818">
        <w:trPr>
          <w:cantSplit/>
          <w:trHeight w:val="240"/>
        </w:trPr>
        <w:tc>
          <w:tcPr>
            <w:tcW w:w="1217" w:type="dxa"/>
            <w:vMerge w:val="restar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29C4A735" w14:textId="77777777" w:rsidR="005E01B3" w:rsidRDefault="005E01B3" w:rsidP="005E01B3">
            <w:pPr>
              <w:spacing w:before="120" w:after="120"/>
              <w:jc w:val="center"/>
              <w:rPr>
                <w:rFonts w:eastAsia="Times New Roman" w:cs="Arial"/>
                <w:color w:val="000000"/>
                <w:sz w:val="18"/>
                <w:szCs w:val="18"/>
                <w:lang w:val="en-AU" w:eastAsia="en-AU"/>
              </w:rPr>
            </w:pPr>
            <w:r w:rsidRPr="00461D28">
              <w:rPr>
                <w:rFonts w:eastAsia="Times New Roman" w:cs="Arial"/>
                <w:color w:val="000000"/>
                <w:sz w:val="18"/>
                <w:szCs w:val="18"/>
                <w:lang w:val="en-AU" w:eastAsia="en-AU"/>
              </w:rPr>
              <w:t>A3</w:t>
            </w:r>
          </w:p>
          <w:p w14:paraId="7B043EB3" w14:textId="4DFACE2E" w:rsidR="005E01B3" w:rsidRPr="00461D28" w:rsidRDefault="005E01B3" w:rsidP="005E01B3">
            <w:pPr>
              <w:spacing w:before="120" w:after="120"/>
              <w:jc w:val="center"/>
              <w:rPr>
                <w:rFonts w:eastAsia="Times New Roman" w:cs="Arial"/>
                <w:color w:val="000000"/>
                <w:sz w:val="18"/>
                <w:szCs w:val="18"/>
                <w:lang w:val="en-AU" w:eastAsia="en-AU"/>
              </w:rPr>
            </w:pPr>
            <w:r w:rsidRPr="00461D28">
              <w:rPr>
                <w:rFonts w:eastAsia="Times New Roman" w:cs="Arial"/>
                <w:color w:val="000000"/>
                <w:sz w:val="18"/>
                <w:szCs w:val="18"/>
                <w:lang w:val="en-AU" w:eastAsia="en-AU"/>
              </w:rPr>
              <w:t>Vascular Access</w:t>
            </w:r>
          </w:p>
        </w:tc>
        <w:tc>
          <w:tcPr>
            <w:tcW w:w="621" w:type="dxa"/>
            <w:vMerge w:val="restart"/>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6CE649DE" w14:textId="1368ADC9"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A31</w:t>
            </w:r>
          </w:p>
        </w:tc>
        <w:tc>
          <w:tcPr>
            <w:tcW w:w="3119" w:type="dxa"/>
            <w:vMerge w:val="restart"/>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59ACB8C4"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Percutaneous Catheters</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52391F6D"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10.09.01 - Percutaneous Catheters, Single Lumen</w:t>
            </w:r>
          </w:p>
        </w:tc>
      </w:tr>
      <w:tr w:rsidR="005E01B3" w:rsidRPr="00461D28" w14:paraId="4FC380EA"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0FE84FD3"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vMerge/>
            <w:tcBorders>
              <w:top w:val="single" w:sz="4" w:space="0" w:color="808080" w:themeColor="background2" w:themeShade="80"/>
              <w:left w:val="single" w:sz="4" w:space="0" w:color="808080" w:themeColor="background2" w:themeShade="80"/>
              <w:bottom w:val="single" w:sz="4" w:space="0" w:color="808080" w:themeColor="background2" w:themeShade="80"/>
            </w:tcBorders>
            <w:vAlign w:val="center"/>
            <w:hideMark/>
          </w:tcPr>
          <w:p w14:paraId="5E4B0C65" w14:textId="77777777" w:rsidR="005E01B3" w:rsidRPr="00461D28" w:rsidRDefault="005E01B3" w:rsidP="005E01B3">
            <w:pPr>
              <w:spacing w:before="120" w:after="120"/>
              <w:rPr>
                <w:rFonts w:eastAsia="Times New Roman" w:cs="Arial"/>
                <w:color w:val="000000"/>
                <w:sz w:val="18"/>
                <w:szCs w:val="18"/>
                <w:lang w:val="en-AU" w:eastAsia="en-AU"/>
              </w:rPr>
            </w:pPr>
          </w:p>
        </w:tc>
        <w:tc>
          <w:tcPr>
            <w:tcW w:w="3119" w:type="dxa"/>
            <w:vMerge/>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vAlign w:val="center"/>
            <w:hideMark/>
          </w:tcPr>
          <w:p w14:paraId="0027681F" w14:textId="77777777" w:rsidR="005E01B3" w:rsidRPr="00461D28" w:rsidRDefault="005E01B3" w:rsidP="005E01B3">
            <w:pPr>
              <w:spacing w:before="120" w:after="120"/>
              <w:rPr>
                <w:rFonts w:eastAsia="Times New Roman" w:cs="Arial"/>
                <w:color w:val="000000"/>
                <w:sz w:val="18"/>
                <w:szCs w:val="18"/>
                <w:lang w:val="en-AU" w:eastAsia="en-AU"/>
              </w:rPr>
            </w:pP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02D2102F"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10.09.02 - Percutaneous Catheters, Multiple Lumen</w:t>
            </w:r>
          </w:p>
        </w:tc>
      </w:tr>
      <w:tr w:rsidR="005E01B3" w:rsidRPr="00461D28" w14:paraId="5285B688" w14:textId="77777777" w:rsidTr="00F84818">
        <w:trPr>
          <w:cantSplit/>
          <w:trHeight w:val="240"/>
        </w:trPr>
        <w:tc>
          <w:tcPr>
            <w:tcW w:w="1217" w:type="dxa"/>
            <w:vMerge w:val="restar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3FC6609F" w14:textId="77777777" w:rsidR="005E01B3" w:rsidRDefault="005E01B3" w:rsidP="005E01B3">
            <w:pPr>
              <w:spacing w:before="120" w:after="120"/>
              <w:jc w:val="center"/>
              <w:rPr>
                <w:rFonts w:eastAsia="Times New Roman" w:cs="Arial"/>
                <w:color w:val="000000"/>
                <w:sz w:val="18"/>
                <w:szCs w:val="18"/>
                <w:lang w:val="en-AU" w:eastAsia="en-AU"/>
              </w:rPr>
            </w:pPr>
            <w:r w:rsidRPr="00461D28">
              <w:rPr>
                <w:rFonts w:eastAsia="Times New Roman" w:cs="Arial"/>
                <w:color w:val="000000"/>
                <w:sz w:val="18"/>
                <w:szCs w:val="18"/>
                <w:lang w:val="en-AU" w:eastAsia="en-AU"/>
              </w:rPr>
              <w:t>A4</w:t>
            </w:r>
          </w:p>
          <w:p w14:paraId="0EE8BEA3" w14:textId="724AEF2C" w:rsidR="005E01B3" w:rsidRPr="00461D28" w:rsidRDefault="005E01B3" w:rsidP="005E01B3">
            <w:pPr>
              <w:spacing w:before="120" w:after="120"/>
              <w:jc w:val="center"/>
              <w:rPr>
                <w:rFonts w:eastAsia="Times New Roman" w:cs="Arial"/>
                <w:color w:val="000000"/>
                <w:sz w:val="18"/>
                <w:szCs w:val="18"/>
                <w:lang w:val="en-AU" w:eastAsia="en-AU"/>
              </w:rPr>
            </w:pPr>
            <w:r w:rsidRPr="00461D28">
              <w:rPr>
                <w:rFonts w:eastAsia="Times New Roman" w:cs="Arial"/>
                <w:color w:val="000000"/>
                <w:sz w:val="18"/>
                <w:szCs w:val="18"/>
                <w:lang w:val="en-AU" w:eastAsia="en-AU"/>
              </w:rPr>
              <w:t>Haemostatic</w:t>
            </w:r>
          </w:p>
        </w:tc>
        <w:tc>
          <w:tcPr>
            <w:tcW w:w="62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11E638FA" w14:textId="31DFADD2"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A41</w:t>
            </w:r>
          </w:p>
        </w:tc>
        <w:tc>
          <w:tcPr>
            <w:tcW w:w="311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4824866B" w14:textId="77777777" w:rsidR="005E01B3" w:rsidRPr="00461D28" w:rsidRDefault="005E01B3" w:rsidP="005E01B3">
            <w:pPr>
              <w:spacing w:before="120" w:after="120"/>
              <w:rPr>
                <w:rFonts w:eastAsia="Times New Roman" w:cs="Arial"/>
                <w:color w:val="000000"/>
                <w:sz w:val="18"/>
                <w:szCs w:val="18"/>
                <w:lang w:val="en-AU" w:eastAsia="en-AU"/>
              </w:rPr>
            </w:pPr>
            <w:proofErr w:type="spellStart"/>
            <w:r w:rsidRPr="00461D28">
              <w:rPr>
                <w:rFonts w:eastAsia="Times New Roman" w:cs="Arial"/>
                <w:color w:val="000000"/>
                <w:sz w:val="18"/>
                <w:szCs w:val="18"/>
                <w:lang w:val="en-AU" w:eastAsia="en-AU"/>
              </w:rPr>
              <w:t>Occluder</w:t>
            </w:r>
            <w:proofErr w:type="spellEnd"/>
            <w:r w:rsidRPr="00461D28">
              <w:rPr>
                <w:rFonts w:eastAsia="Times New Roman" w:cs="Arial"/>
                <w:color w:val="000000"/>
                <w:sz w:val="18"/>
                <w:szCs w:val="18"/>
                <w:lang w:val="en-AU" w:eastAsia="en-AU"/>
              </w:rPr>
              <w:t xml:space="preserve"> Pins</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3C45882B"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 xml:space="preserve">03.05.01 - </w:t>
            </w:r>
            <w:proofErr w:type="spellStart"/>
            <w:r w:rsidRPr="00461D28">
              <w:rPr>
                <w:rFonts w:eastAsia="Times New Roman" w:cs="Arial"/>
                <w:color w:val="000000"/>
                <w:sz w:val="18"/>
                <w:szCs w:val="18"/>
                <w:lang w:val="en-AU" w:eastAsia="en-AU"/>
              </w:rPr>
              <w:t>Occluder</w:t>
            </w:r>
            <w:proofErr w:type="spellEnd"/>
            <w:r w:rsidRPr="00461D28">
              <w:rPr>
                <w:rFonts w:eastAsia="Times New Roman" w:cs="Arial"/>
                <w:color w:val="000000"/>
                <w:sz w:val="18"/>
                <w:szCs w:val="18"/>
                <w:lang w:val="en-AU" w:eastAsia="en-AU"/>
              </w:rPr>
              <w:t xml:space="preserve"> Pin</w:t>
            </w:r>
          </w:p>
        </w:tc>
      </w:tr>
      <w:tr w:rsidR="005E01B3" w:rsidRPr="00461D28" w14:paraId="5DEAD581"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329D880A"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6078C55E" w14:textId="6D1C14CC"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A42</w:t>
            </w:r>
          </w:p>
        </w:tc>
        <w:tc>
          <w:tcPr>
            <w:tcW w:w="311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143889E8"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Powder</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580F4C31"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03.05.02 - Powder</w:t>
            </w:r>
          </w:p>
        </w:tc>
      </w:tr>
      <w:tr w:rsidR="005E01B3" w:rsidRPr="00461D28" w14:paraId="208D2D7B"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493F8529"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24E44519" w14:textId="6956C932"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A43</w:t>
            </w:r>
          </w:p>
        </w:tc>
        <w:tc>
          <w:tcPr>
            <w:tcW w:w="311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643B8355"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Sponges</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5A2A3702"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03.05.03 - Sponges</w:t>
            </w:r>
          </w:p>
        </w:tc>
      </w:tr>
      <w:tr w:rsidR="005E01B3" w:rsidRPr="00461D28" w14:paraId="615FE1DA"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7456B956"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3E10FBAC" w14:textId="4171835E"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A44</w:t>
            </w:r>
          </w:p>
        </w:tc>
        <w:tc>
          <w:tcPr>
            <w:tcW w:w="311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2C93D0D3"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Pliable Patches</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3DBEF23D"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03.05.04 - Pliable Patches</w:t>
            </w:r>
          </w:p>
        </w:tc>
      </w:tr>
      <w:tr w:rsidR="005E01B3" w:rsidRPr="00461D28" w14:paraId="360B2395"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5DDBC9D7"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53DB12F9" w14:textId="3AC97ED2"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A45</w:t>
            </w:r>
          </w:p>
        </w:tc>
        <w:tc>
          <w:tcPr>
            <w:tcW w:w="311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1673BA71"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Matrix</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70C44EAD" w14:textId="618BE448"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 xml:space="preserve">03.05.05 </w:t>
            </w:r>
            <w:r>
              <w:rPr>
                <w:rFonts w:eastAsia="Times New Roman" w:cs="Arial"/>
                <w:color w:val="000000"/>
                <w:sz w:val="18"/>
                <w:szCs w:val="18"/>
                <w:lang w:val="en-AU" w:eastAsia="en-AU"/>
              </w:rPr>
              <w:t>-</w:t>
            </w:r>
            <w:r w:rsidRPr="00461D28">
              <w:rPr>
                <w:rFonts w:eastAsia="Times New Roman" w:cs="Arial"/>
                <w:color w:val="000000"/>
                <w:sz w:val="18"/>
                <w:szCs w:val="18"/>
                <w:lang w:val="en-AU" w:eastAsia="en-AU"/>
              </w:rPr>
              <w:t xml:space="preserve"> Matrix</w:t>
            </w:r>
            <w:r>
              <w:rPr>
                <w:rFonts w:eastAsia="Times New Roman" w:cs="Arial"/>
                <w:color w:val="000000"/>
                <w:sz w:val="18"/>
                <w:szCs w:val="18"/>
                <w:lang w:val="en-AU" w:eastAsia="en-AU"/>
              </w:rPr>
              <w:t xml:space="preserve"> (excl. </w:t>
            </w:r>
            <w:r w:rsidRPr="00461D28">
              <w:rPr>
                <w:rFonts w:eastAsia="Times New Roman" w:cs="Arial"/>
                <w:color w:val="000000"/>
                <w:sz w:val="18"/>
                <w:szCs w:val="18"/>
                <w:lang w:val="en-AU" w:eastAsia="en-AU"/>
              </w:rPr>
              <w:t>03.05.05.05</w:t>
            </w:r>
            <w:r>
              <w:rPr>
                <w:rFonts w:eastAsia="Times New Roman" w:cs="Arial"/>
                <w:color w:val="000000"/>
                <w:sz w:val="18"/>
                <w:szCs w:val="18"/>
                <w:lang w:val="en-AU" w:eastAsia="en-AU"/>
              </w:rPr>
              <w:t>)</w:t>
            </w:r>
          </w:p>
        </w:tc>
      </w:tr>
      <w:tr w:rsidR="005E01B3" w:rsidRPr="00461D28" w14:paraId="13C99071"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715CF0DF"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15918796" w14:textId="5F1317AD"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A46</w:t>
            </w:r>
          </w:p>
        </w:tc>
        <w:tc>
          <w:tcPr>
            <w:tcW w:w="311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0B0B409D"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Foam</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49BA8693"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03.05.06 - Foam</w:t>
            </w:r>
          </w:p>
        </w:tc>
      </w:tr>
      <w:tr w:rsidR="005E01B3" w:rsidRPr="00461D28" w14:paraId="636667C5"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277F68CE"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5DE47B0E" w14:textId="7A803C6F"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A49</w:t>
            </w:r>
          </w:p>
        </w:tc>
        <w:tc>
          <w:tcPr>
            <w:tcW w:w="311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2151A839"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Haemostatic Accessories</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54AF47E8"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03.05.05.05 - Matrix Accessory Extender</w:t>
            </w:r>
          </w:p>
        </w:tc>
      </w:tr>
      <w:tr w:rsidR="005E01B3" w:rsidRPr="00461D28" w14:paraId="3FE1F97E" w14:textId="77777777" w:rsidTr="00F84818">
        <w:trPr>
          <w:cantSplit/>
          <w:trHeight w:val="240"/>
        </w:trPr>
        <w:tc>
          <w:tcPr>
            <w:tcW w:w="1217" w:type="dxa"/>
            <w:vMerge w:val="restar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53992FF7" w14:textId="77777777" w:rsidR="005E01B3" w:rsidRDefault="005E01B3" w:rsidP="005E01B3">
            <w:pPr>
              <w:spacing w:before="120" w:after="120"/>
              <w:jc w:val="center"/>
              <w:rPr>
                <w:rFonts w:eastAsia="Times New Roman" w:cs="Arial"/>
                <w:color w:val="000000"/>
                <w:sz w:val="18"/>
                <w:szCs w:val="18"/>
                <w:lang w:val="en-AU" w:eastAsia="en-AU"/>
              </w:rPr>
            </w:pPr>
            <w:r w:rsidRPr="00461D28">
              <w:rPr>
                <w:rFonts w:eastAsia="Times New Roman" w:cs="Arial"/>
                <w:color w:val="000000"/>
                <w:sz w:val="18"/>
                <w:szCs w:val="18"/>
                <w:lang w:val="en-AU" w:eastAsia="en-AU"/>
              </w:rPr>
              <w:t>A5</w:t>
            </w:r>
          </w:p>
          <w:p w14:paraId="4506872F" w14:textId="5653455F" w:rsidR="005E01B3" w:rsidRPr="00461D28" w:rsidRDefault="005E01B3" w:rsidP="005E01B3">
            <w:pPr>
              <w:spacing w:before="120" w:after="120"/>
              <w:jc w:val="center"/>
              <w:rPr>
                <w:rFonts w:eastAsia="Times New Roman" w:cs="Arial"/>
                <w:color w:val="000000"/>
                <w:sz w:val="18"/>
                <w:szCs w:val="18"/>
                <w:lang w:val="en-AU" w:eastAsia="en-AU"/>
              </w:rPr>
            </w:pPr>
            <w:r w:rsidRPr="00461D28">
              <w:rPr>
                <w:rFonts w:eastAsia="Times New Roman" w:cs="Arial"/>
                <w:color w:val="000000"/>
                <w:sz w:val="18"/>
                <w:szCs w:val="18"/>
                <w:lang w:val="en-AU" w:eastAsia="en-AU"/>
              </w:rPr>
              <w:t>Closure</w:t>
            </w:r>
          </w:p>
        </w:tc>
        <w:tc>
          <w:tcPr>
            <w:tcW w:w="62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267CDD8F" w14:textId="249B6071"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A51</w:t>
            </w:r>
          </w:p>
        </w:tc>
        <w:tc>
          <w:tcPr>
            <w:tcW w:w="311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1F4C755E"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Adhesion Barriers</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533F5663"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03.08.01 - Adhesion Barriers</w:t>
            </w:r>
          </w:p>
        </w:tc>
      </w:tr>
      <w:tr w:rsidR="005E01B3" w:rsidRPr="00461D28" w14:paraId="2EC5B976"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7063E08F"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42AAB041" w14:textId="77CF9B1A"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A52</w:t>
            </w:r>
          </w:p>
        </w:tc>
        <w:tc>
          <w:tcPr>
            <w:tcW w:w="311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29389371"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Internal Adhesives</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7A7D2A1E" w14:textId="6392B4FA"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03.08.02 - Internal Adhesives</w:t>
            </w:r>
            <w:r>
              <w:rPr>
                <w:rFonts w:eastAsia="Times New Roman" w:cs="Arial"/>
                <w:color w:val="000000"/>
                <w:sz w:val="18"/>
                <w:szCs w:val="18"/>
                <w:lang w:val="en-AU" w:eastAsia="en-AU"/>
              </w:rPr>
              <w:t xml:space="preserve"> (excl. </w:t>
            </w:r>
            <w:r w:rsidRPr="00461D28">
              <w:rPr>
                <w:rFonts w:eastAsia="Times New Roman" w:cs="Arial"/>
                <w:color w:val="000000"/>
                <w:sz w:val="18"/>
                <w:szCs w:val="18"/>
                <w:lang w:val="en-AU" w:eastAsia="en-AU"/>
              </w:rPr>
              <w:t>03.08.02.04</w:t>
            </w:r>
            <w:r>
              <w:rPr>
                <w:rFonts w:eastAsia="Times New Roman" w:cs="Arial"/>
                <w:color w:val="000000"/>
                <w:sz w:val="18"/>
                <w:szCs w:val="18"/>
                <w:lang w:val="en-AU" w:eastAsia="en-AU"/>
              </w:rPr>
              <w:t>)</w:t>
            </w:r>
          </w:p>
        </w:tc>
      </w:tr>
      <w:tr w:rsidR="005E01B3" w:rsidRPr="00461D28" w14:paraId="32ABB6F0"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33040B50"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3D32C651" w14:textId="727E1C4B"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A53</w:t>
            </w:r>
          </w:p>
        </w:tc>
        <w:tc>
          <w:tcPr>
            <w:tcW w:w="311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5FEEEB7D"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Ligating Items</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6BCD00FC"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03.08.03 - Ligating Devices</w:t>
            </w:r>
          </w:p>
        </w:tc>
      </w:tr>
      <w:tr w:rsidR="005E01B3" w:rsidRPr="00461D28" w14:paraId="48C149CD"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116D4353"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27BC7BAE" w14:textId="6B106028"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A54</w:t>
            </w:r>
          </w:p>
        </w:tc>
        <w:tc>
          <w:tcPr>
            <w:tcW w:w="311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04E18DDB"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Staples and Tackers</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5C0BB8E6"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03.08.04 - Staples &amp; Tackers</w:t>
            </w:r>
          </w:p>
        </w:tc>
      </w:tr>
      <w:tr w:rsidR="005E01B3" w:rsidRPr="00461D28" w14:paraId="0226A476"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3A5D13F4"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vMerge w:val="restart"/>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1FD33D54" w14:textId="6E45C28F"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A55</w:t>
            </w:r>
          </w:p>
        </w:tc>
        <w:tc>
          <w:tcPr>
            <w:tcW w:w="3119" w:type="dxa"/>
            <w:vMerge w:val="restart"/>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05E47026"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Dura Repair, Liquid Sealants</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27AF10DD"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04.02.05 - Repair, Liquid Sealant (0 to 3ml)</w:t>
            </w:r>
          </w:p>
        </w:tc>
      </w:tr>
      <w:tr w:rsidR="005E01B3" w:rsidRPr="00461D28" w14:paraId="76CB37D6"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0CFA6A0D"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vMerge/>
            <w:tcBorders>
              <w:top w:val="single" w:sz="4" w:space="0" w:color="808080" w:themeColor="background2" w:themeShade="80"/>
              <w:left w:val="single" w:sz="4" w:space="0" w:color="808080" w:themeColor="background2" w:themeShade="80"/>
              <w:bottom w:val="single" w:sz="4" w:space="0" w:color="808080" w:themeColor="background2" w:themeShade="80"/>
            </w:tcBorders>
            <w:vAlign w:val="center"/>
            <w:hideMark/>
          </w:tcPr>
          <w:p w14:paraId="7DC31AB5" w14:textId="77777777" w:rsidR="005E01B3" w:rsidRPr="00461D28" w:rsidRDefault="005E01B3" w:rsidP="005E01B3">
            <w:pPr>
              <w:spacing w:before="120" w:after="120"/>
              <w:rPr>
                <w:rFonts w:eastAsia="Times New Roman" w:cs="Arial"/>
                <w:color w:val="000000"/>
                <w:sz w:val="18"/>
                <w:szCs w:val="18"/>
                <w:lang w:val="en-AU" w:eastAsia="en-AU"/>
              </w:rPr>
            </w:pPr>
          </w:p>
        </w:tc>
        <w:tc>
          <w:tcPr>
            <w:tcW w:w="3119" w:type="dxa"/>
            <w:vMerge/>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vAlign w:val="center"/>
            <w:hideMark/>
          </w:tcPr>
          <w:p w14:paraId="40E4957A" w14:textId="77777777" w:rsidR="005E01B3" w:rsidRPr="00461D28" w:rsidRDefault="005E01B3" w:rsidP="005E01B3">
            <w:pPr>
              <w:spacing w:before="120" w:after="120"/>
              <w:rPr>
                <w:rFonts w:eastAsia="Times New Roman" w:cs="Arial"/>
                <w:color w:val="000000"/>
                <w:sz w:val="18"/>
                <w:szCs w:val="18"/>
                <w:lang w:val="en-AU" w:eastAsia="en-AU"/>
              </w:rPr>
            </w:pP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1C474FC0"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04.02.06 - Repair, Liquid Sealant (&gt;3 to 6ml)</w:t>
            </w:r>
          </w:p>
        </w:tc>
      </w:tr>
      <w:tr w:rsidR="005E01B3" w:rsidRPr="00461D28" w14:paraId="1CF2359C"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00E9358B"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vMerge w:val="restart"/>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0DB7D81C" w14:textId="0545D4AD"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A56</w:t>
            </w:r>
          </w:p>
        </w:tc>
        <w:tc>
          <w:tcPr>
            <w:tcW w:w="3119" w:type="dxa"/>
            <w:vMerge w:val="restart"/>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60EA7001"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Dura Repair, Membrane Sealants</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1CD7C6CC"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04.02.07 - Repair, Self-Adhesive Membrane Sealant, Small (=10cm²)</w:t>
            </w:r>
          </w:p>
        </w:tc>
      </w:tr>
      <w:tr w:rsidR="005E01B3" w:rsidRPr="00461D28" w14:paraId="07C89FF5"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6C6BF6B1"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vMerge/>
            <w:tcBorders>
              <w:top w:val="single" w:sz="4" w:space="0" w:color="808080" w:themeColor="background2" w:themeShade="80"/>
              <w:left w:val="single" w:sz="4" w:space="0" w:color="808080" w:themeColor="background2" w:themeShade="80"/>
              <w:bottom w:val="single" w:sz="4" w:space="0" w:color="808080" w:themeColor="background2" w:themeShade="80"/>
            </w:tcBorders>
            <w:vAlign w:val="center"/>
            <w:hideMark/>
          </w:tcPr>
          <w:p w14:paraId="04E3E302" w14:textId="77777777" w:rsidR="005E01B3" w:rsidRPr="00461D28" w:rsidRDefault="005E01B3" w:rsidP="005E01B3">
            <w:pPr>
              <w:spacing w:before="120" w:after="120"/>
              <w:rPr>
                <w:rFonts w:eastAsia="Times New Roman" w:cs="Arial"/>
                <w:color w:val="000000"/>
                <w:sz w:val="18"/>
                <w:szCs w:val="18"/>
                <w:lang w:val="en-AU" w:eastAsia="en-AU"/>
              </w:rPr>
            </w:pPr>
          </w:p>
        </w:tc>
        <w:tc>
          <w:tcPr>
            <w:tcW w:w="3119" w:type="dxa"/>
            <w:vMerge/>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vAlign w:val="center"/>
            <w:hideMark/>
          </w:tcPr>
          <w:p w14:paraId="35887D33" w14:textId="77777777" w:rsidR="005E01B3" w:rsidRPr="00461D28" w:rsidRDefault="005E01B3" w:rsidP="005E01B3">
            <w:pPr>
              <w:spacing w:before="120" w:after="120"/>
              <w:rPr>
                <w:rFonts w:eastAsia="Times New Roman" w:cs="Arial"/>
                <w:color w:val="000000"/>
                <w:sz w:val="18"/>
                <w:szCs w:val="18"/>
                <w:lang w:val="en-AU" w:eastAsia="en-AU"/>
              </w:rPr>
            </w:pP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5037CD37"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04.02.08 - Repair, Self-Adhesive Membrane Sealant, Medium (&gt;10 to 50cm²)</w:t>
            </w:r>
          </w:p>
        </w:tc>
      </w:tr>
      <w:tr w:rsidR="005E01B3" w:rsidRPr="00461D28" w14:paraId="17904BD4"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2F76D9AC"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7D8968A8" w14:textId="62FC938A"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A57</w:t>
            </w:r>
          </w:p>
        </w:tc>
        <w:tc>
          <w:tcPr>
            <w:tcW w:w="311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1B80F8AF"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Arterial Closure Items</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3DD10A98"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10.07.01 - Arterial Closure Devices</w:t>
            </w:r>
          </w:p>
        </w:tc>
      </w:tr>
      <w:tr w:rsidR="005E01B3" w:rsidRPr="00461D28" w14:paraId="3AAC96C8" w14:textId="77777777" w:rsidTr="00F84818">
        <w:trPr>
          <w:cantSplit/>
          <w:trHeight w:val="240"/>
        </w:trPr>
        <w:tc>
          <w:tcPr>
            <w:tcW w:w="1217"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10FAABDD" w14:textId="77777777" w:rsidR="005E01B3" w:rsidRPr="00461D28" w:rsidRDefault="005E01B3" w:rsidP="005E01B3">
            <w:pPr>
              <w:spacing w:before="120" w:after="120"/>
              <w:jc w:val="center"/>
              <w:rPr>
                <w:rFonts w:eastAsia="Times New Roman" w:cs="Arial"/>
                <w:color w:val="000000"/>
                <w:sz w:val="18"/>
                <w:szCs w:val="18"/>
                <w:lang w:val="en-AU" w:eastAsia="en-AU"/>
              </w:rPr>
            </w:pPr>
          </w:p>
        </w:tc>
        <w:tc>
          <w:tcPr>
            <w:tcW w:w="62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7B9FEA9D" w14:textId="0EB4F2CC"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A59</w:t>
            </w:r>
          </w:p>
        </w:tc>
        <w:tc>
          <w:tcPr>
            <w:tcW w:w="311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40F8851E"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Closure Accessories</w:t>
            </w:r>
          </w:p>
        </w:tc>
        <w:tc>
          <w:tcPr>
            <w:tcW w:w="453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1917A1F3" w14:textId="77777777" w:rsidR="005E01B3" w:rsidRPr="00461D28" w:rsidRDefault="005E01B3" w:rsidP="005E01B3">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03.08.02.04 - Internal Adhesive Accessory</w:t>
            </w:r>
          </w:p>
        </w:tc>
      </w:tr>
    </w:tbl>
    <w:p w14:paraId="7EEDEA18" w14:textId="77777777" w:rsidR="00461D28" w:rsidRDefault="00461D28" w:rsidP="00646BDD"/>
    <w:p w14:paraId="230E8860" w14:textId="13E6CDD5" w:rsidR="00646BDD" w:rsidRDefault="00646BDD" w:rsidP="00863548">
      <w:pPr>
        <w:pStyle w:val="Heading3"/>
      </w:pPr>
      <w:bookmarkStart w:id="67" w:name="_Toc121130804"/>
      <w:r>
        <w:t xml:space="preserve">Defining </w:t>
      </w:r>
      <w:r w:rsidR="000143F2">
        <w:t xml:space="preserve">General Use Item </w:t>
      </w:r>
      <w:r w:rsidR="005A7D85">
        <w:t>p</w:t>
      </w:r>
      <w:r>
        <w:t xml:space="preserve">roduct </w:t>
      </w:r>
      <w:r w:rsidR="005A7D85">
        <w:t>b</w:t>
      </w:r>
      <w:r>
        <w:t>undles</w:t>
      </w:r>
      <w:bookmarkEnd w:id="67"/>
    </w:p>
    <w:p w14:paraId="6B3C7CCF" w14:textId="24AAC217" w:rsidR="005A7D85" w:rsidRDefault="00386011" w:rsidP="00646BDD">
      <w:r>
        <w:t xml:space="preserve">GUI bundles aggregate GUI </w:t>
      </w:r>
      <w:proofErr w:type="spellStart"/>
      <w:r>
        <w:t>utilisation</w:t>
      </w:r>
      <w:proofErr w:type="spellEnd"/>
      <w:r>
        <w:t xml:space="preserve"> to the level of an episode of </w:t>
      </w:r>
      <w:r w:rsidR="00E503E9">
        <w:t xml:space="preserve">admitted patient </w:t>
      </w:r>
      <w:r>
        <w:t xml:space="preserve">care. </w:t>
      </w:r>
      <w:r w:rsidR="00743062">
        <w:t xml:space="preserve">For each GUI product class, a ‘GUI </w:t>
      </w:r>
      <w:r w:rsidR="00743062" w:rsidRPr="00E503E9">
        <w:t xml:space="preserve">product bundle’ </w:t>
      </w:r>
      <w:r w:rsidR="00827745" w:rsidRPr="00E503E9">
        <w:t>is defined</w:t>
      </w:r>
      <w:r w:rsidRPr="00E503E9">
        <w:t xml:space="preserve"> as</w:t>
      </w:r>
      <w:r>
        <w:t xml:space="preserve"> </w:t>
      </w:r>
      <w:r w:rsidR="00E503E9" w:rsidRPr="00E503E9">
        <w:t xml:space="preserve">the collection of all items from the product class used within an individual admitted episode. </w:t>
      </w:r>
      <w:r w:rsidR="005A7D85">
        <w:t xml:space="preserve">In other words, given a GUI product class, a GUI product bundle of that class would be identified against an admitted episode if the episode included the use of at least one item from the product class. And the identified product bundle would comprise all items from the product class </w:t>
      </w:r>
      <w:proofErr w:type="spellStart"/>
      <w:r w:rsidR="005A7D85">
        <w:t>utilised</w:t>
      </w:r>
      <w:proofErr w:type="spellEnd"/>
      <w:r w:rsidR="005A7D85">
        <w:t xml:space="preserve"> in the episode.</w:t>
      </w:r>
    </w:p>
    <w:p w14:paraId="45E4A48D" w14:textId="76CD2F26" w:rsidR="008E322A" w:rsidRDefault="008E322A" w:rsidP="00646BDD">
      <w:r>
        <w:t>GUI product bundles are the base type of GUI bundle variant on which other variants are defined.</w:t>
      </w:r>
    </w:p>
    <w:p w14:paraId="6507FABC" w14:textId="5F47D147" w:rsidR="00090951" w:rsidRDefault="0007389D" w:rsidP="00646BDD">
      <w:r>
        <w:t>IHACPA defines two further types of GUI bundle variant. Each type of bundle variant does not alter the number or composition of bundles identified across admitted episodes</w:t>
      </w:r>
      <w:r w:rsidR="00080E73">
        <w:t xml:space="preserve"> as GUI product bundles</w:t>
      </w:r>
      <w:r>
        <w:t xml:space="preserve">. Instead, the GUI bundle variants divide </w:t>
      </w:r>
      <w:r w:rsidR="00080E73">
        <w:t>each GUI product bundle into sub-bundles based on specific characteristics of the episodes in which the bundles occur.</w:t>
      </w:r>
    </w:p>
    <w:p w14:paraId="0FEFE43E" w14:textId="097C118B" w:rsidR="00951BFA" w:rsidRDefault="000143F2" w:rsidP="000143F2">
      <w:pPr>
        <w:pStyle w:val="Heading3"/>
      </w:pPr>
      <w:bookmarkStart w:id="68" w:name="_Toc121130805"/>
      <w:r>
        <w:t xml:space="preserve">Defining </w:t>
      </w:r>
      <w:r w:rsidR="00343358">
        <w:t xml:space="preserve">Facility </w:t>
      </w:r>
      <w:r w:rsidR="00047EFD">
        <w:t xml:space="preserve">type </w:t>
      </w:r>
      <w:r>
        <w:t xml:space="preserve">General Use Item </w:t>
      </w:r>
      <w:r w:rsidR="00080E73">
        <w:t xml:space="preserve">bundle </w:t>
      </w:r>
      <w:r w:rsidR="00047EFD">
        <w:t>variant</w:t>
      </w:r>
      <w:r w:rsidR="00D332C0">
        <w:t>s</w:t>
      </w:r>
      <w:bookmarkEnd w:id="68"/>
    </w:p>
    <w:p w14:paraId="2EF13029" w14:textId="3C183245" w:rsidR="00080E73" w:rsidRDefault="00080E73" w:rsidP="00F657D3">
      <w:r>
        <w:t>The facility type GUI bundle variants split each GUI product bundle into three sub-bundles based on the facility type in which the episode occurred, separating bundles occurring in private overnight facilities, from those occurring in private day facilities and those occurring in public facilities. This facility classification is based on the Commonwealth Hospital Declaration for each facility, which indicates whether a facility is a private or public facility and, for private facilities, whether it is a private overnight or private same day facility.</w:t>
      </w:r>
    </w:p>
    <w:p w14:paraId="631801C0" w14:textId="5376EBE6" w:rsidR="00F657D3" w:rsidRDefault="00951BFA" w:rsidP="00F657D3">
      <w:r>
        <w:fldChar w:fldCharType="begin"/>
      </w:r>
      <w:r>
        <w:instrText xml:space="preserve"> REF _Ref119672181 \h </w:instrText>
      </w:r>
      <w:r>
        <w:fldChar w:fldCharType="separate"/>
      </w:r>
      <w:r w:rsidR="00106CD4">
        <w:t xml:space="preserve">Table </w:t>
      </w:r>
      <w:r w:rsidR="00106CD4">
        <w:rPr>
          <w:noProof/>
        </w:rPr>
        <w:t>4</w:t>
      </w:r>
      <w:r>
        <w:fldChar w:fldCharType="end"/>
      </w:r>
      <w:r>
        <w:t xml:space="preserve"> </w:t>
      </w:r>
      <w:r w:rsidR="00646BDD">
        <w:t xml:space="preserve">provides an example of </w:t>
      </w:r>
      <w:r w:rsidR="00E13744">
        <w:t xml:space="preserve">the </w:t>
      </w:r>
      <w:r w:rsidR="00343358">
        <w:t>facility</w:t>
      </w:r>
      <w:r w:rsidR="00E13744">
        <w:t xml:space="preserve"> type </w:t>
      </w:r>
      <w:r w:rsidR="00646BDD">
        <w:t xml:space="preserve">GUI </w:t>
      </w:r>
      <w:r w:rsidR="00080E73">
        <w:t>b</w:t>
      </w:r>
      <w:r w:rsidR="00646BDD">
        <w:t xml:space="preserve">undle </w:t>
      </w:r>
      <w:r w:rsidR="00080E73">
        <w:t>v</w:t>
      </w:r>
      <w:r w:rsidR="00646BDD">
        <w:t xml:space="preserve">ariants for the ‘A11 </w:t>
      </w:r>
      <w:r w:rsidR="00080E73">
        <w:t>-</w:t>
      </w:r>
      <w:r w:rsidR="00646BDD">
        <w:t xml:space="preserve"> Infusion Pumps, Balloon Based’ GUI </w:t>
      </w:r>
      <w:r w:rsidR="00080E73">
        <w:t>p</w:t>
      </w:r>
      <w:r w:rsidR="00646BDD">
        <w:t xml:space="preserve">roduct </w:t>
      </w:r>
      <w:r w:rsidR="00080E73">
        <w:t>c</w:t>
      </w:r>
      <w:r w:rsidR="00646BDD">
        <w:t>lass.</w:t>
      </w:r>
      <w:r w:rsidR="00080E73">
        <w:t xml:space="preserve"> There are </w:t>
      </w:r>
      <w:r w:rsidR="00F657D3">
        <w:t xml:space="preserve">three GUI </w:t>
      </w:r>
      <w:r w:rsidR="00080E73">
        <w:t>p</w:t>
      </w:r>
      <w:r w:rsidR="00F657D3">
        <w:t xml:space="preserve">roduct </w:t>
      </w:r>
      <w:r w:rsidR="00080E73">
        <w:t>b</w:t>
      </w:r>
      <w:r w:rsidR="00F657D3">
        <w:t xml:space="preserve">undle </w:t>
      </w:r>
      <w:r w:rsidR="00080E73">
        <w:t>v</w:t>
      </w:r>
      <w:r w:rsidR="00F657D3">
        <w:t>ariants</w:t>
      </w:r>
      <w:r w:rsidR="00080E73">
        <w:t xml:space="preserve"> for this product class – </w:t>
      </w:r>
      <w:r w:rsidR="00F657D3">
        <w:t>one for each level of the facility type classification.</w:t>
      </w:r>
    </w:p>
    <w:p w14:paraId="25E6E1C3" w14:textId="7FAC0BB1" w:rsidR="00646BDD" w:rsidRDefault="00646BDD" w:rsidP="00646BDD">
      <w:pPr>
        <w:pStyle w:val="TableFigureheading"/>
      </w:pPr>
      <w:bookmarkStart w:id="69" w:name="_Ref119672181"/>
      <w:r>
        <w:t xml:space="preserve">Table </w:t>
      </w:r>
      <w:fldSimple w:instr=" SEQ Table \* ARABIC ">
        <w:r w:rsidR="00106CD4">
          <w:rPr>
            <w:noProof/>
          </w:rPr>
          <w:t>4</w:t>
        </w:r>
      </w:fldSimple>
      <w:bookmarkEnd w:id="69"/>
      <w:r>
        <w:t xml:space="preserve">: </w:t>
      </w:r>
      <w:r w:rsidR="0051700D">
        <w:t xml:space="preserve">Example </w:t>
      </w:r>
      <w:r w:rsidR="00863548">
        <w:t>facility</w:t>
      </w:r>
      <w:r w:rsidR="002B0C8A">
        <w:t xml:space="preserve"> type </w:t>
      </w:r>
      <w:r w:rsidR="0051700D">
        <w:t xml:space="preserve">GUI </w:t>
      </w:r>
      <w:r w:rsidR="00080E73">
        <w:t>b</w:t>
      </w:r>
      <w:r w:rsidR="0051700D">
        <w:t xml:space="preserve">undle </w:t>
      </w:r>
      <w:r w:rsidR="00080E73">
        <w:t>v</w:t>
      </w:r>
      <w:r>
        <w:t>ariant</w:t>
      </w:r>
      <w:r w:rsidR="0051700D">
        <w:t>s</w:t>
      </w:r>
      <w:r>
        <w:t xml:space="preserve"> for </w:t>
      </w:r>
      <w:r w:rsidR="0051700D">
        <w:t>‘</w:t>
      </w:r>
      <w:r>
        <w:t>Infusion Pumps, Balloon Based</w:t>
      </w:r>
      <w:r w:rsidR="0051700D">
        <w:t>’</w:t>
      </w:r>
      <w:r w:rsidR="00080E73">
        <w:t xml:space="preserve"> GUI product class</w:t>
      </w:r>
    </w:p>
    <w:tbl>
      <w:tblPr>
        <w:tblW w:w="9634" w:type="dxa"/>
        <w:tbl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insideH w:val="single" w:sz="4" w:space="0" w:color="808080" w:themeColor="background2" w:themeShade="80"/>
          <w:insideV w:val="single" w:sz="4" w:space="0" w:color="808080" w:themeColor="background2" w:themeShade="80"/>
        </w:tblBorders>
        <w:tblLayout w:type="fixed"/>
        <w:tblLook w:val="04A0" w:firstRow="1" w:lastRow="0" w:firstColumn="1" w:lastColumn="0" w:noHBand="0" w:noVBand="1"/>
        <w:tblDescription w:val="Table 4 is showing the Product Branch A1 Drug Delivery against its product class, variant branch, bundle variant and facility type across three columns. "/>
      </w:tblPr>
      <w:tblGrid>
        <w:gridCol w:w="988"/>
        <w:gridCol w:w="992"/>
        <w:gridCol w:w="1134"/>
        <w:gridCol w:w="992"/>
        <w:gridCol w:w="3686"/>
        <w:gridCol w:w="1842"/>
      </w:tblGrid>
      <w:tr w:rsidR="00921626" w:rsidRPr="00381D3A" w14:paraId="5B9A6AED" w14:textId="6E263D43" w:rsidTr="00251D10">
        <w:trPr>
          <w:trHeight w:val="300"/>
        </w:trPr>
        <w:tc>
          <w:tcPr>
            <w:tcW w:w="988"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noWrap/>
            <w:vAlign w:val="center"/>
            <w:hideMark/>
          </w:tcPr>
          <w:p w14:paraId="256FBA2D" w14:textId="24886325" w:rsidR="00921626" w:rsidRPr="00270287" w:rsidRDefault="00921626" w:rsidP="00863548">
            <w:pPr>
              <w:spacing w:before="120" w:after="120"/>
              <w:jc w:val="center"/>
              <w:rPr>
                <w:rFonts w:eastAsia="Times New Roman" w:cs="Arial"/>
                <w:b/>
                <w:bCs/>
                <w:color w:val="FFFFFF" w:themeColor="background2"/>
                <w:sz w:val="18"/>
                <w:szCs w:val="18"/>
                <w:lang w:val="en-US"/>
              </w:rPr>
            </w:pPr>
            <w:r w:rsidRPr="00270287">
              <w:rPr>
                <w:rFonts w:eastAsia="Times New Roman" w:cs="Arial"/>
                <w:b/>
                <w:bCs/>
                <w:color w:val="FFFFFF" w:themeColor="background2"/>
                <w:sz w:val="18"/>
                <w:szCs w:val="18"/>
                <w:lang w:val="en-US"/>
              </w:rPr>
              <w:t xml:space="preserve">Product </w:t>
            </w:r>
            <w:r w:rsidR="00003A6F">
              <w:rPr>
                <w:rFonts w:eastAsia="Times New Roman" w:cs="Arial"/>
                <w:b/>
                <w:bCs/>
                <w:color w:val="FFFFFF" w:themeColor="background2"/>
                <w:sz w:val="18"/>
                <w:szCs w:val="18"/>
                <w:lang w:val="en-US"/>
              </w:rPr>
              <w:t>b</w:t>
            </w:r>
            <w:r w:rsidRPr="00270287">
              <w:rPr>
                <w:rFonts w:eastAsia="Times New Roman" w:cs="Arial"/>
                <w:b/>
                <w:bCs/>
                <w:color w:val="FFFFFF" w:themeColor="background2"/>
                <w:sz w:val="18"/>
                <w:szCs w:val="18"/>
                <w:lang w:val="en-US"/>
              </w:rPr>
              <w:t>ranch</w:t>
            </w:r>
          </w:p>
        </w:tc>
        <w:tc>
          <w:tcPr>
            <w:tcW w:w="992" w:type="dxa"/>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noWrap/>
            <w:vAlign w:val="center"/>
            <w:hideMark/>
          </w:tcPr>
          <w:p w14:paraId="4A461D00" w14:textId="6802728F" w:rsidR="00921626" w:rsidRPr="00270287" w:rsidRDefault="00921626" w:rsidP="00863548">
            <w:pPr>
              <w:spacing w:before="120" w:after="120"/>
              <w:jc w:val="center"/>
              <w:rPr>
                <w:rFonts w:eastAsia="Times New Roman" w:cs="Arial"/>
                <w:b/>
                <w:bCs/>
                <w:color w:val="FFFFFF" w:themeColor="background2"/>
                <w:sz w:val="18"/>
                <w:szCs w:val="18"/>
                <w:lang w:val="en-US"/>
              </w:rPr>
            </w:pPr>
            <w:r w:rsidRPr="00270287">
              <w:rPr>
                <w:rFonts w:eastAsia="Times New Roman" w:cs="Arial"/>
                <w:b/>
                <w:bCs/>
                <w:color w:val="FFFFFF" w:themeColor="background2"/>
                <w:sz w:val="18"/>
                <w:szCs w:val="18"/>
                <w:lang w:val="en-US"/>
              </w:rPr>
              <w:t xml:space="preserve">Product </w:t>
            </w:r>
            <w:r w:rsidR="00003A6F">
              <w:rPr>
                <w:rFonts w:eastAsia="Times New Roman" w:cs="Arial"/>
                <w:b/>
                <w:bCs/>
                <w:color w:val="FFFFFF" w:themeColor="background2"/>
                <w:sz w:val="18"/>
                <w:szCs w:val="18"/>
                <w:lang w:val="en-US"/>
              </w:rPr>
              <w:t>c</w:t>
            </w:r>
            <w:r w:rsidRPr="00270287">
              <w:rPr>
                <w:rFonts w:eastAsia="Times New Roman" w:cs="Arial"/>
                <w:b/>
                <w:bCs/>
                <w:color w:val="FFFFFF" w:themeColor="background2"/>
                <w:sz w:val="18"/>
                <w:szCs w:val="18"/>
                <w:lang w:val="en-US"/>
              </w:rPr>
              <w:t>lass</w:t>
            </w:r>
          </w:p>
        </w:tc>
        <w:tc>
          <w:tcPr>
            <w:tcW w:w="1134" w:type="dxa"/>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noWrap/>
            <w:vAlign w:val="center"/>
            <w:hideMark/>
          </w:tcPr>
          <w:p w14:paraId="7ED35BDE" w14:textId="1871482E" w:rsidR="00921626" w:rsidRPr="00270287" w:rsidRDefault="00921626" w:rsidP="00863548">
            <w:pPr>
              <w:spacing w:before="120" w:after="120"/>
              <w:jc w:val="center"/>
              <w:rPr>
                <w:rFonts w:eastAsia="Times New Roman" w:cs="Arial"/>
                <w:b/>
                <w:bCs/>
                <w:color w:val="FFFFFF" w:themeColor="background2"/>
                <w:sz w:val="18"/>
                <w:szCs w:val="18"/>
                <w:lang w:val="en-US"/>
              </w:rPr>
            </w:pPr>
            <w:r w:rsidRPr="00270287">
              <w:rPr>
                <w:rFonts w:eastAsia="Times New Roman" w:cs="Arial"/>
                <w:b/>
                <w:bCs/>
                <w:color w:val="FFFFFF" w:themeColor="background2"/>
                <w:sz w:val="18"/>
                <w:szCs w:val="18"/>
                <w:lang w:val="en-US"/>
              </w:rPr>
              <w:t xml:space="preserve">Variant </w:t>
            </w:r>
            <w:r w:rsidR="00003A6F">
              <w:rPr>
                <w:rFonts w:eastAsia="Times New Roman" w:cs="Arial"/>
                <w:b/>
                <w:bCs/>
                <w:color w:val="FFFFFF" w:themeColor="background2"/>
                <w:sz w:val="18"/>
                <w:szCs w:val="18"/>
                <w:lang w:val="en-US"/>
              </w:rPr>
              <w:t>b</w:t>
            </w:r>
            <w:r w:rsidRPr="00270287">
              <w:rPr>
                <w:rFonts w:eastAsia="Times New Roman" w:cs="Arial"/>
                <w:b/>
                <w:bCs/>
                <w:color w:val="FFFFFF" w:themeColor="background2"/>
                <w:sz w:val="18"/>
                <w:szCs w:val="18"/>
                <w:lang w:val="en-US"/>
              </w:rPr>
              <w:t>ranch</w:t>
            </w:r>
          </w:p>
        </w:tc>
        <w:tc>
          <w:tcPr>
            <w:tcW w:w="4678" w:type="dxa"/>
            <w:gridSpan w:val="2"/>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noWrap/>
            <w:vAlign w:val="center"/>
            <w:hideMark/>
          </w:tcPr>
          <w:p w14:paraId="0D784FCF" w14:textId="356DDB1F" w:rsidR="00921626" w:rsidRPr="00270287" w:rsidRDefault="00003A6F" w:rsidP="00863548">
            <w:pPr>
              <w:spacing w:before="120" w:after="120"/>
              <w:jc w:val="center"/>
              <w:rPr>
                <w:rFonts w:eastAsia="Times New Roman" w:cs="Arial"/>
                <w:b/>
                <w:bCs/>
                <w:color w:val="FFFFFF" w:themeColor="background2"/>
                <w:sz w:val="18"/>
                <w:szCs w:val="18"/>
                <w:lang w:val="en-US"/>
              </w:rPr>
            </w:pPr>
            <w:r>
              <w:rPr>
                <w:rFonts w:eastAsia="Times New Roman" w:cs="Arial"/>
                <w:b/>
                <w:bCs/>
                <w:color w:val="FFFFFF" w:themeColor="background2"/>
                <w:sz w:val="18"/>
                <w:szCs w:val="18"/>
                <w:lang w:val="en-US"/>
              </w:rPr>
              <w:t>B</w:t>
            </w:r>
            <w:r w:rsidR="00863548" w:rsidRPr="00270287">
              <w:rPr>
                <w:rFonts w:eastAsia="Times New Roman" w:cs="Arial"/>
                <w:b/>
                <w:bCs/>
                <w:color w:val="FFFFFF" w:themeColor="background2"/>
                <w:sz w:val="18"/>
                <w:szCs w:val="18"/>
                <w:lang w:val="en-US"/>
              </w:rPr>
              <w:t>undle</w:t>
            </w:r>
            <w:r>
              <w:rPr>
                <w:rFonts w:eastAsia="Times New Roman" w:cs="Arial"/>
                <w:b/>
                <w:bCs/>
                <w:color w:val="FFFFFF" w:themeColor="background2"/>
                <w:sz w:val="18"/>
                <w:szCs w:val="18"/>
                <w:lang w:val="en-US"/>
              </w:rPr>
              <w:t xml:space="preserve"> variant</w:t>
            </w:r>
          </w:p>
        </w:tc>
        <w:tc>
          <w:tcPr>
            <w:tcW w:w="1842" w:type="dxa"/>
            <w:tcBorders>
              <w:top w:val="single" w:sz="4" w:space="0" w:color="808080" w:themeColor="background2" w:themeShade="80"/>
              <w:left w:val="single" w:sz="4" w:space="0" w:color="FFFFFF" w:themeColor="background2"/>
              <w:bottom w:val="single" w:sz="4" w:space="0" w:color="808080" w:themeColor="background2" w:themeShade="80"/>
              <w:right w:val="single" w:sz="4" w:space="0" w:color="808080" w:themeColor="background2" w:themeShade="80"/>
            </w:tcBorders>
            <w:shd w:val="clear" w:color="auto" w:fill="104F99" w:themeFill="accent2"/>
            <w:vAlign w:val="center"/>
          </w:tcPr>
          <w:p w14:paraId="4C091306" w14:textId="16B88A27" w:rsidR="00921626" w:rsidRPr="00270287" w:rsidRDefault="00343358" w:rsidP="00863548">
            <w:pPr>
              <w:spacing w:before="120" w:after="120"/>
              <w:jc w:val="center"/>
              <w:rPr>
                <w:rFonts w:eastAsia="Times New Roman" w:cs="Arial"/>
                <w:b/>
                <w:bCs/>
                <w:color w:val="FFFFFF" w:themeColor="background2"/>
                <w:sz w:val="18"/>
                <w:szCs w:val="18"/>
                <w:lang w:val="en-US"/>
              </w:rPr>
            </w:pPr>
            <w:r w:rsidRPr="00270287">
              <w:rPr>
                <w:rFonts w:eastAsia="Times New Roman" w:cs="Arial"/>
                <w:b/>
                <w:bCs/>
                <w:color w:val="FFFFFF" w:themeColor="background2"/>
                <w:sz w:val="18"/>
                <w:szCs w:val="18"/>
                <w:lang w:val="en-US"/>
              </w:rPr>
              <w:t>Facility</w:t>
            </w:r>
            <w:r w:rsidR="00921626" w:rsidRPr="00270287">
              <w:rPr>
                <w:rFonts w:eastAsia="Times New Roman" w:cs="Arial"/>
                <w:b/>
                <w:bCs/>
                <w:color w:val="FFFFFF" w:themeColor="background2"/>
                <w:sz w:val="18"/>
                <w:szCs w:val="18"/>
                <w:lang w:val="en-US"/>
              </w:rPr>
              <w:t xml:space="preserve"> type</w:t>
            </w:r>
          </w:p>
        </w:tc>
      </w:tr>
      <w:tr w:rsidR="00270287" w:rsidRPr="00381D3A" w14:paraId="040DF9E2" w14:textId="77777777" w:rsidTr="00251D10">
        <w:trPr>
          <w:trHeight w:val="300"/>
        </w:trPr>
        <w:tc>
          <w:tcPr>
            <w:tcW w:w="988" w:type="dxa"/>
            <w:vMerge w:val="restart"/>
            <w:tcBorders>
              <w:top w:val="single" w:sz="4" w:space="0" w:color="808080" w:themeColor="background2" w:themeShade="80"/>
            </w:tcBorders>
            <w:vAlign w:val="center"/>
          </w:tcPr>
          <w:p w14:paraId="22650921" w14:textId="77777777" w:rsidR="00863548" w:rsidRDefault="00270287" w:rsidP="00863548">
            <w:pPr>
              <w:spacing w:before="120" w:after="120"/>
              <w:jc w:val="center"/>
              <w:rPr>
                <w:rFonts w:eastAsia="Times New Roman" w:cs="Arial"/>
                <w:color w:val="000000"/>
                <w:sz w:val="18"/>
                <w:szCs w:val="18"/>
                <w:lang w:val="en-US"/>
              </w:rPr>
            </w:pPr>
            <w:r w:rsidRPr="007175ED">
              <w:rPr>
                <w:rFonts w:eastAsia="Times New Roman" w:cs="Arial"/>
                <w:color w:val="000000"/>
                <w:sz w:val="18"/>
                <w:szCs w:val="18"/>
                <w:lang w:val="en-US"/>
              </w:rPr>
              <w:t>A1</w:t>
            </w:r>
          </w:p>
          <w:p w14:paraId="2D224C90" w14:textId="748B6315" w:rsidR="00270287" w:rsidRPr="007175ED" w:rsidRDefault="00270287" w:rsidP="00863548">
            <w:pPr>
              <w:spacing w:before="120" w:after="120"/>
              <w:jc w:val="center"/>
              <w:rPr>
                <w:rFonts w:eastAsia="Times New Roman" w:cs="Arial"/>
                <w:color w:val="000000"/>
                <w:sz w:val="18"/>
                <w:szCs w:val="18"/>
                <w:lang w:val="en-US"/>
              </w:rPr>
            </w:pPr>
            <w:r w:rsidRPr="007175ED">
              <w:rPr>
                <w:rFonts w:eastAsia="Times New Roman" w:cs="Arial"/>
                <w:color w:val="000000"/>
                <w:sz w:val="18"/>
                <w:szCs w:val="18"/>
                <w:lang w:val="en-US"/>
              </w:rPr>
              <w:lastRenderedPageBreak/>
              <w:t>Drug Delivery</w:t>
            </w:r>
          </w:p>
        </w:tc>
        <w:tc>
          <w:tcPr>
            <w:tcW w:w="992" w:type="dxa"/>
            <w:vMerge w:val="restart"/>
            <w:tcBorders>
              <w:top w:val="single" w:sz="4" w:space="0" w:color="808080" w:themeColor="background2" w:themeShade="80"/>
            </w:tcBorders>
            <w:vAlign w:val="center"/>
          </w:tcPr>
          <w:p w14:paraId="5CD5CE6E" w14:textId="77777777" w:rsidR="00863548" w:rsidRDefault="00270287" w:rsidP="00863548">
            <w:pPr>
              <w:spacing w:before="120" w:after="120"/>
              <w:jc w:val="center"/>
              <w:rPr>
                <w:rFonts w:eastAsia="Times New Roman" w:cs="Arial"/>
                <w:color w:val="000000"/>
                <w:sz w:val="18"/>
                <w:szCs w:val="18"/>
                <w:lang w:val="en-US"/>
              </w:rPr>
            </w:pPr>
            <w:r w:rsidRPr="007175ED">
              <w:rPr>
                <w:rFonts w:eastAsia="Times New Roman" w:cs="Arial"/>
                <w:color w:val="000000"/>
                <w:sz w:val="18"/>
                <w:szCs w:val="18"/>
                <w:lang w:val="en-US"/>
              </w:rPr>
              <w:lastRenderedPageBreak/>
              <w:t>A11</w:t>
            </w:r>
          </w:p>
          <w:p w14:paraId="17DFF985" w14:textId="5F15A7DE" w:rsidR="00270287" w:rsidRPr="007175ED" w:rsidRDefault="00270287" w:rsidP="00863548">
            <w:pPr>
              <w:spacing w:before="120" w:after="120"/>
              <w:jc w:val="center"/>
              <w:rPr>
                <w:rFonts w:eastAsia="Times New Roman" w:cs="Arial"/>
                <w:color w:val="000000"/>
                <w:sz w:val="18"/>
                <w:szCs w:val="18"/>
                <w:lang w:val="en-US"/>
              </w:rPr>
            </w:pPr>
            <w:r w:rsidRPr="007175ED">
              <w:rPr>
                <w:rFonts w:eastAsia="Times New Roman" w:cs="Arial"/>
                <w:color w:val="000000"/>
                <w:sz w:val="18"/>
                <w:szCs w:val="18"/>
                <w:lang w:val="en-US"/>
              </w:rPr>
              <w:lastRenderedPageBreak/>
              <w:t>Infusion Pumps,</w:t>
            </w:r>
            <w:r>
              <w:rPr>
                <w:rFonts w:eastAsia="Times New Roman" w:cs="Arial"/>
                <w:color w:val="000000"/>
                <w:sz w:val="18"/>
                <w:szCs w:val="18"/>
                <w:lang w:val="en-US"/>
              </w:rPr>
              <w:t xml:space="preserve"> </w:t>
            </w:r>
            <w:r w:rsidRPr="007175ED">
              <w:rPr>
                <w:rFonts w:eastAsia="Times New Roman" w:cs="Arial"/>
                <w:color w:val="000000"/>
                <w:sz w:val="18"/>
                <w:szCs w:val="18"/>
                <w:lang w:val="en-US"/>
              </w:rPr>
              <w:t>Balloon Based</w:t>
            </w:r>
          </w:p>
        </w:tc>
        <w:tc>
          <w:tcPr>
            <w:tcW w:w="1134" w:type="dxa"/>
            <w:vMerge w:val="restart"/>
            <w:tcBorders>
              <w:top w:val="single" w:sz="4" w:space="0" w:color="808080" w:themeColor="background2" w:themeShade="80"/>
            </w:tcBorders>
            <w:shd w:val="clear" w:color="auto" w:fill="auto"/>
            <w:noWrap/>
            <w:vAlign w:val="center"/>
          </w:tcPr>
          <w:p w14:paraId="7377806C" w14:textId="77777777" w:rsidR="00863548" w:rsidRDefault="00270287" w:rsidP="00863548">
            <w:pPr>
              <w:spacing w:before="120" w:after="120"/>
              <w:jc w:val="center"/>
              <w:rPr>
                <w:rFonts w:eastAsia="Times New Roman" w:cs="Arial"/>
                <w:color w:val="000000"/>
                <w:sz w:val="18"/>
                <w:szCs w:val="18"/>
                <w:lang w:val="en-US"/>
              </w:rPr>
            </w:pPr>
            <w:r w:rsidRPr="007175ED">
              <w:rPr>
                <w:rFonts w:eastAsia="Times New Roman" w:cs="Arial"/>
                <w:color w:val="000000"/>
                <w:sz w:val="18"/>
                <w:szCs w:val="18"/>
                <w:lang w:val="en-US"/>
              </w:rPr>
              <w:lastRenderedPageBreak/>
              <w:t>B</w:t>
            </w:r>
          </w:p>
          <w:p w14:paraId="0674288E" w14:textId="0ADAE755" w:rsidR="00270287" w:rsidRPr="007175ED" w:rsidDel="00EE3E5B" w:rsidRDefault="00863548" w:rsidP="00863548">
            <w:pPr>
              <w:spacing w:before="120" w:after="120"/>
              <w:jc w:val="center"/>
              <w:rPr>
                <w:rFonts w:eastAsia="Times New Roman" w:cs="Arial"/>
                <w:color w:val="000000"/>
                <w:sz w:val="18"/>
                <w:szCs w:val="18"/>
                <w:lang w:val="en-US"/>
              </w:rPr>
            </w:pPr>
            <w:r>
              <w:rPr>
                <w:rFonts w:eastAsia="Times New Roman" w:cs="Arial"/>
                <w:color w:val="000000"/>
                <w:sz w:val="18"/>
                <w:szCs w:val="18"/>
                <w:lang w:val="en-US"/>
              </w:rPr>
              <w:lastRenderedPageBreak/>
              <w:t xml:space="preserve">Facility </w:t>
            </w:r>
            <w:r w:rsidR="00E36361">
              <w:rPr>
                <w:rFonts w:eastAsia="Times New Roman" w:cs="Arial"/>
                <w:color w:val="000000"/>
                <w:sz w:val="18"/>
                <w:szCs w:val="18"/>
                <w:lang w:val="en-US"/>
              </w:rPr>
              <w:t>T</w:t>
            </w:r>
            <w:r w:rsidR="00270287" w:rsidRPr="007175ED">
              <w:rPr>
                <w:rFonts w:eastAsia="Times New Roman" w:cs="Arial"/>
                <w:color w:val="000000"/>
                <w:sz w:val="18"/>
                <w:szCs w:val="18"/>
                <w:lang w:val="en-US"/>
              </w:rPr>
              <w:t>ype</w:t>
            </w:r>
          </w:p>
        </w:tc>
        <w:tc>
          <w:tcPr>
            <w:tcW w:w="992" w:type="dxa"/>
            <w:tcBorders>
              <w:top w:val="single" w:sz="4" w:space="0" w:color="808080" w:themeColor="background2" w:themeShade="80"/>
              <w:right w:val="nil"/>
            </w:tcBorders>
            <w:shd w:val="clear" w:color="auto" w:fill="auto"/>
            <w:noWrap/>
            <w:vAlign w:val="center"/>
          </w:tcPr>
          <w:p w14:paraId="31447CC5" w14:textId="3084AB5C" w:rsidR="00270287" w:rsidRPr="007175ED" w:rsidRDefault="00270287" w:rsidP="00863548">
            <w:pPr>
              <w:spacing w:before="120" w:after="120"/>
              <w:jc w:val="center"/>
              <w:rPr>
                <w:rFonts w:eastAsia="Times New Roman" w:cs="Arial"/>
                <w:color w:val="000000"/>
                <w:sz w:val="18"/>
                <w:szCs w:val="18"/>
                <w:lang w:val="en-US"/>
              </w:rPr>
            </w:pPr>
            <w:r w:rsidRPr="007175ED">
              <w:rPr>
                <w:rFonts w:eastAsia="Times New Roman" w:cs="Arial"/>
                <w:color w:val="000000"/>
                <w:sz w:val="18"/>
                <w:szCs w:val="18"/>
                <w:lang w:val="en-US"/>
              </w:rPr>
              <w:lastRenderedPageBreak/>
              <w:t>A11B1</w:t>
            </w:r>
          </w:p>
        </w:tc>
        <w:tc>
          <w:tcPr>
            <w:tcW w:w="3686" w:type="dxa"/>
            <w:tcBorders>
              <w:top w:val="single" w:sz="4" w:space="0" w:color="808080" w:themeColor="background2" w:themeShade="80"/>
              <w:left w:val="nil"/>
            </w:tcBorders>
            <w:shd w:val="clear" w:color="auto" w:fill="auto"/>
            <w:noWrap/>
            <w:vAlign w:val="center"/>
          </w:tcPr>
          <w:p w14:paraId="2B735959" w14:textId="67E555B5" w:rsidR="00270287" w:rsidRPr="007175ED" w:rsidRDefault="00270287" w:rsidP="00270287">
            <w:pPr>
              <w:spacing w:before="120" w:after="120"/>
              <w:rPr>
                <w:rFonts w:eastAsia="Times New Roman" w:cs="Arial"/>
                <w:color w:val="000000"/>
                <w:sz w:val="18"/>
                <w:szCs w:val="18"/>
                <w:lang w:val="en-US"/>
              </w:rPr>
            </w:pPr>
            <w:r w:rsidRPr="007175ED">
              <w:rPr>
                <w:rFonts w:eastAsia="Times New Roman" w:cs="Arial"/>
                <w:color w:val="000000"/>
                <w:sz w:val="18"/>
                <w:szCs w:val="18"/>
                <w:lang w:val="en-US"/>
              </w:rPr>
              <w:t>Infusion Pumps, Balloon Based - Private Overnight Facilities</w:t>
            </w:r>
          </w:p>
        </w:tc>
        <w:tc>
          <w:tcPr>
            <w:tcW w:w="1842" w:type="dxa"/>
            <w:tcBorders>
              <w:top w:val="single" w:sz="4" w:space="0" w:color="808080" w:themeColor="background2" w:themeShade="80"/>
            </w:tcBorders>
            <w:vAlign w:val="center"/>
          </w:tcPr>
          <w:p w14:paraId="033785A0" w14:textId="2C3F575B" w:rsidR="00270287" w:rsidRPr="007175ED" w:rsidRDefault="00270287" w:rsidP="00270287">
            <w:pPr>
              <w:spacing w:before="120" w:after="120"/>
              <w:rPr>
                <w:rFonts w:eastAsia="Times New Roman" w:cs="Arial"/>
                <w:color w:val="000000"/>
                <w:sz w:val="18"/>
                <w:szCs w:val="18"/>
                <w:lang w:val="en-US"/>
              </w:rPr>
            </w:pPr>
            <w:r w:rsidRPr="007175ED">
              <w:rPr>
                <w:rFonts w:eastAsia="Times New Roman" w:cs="Arial"/>
                <w:color w:val="000000"/>
                <w:sz w:val="18"/>
                <w:szCs w:val="18"/>
                <w:lang w:val="en-US"/>
              </w:rPr>
              <w:t>Private Overnight Facility</w:t>
            </w:r>
          </w:p>
        </w:tc>
      </w:tr>
      <w:tr w:rsidR="00270287" w:rsidRPr="00381D3A" w14:paraId="60B2D598" w14:textId="20782AAA" w:rsidTr="00251D10">
        <w:trPr>
          <w:trHeight w:val="300"/>
        </w:trPr>
        <w:tc>
          <w:tcPr>
            <w:tcW w:w="988" w:type="dxa"/>
            <w:vMerge/>
            <w:vAlign w:val="center"/>
          </w:tcPr>
          <w:p w14:paraId="73719D29" w14:textId="77777777" w:rsidR="00270287" w:rsidRPr="007175ED" w:rsidRDefault="00270287" w:rsidP="00270287">
            <w:pPr>
              <w:spacing w:before="120" w:after="120"/>
              <w:rPr>
                <w:rFonts w:eastAsia="Times New Roman" w:cs="Arial"/>
                <w:color w:val="000000"/>
                <w:sz w:val="18"/>
                <w:szCs w:val="18"/>
                <w:lang w:val="en-US"/>
              </w:rPr>
            </w:pPr>
          </w:p>
        </w:tc>
        <w:tc>
          <w:tcPr>
            <w:tcW w:w="992" w:type="dxa"/>
            <w:vMerge/>
            <w:vAlign w:val="center"/>
          </w:tcPr>
          <w:p w14:paraId="68A71E23" w14:textId="77777777" w:rsidR="00270287" w:rsidRPr="007175ED" w:rsidRDefault="00270287" w:rsidP="00270287">
            <w:pPr>
              <w:spacing w:before="120" w:after="120"/>
              <w:rPr>
                <w:rFonts w:eastAsia="Times New Roman" w:cs="Arial"/>
                <w:color w:val="000000"/>
                <w:sz w:val="18"/>
                <w:szCs w:val="18"/>
                <w:lang w:val="en-US"/>
              </w:rPr>
            </w:pPr>
          </w:p>
        </w:tc>
        <w:tc>
          <w:tcPr>
            <w:tcW w:w="1134" w:type="dxa"/>
            <w:vMerge/>
            <w:shd w:val="clear" w:color="auto" w:fill="auto"/>
            <w:noWrap/>
            <w:vAlign w:val="center"/>
          </w:tcPr>
          <w:p w14:paraId="0F36D889" w14:textId="77777777" w:rsidR="00270287" w:rsidRPr="007175ED" w:rsidDel="00EE3E5B" w:rsidRDefault="00270287" w:rsidP="00270287">
            <w:pPr>
              <w:spacing w:before="120" w:after="120"/>
              <w:rPr>
                <w:rFonts w:eastAsia="Times New Roman" w:cs="Arial"/>
                <w:color w:val="000000"/>
                <w:sz w:val="18"/>
                <w:szCs w:val="18"/>
                <w:lang w:val="en-US"/>
              </w:rPr>
            </w:pPr>
          </w:p>
        </w:tc>
        <w:tc>
          <w:tcPr>
            <w:tcW w:w="992" w:type="dxa"/>
            <w:tcBorders>
              <w:right w:val="nil"/>
            </w:tcBorders>
            <w:shd w:val="clear" w:color="auto" w:fill="auto"/>
            <w:noWrap/>
            <w:vAlign w:val="center"/>
          </w:tcPr>
          <w:p w14:paraId="461DC2D5" w14:textId="77777777" w:rsidR="00270287" w:rsidRPr="007175ED" w:rsidRDefault="00270287" w:rsidP="00863548">
            <w:pPr>
              <w:spacing w:before="120" w:after="120"/>
              <w:jc w:val="center"/>
              <w:rPr>
                <w:rFonts w:eastAsia="Times New Roman" w:cs="Arial"/>
                <w:color w:val="000000"/>
                <w:sz w:val="18"/>
                <w:szCs w:val="18"/>
                <w:lang w:val="en-US"/>
              </w:rPr>
            </w:pPr>
            <w:r w:rsidRPr="007175ED">
              <w:rPr>
                <w:rFonts w:eastAsia="Times New Roman" w:cs="Arial"/>
                <w:color w:val="000000"/>
                <w:sz w:val="18"/>
                <w:szCs w:val="18"/>
                <w:lang w:val="en-US"/>
              </w:rPr>
              <w:t>A11B2</w:t>
            </w:r>
          </w:p>
        </w:tc>
        <w:tc>
          <w:tcPr>
            <w:tcW w:w="3686" w:type="dxa"/>
            <w:tcBorders>
              <w:left w:val="nil"/>
            </w:tcBorders>
            <w:shd w:val="clear" w:color="auto" w:fill="auto"/>
            <w:noWrap/>
            <w:vAlign w:val="center"/>
          </w:tcPr>
          <w:p w14:paraId="7EC82EA8" w14:textId="77777777" w:rsidR="00270287" w:rsidRPr="007175ED" w:rsidRDefault="00270287" w:rsidP="00270287">
            <w:pPr>
              <w:spacing w:before="120" w:after="120"/>
              <w:rPr>
                <w:rFonts w:eastAsia="Times New Roman" w:cs="Arial"/>
                <w:color w:val="000000"/>
                <w:sz w:val="18"/>
                <w:szCs w:val="18"/>
                <w:lang w:val="en-US"/>
              </w:rPr>
            </w:pPr>
            <w:r w:rsidRPr="007175ED">
              <w:rPr>
                <w:rFonts w:eastAsia="Times New Roman" w:cs="Arial"/>
                <w:color w:val="000000"/>
                <w:sz w:val="18"/>
                <w:szCs w:val="18"/>
                <w:lang w:val="en-US"/>
              </w:rPr>
              <w:t>Infusion Pumps, Balloon Based - Private Day Facilities</w:t>
            </w:r>
          </w:p>
        </w:tc>
        <w:tc>
          <w:tcPr>
            <w:tcW w:w="1842" w:type="dxa"/>
            <w:vAlign w:val="center"/>
          </w:tcPr>
          <w:p w14:paraId="3D0980C4" w14:textId="4D8DB03E" w:rsidR="00270287" w:rsidRPr="007175ED" w:rsidRDefault="00270287" w:rsidP="00270287">
            <w:pPr>
              <w:spacing w:before="120" w:after="120"/>
              <w:rPr>
                <w:rFonts w:eastAsia="Times New Roman" w:cs="Arial"/>
                <w:color w:val="000000"/>
                <w:sz w:val="18"/>
                <w:szCs w:val="18"/>
                <w:lang w:val="en-US"/>
              </w:rPr>
            </w:pPr>
            <w:r w:rsidRPr="007175ED">
              <w:rPr>
                <w:rFonts w:eastAsia="Times New Roman" w:cs="Arial"/>
                <w:color w:val="000000"/>
                <w:sz w:val="18"/>
                <w:szCs w:val="18"/>
                <w:lang w:val="en-US"/>
              </w:rPr>
              <w:t>Private Day Facility</w:t>
            </w:r>
          </w:p>
        </w:tc>
      </w:tr>
      <w:tr w:rsidR="00270287" w:rsidRPr="00381D3A" w14:paraId="54AF056C" w14:textId="309DC435" w:rsidTr="00251D10">
        <w:trPr>
          <w:trHeight w:val="300"/>
        </w:trPr>
        <w:tc>
          <w:tcPr>
            <w:tcW w:w="988" w:type="dxa"/>
            <w:vMerge/>
            <w:vAlign w:val="center"/>
            <w:hideMark/>
          </w:tcPr>
          <w:p w14:paraId="47B91E15" w14:textId="77777777" w:rsidR="00270287" w:rsidRPr="007175ED" w:rsidRDefault="00270287" w:rsidP="00270287">
            <w:pPr>
              <w:spacing w:before="120" w:after="120"/>
              <w:rPr>
                <w:rFonts w:eastAsia="Times New Roman" w:cs="Arial"/>
                <w:color w:val="000000"/>
                <w:sz w:val="18"/>
                <w:szCs w:val="18"/>
                <w:lang w:val="en-US"/>
              </w:rPr>
            </w:pPr>
          </w:p>
        </w:tc>
        <w:tc>
          <w:tcPr>
            <w:tcW w:w="992" w:type="dxa"/>
            <w:vMerge/>
            <w:vAlign w:val="center"/>
            <w:hideMark/>
          </w:tcPr>
          <w:p w14:paraId="23C3DAC1" w14:textId="77777777" w:rsidR="00270287" w:rsidRPr="007175ED" w:rsidRDefault="00270287" w:rsidP="00270287">
            <w:pPr>
              <w:spacing w:before="120" w:after="120"/>
              <w:rPr>
                <w:rFonts w:eastAsia="Times New Roman" w:cs="Arial"/>
                <w:color w:val="000000"/>
                <w:sz w:val="18"/>
                <w:szCs w:val="18"/>
                <w:lang w:val="en-US"/>
              </w:rPr>
            </w:pPr>
          </w:p>
        </w:tc>
        <w:tc>
          <w:tcPr>
            <w:tcW w:w="1134" w:type="dxa"/>
            <w:vMerge/>
            <w:shd w:val="clear" w:color="auto" w:fill="auto"/>
            <w:noWrap/>
            <w:vAlign w:val="center"/>
          </w:tcPr>
          <w:p w14:paraId="7E4029B9" w14:textId="77777777" w:rsidR="00270287" w:rsidRPr="007175ED" w:rsidRDefault="00270287" w:rsidP="00270287">
            <w:pPr>
              <w:spacing w:before="120" w:after="120"/>
              <w:rPr>
                <w:rFonts w:eastAsia="Times New Roman" w:cs="Arial"/>
                <w:color w:val="000000"/>
                <w:sz w:val="18"/>
                <w:szCs w:val="18"/>
                <w:lang w:val="en-US"/>
              </w:rPr>
            </w:pPr>
          </w:p>
        </w:tc>
        <w:tc>
          <w:tcPr>
            <w:tcW w:w="992" w:type="dxa"/>
            <w:tcBorders>
              <w:right w:val="nil"/>
            </w:tcBorders>
            <w:shd w:val="clear" w:color="auto" w:fill="auto"/>
            <w:noWrap/>
            <w:vAlign w:val="center"/>
            <w:hideMark/>
          </w:tcPr>
          <w:p w14:paraId="7E8DA9F2" w14:textId="77777777" w:rsidR="00270287" w:rsidRPr="007175ED" w:rsidRDefault="00270287" w:rsidP="00863548">
            <w:pPr>
              <w:spacing w:before="120" w:after="120"/>
              <w:jc w:val="center"/>
              <w:rPr>
                <w:rFonts w:eastAsia="Times New Roman" w:cs="Arial"/>
                <w:color w:val="000000"/>
                <w:sz w:val="18"/>
                <w:szCs w:val="18"/>
                <w:lang w:val="en-US"/>
              </w:rPr>
            </w:pPr>
            <w:r w:rsidRPr="007175ED">
              <w:rPr>
                <w:rFonts w:eastAsia="Times New Roman" w:cs="Arial"/>
                <w:color w:val="000000"/>
                <w:sz w:val="18"/>
                <w:szCs w:val="18"/>
                <w:lang w:val="en-US"/>
              </w:rPr>
              <w:t>A11B3</w:t>
            </w:r>
          </w:p>
        </w:tc>
        <w:tc>
          <w:tcPr>
            <w:tcW w:w="3686" w:type="dxa"/>
            <w:tcBorders>
              <w:left w:val="nil"/>
            </w:tcBorders>
            <w:shd w:val="clear" w:color="auto" w:fill="auto"/>
            <w:noWrap/>
            <w:vAlign w:val="center"/>
            <w:hideMark/>
          </w:tcPr>
          <w:p w14:paraId="1BBD9FFA" w14:textId="77777777" w:rsidR="00270287" w:rsidRPr="007175ED" w:rsidRDefault="00270287" w:rsidP="00270287">
            <w:pPr>
              <w:spacing w:before="120" w:after="120"/>
              <w:rPr>
                <w:rFonts w:eastAsia="Times New Roman" w:cs="Arial"/>
                <w:color w:val="000000"/>
                <w:sz w:val="18"/>
                <w:szCs w:val="18"/>
                <w:lang w:val="en-US"/>
              </w:rPr>
            </w:pPr>
            <w:r w:rsidRPr="007175ED">
              <w:rPr>
                <w:rFonts w:eastAsia="Times New Roman" w:cs="Arial"/>
                <w:color w:val="000000"/>
                <w:sz w:val="18"/>
                <w:szCs w:val="18"/>
                <w:lang w:val="en-US"/>
              </w:rPr>
              <w:t>Infusion Pumps, Balloon Based - Public Facilities</w:t>
            </w:r>
          </w:p>
        </w:tc>
        <w:tc>
          <w:tcPr>
            <w:tcW w:w="1842" w:type="dxa"/>
            <w:vAlign w:val="center"/>
          </w:tcPr>
          <w:p w14:paraId="2F7CF966" w14:textId="5E0DC053" w:rsidR="00270287" w:rsidRPr="007175ED" w:rsidRDefault="00270287" w:rsidP="00270287">
            <w:pPr>
              <w:spacing w:before="120" w:after="120"/>
              <w:rPr>
                <w:rFonts w:eastAsia="Times New Roman" w:cs="Arial"/>
                <w:color w:val="000000"/>
                <w:sz w:val="18"/>
                <w:szCs w:val="18"/>
                <w:lang w:val="en-US"/>
              </w:rPr>
            </w:pPr>
            <w:r w:rsidRPr="007175ED">
              <w:rPr>
                <w:rFonts w:eastAsia="Times New Roman" w:cs="Arial"/>
                <w:color w:val="000000"/>
                <w:sz w:val="18"/>
                <w:szCs w:val="18"/>
                <w:lang w:val="en-US"/>
              </w:rPr>
              <w:t>Public Facility</w:t>
            </w:r>
          </w:p>
        </w:tc>
      </w:tr>
    </w:tbl>
    <w:p w14:paraId="596FE4A3" w14:textId="49120432" w:rsidR="00646BDD" w:rsidRDefault="00646BDD" w:rsidP="00646BDD"/>
    <w:p w14:paraId="7376C16A" w14:textId="6C919960" w:rsidR="006D7E55" w:rsidRDefault="000143F2" w:rsidP="000143F2">
      <w:pPr>
        <w:pStyle w:val="Heading3"/>
      </w:pPr>
      <w:bookmarkStart w:id="70" w:name="_Ref120036418"/>
      <w:bookmarkStart w:id="71" w:name="_Toc121130806"/>
      <w:r>
        <w:t xml:space="preserve">Defining </w:t>
      </w:r>
      <w:r w:rsidR="006D7E55">
        <w:t xml:space="preserve">Major Diagnostic Category </w:t>
      </w:r>
      <w:r w:rsidR="0035050D">
        <w:t xml:space="preserve">based </w:t>
      </w:r>
      <w:r>
        <w:t>General Use Item</w:t>
      </w:r>
      <w:r w:rsidR="0035050D">
        <w:t xml:space="preserve"> bundle </w:t>
      </w:r>
      <w:r w:rsidR="006D7E55">
        <w:t>variant</w:t>
      </w:r>
      <w:r w:rsidR="00D332C0">
        <w:t>s</w:t>
      </w:r>
      <w:bookmarkEnd w:id="70"/>
      <w:bookmarkEnd w:id="71"/>
    </w:p>
    <w:p w14:paraId="1E4FD2A9" w14:textId="77A71F75" w:rsidR="00FE4BC8" w:rsidRDefault="0035050D" w:rsidP="00C426C8">
      <w:r>
        <w:t xml:space="preserve">The third type of GUI bundle variants split GUI product bundles into sub-bundles based on clinical characteristics of the bundle episodes. </w:t>
      </w:r>
      <w:r w:rsidR="00AA4613">
        <w:t xml:space="preserve">Specifically, the Major Diagnostic Category (MDC) of each bundled episode is used to split GUI product bundles into </w:t>
      </w:r>
      <w:r w:rsidR="000143F2">
        <w:t>‘MDC-based bundle variants’</w:t>
      </w:r>
      <w:r w:rsidR="00AA4613">
        <w:t xml:space="preserve">. </w:t>
      </w:r>
      <w:r w:rsidR="00AA4613" w:rsidRPr="00AA4613">
        <w:t>MDCs are a classification of admitted episodes of care that form a part of the Australian Refined Diagnosis Related Groups (AR</w:t>
      </w:r>
      <w:r w:rsidR="00AA4613">
        <w:noBreakHyphen/>
      </w:r>
      <w:r w:rsidR="00AA4613" w:rsidRPr="00AA4613">
        <w:t>DRG) classification, and IHACPA has used AR</w:t>
      </w:r>
      <w:r w:rsidR="00AA4613">
        <w:noBreakHyphen/>
      </w:r>
      <w:r w:rsidR="00AA4613" w:rsidRPr="00AA4613">
        <w:t>DRG Version 10 in the development of this advice.</w:t>
      </w:r>
    </w:p>
    <w:p w14:paraId="2046009F" w14:textId="7F3F9E5F" w:rsidR="00C426C8" w:rsidRDefault="00465F74" w:rsidP="00C426C8">
      <w:r>
        <w:t xml:space="preserve">MDCs are an aggregation of AR-DRG classes, with each MDC grouping together DRG codes with the same leading character. </w:t>
      </w:r>
      <w:r w:rsidR="00FE4BC8">
        <w:fldChar w:fldCharType="begin"/>
      </w:r>
      <w:r w:rsidR="00FE4BC8">
        <w:instrText xml:space="preserve"> REF _Ref120028918 \h </w:instrText>
      </w:r>
      <w:r w:rsidR="00FE4BC8">
        <w:fldChar w:fldCharType="separate"/>
      </w:r>
      <w:r w:rsidR="00106CD4">
        <w:t xml:space="preserve">Table </w:t>
      </w:r>
      <w:r w:rsidR="00106CD4">
        <w:rPr>
          <w:noProof/>
        </w:rPr>
        <w:t>5</w:t>
      </w:r>
      <w:r w:rsidR="00FE4BC8">
        <w:fldChar w:fldCharType="end"/>
      </w:r>
      <w:r w:rsidR="00FE4BC8">
        <w:t xml:space="preserve"> </w:t>
      </w:r>
      <w:r>
        <w:t xml:space="preserve">lists the </w:t>
      </w:r>
      <w:r w:rsidR="00FE4BC8">
        <w:t xml:space="preserve">AR-DRG Version 10 </w:t>
      </w:r>
      <w:r>
        <w:t>MDC</w:t>
      </w:r>
      <w:r w:rsidR="00FE4BC8">
        <w:t>s</w:t>
      </w:r>
      <w:r>
        <w:t xml:space="preserve"> used for the purpose of defining MDC-based GUI bundle variants.</w:t>
      </w:r>
    </w:p>
    <w:p w14:paraId="2AE20699" w14:textId="61605A7E" w:rsidR="00C426C8" w:rsidRDefault="00C426C8" w:rsidP="00C426C8">
      <w:pPr>
        <w:pStyle w:val="Caption"/>
        <w:keepNext/>
      </w:pPr>
      <w:bookmarkStart w:id="72" w:name="_Ref120028918"/>
      <w:r>
        <w:t xml:space="preserve">Table </w:t>
      </w:r>
      <w:fldSimple w:instr=" SEQ Table \* ARABIC ">
        <w:r w:rsidR="00106CD4">
          <w:rPr>
            <w:noProof/>
          </w:rPr>
          <w:t>5</w:t>
        </w:r>
      </w:fldSimple>
      <w:bookmarkEnd w:id="72"/>
      <w:r>
        <w:t xml:space="preserve">: </w:t>
      </w:r>
      <w:r w:rsidRPr="00914995">
        <w:t>List of AR-DRG Version 10 Major Diagnostic Categories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5 is shown with three columns with the code in column 1, the description in column 2 and the DRG First Character in the final column. "/>
      </w:tblPr>
      <w:tblGrid>
        <w:gridCol w:w="766"/>
        <w:gridCol w:w="7483"/>
        <w:gridCol w:w="1244"/>
      </w:tblGrid>
      <w:tr w:rsidR="00C426C8" w:rsidRPr="00C426C8" w14:paraId="54B847E2" w14:textId="77777777" w:rsidTr="00C426C8">
        <w:trPr>
          <w:trHeight w:val="300"/>
          <w:tblHeader/>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noWrap/>
            <w:vAlign w:val="center"/>
            <w:hideMark/>
          </w:tcPr>
          <w:p w14:paraId="3892A4D6" w14:textId="77777777" w:rsidR="00C426C8" w:rsidRPr="00C426C8" w:rsidRDefault="00C426C8" w:rsidP="00C426C8">
            <w:pPr>
              <w:spacing w:before="120" w:after="120"/>
              <w:rPr>
                <w:b/>
                <w:bCs/>
                <w:color w:val="FFFFFF" w:themeColor="background2"/>
                <w:lang w:val="en-AU" w:eastAsia="en-AU"/>
              </w:rPr>
            </w:pPr>
            <w:r w:rsidRPr="00C426C8">
              <w:rPr>
                <w:b/>
                <w:bCs/>
                <w:color w:val="FFFFFF" w:themeColor="background2"/>
                <w:lang w:val="en-AU" w:eastAsia="en-AU"/>
              </w:rPr>
              <w:t>Code</w:t>
            </w:r>
          </w:p>
        </w:tc>
        <w:tc>
          <w:tcPr>
            <w:tcW w:w="7483" w:type="dxa"/>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noWrap/>
            <w:vAlign w:val="center"/>
            <w:hideMark/>
          </w:tcPr>
          <w:p w14:paraId="6CCA6DBF" w14:textId="77777777" w:rsidR="00C426C8" w:rsidRPr="00C426C8" w:rsidRDefault="00C426C8" w:rsidP="00C426C8">
            <w:pPr>
              <w:spacing w:before="120" w:after="120"/>
              <w:rPr>
                <w:b/>
                <w:bCs/>
                <w:color w:val="FFFFFF" w:themeColor="background2"/>
                <w:lang w:val="en-AU" w:eastAsia="en-AU"/>
              </w:rPr>
            </w:pPr>
            <w:r w:rsidRPr="00C426C8">
              <w:rPr>
                <w:b/>
                <w:bCs/>
                <w:color w:val="FFFFFF" w:themeColor="background2"/>
                <w:lang w:val="en-AU" w:eastAsia="en-AU"/>
              </w:rPr>
              <w:t>Description</w:t>
            </w:r>
          </w:p>
        </w:tc>
        <w:tc>
          <w:tcPr>
            <w:tcW w:w="1244" w:type="dxa"/>
            <w:tcBorders>
              <w:top w:val="single" w:sz="4" w:space="0" w:color="808080" w:themeColor="background2" w:themeShade="80"/>
              <w:left w:val="single" w:sz="4" w:space="0" w:color="FFFFFF" w:themeColor="background2"/>
              <w:bottom w:val="single" w:sz="4" w:space="0" w:color="808080" w:themeColor="background2" w:themeShade="80"/>
              <w:right w:val="single" w:sz="4" w:space="0" w:color="808080" w:themeColor="background2" w:themeShade="80"/>
            </w:tcBorders>
            <w:shd w:val="clear" w:color="auto" w:fill="104F99" w:themeFill="accent2"/>
            <w:noWrap/>
            <w:vAlign w:val="center"/>
            <w:hideMark/>
          </w:tcPr>
          <w:p w14:paraId="2CE12795" w14:textId="77777777" w:rsidR="00C426C8" w:rsidRPr="00C426C8" w:rsidRDefault="00C426C8" w:rsidP="00C426C8">
            <w:pPr>
              <w:spacing w:before="120" w:after="120"/>
              <w:rPr>
                <w:b/>
                <w:bCs/>
                <w:color w:val="FFFFFF" w:themeColor="background2"/>
                <w:lang w:val="en-AU" w:eastAsia="en-AU"/>
              </w:rPr>
            </w:pPr>
            <w:r w:rsidRPr="00C426C8">
              <w:rPr>
                <w:b/>
                <w:bCs/>
                <w:color w:val="FFFFFF" w:themeColor="background2"/>
                <w:lang w:val="en-AU" w:eastAsia="en-AU"/>
              </w:rPr>
              <w:t>DRG First Character</w:t>
            </w:r>
          </w:p>
        </w:tc>
      </w:tr>
      <w:tr w:rsidR="00C426C8" w:rsidRPr="00C426C8" w14:paraId="6A60E909"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3CAA9141" w14:textId="77777777" w:rsidR="00C426C8" w:rsidRPr="00C426C8" w:rsidRDefault="00C426C8" w:rsidP="00C426C8">
            <w:pPr>
              <w:spacing w:before="120" w:after="120"/>
              <w:rPr>
                <w:lang w:val="en-AU" w:eastAsia="en-AU"/>
              </w:rPr>
            </w:pPr>
            <w:r w:rsidRPr="00C426C8">
              <w:rPr>
                <w:lang w:val="en-AU" w:eastAsia="en-AU"/>
              </w:rPr>
              <w:t>00</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76933085" w14:textId="77777777" w:rsidR="00C426C8" w:rsidRPr="00C426C8" w:rsidRDefault="00C426C8" w:rsidP="00C426C8">
            <w:pPr>
              <w:spacing w:before="120" w:after="120"/>
              <w:rPr>
                <w:lang w:val="en-AU" w:eastAsia="en-AU"/>
              </w:rPr>
            </w:pPr>
            <w:r w:rsidRPr="00C426C8">
              <w:rPr>
                <w:lang w:val="en-AU" w:eastAsia="en-AU"/>
              </w:rPr>
              <w:t>Pre MDC</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07B94A38" w14:textId="77777777" w:rsidR="00C426C8" w:rsidRPr="00C426C8" w:rsidRDefault="00C426C8" w:rsidP="00C426C8">
            <w:pPr>
              <w:spacing w:before="120" w:after="120"/>
              <w:rPr>
                <w:lang w:val="en-AU" w:eastAsia="en-AU"/>
              </w:rPr>
            </w:pPr>
            <w:r w:rsidRPr="00C426C8">
              <w:rPr>
                <w:lang w:val="en-AU" w:eastAsia="en-AU"/>
              </w:rPr>
              <w:t>A</w:t>
            </w:r>
          </w:p>
        </w:tc>
      </w:tr>
      <w:tr w:rsidR="00C426C8" w:rsidRPr="00C426C8" w14:paraId="04874E7E"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22D8DBEF" w14:textId="77777777" w:rsidR="00C426C8" w:rsidRPr="00C426C8" w:rsidRDefault="00C426C8" w:rsidP="00C426C8">
            <w:pPr>
              <w:spacing w:before="120" w:after="120"/>
              <w:rPr>
                <w:lang w:val="en-AU" w:eastAsia="en-AU"/>
              </w:rPr>
            </w:pPr>
            <w:r w:rsidRPr="00C426C8">
              <w:rPr>
                <w:lang w:val="en-AU" w:eastAsia="en-AU"/>
              </w:rPr>
              <w:t>01</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747A153F" w14:textId="77777777" w:rsidR="00C426C8" w:rsidRPr="00C426C8" w:rsidRDefault="00C426C8" w:rsidP="00C426C8">
            <w:pPr>
              <w:spacing w:before="120" w:after="120"/>
              <w:rPr>
                <w:lang w:val="en-AU" w:eastAsia="en-AU"/>
              </w:rPr>
            </w:pPr>
            <w:r w:rsidRPr="00C426C8">
              <w:rPr>
                <w:lang w:val="en-AU" w:eastAsia="en-AU"/>
              </w:rPr>
              <w:t>Diseases and Disorders of the Nervous System</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0A8DFF49" w14:textId="77777777" w:rsidR="00C426C8" w:rsidRPr="00C426C8" w:rsidRDefault="00C426C8" w:rsidP="00C426C8">
            <w:pPr>
              <w:spacing w:before="120" w:after="120"/>
              <w:rPr>
                <w:lang w:val="en-AU" w:eastAsia="en-AU"/>
              </w:rPr>
            </w:pPr>
            <w:r w:rsidRPr="00C426C8">
              <w:rPr>
                <w:lang w:val="en-AU" w:eastAsia="en-AU"/>
              </w:rPr>
              <w:t>B</w:t>
            </w:r>
          </w:p>
        </w:tc>
      </w:tr>
      <w:tr w:rsidR="00C426C8" w:rsidRPr="00C426C8" w14:paraId="1E89FEC9"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55DAE960" w14:textId="77777777" w:rsidR="00C426C8" w:rsidRPr="00C426C8" w:rsidRDefault="00C426C8" w:rsidP="00C426C8">
            <w:pPr>
              <w:spacing w:before="120" w:after="120"/>
              <w:rPr>
                <w:lang w:val="en-AU" w:eastAsia="en-AU"/>
              </w:rPr>
            </w:pPr>
            <w:r w:rsidRPr="00C426C8">
              <w:rPr>
                <w:lang w:val="en-AU" w:eastAsia="en-AU"/>
              </w:rPr>
              <w:t>02</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4A37EB28" w14:textId="77777777" w:rsidR="00C426C8" w:rsidRPr="00C426C8" w:rsidRDefault="00C426C8" w:rsidP="00C426C8">
            <w:pPr>
              <w:spacing w:before="120" w:after="120"/>
              <w:rPr>
                <w:lang w:val="en-AU" w:eastAsia="en-AU"/>
              </w:rPr>
            </w:pPr>
            <w:r w:rsidRPr="00C426C8">
              <w:rPr>
                <w:lang w:val="en-AU" w:eastAsia="en-AU"/>
              </w:rPr>
              <w:t>Diseases and Disorders of the Eye</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5E452ADB" w14:textId="77777777" w:rsidR="00C426C8" w:rsidRPr="00C426C8" w:rsidRDefault="00C426C8" w:rsidP="00C426C8">
            <w:pPr>
              <w:spacing w:before="120" w:after="120"/>
              <w:rPr>
                <w:lang w:val="en-AU" w:eastAsia="en-AU"/>
              </w:rPr>
            </w:pPr>
            <w:r w:rsidRPr="00C426C8">
              <w:rPr>
                <w:lang w:val="en-AU" w:eastAsia="en-AU"/>
              </w:rPr>
              <w:t>C</w:t>
            </w:r>
          </w:p>
        </w:tc>
      </w:tr>
      <w:tr w:rsidR="00C426C8" w:rsidRPr="00C426C8" w14:paraId="7EF65693"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2F0015B9" w14:textId="77777777" w:rsidR="00C426C8" w:rsidRPr="00C426C8" w:rsidRDefault="00C426C8" w:rsidP="00C426C8">
            <w:pPr>
              <w:spacing w:before="120" w:after="120"/>
              <w:rPr>
                <w:lang w:val="en-AU" w:eastAsia="en-AU"/>
              </w:rPr>
            </w:pPr>
            <w:r w:rsidRPr="00C426C8">
              <w:rPr>
                <w:lang w:val="en-AU" w:eastAsia="en-AU"/>
              </w:rPr>
              <w:t>03</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314E3698" w14:textId="77777777" w:rsidR="00C426C8" w:rsidRPr="00C426C8" w:rsidRDefault="00C426C8" w:rsidP="00C426C8">
            <w:pPr>
              <w:spacing w:before="120" w:after="120"/>
              <w:rPr>
                <w:lang w:val="en-AU" w:eastAsia="en-AU"/>
              </w:rPr>
            </w:pPr>
            <w:r w:rsidRPr="00C426C8">
              <w:rPr>
                <w:lang w:val="en-AU" w:eastAsia="en-AU"/>
              </w:rPr>
              <w:t>Diseases and Disorders of the Ear, Nose, Mouth and Throat</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20913DA3" w14:textId="77777777" w:rsidR="00C426C8" w:rsidRPr="00C426C8" w:rsidRDefault="00C426C8" w:rsidP="00C426C8">
            <w:pPr>
              <w:spacing w:before="120" w:after="120"/>
              <w:rPr>
                <w:lang w:val="en-AU" w:eastAsia="en-AU"/>
              </w:rPr>
            </w:pPr>
            <w:r w:rsidRPr="00C426C8">
              <w:rPr>
                <w:lang w:val="en-AU" w:eastAsia="en-AU"/>
              </w:rPr>
              <w:t>D</w:t>
            </w:r>
          </w:p>
        </w:tc>
      </w:tr>
      <w:tr w:rsidR="00C426C8" w:rsidRPr="00C426C8" w14:paraId="564A3673"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4B6446BA" w14:textId="77777777" w:rsidR="00C426C8" w:rsidRPr="00C426C8" w:rsidRDefault="00C426C8" w:rsidP="00C426C8">
            <w:pPr>
              <w:spacing w:before="120" w:after="120"/>
              <w:rPr>
                <w:lang w:val="en-AU" w:eastAsia="en-AU"/>
              </w:rPr>
            </w:pPr>
            <w:r w:rsidRPr="00C426C8">
              <w:rPr>
                <w:lang w:val="en-AU" w:eastAsia="en-AU"/>
              </w:rPr>
              <w:t>04</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60FA3B30" w14:textId="77777777" w:rsidR="00C426C8" w:rsidRPr="00C426C8" w:rsidRDefault="00C426C8" w:rsidP="00C426C8">
            <w:pPr>
              <w:spacing w:before="120" w:after="120"/>
              <w:rPr>
                <w:lang w:val="en-AU" w:eastAsia="en-AU"/>
              </w:rPr>
            </w:pPr>
            <w:r w:rsidRPr="00C426C8">
              <w:rPr>
                <w:lang w:val="en-AU" w:eastAsia="en-AU"/>
              </w:rPr>
              <w:t>Diseases and Disorders of the Respiratory System</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7ABD96AC" w14:textId="77777777" w:rsidR="00C426C8" w:rsidRPr="00C426C8" w:rsidRDefault="00C426C8" w:rsidP="00C426C8">
            <w:pPr>
              <w:spacing w:before="120" w:after="120"/>
              <w:rPr>
                <w:lang w:val="en-AU" w:eastAsia="en-AU"/>
              </w:rPr>
            </w:pPr>
            <w:r w:rsidRPr="00C426C8">
              <w:rPr>
                <w:lang w:val="en-AU" w:eastAsia="en-AU"/>
              </w:rPr>
              <w:t>E</w:t>
            </w:r>
          </w:p>
        </w:tc>
      </w:tr>
      <w:tr w:rsidR="00C426C8" w:rsidRPr="00C426C8" w14:paraId="7A85AA7A"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7817BE41" w14:textId="77777777" w:rsidR="00C426C8" w:rsidRPr="00C426C8" w:rsidRDefault="00C426C8" w:rsidP="00C426C8">
            <w:pPr>
              <w:spacing w:before="120" w:after="120"/>
              <w:rPr>
                <w:lang w:val="en-AU" w:eastAsia="en-AU"/>
              </w:rPr>
            </w:pPr>
            <w:r w:rsidRPr="00C426C8">
              <w:rPr>
                <w:lang w:val="en-AU" w:eastAsia="en-AU"/>
              </w:rPr>
              <w:t>05</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41EAB3B5" w14:textId="77777777" w:rsidR="00C426C8" w:rsidRPr="00C426C8" w:rsidRDefault="00C426C8" w:rsidP="00C426C8">
            <w:pPr>
              <w:spacing w:before="120" w:after="120"/>
              <w:rPr>
                <w:lang w:val="en-AU" w:eastAsia="en-AU"/>
              </w:rPr>
            </w:pPr>
            <w:r w:rsidRPr="00C426C8">
              <w:rPr>
                <w:lang w:val="en-AU" w:eastAsia="en-AU"/>
              </w:rPr>
              <w:t>Diseases and Disorders of the Circulatory System</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63FCF667" w14:textId="77777777" w:rsidR="00C426C8" w:rsidRPr="00C426C8" w:rsidRDefault="00C426C8" w:rsidP="00C426C8">
            <w:pPr>
              <w:spacing w:before="120" w:after="120"/>
              <w:rPr>
                <w:lang w:val="en-AU" w:eastAsia="en-AU"/>
              </w:rPr>
            </w:pPr>
            <w:r w:rsidRPr="00C426C8">
              <w:rPr>
                <w:lang w:val="en-AU" w:eastAsia="en-AU"/>
              </w:rPr>
              <w:t>F</w:t>
            </w:r>
          </w:p>
        </w:tc>
      </w:tr>
      <w:tr w:rsidR="00C426C8" w:rsidRPr="00C426C8" w14:paraId="324AE036"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74E9FB16" w14:textId="77777777" w:rsidR="00C426C8" w:rsidRPr="00C426C8" w:rsidRDefault="00C426C8" w:rsidP="00C426C8">
            <w:pPr>
              <w:spacing w:before="120" w:after="120"/>
              <w:rPr>
                <w:lang w:val="en-AU" w:eastAsia="en-AU"/>
              </w:rPr>
            </w:pPr>
            <w:r w:rsidRPr="00C426C8">
              <w:rPr>
                <w:lang w:val="en-AU" w:eastAsia="en-AU"/>
              </w:rPr>
              <w:t>06</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4F526311" w14:textId="77777777" w:rsidR="00C426C8" w:rsidRPr="00C426C8" w:rsidRDefault="00C426C8" w:rsidP="00C426C8">
            <w:pPr>
              <w:spacing w:before="120" w:after="120"/>
              <w:rPr>
                <w:lang w:val="en-AU" w:eastAsia="en-AU"/>
              </w:rPr>
            </w:pPr>
            <w:r w:rsidRPr="00C426C8">
              <w:rPr>
                <w:lang w:val="en-AU" w:eastAsia="en-AU"/>
              </w:rPr>
              <w:t>Diseases and Disorders of the Digestive System</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26AF688E" w14:textId="77777777" w:rsidR="00C426C8" w:rsidRPr="00C426C8" w:rsidRDefault="00C426C8" w:rsidP="00C426C8">
            <w:pPr>
              <w:spacing w:before="120" w:after="120"/>
              <w:rPr>
                <w:lang w:val="en-AU" w:eastAsia="en-AU"/>
              </w:rPr>
            </w:pPr>
            <w:r w:rsidRPr="00C426C8">
              <w:rPr>
                <w:lang w:val="en-AU" w:eastAsia="en-AU"/>
              </w:rPr>
              <w:t>G</w:t>
            </w:r>
          </w:p>
        </w:tc>
      </w:tr>
      <w:tr w:rsidR="00C426C8" w:rsidRPr="00C426C8" w14:paraId="4046011E"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7D883C2C" w14:textId="77777777" w:rsidR="00C426C8" w:rsidRPr="00C426C8" w:rsidRDefault="00C426C8" w:rsidP="00C426C8">
            <w:pPr>
              <w:spacing w:before="120" w:after="120"/>
              <w:rPr>
                <w:lang w:val="en-AU" w:eastAsia="en-AU"/>
              </w:rPr>
            </w:pPr>
            <w:r w:rsidRPr="00C426C8">
              <w:rPr>
                <w:lang w:val="en-AU" w:eastAsia="en-AU"/>
              </w:rPr>
              <w:t>07</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6E796BE7" w14:textId="77777777" w:rsidR="00C426C8" w:rsidRPr="00C426C8" w:rsidRDefault="00C426C8" w:rsidP="00C426C8">
            <w:pPr>
              <w:spacing w:before="120" w:after="120"/>
              <w:rPr>
                <w:lang w:val="en-AU" w:eastAsia="en-AU"/>
              </w:rPr>
            </w:pPr>
            <w:r w:rsidRPr="00C426C8">
              <w:rPr>
                <w:lang w:val="en-AU" w:eastAsia="en-AU"/>
              </w:rPr>
              <w:t>Diseases and Disorders of the Hepatobiliary System and Pancreas</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432D69F0" w14:textId="77777777" w:rsidR="00C426C8" w:rsidRPr="00C426C8" w:rsidRDefault="00C426C8" w:rsidP="00C426C8">
            <w:pPr>
              <w:spacing w:before="120" w:after="120"/>
              <w:rPr>
                <w:lang w:val="en-AU" w:eastAsia="en-AU"/>
              </w:rPr>
            </w:pPr>
            <w:r w:rsidRPr="00C426C8">
              <w:rPr>
                <w:lang w:val="en-AU" w:eastAsia="en-AU"/>
              </w:rPr>
              <w:t>H</w:t>
            </w:r>
          </w:p>
        </w:tc>
      </w:tr>
      <w:tr w:rsidR="00C426C8" w:rsidRPr="00C426C8" w14:paraId="00CB7E07"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58A5A913" w14:textId="77777777" w:rsidR="00C426C8" w:rsidRPr="00C426C8" w:rsidRDefault="00C426C8" w:rsidP="00C426C8">
            <w:pPr>
              <w:spacing w:before="120" w:after="120"/>
              <w:rPr>
                <w:lang w:val="en-AU" w:eastAsia="en-AU"/>
              </w:rPr>
            </w:pPr>
            <w:r w:rsidRPr="00C426C8">
              <w:rPr>
                <w:lang w:val="en-AU" w:eastAsia="en-AU"/>
              </w:rPr>
              <w:t>08</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66541B30" w14:textId="77777777" w:rsidR="00C426C8" w:rsidRPr="00C426C8" w:rsidRDefault="00C426C8" w:rsidP="00C426C8">
            <w:pPr>
              <w:spacing w:before="120" w:after="120"/>
              <w:rPr>
                <w:lang w:val="en-AU" w:eastAsia="en-AU"/>
              </w:rPr>
            </w:pPr>
            <w:r w:rsidRPr="00C426C8">
              <w:rPr>
                <w:lang w:val="en-AU" w:eastAsia="en-AU"/>
              </w:rPr>
              <w:t>Diseases and Disorders of the Musculoskeletal System and Connective Tissue</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43A3DFBF" w14:textId="77777777" w:rsidR="00C426C8" w:rsidRPr="00C426C8" w:rsidRDefault="00C426C8" w:rsidP="00C426C8">
            <w:pPr>
              <w:spacing w:before="120" w:after="120"/>
              <w:rPr>
                <w:lang w:val="en-AU" w:eastAsia="en-AU"/>
              </w:rPr>
            </w:pPr>
            <w:r w:rsidRPr="00C426C8">
              <w:rPr>
                <w:lang w:val="en-AU" w:eastAsia="en-AU"/>
              </w:rPr>
              <w:t>I</w:t>
            </w:r>
          </w:p>
        </w:tc>
      </w:tr>
      <w:tr w:rsidR="00C426C8" w:rsidRPr="00C426C8" w14:paraId="5A7D7D04"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19AE8BA4" w14:textId="77777777" w:rsidR="00C426C8" w:rsidRPr="00C426C8" w:rsidRDefault="00C426C8" w:rsidP="00C426C8">
            <w:pPr>
              <w:spacing w:before="120" w:after="120"/>
              <w:rPr>
                <w:lang w:val="en-AU" w:eastAsia="en-AU"/>
              </w:rPr>
            </w:pPr>
            <w:r w:rsidRPr="00C426C8">
              <w:rPr>
                <w:lang w:val="en-AU" w:eastAsia="en-AU"/>
              </w:rPr>
              <w:t>09</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582FD5CA" w14:textId="77777777" w:rsidR="00C426C8" w:rsidRPr="00C426C8" w:rsidRDefault="00C426C8" w:rsidP="00C426C8">
            <w:pPr>
              <w:spacing w:before="120" w:after="120"/>
              <w:rPr>
                <w:lang w:val="en-AU" w:eastAsia="en-AU"/>
              </w:rPr>
            </w:pPr>
            <w:r w:rsidRPr="00C426C8">
              <w:rPr>
                <w:lang w:val="en-AU" w:eastAsia="en-AU"/>
              </w:rPr>
              <w:t>Diseases and Disorders of the Skin, Subcutaneous Tissue and Breast</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3E29891A" w14:textId="77777777" w:rsidR="00C426C8" w:rsidRPr="00C426C8" w:rsidRDefault="00C426C8" w:rsidP="00C426C8">
            <w:pPr>
              <w:spacing w:before="120" w:after="120"/>
              <w:rPr>
                <w:lang w:val="en-AU" w:eastAsia="en-AU"/>
              </w:rPr>
            </w:pPr>
            <w:r w:rsidRPr="00C426C8">
              <w:rPr>
                <w:lang w:val="en-AU" w:eastAsia="en-AU"/>
              </w:rPr>
              <w:t>J</w:t>
            </w:r>
          </w:p>
        </w:tc>
      </w:tr>
      <w:tr w:rsidR="00C426C8" w:rsidRPr="00C426C8" w14:paraId="03B51282"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1B31E2BD" w14:textId="77777777" w:rsidR="00C426C8" w:rsidRPr="00C426C8" w:rsidRDefault="00C426C8" w:rsidP="00C426C8">
            <w:pPr>
              <w:spacing w:before="120" w:after="120"/>
              <w:rPr>
                <w:lang w:val="en-AU" w:eastAsia="en-AU"/>
              </w:rPr>
            </w:pPr>
            <w:r w:rsidRPr="00C426C8">
              <w:rPr>
                <w:lang w:val="en-AU" w:eastAsia="en-AU"/>
              </w:rPr>
              <w:t>10</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63D42FCB" w14:textId="77777777" w:rsidR="00C426C8" w:rsidRPr="00C426C8" w:rsidRDefault="00C426C8" w:rsidP="00C426C8">
            <w:pPr>
              <w:spacing w:before="120" w:after="120"/>
              <w:rPr>
                <w:lang w:val="en-AU" w:eastAsia="en-AU"/>
              </w:rPr>
            </w:pPr>
            <w:r w:rsidRPr="00C426C8">
              <w:rPr>
                <w:lang w:val="en-AU" w:eastAsia="en-AU"/>
              </w:rPr>
              <w:t>Endocrine, Nutritional and Metabolic Diseases and Disorders</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5E3A755B" w14:textId="77777777" w:rsidR="00C426C8" w:rsidRPr="00C426C8" w:rsidRDefault="00C426C8" w:rsidP="00C426C8">
            <w:pPr>
              <w:spacing w:before="120" w:after="120"/>
              <w:rPr>
                <w:lang w:val="en-AU" w:eastAsia="en-AU"/>
              </w:rPr>
            </w:pPr>
            <w:r w:rsidRPr="00C426C8">
              <w:rPr>
                <w:lang w:val="en-AU" w:eastAsia="en-AU"/>
              </w:rPr>
              <w:t>K</w:t>
            </w:r>
          </w:p>
        </w:tc>
      </w:tr>
      <w:tr w:rsidR="00C426C8" w:rsidRPr="00C426C8" w14:paraId="57C67BF2"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5493AEA9" w14:textId="77777777" w:rsidR="00C426C8" w:rsidRPr="00C426C8" w:rsidRDefault="00C426C8" w:rsidP="00C426C8">
            <w:pPr>
              <w:spacing w:before="120" w:after="120"/>
              <w:rPr>
                <w:lang w:val="en-AU" w:eastAsia="en-AU"/>
              </w:rPr>
            </w:pPr>
            <w:r w:rsidRPr="00C426C8">
              <w:rPr>
                <w:lang w:val="en-AU" w:eastAsia="en-AU"/>
              </w:rPr>
              <w:t>11</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40A07464" w14:textId="77777777" w:rsidR="00C426C8" w:rsidRPr="00C426C8" w:rsidRDefault="00C426C8" w:rsidP="00C426C8">
            <w:pPr>
              <w:spacing w:before="120" w:after="120"/>
              <w:rPr>
                <w:lang w:val="en-AU" w:eastAsia="en-AU"/>
              </w:rPr>
            </w:pPr>
            <w:r w:rsidRPr="00C426C8">
              <w:rPr>
                <w:lang w:val="en-AU" w:eastAsia="en-AU"/>
              </w:rPr>
              <w:t>Diseases and Disorders of the Kidney and Urinary Tract</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669E08DA" w14:textId="77777777" w:rsidR="00C426C8" w:rsidRPr="00C426C8" w:rsidRDefault="00C426C8" w:rsidP="00C426C8">
            <w:pPr>
              <w:spacing w:before="120" w:after="120"/>
              <w:rPr>
                <w:lang w:val="en-AU" w:eastAsia="en-AU"/>
              </w:rPr>
            </w:pPr>
            <w:r w:rsidRPr="00C426C8">
              <w:rPr>
                <w:lang w:val="en-AU" w:eastAsia="en-AU"/>
              </w:rPr>
              <w:t>L</w:t>
            </w:r>
          </w:p>
        </w:tc>
      </w:tr>
      <w:tr w:rsidR="00C426C8" w:rsidRPr="00C426C8" w14:paraId="43D95C8D"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748DCA34" w14:textId="77777777" w:rsidR="00C426C8" w:rsidRPr="00C426C8" w:rsidRDefault="00C426C8" w:rsidP="00C426C8">
            <w:pPr>
              <w:spacing w:before="120" w:after="120"/>
              <w:rPr>
                <w:lang w:val="en-AU" w:eastAsia="en-AU"/>
              </w:rPr>
            </w:pPr>
            <w:r w:rsidRPr="00C426C8">
              <w:rPr>
                <w:lang w:val="en-AU" w:eastAsia="en-AU"/>
              </w:rPr>
              <w:lastRenderedPageBreak/>
              <w:t>12</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7E931E2E" w14:textId="77777777" w:rsidR="00C426C8" w:rsidRPr="00C426C8" w:rsidRDefault="00C426C8" w:rsidP="00C426C8">
            <w:pPr>
              <w:spacing w:before="120" w:after="120"/>
              <w:rPr>
                <w:lang w:val="en-AU" w:eastAsia="en-AU"/>
              </w:rPr>
            </w:pPr>
            <w:r w:rsidRPr="00C426C8">
              <w:rPr>
                <w:lang w:val="en-AU" w:eastAsia="en-AU"/>
              </w:rPr>
              <w:t>Diseases and Disorders of the Male Reproductive System</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6CF9BD20" w14:textId="77777777" w:rsidR="00C426C8" w:rsidRPr="00C426C8" w:rsidRDefault="00C426C8" w:rsidP="00C426C8">
            <w:pPr>
              <w:spacing w:before="120" w:after="120"/>
              <w:rPr>
                <w:lang w:val="en-AU" w:eastAsia="en-AU"/>
              </w:rPr>
            </w:pPr>
            <w:r w:rsidRPr="00C426C8">
              <w:rPr>
                <w:lang w:val="en-AU" w:eastAsia="en-AU"/>
              </w:rPr>
              <w:t>M</w:t>
            </w:r>
          </w:p>
        </w:tc>
      </w:tr>
      <w:tr w:rsidR="00C426C8" w:rsidRPr="00C426C8" w14:paraId="0719B86E"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04C064AB" w14:textId="77777777" w:rsidR="00C426C8" w:rsidRPr="00C426C8" w:rsidRDefault="00C426C8" w:rsidP="00C426C8">
            <w:pPr>
              <w:spacing w:before="120" w:after="120"/>
              <w:rPr>
                <w:lang w:val="en-AU" w:eastAsia="en-AU"/>
              </w:rPr>
            </w:pPr>
            <w:r w:rsidRPr="00C426C8">
              <w:rPr>
                <w:lang w:val="en-AU" w:eastAsia="en-AU"/>
              </w:rPr>
              <w:t>13</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63E2A69F" w14:textId="77777777" w:rsidR="00C426C8" w:rsidRPr="00C426C8" w:rsidRDefault="00C426C8" w:rsidP="00C426C8">
            <w:pPr>
              <w:spacing w:before="120" w:after="120"/>
              <w:rPr>
                <w:lang w:val="en-AU" w:eastAsia="en-AU"/>
              </w:rPr>
            </w:pPr>
            <w:r w:rsidRPr="00C426C8">
              <w:rPr>
                <w:lang w:val="en-AU" w:eastAsia="en-AU"/>
              </w:rPr>
              <w:t>Diseases and Disorders of the Female Reproductive System</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091F0BF0" w14:textId="77777777" w:rsidR="00C426C8" w:rsidRPr="00C426C8" w:rsidRDefault="00C426C8" w:rsidP="00C426C8">
            <w:pPr>
              <w:spacing w:before="120" w:after="120"/>
              <w:rPr>
                <w:lang w:val="en-AU" w:eastAsia="en-AU"/>
              </w:rPr>
            </w:pPr>
            <w:r w:rsidRPr="00C426C8">
              <w:rPr>
                <w:lang w:val="en-AU" w:eastAsia="en-AU"/>
              </w:rPr>
              <w:t>N</w:t>
            </w:r>
          </w:p>
        </w:tc>
      </w:tr>
      <w:tr w:rsidR="00C426C8" w:rsidRPr="00C426C8" w14:paraId="5390FFAE"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00C4F6F5" w14:textId="77777777" w:rsidR="00C426C8" w:rsidRPr="00C426C8" w:rsidRDefault="00C426C8" w:rsidP="00C426C8">
            <w:pPr>
              <w:spacing w:before="120" w:after="120"/>
              <w:rPr>
                <w:lang w:val="en-AU" w:eastAsia="en-AU"/>
              </w:rPr>
            </w:pPr>
            <w:r w:rsidRPr="00C426C8">
              <w:rPr>
                <w:lang w:val="en-AU" w:eastAsia="en-AU"/>
              </w:rPr>
              <w:t>14</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1F42C1D0" w14:textId="77777777" w:rsidR="00C426C8" w:rsidRPr="00C426C8" w:rsidRDefault="00C426C8" w:rsidP="00C426C8">
            <w:pPr>
              <w:spacing w:before="120" w:after="120"/>
              <w:rPr>
                <w:lang w:val="en-AU" w:eastAsia="en-AU"/>
              </w:rPr>
            </w:pPr>
            <w:r w:rsidRPr="00C426C8">
              <w:rPr>
                <w:lang w:val="en-AU" w:eastAsia="en-AU"/>
              </w:rPr>
              <w:t>Pregnancy, Childbirth and the Puerperium</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5F1213DD" w14:textId="77777777" w:rsidR="00C426C8" w:rsidRPr="00C426C8" w:rsidRDefault="00C426C8" w:rsidP="00C426C8">
            <w:pPr>
              <w:spacing w:before="120" w:after="120"/>
              <w:rPr>
                <w:lang w:val="en-AU" w:eastAsia="en-AU"/>
              </w:rPr>
            </w:pPr>
            <w:r w:rsidRPr="00C426C8">
              <w:rPr>
                <w:lang w:val="en-AU" w:eastAsia="en-AU"/>
              </w:rPr>
              <w:t>O</w:t>
            </w:r>
          </w:p>
        </w:tc>
      </w:tr>
      <w:tr w:rsidR="00C426C8" w:rsidRPr="00C426C8" w14:paraId="15BA996C"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7CAD9810" w14:textId="77777777" w:rsidR="00C426C8" w:rsidRPr="00C426C8" w:rsidRDefault="00C426C8" w:rsidP="00C426C8">
            <w:pPr>
              <w:spacing w:before="120" w:after="120"/>
              <w:rPr>
                <w:lang w:val="en-AU" w:eastAsia="en-AU"/>
              </w:rPr>
            </w:pPr>
            <w:r w:rsidRPr="00C426C8">
              <w:rPr>
                <w:lang w:val="en-AU" w:eastAsia="en-AU"/>
              </w:rPr>
              <w:t>15</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2AAFA68F" w14:textId="77777777" w:rsidR="00C426C8" w:rsidRPr="00C426C8" w:rsidRDefault="00C426C8" w:rsidP="00C426C8">
            <w:pPr>
              <w:spacing w:before="120" w:after="120"/>
              <w:rPr>
                <w:lang w:val="en-AU" w:eastAsia="en-AU"/>
              </w:rPr>
            </w:pPr>
            <w:r w:rsidRPr="00C426C8">
              <w:rPr>
                <w:lang w:val="en-AU" w:eastAsia="en-AU"/>
              </w:rPr>
              <w:t>Newborns and Other Neonates</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2F958275" w14:textId="77777777" w:rsidR="00C426C8" w:rsidRPr="00C426C8" w:rsidRDefault="00C426C8" w:rsidP="00C426C8">
            <w:pPr>
              <w:spacing w:before="120" w:after="120"/>
              <w:rPr>
                <w:lang w:val="en-AU" w:eastAsia="en-AU"/>
              </w:rPr>
            </w:pPr>
            <w:r w:rsidRPr="00C426C8">
              <w:rPr>
                <w:lang w:val="en-AU" w:eastAsia="en-AU"/>
              </w:rPr>
              <w:t>P</w:t>
            </w:r>
          </w:p>
        </w:tc>
      </w:tr>
      <w:tr w:rsidR="00C426C8" w:rsidRPr="00C426C8" w14:paraId="67148B26"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329C92AF" w14:textId="77777777" w:rsidR="00C426C8" w:rsidRPr="00C426C8" w:rsidRDefault="00C426C8" w:rsidP="00C426C8">
            <w:pPr>
              <w:spacing w:before="120" w:after="120"/>
              <w:rPr>
                <w:lang w:val="en-AU" w:eastAsia="en-AU"/>
              </w:rPr>
            </w:pPr>
            <w:r w:rsidRPr="00C426C8">
              <w:rPr>
                <w:lang w:val="en-AU" w:eastAsia="en-AU"/>
              </w:rPr>
              <w:t>16</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3BB4243B" w14:textId="77777777" w:rsidR="00C426C8" w:rsidRPr="00C426C8" w:rsidRDefault="00C426C8" w:rsidP="00C426C8">
            <w:pPr>
              <w:spacing w:before="120" w:after="120"/>
              <w:rPr>
                <w:lang w:val="en-AU" w:eastAsia="en-AU"/>
              </w:rPr>
            </w:pPr>
            <w:r w:rsidRPr="00C426C8">
              <w:rPr>
                <w:lang w:val="en-AU" w:eastAsia="en-AU"/>
              </w:rPr>
              <w:t>Diseases and Disorders of the Blood and Blood Forming Organs and Immunological Disorders</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08DED16A" w14:textId="77777777" w:rsidR="00C426C8" w:rsidRPr="00C426C8" w:rsidRDefault="00C426C8" w:rsidP="00C426C8">
            <w:pPr>
              <w:spacing w:before="120" w:after="120"/>
              <w:rPr>
                <w:lang w:val="en-AU" w:eastAsia="en-AU"/>
              </w:rPr>
            </w:pPr>
            <w:r w:rsidRPr="00C426C8">
              <w:rPr>
                <w:lang w:val="en-AU" w:eastAsia="en-AU"/>
              </w:rPr>
              <w:t>Q</w:t>
            </w:r>
          </w:p>
        </w:tc>
      </w:tr>
      <w:tr w:rsidR="00C426C8" w:rsidRPr="00C426C8" w14:paraId="58C255A7"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1A2B2120" w14:textId="77777777" w:rsidR="00C426C8" w:rsidRPr="00C426C8" w:rsidRDefault="00C426C8" w:rsidP="00C426C8">
            <w:pPr>
              <w:spacing w:before="120" w:after="120"/>
              <w:rPr>
                <w:lang w:val="en-AU" w:eastAsia="en-AU"/>
              </w:rPr>
            </w:pPr>
            <w:r w:rsidRPr="00C426C8">
              <w:rPr>
                <w:lang w:val="en-AU" w:eastAsia="en-AU"/>
              </w:rPr>
              <w:t>17</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03A286D2" w14:textId="77777777" w:rsidR="00C426C8" w:rsidRPr="00C426C8" w:rsidRDefault="00C426C8" w:rsidP="00C426C8">
            <w:pPr>
              <w:spacing w:before="120" w:after="120"/>
              <w:rPr>
                <w:lang w:val="en-AU" w:eastAsia="en-AU"/>
              </w:rPr>
            </w:pPr>
            <w:r w:rsidRPr="00C426C8">
              <w:rPr>
                <w:lang w:val="en-AU" w:eastAsia="en-AU"/>
              </w:rPr>
              <w:t>Neoplastic Disorders (Haematological and Solid Neoplasms)</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0D1AD0A1" w14:textId="77777777" w:rsidR="00C426C8" w:rsidRPr="00C426C8" w:rsidRDefault="00C426C8" w:rsidP="00C426C8">
            <w:pPr>
              <w:spacing w:before="120" w:after="120"/>
              <w:rPr>
                <w:lang w:val="en-AU" w:eastAsia="en-AU"/>
              </w:rPr>
            </w:pPr>
            <w:r w:rsidRPr="00C426C8">
              <w:rPr>
                <w:lang w:val="en-AU" w:eastAsia="en-AU"/>
              </w:rPr>
              <w:t>R</w:t>
            </w:r>
          </w:p>
        </w:tc>
      </w:tr>
      <w:tr w:rsidR="00C426C8" w:rsidRPr="00C426C8" w14:paraId="7D9F9CDE"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325CC51B" w14:textId="77777777" w:rsidR="00C426C8" w:rsidRPr="00C426C8" w:rsidRDefault="00C426C8" w:rsidP="00C426C8">
            <w:pPr>
              <w:spacing w:before="120" w:after="120"/>
              <w:rPr>
                <w:lang w:val="en-AU" w:eastAsia="en-AU"/>
              </w:rPr>
            </w:pPr>
            <w:r w:rsidRPr="00C426C8">
              <w:rPr>
                <w:lang w:val="en-AU" w:eastAsia="en-AU"/>
              </w:rPr>
              <w:t>18</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2C0263B1" w14:textId="77777777" w:rsidR="00C426C8" w:rsidRPr="00C426C8" w:rsidRDefault="00C426C8" w:rsidP="00C426C8">
            <w:pPr>
              <w:spacing w:before="120" w:after="120"/>
              <w:rPr>
                <w:lang w:val="en-AU" w:eastAsia="en-AU"/>
              </w:rPr>
            </w:pPr>
            <w:r w:rsidRPr="00C426C8">
              <w:rPr>
                <w:lang w:val="en-AU" w:eastAsia="en-AU"/>
              </w:rPr>
              <w:t>Infectious and Parasitic Diseases</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72B750B1" w14:textId="77777777" w:rsidR="00C426C8" w:rsidRPr="00C426C8" w:rsidRDefault="00C426C8" w:rsidP="00C426C8">
            <w:pPr>
              <w:spacing w:before="120" w:after="120"/>
              <w:rPr>
                <w:lang w:val="en-AU" w:eastAsia="en-AU"/>
              </w:rPr>
            </w:pPr>
            <w:r w:rsidRPr="00C426C8">
              <w:rPr>
                <w:lang w:val="en-AU" w:eastAsia="en-AU"/>
              </w:rPr>
              <w:t>T</w:t>
            </w:r>
          </w:p>
        </w:tc>
      </w:tr>
      <w:tr w:rsidR="00C426C8" w:rsidRPr="00C426C8" w14:paraId="2F7CE124"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6F51F98A" w14:textId="77777777" w:rsidR="00C426C8" w:rsidRPr="00C426C8" w:rsidRDefault="00C426C8" w:rsidP="00C426C8">
            <w:pPr>
              <w:spacing w:before="120" w:after="120"/>
              <w:rPr>
                <w:lang w:val="en-AU" w:eastAsia="en-AU"/>
              </w:rPr>
            </w:pPr>
            <w:r w:rsidRPr="00C426C8">
              <w:rPr>
                <w:lang w:val="en-AU" w:eastAsia="en-AU"/>
              </w:rPr>
              <w:t>19</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36DF1DF1" w14:textId="77777777" w:rsidR="00C426C8" w:rsidRPr="00C426C8" w:rsidRDefault="00C426C8" w:rsidP="00C426C8">
            <w:pPr>
              <w:spacing w:before="120" w:after="120"/>
              <w:rPr>
                <w:lang w:val="en-AU" w:eastAsia="en-AU"/>
              </w:rPr>
            </w:pPr>
            <w:r w:rsidRPr="00C426C8">
              <w:rPr>
                <w:lang w:val="en-AU" w:eastAsia="en-AU"/>
              </w:rPr>
              <w:t>Mental Diseases and Disorders</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288C754D" w14:textId="77777777" w:rsidR="00C426C8" w:rsidRPr="00C426C8" w:rsidRDefault="00C426C8" w:rsidP="00C426C8">
            <w:pPr>
              <w:spacing w:before="120" w:after="120"/>
              <w:rPr>
                <w:lang w:val="en-AU" w:eastAsia="en-AU"/>
              </w:rPr>
            </w:pPr>
            <w:r w:rsidRPr="00C426C8">
              <w:rPr>
                <w:lang w:val="en-AU" w:eastAsia="en-AU"/>
              </w:rPr>
              <w:t>U</w:t>
            </w:r>
          </w:p>
        </w:tc>
      </w:tr>
      <w:tr w:rsidR="00C426C8" w:rsidRPr="00C426C8" w14:paraId="62919381"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64D5F792" w14:textId="77777777" w:rsidR="00C426C8" w:rsidRPr="00C426C8" w:rsidRDefault="00C426C8" w:rsidP="00C426C8">
            <w:pPr>
              <w:spacing w:before="120" w:after="120"/>
              <w:rPr>
                <w:lang w:val="en-AU" w:eastAsia="en-AU"/>
              </w:rPr>
            </w:pPr>
            <w:r w:rsidRPr="00C426C8">
              <w:rPr>
                <w:lang w:val="en-AU" w:eastAsia="en-AU"/>
              </w:rPr>
              <w:t>20</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7F877F8A" w14:textId="77777777" w:rsidR="00C426C8" w:rsidRPr="00C426C8" w:rsidRDefault="00C426C8" w:rsidP="00C426C8">
            <w:pPr>
              <w:spacing w:before="120" w:after="120"/>
              <w:rPr>
                <w:lang w:val="en-AU" w:eastAsia="en-AU"/>
              </w:rPr>
            </w:pPr>
            <w:r w:rsidRPr="00C426C8">
              <w:rPr>
                <w:lang w:val="en-AU" w:eastAsia="en-AU"/>
              </w:rPr>
              <w:t>Alcohol /Drug Use and Alcohol /Drug Induced Organic Mental Disorder</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0C34D9BB" w14:textId="77777777" w:rsidR="00C426C8" w:rsidRPr="00C426C8" w:rsidRDefault="00C426C8" w:rsidP="00C426C8">
            <w:pPr>
              <w:spacing w:before="120" w:after="120"/>
              <w:rPr>
                <w:lang w:val="en-AU" w:eastAsia="en-AU"/>
              </w:rPr>
            </w:pPr>
            <w:r w:rsidRPr="00C426C8">
              <w:rPr>
                <w:lang w:val="en-AU" w:eastAsia="en-AU"/>
              </w:rPr>
              <w:t>V</w:t>
            </w:r>
          </w:p>
        </w:tc>
      </w:tr>
      <w:tr w:rsidR="00C426C8" w:rsidRPr="00C426C8" w14:paraId="45CF0683"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05D49B07" w14:textId="77777777" w:rsidR="00C426C8" w:rsidRPr="00C426C8" w:rsidRDefault="00C426C8" w:rsidP="00C426C8">
            <w:pPr>
              <w:spacing w:before="120" w:after="120"/>
              <w:rPr>
                <w:lang w:val="en-AU" w:eastAsia="en-AU"/>
              </w:rPr>
            </w:pPr>
            <w:r w:rsidRPr="00C426C8">
              <w:rPr>
                <w:lang w:val="en-AU" w:eastAsia="en-AU"/>
              </w:rPr>
              <w:t>21A</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484C02E1" w14:textId="77777777" w:rsidR="00C426C8" w:rsidRPr="00C426C8" w:rsidRDefault="00C426C8" w:rsidP="00C426C8">
            <w:pPr>
              <w:spacing w:before="120" w:after="120"/>
              <w:rPr>
                <w:lang w:val="en-AU" w:eastAsia="en-AU"/>
              </w:rPr>
            </w:pPr>
            <w:r w:rsidRPr="00C426C8">
              <w:rPr>
                <w:lang w:val="en-AU" w:eastAsia="en-AU"/>
              </w:rPr>
              <w:t>Injuries, Poisoning and Toxic Effects of Drugs: Multiple Trauma</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27175971" w14:textId="77777777" w:rsidR="00C426C8" w:rsidRPr="00C426C8" w:rsidRDefault="00C426C8" w:rsidP="00C426C8">
            <w:pPr>
              <w:spacing w:before="120" w:after="120"/>
              <w:rPr>
                <w:lang w:val="en-AU" w:eastAsia="en-AU"/>
              </w:rPr>
            </w:pPr>
            <w:r w:rsidRPr="00C426C8">
              <w:rPr>
                <w:lang w:val="en-AU" w:eastAsia="en-AU"/>
              </w:rPr>
              <w:t>W</w:t>
            </w:r>
          </w:p>
        </w:tc>
      </w:tr>
      <w:tr w:rsidR="00C426C8" w:rsidRPr="00C426C8" w14:paraId="6DEBF6B6"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3239ADDA" w14:textId="77777777" w:rsidR="00C426C8" w:rsidRPr="00C426C8" w:rsidRDefault="00C426C8" w:rsidP="00C426C8">
            <w:pPr>
              <w:spacing w:before="120" w:after="120"/>
              <w:rPr>
                <w:lang w:val="en-AU" w:eastAsia="en-AU"/>
              </w:rPr>
            </w:pPr>
            <w:r w:rsidRPr="00C426C8">
              <w:rPr>
                <w:lang w:val="en-AU" w:eastAsia="en-AU"/>
              </w:rPr>
              <w:t>21B</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69CF4B00" w14:textId="77777777" w:rsidR="00C426C8" w:rsidRPr="00C426C8" w:rsidRDefault="00C426C8" w:rsidP="00C426C8">
            <w:pPr>
              <w:spacing w:before="120" w:after="120"/>
              <w:rPr>
                <w:lang w:val="en-AU" w:eastAsia="en-AU"/>
              </w:rPr>
            </w:pPr>
            <w:r w:rsidRPr="00C426C8">
              <w:rPr>
                <w:lang w:val="en-AU" w:eastAsia="en-AU"/>
              </w:rPr>
              <w:t>Injuries, Poisoning and Toxic Effects of Drugs</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507D31CA" w14:textId="77777777" w:rsidR="00C426C8" w:rsidRPr="00C426C8" w:rsidRDefault="00C426C8" w:rsidP="00C426C8">
            <w:pPr>
              <w:spacing w:before="120" w:after="120"/>
              <w:rPr>
                <w:lang w:val="en-AU" w:eastAsia="en-AU"/>
              </w:rPr>
            </w:pPr>
            <w:r w:rsidRPr="00C426C8">
              <w:rPr>
                <w:lang w:val="en-AU" w:eastAsia="en-AU"/>
              </w:rPr>
              <w:t>X</w:t>
            </w:r>
          </w:p>
        </w:tc>
      </w:tr>
      <w:tr w:rsidR="00C426C8" w:rsidRPr="00C426C8" w14:paraId="421DB3D3"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10648647" w14:textId="77777777" w:rsidR="00C426C8" w:rsidRPr="00C426C8" w:rsidRDefault="00C426C8" w:rsidP="00C426C8">
            <w:pPr>
              <w:spacing w:before="120" w:after="120"/>
              <w:rPr>
                <w:lang w:val="en-AU" w:eastAsia="en-AU"/>
              </w:rPr>
            </w:pPr>
            <w:r w:rsidRPr="00C426C8">
              <w:rPr>
                <w:lang w:val="en-AU" w:eastAsia="en-AU"/>
              </w:rPr>
              <w:t>22</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7B800378" w14:textId="77777777" w:rsidR="00C426C8" w:rsidRPr="00C426C8" w:rsidRDefault="00C426C8" w:rsidP="00C426C8">
            <w:pPr>
              <w:spacing w:before="120" w:after="120"/>
              <w:rPr>
                <w:lang w:val="en-AU" w:eastAsia="en-AU"/>
              </w:rPr>
            </w:pPr>
            <w:r w:rsidRPr="00C426C8">
              <w:rPr>
                <w:lang w:val="en-AU" w:eastAsia="en-AU"/>
              </w:rPr>
              <w:t>Burns</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7911FCD7" w14:textId="77777777" w:rsidR="00C426C8" w:rsidRPr="00C426C8" w:rsidRDefault="00C426C8" w:rsidP="00C426C8">
            <w:pPr>
              <w:spacing w:before="120" w:after="120"/>
              <w:rPr>
                <w:lang w:val="en-AU" w:eastAsia="en-AU"/>
              </w:rPr>
            </w:pPr>
            <w:r w:rsidRPr="00C426C8">
              <w:rPr>
                <w:lang w:val="en-AU" w:eastAsia="en-AU"/>
              </w:rPr>
              <w:t>Y</w:t>
            </w:r>
          </w:p>
        </w:tc>
      </w:tr>
      <w:tr w:rsidR="00C426C8" w:rsidRPr="00C426C8" w14:paraId="7F10974A"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088878E7" w14:textId="77777777" w:rsidR="00C426C8" w:rsidRPr="00C426C8" w:rsidRDefault="00C426C8" w:rsidP="00C426C8">
            <w:pPr>
              <w:spacing w:before="120" w:after="120"/>
              <w:rPr>
                <w:lang w:val="en-AU" w:eastAsia="en-AU"/>
              </w:rPr>
            </w:pPr>
            <w:r w:rsidRPr="00C426C8">
              <w:rPr>
                <w:lang w:val="en-AU" w:eastAsia="en-AU"/>
              </w:rPr>
              <w:t>23</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7692E1D3" w14:textId="77777777" w:rsidR="00C426C8" w:rsidRPr="00C426C8" w:rsidRDefault="00C426C8" w:rsidP="00C426C8">
            <w:pPr>
              <w:spacing w:before="120" w:after="120"/>
              <w:rPr>
                <w:lang w:val="en-AU" w:eastAsia="en-AU"/>
              </w:rPr>
            </w:pPr>
            <w:r w:rsidRPr="00C426C8">
              <w:rPr>
                <w:lang w:val="en-AU" w:eastAsia="en-AU"/>
              </w:rPr>
              <w:t>Factors Influencing Health Status and Other Contacts with Health Services</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7BEE466C" w14:textId="77777777" w:rsidR="00C426C8" w:rsidRPr="00C426C8" w:rsidRDefault="00C426C8" w:rsidP="00C426C8">
            <w:pPr>
              <w:spacing w:before="120" w:after="120"/>
              <w:rPr>
                <w:lang w:val="en-AU" w:eastAsia="en-AU"/>
              </w:rPr>
            </w:pPr>
            <w:r w:rsidRPr="00C426C8">
              <w:rPr>
                <w:lang w:val="en-AU" w:eastAsia="en-AU"/>
              </w:rPr>
              <w:t>Z</w:t>
            </w:r>
          </w:p>
        </w:tc>
      </w:tr>
      <w:tr w:rsidR="00C426C8" w:rsidRPr="00C426C8" w14:paraId="444AA4F9"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3A88EE0A" w14:textId="77777777" w:rsidR="00C426C8" w:rsidRPr="00C426C8" w:rsidRDefault="00C426C8" w:rsidP="00C426C8">
            <w:pPr>
              <w:spacing w:before="120" w:after="120"/>
              <w:rPr>
                <w:lang w:val="en-AU" w:eastAsia="en-AU"/>
              </w:rPr>
            </w:pPr>
            <w:r w:rsidRPr="00C426C8">
              <w:rPr>
                <w:lang w:val="en-AU" w:eastAsia="en-AU"/>
              </w:rPr>
              <w:t>98</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3220CEB9" w14:textId="77777777" w:rsidR="00C426C8" w:rsidRPr="00C426C8" w:rsidRDefault="00C426C8" w:rsidP="00C426C8">
            <w:pPr>
              <w:spacing w:before="120" w:after="120"/>
              <w:rPr>
                <w:lang w:val="en-AU" w:eastAsia="en-AU"/>
              </w:rPr>
            </w:pPr>
            <w:r w:rsidRPr="00C426C8">
              <w:rPr>
                <w:lang w:val="en-AU" w:eastAsia="en-AU"/>
              </w:rPr>
              <w:t>GIs unrelated to principal diagnosis</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2FA767EC" w14:textId="77777777" w:rsidR="00C426C8" w:rsidRPr="00C426C8" w:rsidRDefault="00C426C8" w:rsidP="00C426C8">
            <w:pPr>
              <w:spacing w:before="120" w:after="120"/>
              <w:rPr>
                <w:lang w:val="en-AU" w:eastAsia="en-AU"/>
              </w:rPr>
            </w:pPr>
            <w:r w:rsidRPr="00C426C8">
              <w:rPr>
                <w:lang w:val="en-AU" w:eastAsia="en-AU"/>
              </w:rPr>
              <w:t>8</w:t>
            </w:r>
          </w:p>
        </w:tc>
      </w:tr>
      <w:tr w:rsidR="00C426C8" w:rsidRPr="00C426C8" w14:paraId="20A9F965" w14:textId="77777777" w:rsidTr="00C426C8">
        <w:trPr>
          <w:trHeight w:val="300"/>
        </w:trPr>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7EA7AEEF" w14:textId="77777777" w:rsidR="00C426C8" w:rsidRPr="00C426C8" w:rsidRDefault="00C426C8" w:rsidP="00C426C8">
            <w:pPr>
              <w:spacing w:before="120" w:after="120"/>
              <w:rPr>
                <w:lang w:val="en-AU" w:eastAsia="en-AU"/>
              </w:rPr>
            </w:pPr>
            <w:r w:rsidRPr="00C426C8">
              <w:rPr>
                <w:lang w:val="en-AU" w:eastAsia="en-AU"/>
              </w:rPr>
              <w:t>99</w:t>
            </w:r>
          </w:p>
        </w:tc>
        <w:tc>
          <w:tcPr>
            <w:tcW w:w="7483"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01EEF5CC" w14:textId="77777777" w:rsidR="00C426C8" w:rsidRPr="00C426C8" w:rsidRDefault="00C426C8" w:rsidP="00C426C8">
            <w:pPr>
              <w:spacing w:before="120" w:after="120"/>
              <w:rPr>
                <w:lang w:val="en-AU" w:eastAsia="en-AU"/>
              </w:rPr>
            </w:pPr>
            <w:r w:rsidRPr="00C426C8">
              <w:rPr>
                <w:lang w:val="en-AU" w:eastAsia="en-AU"/>
              </w:rPr>
              <w:t>Error DRG</w:t>
            </w:r>
          </w:p>
        </w:tc>
        <w:tc>
          <w:tcPr>
            <w:tcW w:w="124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47584709" w14:textId="77777777" w:rsidR="00C426C8" w:rsidRPr="00C426C8" w:rsidRDefault="00C426C8" w:rsidP="00C426C8">
            <w:pPr>
              <w:spacing w:before="120" w:after="120"/>
              <w:rPr>
                <w:lang w:val="en-AU" w:eastAsia="en-AU"/>
              </w:rPr>
            </w:pPr>
            <w:r w:rsidRPr="00C426C8">
              <w:rPr>
                <w:lang w:val="en-AU" w:eastAsia="en-AU"/>
              </w:rPr>
              <w:t>9</w:t>
            </w:r>
          </w:p>
        </w:tc>
      </w:tr>
    </w:tbl>
    <w:p w14:paraId="33D148FF" w14:textId="77777777" w:rsidR="00C426C8" w:rsidRDefault="00C426C8" w:rsidP="00C426C8"/>
    <w:p w14:paraId="48119197" w14:textId="654C31CF" w:rsidR="000143F2" w:rsidRDefault="0000418D" w:rsidP="00646BDD">
      <w:r>
        <w:t xml:space="preserve">The number of </w:t>
      </w:r>
      <w:r w:rsidR="00FE4BC8">
        <w:t xml:space="preserve">MDC-based bundle variant </w:t>
      </w:r>
      <w:r w:rsidR="00256DBD">
        <w:t xml:space="preserve">classes </w:t>
      </w:r>
      <w:r>
        <w:t xml:space="preserve">defined for each GUI </w:t>
      </w:r>
      <w:r w:rsidR="00FE4BC8">
        <w:t>p</w:t>
      </w:r>
      <w:r>
        <w:t xml:space="preserve">roduct </w:t>
      </w:r>
      <w:r w:rsidR="00FE4BC8">
        <w:t>c</w:t>
      </w:r>
      <w:r w:rsidR="00051B61">
        <w:t xml:space="preserve">lass </w:t>
      </w:r>
      <w:r w:rsidR="00FE4BC8">
        <w:t xml:space="preserve">(i.e. the number of sub-bundles of each GUI product bundle) </w:t>
      </w:r>
      <w:r>
        <w:t xml:space="preserve">is </w:t>
      </w:r>
      <w:r w:rsidR="000143F2">
        <w:t xml:space="preserve">determined </w:t>
      </w:r>
      <w:r>
        <w:t xml:space="preserve">based on the extent of variation </w:t>
      </w:r>
      <w:r w:rsidR="00FE4BC8">
        <w:t xml:space="preserve">in GUI </w:t>
      </w:r>
      <w:r w:rsidR="000143F2">
        <w:t xml:space="preserve">benefits per episode </w:t>
      </w:r>
      <w:r>
        <w:t>between MDCs</w:t>
      </w:r>
      <w:r w:rsidR="000143F2">
        <w:t xml:space="preserve"> together with materiality of the variation in terms of benefits</w:t>
      </w:r>
      <w:r>
        <w:t>.</w:t>
      </w:r>
    </w:p>
    <w:p w14:paraId="7D81D2C1" w14:textId="33CD468A" w:rsidR="007A5EE8" w:rsidRDefault="000143F2" w:rsidP="00646BDD">
      <w:r>
        <w:t xml:space="preserve">Each product bundle is split into </w:t>
      </w:r>
      <w:r w:rsidR="005E1763">
        <w:t xml:space="preserve">a maximum of </w:t>
      </w:r>
      <w:r>
        <w:t>five MDC-based bundle variant</w:t>
      </w:r>
      <w:r w:rsidR="005E1763">
        <w:t>s</w:t>
      </w:r>
      <w:r>
        <w:t>. The</w:t>
      </w:r>
      <w:r w:rsidRPr="000143F2">
        <w:t xml:space="preserve"> more variation that is observed, the greater the number of splits, and where no variation is observed, there is no split, and the resulting MDC-based variant is identical to the product bundle for that GUI product class.</w:t>
      </w:r>
      <w:r w:rsidR="00884B95">
        <w:t xml:space="preserve"> </w:t>
      </w:r>
      <w:r w:rsidR="001734AB">
        <w:t xml:space="preserve">The first </w:t>
      </w:r>
      <w:r w:rsidR="00256DBD">
        <w:t xml:space="preserve">variant class </w:t>
      </w:r>
      <w:r w:rsidR="001734AB">
        <w:t xml:space="preserve">represents the </w:t>
      </w:r>
      <w:r w:rsidR="00296E48">
        <w:t xml:space="preserve">collection </w:t>
      </w:r>
      <w:r w:rsidR="001D5BB8">
        <w:t xml:space="preserve">MDCs with </w:t>
      </w:r>
      <w:r w:rsidR="00296E48">
        <w:t xml:space="preserve">the </w:t>
      </w:r>
      <w:r w:rsidR="001D5BB8">
        <w:t xml:space="preserve">greatest </w:t>
      </w:r>
      <w:r w:rsidR="001734AB">
        <w:t>aver</w:t>
      </w:r>
      <w:r w:rsidR="006856BA">
        <w:t>age benefit</w:t>
      </w:r>
      <w:r w:rsidR="001734AB">
        <w:t xml:space="preserve"> </w:t>
      </w:r>
      <w:r w:rsidR="001D5BB8">
        <w:t>per episode</w:t>
      </w:r>
      <w:r w:rsidR="001734AB">
        <w:t xml:space="preserve">, decreasing for each subsequent </w:t>
      </w:r>
      <w:r w:rsidR="00256DBD">
        <w:t>variant</w:t>
      </w:r>
      <w:r w:rsidR="001734AB">
        <w:t xml:space="preserve">. This is illustrated in </w:t>
      </w:r>
      <w:r w:rsidR="001734AB">
        <w:fldChar w:fldCharType="begin"/>
      </w:r>
      <w:r w:rsidR="001734AB">
        <w:instrText xml:space="preserve"> REF _Ref119588135 \h </w:instrText>
      </w:r>
      <w:r w:rsidR="001734AB">
        <w:fldChar w:fldCharType="separate"/>
      </w:r>
      <w:r w:rsidR="00106CD4">
        <w:t xml:space="preserve">Table </w:t>
      </w:r>
      <w:r w:rsidR="00106CD4">
        <w:rPr>
          <w:noProof/>
        </w:rPr>
        <w:t>6</w:t>
      </w:r>
      <w:r w:rsidR="001734AB">
        <w:fldChar w:fldCharType="end"/>
      </w:r>
      <w:r w:rsidR="001734AB">
        <w:t xml:space="preserve"> below.</w:t>
      </w:r>
    </w:p>
    <w:p w14:paraId="57E9E183" w14:textId="772F8711" w:rsidR="001734AB" w:rsidRDefault="001734AB" w:rsidP="00B31EDD">
      <w:pPr>
        <w:pStyle w:val="Caption"/>
      </w:pPr>
      <w:bookmarkStart w:id="73" w:name="_Ref119588135"/>
      <w:r>
        <w:t xml:space="preserve">Table </w:t>
      </w:r>
      <w:fldSimple w:instr=" SEQ Table \* ARABIC ">
        <w:r w:rsidR="00106CD4">
          <w:rPr>
            <w:noProof/>
          </w:rPr>
          <w:t>6</w:t>
        </w:r>
      </w:fldSimple>
      <w:bookmarkEnd w:id="73"/>
      <w:r>
        <w:t>: Label</w:t>
      </w:r>
      <w:r w:rsidR="0012539C">
        <w:t>ling structure</w:t>
      </w:r>
      <w:r>
        <w:t xml:space="preserve"> for MDC</w:t>
      </w:r>
      <w:r w:rsidR="0012539C">
        <w:t>-based GUI bundle</w:t>
      </w:r>
      <w:r>
        <w:t xml:space="preserve"> </w:t>
      </w:r>
      <w:r w:rsidR="00256DBD">
        <w:t>variant</w:t>
      </w:r>
      <w:r w:rsidR="0012539C">
        <w:t>s</w:t>
      </w:r>
    </w:p>
    <w:tbl>
      <w:tblPr>
        <w:tblW w:w="5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6 is showing MDC based bundle varaint labels by number of variants. There are 5 columns with the first showing MDC-based Bundle variant code followed by five variants, four variants, three variants and two variants, with a rating between very high or very low."/>
      </w:tblPr>
      <w:tblGrid>
        <w:gridCol w:w="1422"/>
        <w:gridCol w:w="2139"/>
        <w:gridCol w:w="2139"/>
        <w:gridCol w:w="2139"/>
        <w:gridCol w:w="2139"/>
      </w:tblGrid>
      <w:tr w:rsidR="0000418D" w:rsidRPr="00863548" w14:paraId="4E8D45CD" w14:textId="1EE55424" w:rsidTr="002A132E">
        <w:trPr>
          <w:trHeight w:val="247"/>
          <w:tblHeader/>
        </w:trPr>
        <w:tc>
          <w:tcPr>
            <w:tcW w:w="712" w:type="pct"/>
            <w:vMerge w:val="restar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vAlign w:val="bottom"/>
          </w:tcPr>
          <w:p w14:paraId="196B9058" w14:textId="17ACD2E3" w:rsidR="0000418D" w:rsidRPr="002A132E" w:rsidRDefault="0000418D" w:rsidP="00863548">
            <w:pPr>
              <w:spacing w:before="120" w:after="120"/>
              <w:jc w:val="center"/>
              <w:rPr>
                <w:rFonts w:eastAsia="Times New Roman" w:cs="Arial"/>
                <w:b/>
                <w:bCs/>
                <w:color w:val="FFFFFF" w:themeColor="background2"/>
                <w:sz w:val="18"/>
                <w:szCs w:val="18"/>
                <w:lang w:val="en-US"/>
              </w:rPr>
            </w:pPr>
            <w:r w:rsidRPr="002A132E">
              <w:rPr>
                <w:rFonts w:eastAsia="Times New Roman" w:cs="Arial"/>
                <w:b/>
                <w:bCs/>
                <w:color w:val="FFFFFF" w:themeColor="background2"/>
                <w:sz w:val="18"/>
                <w:szCs w:val="18"/>
                <w:lang w:val="en-US"/>
              </w:rPr>
              <w:lastRenderedPageBreak/>
              <w:t>MDC</w:t>
            </w:r>
            <w:r w:rsidR="001D5BB8" w:rsidRPr="002A132E">
              <w:rPr>
                <w:rFonts w:eastAsia="Times New Roman" w:cs="Arial"/>
                <w:b/>
                <w:bCs/>
                <w:color w:val="FFFFFF" w:themeColor="background2"/>
                <w:sz w:val="18"/>
                <w:szCs w:val="18"/>
                <w:lang w:val="en-US"/>
              </w:rPr>
              <w:t>-based</w:t>
            </w:r>
            <w:r w:rsidRPr="002A132E">
              <w:rPr>
                <w:rFonts w:eastAsia="Times New Roman" w:cs="Arial"/>
                <w:b/>
                <w:bCs/>
                <w:color w:val="FFFFFF" w:themeColor="background2"/>
                <w:sz w:val="18"/>
                <w:szCs w:val="18"/>
                <w:lang w:val="en-US"/>
              </w:rPr>
              <w:t xml:space="preserve"> </w:t>
            </w:r>
            <w:r w:rsidR="001D5BB8" w:rsidRPr="002A132E">
              <w:rPr>
                <w:rFonts w:eastAsia="Times New Roman" w:cs="Arial"/>
                <w:b/>
                <w:bCs/>
                <w:color w:val="FFFFFF" w:themeColor="background2"/>
                <w:sz w:val="18"/>
                <w:szCs w:val="18"/>
                <w:lang w:val="en-US"/>
              </w:rPr>
              <w:t>b</w:t>
            </w:r>
            <w:r w:rsidR="00863548" w:rsidRPr="002A132E">
              <w:rPr>
                <w:rFonts w:eastAsia="Times New Roman" w:cs="Arial"/>
                <w:b/>
                <w:bCs/>
                <w:color w:val="FFFFFF" w:themeColor="background2"/>
                <w:sz w:val="18"/>
                <w:szCs w:val="18"/>
                <w:lang w:val="en-US"/>
              </w:rPr>
              <w:t xml:space="preserve">undle </w:t>
            </w:r>
            <w:r w:rsidR="001D5BB8" w:rsidRPr="002A132E">
              <w:rPr>
                <w:rFonts w:eastAsia="Times New Roman" w:cs="Arial"/>
                <w:b/>
                <w:bCs/>
                <w:color w:val="FFFFFF" w:themeColor="background2"/>
                <w:sz w:val="18"/>
                <w:szCs w:val="18"/>
                <w:lang w:val="en-US"/>
              </w:rPr>
              <w:t>variant c</w:t>
            </w:r>
            <w:r w:rsidR="00863548" w:rsidRPr="002A132E">
              <w:rPr>
                <w:rFonts w:eastAsia="Times New Roman" w:cs="Arial"/>
                <w:b/>
                <w:bCs/>
                <w:color w:val="FFFFFF" w:themeColor="background2"/>
                <w:sz w:val="18"/>
                <w:szCs w:val="18"/>
                <w:lang w:val="en-US"/>
              </w:rPr>
              <w:t>ode</w:t>
            </w:r>
          </w:p>
        </w:tc>
        <w:tc>
          <w:tcPr>
            <w:tcW w:w="4288" w:type="pct"/>
            <w:gridSpan w:val="4"/>
            <w:tcBorders>
              <w:top w:val="single" w:sz="4" w:space="0" w:color="808080" w:themeColor="background2" w:themeShade="80"/>
              <w:left w:val="single" w:sz="4" w:space="0" w:color="FFFFFF" w:themeColor="background2"/>
              <w:bottom w:val="nil"/>
              <w:right w:val="single" w:sz="4" w:space="0" w:color="808080" w:themeColor="background2" w:themeShade="80"/>
            </w:tcBorders>
            <w:shd w:val="clear" w:color="auto" w:fill="104F99" w:themeFill="accent2"/>
            <w:vAlign w:val="bottom"/>
          </w:tcPr>
          <w:p w14:paraId="5ED9B2F5" w14:textId="7681557C" w:rsidR="0000418D" w:rsidRPr="002A132E" w:rsidRDefault="00256DBD" w:rsidP="00863548">
            <w:pPr>
              <w:spacing w:before="120" w:after="120"/>
              <w:jc w:val="center"/>
              <w:rPr>
                <w:rFonts w:eastAsia="Times New Roman" w:cs="Arial"/>
                <w:b/>
                <w:bCs/>
                <w:color w:val="FFFFFF" w:themeColor="background2"/>
                <w:sz w:val="18"/>
                <w:szCs w:val="18"/>
                <w:lang w:val="en-US"/>
              </w:rPr>
            </w:pPr>
            <w:r w:rsidRPr="002A132E">
              <w:rPr>
                <w:rFonts w:eastAsia="Times New Roman" w:cs="Arial"/>
                <w:b/>
                <w:bCs/>
                <w:color w:val="FFFFFF" w:themeColor="background2"/>
                <w:sz w:val="18"/>
                <w:szCs w:val="18"/>
                <w:lang w:val="en-US"/>
              </w:rPr>
              <w:t>MDC</w:t>
            </w:r>
            <w:r w:rsidR="001D5BB8" w:rsidRPr="002A132E">
              <w:rPr>
                <w:rFonts w:eastAsia="Times New Roman" w:cs="Arial"/>
                <w:b/>
                <w:bCs/>
                <w:color w:val="FFFFFF" w:themeColor="background2"/>
                <w:sz w:val="18"/>
                <w:szCs w:val="18"/>
                <w:lang w:val="en-US"/>
              </w:rPr>
              <w:t>-based</w:t>
            </w:r>
            <w:r w:rsidRPr="002A132E">
              <w:rPr>
                <w:rFonts w:eastAsia="Times New Roman" w:cs="Arial"/>
                <w:b/>
                <w:bCs/>
                <w:color w:val="FFFFFF" w:themeColor="background2"/>
                <w:sz w:val="18"/>
                <w:szCs w:val="18"/>
                <w:lang w:val="en-US"/>
              </w:rPr>
              <w:t xml:space="preserve"> </w:t>
            </w:r>
            <w:r w:rsidR="00863548" w:rsidRPr="002A132E">
              <w:rPr>
                <w:rFonts w:eastAsia="Times New Roman" w:cs="Arial"/>
                <w:b/>
                <w:bCs/>
                <w:color w:val="FFFFFF" w:themeColor="background2"/>
                <w:sz w:val="18"/>
                <w:szCs w:val="18"/>
                <w:lang w:val="en-US"/>
              </w:rPr>
              <w:t xml:space="preserve">bundle </w:t>
            </w:r>
            <w:r w:rsidR="001D5BB8" w:rsidRPr="002A132E">
              <w:rPr>
                <w:rFonts w:eastAsia="Times New Roman" w:cs="Arial"/>
                <w:b/>
                <w:bCs/>
                <w:color w:val="FFFFFF" w:themeColor="background2"/>
                <w:sz w:val="18"/>
                <w:szCs w:val="18"/>
                <w:lang w:val="en-US"/>
              </w:rPr>
              <w:t xml:space="preserve">variant </w:t>
            </w:r>
            <w:r w:rsidR="0000418D" w:rsidRPr="002A132E">
              <w:rPr>
                <w:rFonts w:eastAsia="Times New Roman" w:cs="Arial"/>
                <w:b/>
                <w:bCs/>
                <w:color w:val="FFFFFF" w:themeColor="background2"/>
                <w:sz w:val="18"/>
                <w:szCs w:val="18"/>
                <w:lang w:val="en-US"/>
              </w:rPr>
              <w:t xml:space="preserve">labels by number of </w:t>
            </w:r>
            <w:r w:rsidR="001D5BB8" w:rsidRPr="002A132E">
              <w:rPr>
                <w:rFonts w:eastAsia="Times New Roman" w:cs="Arial"/>
                <w:b/>
                <w:bCs/>
                <w:color w:val="FFFFFF" w:themeColor="background2"/>
                <w:sz w:val="18"/>
                <w:szCs w:val="18"/>
                <w:lang w:val="en-US"/>
              </w:rPr>
              <w:t>variants</w:t>
            </w:r>
          </w:p>
        </w:tc>
      </w:tr>
      <w:tr w:rsidR="0000418D" w:rsidRPr="00863548" w14:paraId="435B7DF4" w14:textId="77777777" w:rsidTr="002A132E">
        <w:trPr>
          <w:trHeight w:val="269"/>
          <w:tblHeader/>
        </w:trPr>
        <w:tc>
          <w:tcPr>
            <w:tcW w:w="712"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vAlign w:val="bottom"/>
          </w:tcPr>
          <w:p w14:paraId="0B7EFF81" w14:textId="77777777" w:rsidR="0000418D" w:rsidRPr="002A132E" w:rsidRDefault="0000418D" w:rsidP="00863548">
            <w:pPr>
              <w:spacing w:before="120" w:after="120"/>
              <w:jc w:val="center"/>
              <w:rPr>
                <w:rFonts w:eastAsia="Times New Roman" w:cs="Arial"/>
                <w:b/>
                <w:bCs/>
                <w:color w:val="FFFFFF" w:themeColor="background2"/>
                <w:sz w:val="18"/>
                <w:szCs w:val="18"/>
                <w:lang w:val="en-US"/>
              </w:rPr>
            </w:pPr>
          </w:p>
        </w:tc>
        <w:tc>
          <w:tcPr>
            <w:tcW w:w="1072" w:type="pct"/>
            <w:tcBorders>
              <w:top w:val="nil"/>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bottom"/>
          </w:tcPr>
          <w:p w14:paraId="53FE56E2" w14:textId="36CEA96E" w:rsidR="0000418D" w:rsidRPr="002A132E" w:rsidRDefault="0000418D" w:rsidP="00863548">
            <w:pPr>
              <w:spacing w:before="120" w:after="120"/>
              <w:jc w:val="center"/>
              <w:rPr>
                <w:rFonts w:eastAsia="Times New Roman" w:cs="Arial"/>
                <w:b/>
                <w:iCs/>
                <w:color w:val="FFFFFF" w:themeColor="background2"/>
                <w:sz w:val="18"/>
                <w:szCs w:val="18"/>
                <w:lang w:val="en-US"/>
              </w:rPr>
            </w:pPr>
            <w:r w:rsidRPr="002A132E">
              <w:rPr>
                <w:rFonts w:eastAsia="Times New Roman" w:cs="Arial"/>
                <w:b/>
                <w:iCs/>
                <w:color w:val="FFFFFF" w:themeColor="background2"/>
                <w:sz w:val="18"/>
                <w:szCs w:val="18"/>
                <w:lang w:val="en-US"/>
              </w:rPr>
              <w:t xml:space="preserve">Five </w:t>
            </w:r>
            <w:r w:rsidR="001D5BB8" w:rsidRPr="002A132E">
              <w:rPr>
                <w:rFonts w:eastAsia="Times New Roman" w:cs="Arial"/>
                <w:b/>
                <w:iCs/>
                <w:color w:val="FFFFFF" w:themeColor="background2"/>
                <w:sz w:val="18"/>
                <w:szCs w:val="18"/>
                <w:lang w:val="en-US"/>
              </w:rPr>
              <w:t>variants</w:t>
            </w:r>
          </w:p>
        </w:tc>
        <w:tc>
          <w:tcPr>
            <w:tcW w:w="1072" w:type="pct"/>
            <w:tcBorders>
              <w:top w:val="nil"/>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bottom"/>
          </w:tcPr>
          <w:p w14:paraId="5F580A52" w14:textId="5B84AAA6" w:rsidR="0000418D" w:rsidRPr="002A132E" w:rsidRDefault="0000418D" w:rsidP="00863548">
            <w:pPr>
              <w:spacing w:before="120" w:after="120"/>
              <w:jc w:val="center"/>
              <w:rPr>
                <w:rFonts w:eastAsia="Times New Roman" w:cs="Arial"/>
                <w:b/>
                <w:iCs/>
                <w:color w:val="FFFFFF" w:themeColor="background2"/>
                <w:sz w:val="18"/>
                <w:szCs w:val="18"/>
                <w:lang w:val="en-US"/>
              </w:rPr>
            </w:pPr>
            <w:r w:rsidRPr="002A132E">
              <w:rPr>
                <w:rFonts w:eastAsia="Times New Roman" w:cs="Arial"/>
                <w:b/>
                <w:iCs/>
                <w:color w:val="FFFFFF" w:themeColor="background2"/>
                <w:sz w:val="18"/>
                <w:szCs w:val="18"/>
                <w:lang w:val="en-US"/>
              </w:rPr>
              <w:t xml:space="preserve">Four </w:t>
            </w:r>
            <w:r w:rsidR="001D5BB8" w:rsidRPr="002A132E">
              <w:rPr>
                <w:rFonts w:eastAsia="Times New Roman" w:cs="Arial"/>
                <w:b/>
                <w:iCs/>
                <w:color w:val="FFFFFF" w:themeColor="background2"/>
                <w:sz w:val="18"/>
                <w:szCs w:val="18"/>
                <w:lang w:val="en-US"/>
              </w:rPr>
              <w:t>variants</w:t>
            </w:r>
          </w:p>
        </w:tc>
        <w:tc>
          <w:tcPr>
            <w:tcW w:w="1072" w:type="pct"/>
            <w:tcBorders>
              <w:top w:val="nil"/>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bottom"/>
          </w:tcPr>
          <w:p w14:paraId="4F90CD0C" w14:textId="1759A355" w:rsidR="0000418D" w:rsidRPr="002A132E" w:rsidRDefault="0000418D" w:rsidP="00863548">
            <w:pPr>
              <w:spacing w:before="120" w:after="120"/>
              <w:jc w:val="center"/>
              <w:rPr>
                <w:rFonts w:eastAsia="Times New Roman" w:cs="Arial"/>
                <w:b/>
                <w:iCs/>
                <w:color w:val="FFFFFF" w:themeColor="background2"/>
                <w:sz w:val="18"/>
                <w:szCs w:val="18"/>
                <w:lang w:val="en-US"/>
              </w:rPr>
            </w:pPr>
            <w:r w:rsidRPr="002A132E">
              <w:rPr>
                <w:rFonts w:eastAsia="Times New Roman" w:cs="Arial"/>
                <w:b/>
                <w:iCs/>
                <w:color w:val="FFFFFF" w:themeColor="background2"/>
                <w:sz w:val="18"/>
                <w:szCs w:val="18"/>
                <w:lang w:val="en-US"/>
              </w:rPr>
              <w:t xml:space="preserve">Three </w:t>
            </w:r>
            <w:r w:rsidR="001D5BB8" w:rsidRPr="002A132E">
              <w:rPr>
                <w:rFonts w:eastAsia="Times New Roman" w:cs="Arial"/>
                <w:b/>
                <w:iCs/>
                <w:color w:val="FFFFFF" w:themeColor="background2"/>
                <w:sz w:val="18"/>
                <w:szCs w:val="18"/>
                <w:lang w:val="en-US"/>
              </w:rPr>
              <w:t>variants</w:t>
            </w:r>
          </w:p>
        </w:tc>
        <w:tc>
          <w:tcPr>
            <w:tcW w:w="1072" w:type="pct"/>
            <w:tcBorders>
              <w:top w:val="nil"/>
              <w:left w:val="single" w:sz="4" w:space="0" w:color="FFFFFF" w:themeColor="background2"/>
              <w:bottom w:val="single" w:sz="4" w:space="0" w:color="808080" w:themeColor="background2" w:themeShade="80"/>
              <w:right w:val="single" w:sz="4" w:space="0" w:color="808080" w:themeColor="background2" w:themeShade="80"/>
            </w:tcBorders>
            <w:shd w:val="clear" w:color="auto" w:fill="104F99" w:themeFill="accent2"/>
            <w:vAlign w:val="bottom"/>
          </w:tcPr>
          <w:p w14:paraId="221CBBC0" w14:textId="155F6501" w:rsidR="0000418D" w:rsidRPr="002A132E" w:rsidRDefault="0000418D" w:rsidP="00863548">
            <w:pPr>
              <w:spacing w:before="120" w:after="120"/>
              <w:jc w:val="center"/>
              <w:rPr>
                <w:rFonts w:eastAsia="Times New Roman" w:cs="Arial"/>
                <w:b/>
                <w:iCs/>
                <w:color w:val="FFFFFF" w:themeColor="background2"/>
                <w:sz w:val="18"/>
                <w:szCs w:val="18"/>
                <w:lang w:val="en-US"/>
              </w:rPr>
            </w:pPr>
            <w:r w:rsidRPr="002A132E">
              <w:rPr>
                <w:rFonts w:eastAsia="Times New Roman" w:cs="Arial"/>
                <w:b/>
                <w:iCs/>
                <w:color w:val="FFFFFF" w:themeColor="background2"/>
                <w:sz w:val="18"/>
                <w:szCs w:val="18"/>
                <w:lang w:val="en-US"/>
              </w:rPr>
              <w:t xml:space="preserve">Two </w:t>
            </w:r>
            <w:r w:rsidR="001D5BB8" w:rsidRPr="002A132E">
              <w:rPr>
                <w:rFonts w:eastAsia="Times New Roman" w:cs="Arial"/>
                <w:b/>
                <w:iCs/>
                <w:color w:val="FFFFFF" w:themeColor="background2"/>
                <w:sz w:val="18"/>
                <w:szCs w:val="18"/>
                <w:lang w:val="en-US"/>
              </w:rPr>
              <w:t>variants</w:t>
            </w:r>
          </w:p>
        </w:tc>
      </w:tr>
      <w:tr w:rsidR="0000418D" w:rsidRPr="00863548" w14:paraId="407C4A2C" w14:textId="60B33E96" w:rsidTr="00AD0FA5">
        <w:trPr>
          <w:trHeight w:val="300"/>
        </w:trPr>
        <w:tc>
          <w:tcPr>
            <w:tcW w:w="71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671E7298" w14:textId="2AADEEFE" w:rsidR="0000418D" w:rsidRPr="00863548" w:rsidRDefault="00863548" w:rsidP="00863548">
            <w:pPr>
              <w:spacing w:before="120" w:after="120"/>
              <w:jc w:val="center"/>
              <w:rPr>
                <w:rFonts w:eastAsia="Times New Roman" w:cs="Arial"/>
                <w:color w:val="000000"/>
                <w:sz w:val="18"/>
                <w:szCs w:val="18"/>
                <w:lang w:val="en-US"/>
              </w:rPr>
            </w:pPr>
            <w:r>
              <w:rPr>
                <w:rFonts w:eastAsia="Times New Roman" w:cs="Arial"/>
                <w:color w:val="000000"/>
                <w:sz w:val="18"/>
                <w:szCs w:val="18"/>
                <w:lang w:val="en-US"/>
              </w:rPr>
              <w:t>C</w:t>
            </w:r>
            <w:r w:rsidR="0000418D" w:rsidRPr="00863548">
              <w:rPr>
                <w:rFonts w:eastAsia="Times New Roman" w:cs="Arial"/>
                <w:color w:val="000000"/>
                <w:sz w:val="18"/>
                <w:szCs w:val="18"/>
                <w:lang w:val="en-US"/>
              </w:rPr>
              <w:t>1</w:t>
            </w:r>
          </w:p>
        </w:tc>
        <w:tc>
          <w:tcPr>
            <w:tcW w:w="107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tcPr>
          <w:p w14:paraId="2F08AD39" w14:textId="03351B19" w:rsidR="0000418D" w:rsidRPr="00863548" w:rsidRDefault="0000418D" w:rsidP="00863548">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Very High</w:t>
            </w:r>
          </w:p>
        </w:tc>
        <w:tc>
          <w:tcPr>
            <w:tcW w:w="107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tcPr>
          <w:p w14:paraId="438A7C8D" w14:textId="3E7F184B" w:rsidR="0000418D" w:rsidRPr="00863548" w:rsidRDefault="0000418D" w:rsidP="00863548">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Very High</w:t>
            </w:r>
          </w:p>
        </w:tc>
        <w:tc>
          <w:tcPr>
            <w:tcW w:w="107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tcPr>
          <w:p w14:paraId="18183D09" w14:textId="549EF87F" w:rsidR="0000418D" w:rsidRPr="00863548" w:rsidRDefault="0000418D" w:rsidP="00863548">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High</w:t>
            </w:r>
          </w:p>
        </w:tc>
        <w:tc>
          <w:tcPr>
            <w:tcW w:w="107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tcPr>
          <w:p w14:paraId="5774FBAC" w14:textId="367249A4" w:rsidR="0000418D" w:rsidRPr="00863548" w:rsidRDefault="0000418D" w:rsidP="00863548">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High</w:t>
            </w:r>
          </w:p>
        </w:tc>
      </w:tr>
      <w:tr w:rsidR="0000418D" w:rsidRPr="00863548" w14:paraId="1D37EDFF" w14:textId="3DE7E700" w:rsidTr="00AD0FA5">
        <w:trPr>
          <w:trHeight w:val="300"/>
        </w:trPr>
        <w:tc>
          <w:tcPr>
            <w:tcW w:w="71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tcPr>
          <w:p w14:paraId="5127AB8E" w14:textId="6DB65FE3" w:rsidR="0000418D" w:rsidRPr="00863548" w:rsidRDefault="00863548" w:rsidP="00863548">
            <w:pPr>
              <w:spacing w:before="120" w:after="120"/>
              <w:jc w:val="center"/>
              <w:rPr>
                <w:rFonts w:eastAsia="Times New Roman" w:cs="Arial"/>
                <w:color w:val="000000"/>
                <w:sz w:val="18"/>
                <w:szCs w:val="18"/>
                <w:lang w:val="en-US"/>
              </w:rPr>
            </w:pPr>
            <w:r>
              <w:rPr>
                <w:rFonts w:eastAsia="Times New Roman" w:cs="Arial"/>
                <w:color w:val="000000"/>
                <w:sz w:val="18"/>
                <w:szCs w:val="18"/>
                <w:lang w:val="en-US"/>
              </w:rPr>
              <w:t>C</w:t>
            </w:r>
            <w:r w:rsidR="0000418D" w:rsidRPr="00863548">
              <w:rPr>
                <w:rFonts w:eastAsia="Times New Roman" w:cs="Arial"/>
                <w:color w:val="000000"/>
                <w:sz w:val="18"/>
                <w:szCs w:val="18"/>
                <w:lang w:val="en-US"/>
              </w:rPr>
              <w:t>2</w:t>
            </w:r>
          </w:p>
        </w:tc>
        <w:tc>
          <w:tcPr>
            <w:tcW w:w="107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tcPr>
          <w:p w14:paraId="79ED3C87" w14:textId="469B5676" w:rsidR="0000418D" w:rsidRPr="00863548" w:rsidRDefault="0000418D" w:rsidP="00863548">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High</w:t>
            </w:r>
          </w:p>
        </w:tc>
        <w:tc>
          <w:tcPr>
            <w:tcW w:w="107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tcPr>
          <w:p w14:paraId="489ADD62" w14:textId="2CD3C14D" w:rsidR="0000418D" w:rsidRPr="00863548" w:rsidRDefault="0000418D" w:rsidP="00863548">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High</w:t>
            </w:r>
          </w:p>
        </w:tc>
        <w:tc>
          <w:tcPr>
            <w:tcW w:w="107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tcPr>
          <w:p w14:paraId="59EE5D1B" w14:textId="71B007C3" w:rsidR="0000418D" w:rsidRPr="00863548" w:rsidRDefault="0000418D" w:rsidP="00863548">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Moderate</w:t>
            </w:r>
          </w:p>
        </w:tc>
        <w:tc>
          <w:tcPr>
            <w:tcW w:w="107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tcPr>
          <w:p w14:paraId="0495CBF6" w14:textId="534F8227" w:rsidR="0000418D" w:rsidRPr="00863548" w:rsidRDefault="0000418D" w:rsidP="00863548">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Low</w:t>
            </w:r>
          </w:p>
        </w:tc>
      </w:tr>
      <w:tr w:rsidR="0000418D" w:rsidRPr="00863548" w14:paraId="57504AA8" w14:textId="01BE517F" w:rsidTr="00AD0FA5">
        <w:trPr>
          <w:trHeight w:val="300"/>
        </w:trPr>
        <w:tc>
          <w:tcPr>
            <w:tcW w:w="71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tcPr>
          <w:p w14:paraId="133202B4" w14:textId="08896A99" w:rsidR="0000418D" w:rsidRPr="00863548" w:rsidRDefault="00863548" w:rsidP="00863548">
            <w:pPr>
              <w:spacing w:before="120" w:after="120"/>
              <w:jc w:val="center"/>
              <w:rPr>
                <w:rFonts w:eastAsia="Times New Roman" w:cs="Arial"/>
                <w:color w:val="000000"/>
                <w:sz w:val="18"/>
                <w:szCs w:val="18"/>
                <w:lang w:val="en-US"/>
              </w:rPr>
            </w:pPr>
            <w:r>
              <w:rPr>
                <w:rFonts w:eastAsia="Times New Roman" w:cs="Arial"/>
                <w:color w:val="000000"/>
                <w:sz w:val="18"/>
                <w:szCs w:val="18"/>
                <w:lang w:val="en-US"/>
              </w:rPr>
              <w:t>C</w:t>
            </w:r>
            <w:r w:rsidR="0000418D" w:rsidRPr="00863548">
              <w:rPr>
                <w:rFonts w:eastAsia="Times New Roman" w:cs="Arial"/>
                <w:color w:val="000000"/>
                <w:sz w:val="18"/>
                <w:szCs w:val="18"/>
                <w:lang w:val="en-US"/>
              </w:rPr>
              <w:t>3</w:t>
            </w:r>
          </w:p>
        </w:tc>
        <w:tc>
          <w:tcPr>
            <w:tcW w:w="107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tcPr>
          <w:p w14:paraId="009E6333" w14:textId="0D442B43" w:rsidR="0000418D" w:rsidRPr="00863548" w:rsidRDefault="0000418D" w:rsidP="00863548">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Moderate</w:t>
            </w:r>
          </w:p>
        </w:tc>
        <w:tc>
          <w:tcPr>
            <w:tcW w:w="107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tcPr>
          <w:p w14:paraId="461DB4BD" w14:textId="52AB6876" w:rsidR="0000418D" w:rsidRPr="00863548" w:rsidRDefault="0000418D" w:rsidP="00863548">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Moderate</w:t>
            </w:r>
          </w:p>
        </w:tc>
        <w:tc>
          <w:tcPr>
            <w:tcW w:w="107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tcPr>
          <w:p w14:paraId="6F75412D" w14:textId="0926A5B3" w:rsidR="0000418D" w:rsidRPr="00863548" w:rsidRDefault="0000418D" w:rsidP="00863548">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Low</w:t>
            </w:r>
          </w:p>
        </w:tc>
        <w:tc>
          <w:tcPr>
            <w:tcW w:w="107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9D9D9" w:themeFill="background2" w:themeFillShade="D9"/>
          </w:tcPr>
          <w:p w14:paraId="7D49204B" w14:textId="1CA0F5AF" w:rsidR="0000418D" w:rsidRPr="00863548" w:rsidRDefault="0000418D" w:rsidP="00863548">
            <w:pPr>
              <w:spacing w:before="120" w:after="120"/>
              <w:rPr>
                <w:rFonts w:eastAsia="Times New Roman" w:cs="Arial"/>
                <w:color w:val="000000"/>
                <w:sz w:val="18"/>
                <w:szCs w:val="18"/>
                <w:lang w:val="en-US"/>
              </w:rPr>
            </w:pPr>
          </w:p>
        </w:tc>
      </w:tr>
      <w:tr w:rsidR="0000418D" w:rsidRPr="00863548" w14:paraId="3F6BB3FD" w14:textId="7968CF10" w:rsidTr="00AD0FA5">
        <w:trPr>
          <w:trHeight w:val="300"/>
        </w:trPr>
        <w:tc>
          <w:tcPr>
            <w:tcW w:w="71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tcPr>
          <w:p w14:paraId="658DAE0B" w14:textId="1ACB2F0D" w:rsidR="0000418D" w:rsidRPr="00863548" w:rsidRDefault="00863548" w:rsidP="00863548">
            <w:pPr>
              <w:spacing w:before="120" w:after="120"/>
              <w:jc w:val="center"/>
              <w:rPr>
                <w:rFonts w:eastAsia="Times New Roman" w:cs="Arial"/>
                <w:color w:val="000000"/>
                <w:sz w:val="18"/>
                <w:szCs w:val="18"/>
                <w:lang w:val="en-US"/>
              </w:rPr>
            </w:pPr>
            <w:r>
              <w:rPr>
                <w:rFonts w:eastAsia="Times New Roman" w:cs="Arial"/>
                <w:color w:val="000000"/>
                <w:sz w:val="18"/>
                <w:szCs w:val="18"/>
                <w:lang w:val="en-US"/>
              </w:rPr>
              <w:t>C</w:t>
            </w:r>
            <w:r w:rsidR="0000418D" w:rsidRPr="00863548">
              <w:rPr>
                <w:rFonts w:eastAsia="Times New Roman" w:cs="Arial"/>
                <w:color w:val="000000"/>
                <w:sz w:val="18"/>
                <w:szCs w:val="18"/>
                <w:lang w:val="en-US"/>
              </w:rPr>
              <w:t>4</w:t>
            </w:r>
          </w:p>
        </w:tc>
        <w:tc>
          <w:tcPr>
            <w:tcW w:w="107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tcPr>
          <w:p w14:paraId="075ABF5B" w14:textId="3CAD52FA" w:rsidR="0000418D" w:rsidRPr="00863548" w:rsidRDefault="0000418D" w:rsidP="00863548">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Low</w:t>
            </w:r>
          </w:p>
        </w:tc>
        <w:tc>
          <w:tcPr>
            <w:tcW w:w="107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tcPr>
          <w:p w14:paraId="5B40E247" w14:textId="14D34745" w:rsidR="0000418D" w:rsidRPr="00863548" w:rsidRDefault="0000418D" w:rsidP="00863548">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Low</w:t>
            </w:r>
          </w:p>
        </w:tc>
        <w:tc>
          <w:tcPr>
            <w:tcW w:w="107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9D9D9" w:themeFill="background2" w:themeFillShade="D9"/>
          </w:tcPr>
          <w:p w14:paraId="713051BF" w14:textId="3BE1EB4E" w:rsidR="0000418D" w:rsidRPr="00863548" w:rsidRDefault="0000418D" w:rsidP="00863548">
            <w:pPr>
              <w:spacing w:before="120" w:after="120"/>
              <w:rPr>
                <w:rFonts w:eastAsia="Times New Roman" w:cs="Arial"/>
                <w:color w:val="000000"/>
                <w:sz w:val="18"/>
                <w:szCs w:val="18"/>
                <w:lang w:val="en-US"/>
              </w:rPr>
            </w:pPr>
          </w:p>
        </w:tc>
        <w:tc>
          <w:tcPr>
            <w:tcW w:w="107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9D9D9" w:themeFill="background2" w:themeFillShade="D9"/>
          </w:tcPr>
          <w:p w14:paraId="44DC8648" w14:textId="65FDEFB2" w:rsidR="0000418D" w:rsidRPr="00863548" w:rsidRDefault="0000418D" w:rsidP="00863548">
            <w:pPr>
              <w:spacing w:before="120" w:after="120"/>
              <w:rPr>
                <w:rFonts w:eastAsia="Times New Roman" w:cs="Arial"/>
                <w:color w:val="000000"/>
                <w:sz w:val="18"/>
                <w:szCs w:val="18"/>
                <w:lang w:val="en-US"/>
              </w:rPr>
            </w:pPr>
          </w:p>
        </w:tc>
      </w:tr>
      <w:tr w:rsidR="0000418D" w:rsidRPr="00863548" w14:paraId="3CCAE999" w14:textId="5B186088" w:rsidTr="00AD0FA5">
        <w:trPr>
          <w:trHeight w:val="300"/>
        </w:trPr>
        <w:tc>
          <w:tcPr>
            <w:tcW w:w="71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tcPr>
          <w:p w14:paraId="2C6F3DAD" w14:textId="7FD8B36D" w:rsidR="0000418D" w:rsidRPr="00863548" w:rsidRDefault="00863548" w:rsidP="00863548">
            <w:pPr>
              <w:spacing w:before="120" w:after="120"/>
              <w:jc w:val="center"/>
              <w:rPr>
                <w:rFonts w:eastAsia="Times New Roman" w:cs="Arial"/>
                <w:color w:val="000000"/>
                <w:sz w:val="18"/>
                <w:szCs w:val="18"/>
                <w:lang w:val="en-US"/>
              </w:rPr>
            </w:pPr>
            <w:r>
              <w:rPr>
                <w:rFonts w:eastAsia="Times New Roman" w:cs="Arial"/>
                <w:color w:val="000000"/>
                <w:sz w:val="18"/>
                <w:szCs w:val="18"/>
                <w:lang w:val="en-US"/>
              </w:rPr>
              <w:t>C</w:t>
            </w:r>
            <w:r w:rsidR="0000418D" w:rsidRPr="00863548">
              <w:rPr>
                <w:rFonts w:eastAsia="Times New Roman" w:cs="Arial"/>
                <w:color w:val="000000"/>
                <w:sz w:val="18"/>
                <w:szCs w:val="18"/>
                <w:lang w:val="en-US"/>
              </w:rPr>
              <w:t>5</w:t>
            </w:r>
          </w:p>
        </w:tc>
        <w:tc>
          <w:tcPr>
            <w:tcW w:w="107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tcPr>
          <w:p w14:paraId="429DDA42" w14:textId="59458ADE" w:rsidR="0000418D" w:rsidRPr="00863548" w:rsidRDefault="0000418D" w:rsidP="00863548">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Very Low</w:t>
            </w:r>
          </w:p>
        </w:tc>
        <w:tc>
          <w:tcPr>
            <w:tcW w:w="107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9D9D9" w:themeFill="background2" w:themeFillShade="D9"/>
          </w:tcPr>
          <w:p w14:paraId="1A34F175" w14:textId="414EFE1C" w:rsidR="0000418D" w:rsidRPr="00863548" w:rsidRDefault="0000418D" w:rsidP="00863548">
            <w:pPr>
              <w:spacing w:before="120" w:after="120"/>
              <w:rPr>
                <w:rFonts w:eastAsia="Times New Roman" w:cs="Arial"/>
                <w:color w:val="000000"/>
                <w:sz w:val="18"/>
                <w:szCs w:val="18"/>
                <w:lang w:val="en-US"/>
              </w:rPr>
            </w:pPr>
          </w:p>
        </w:tc>
        <w:tc>
          <w:tcPr>
            <w:tcW w:w="107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9D9D9" w:themeFill="background2" w:themeFillShade="D9"/>
          </w:tcPr>
          <w:p w14:paraId="1C6E6CE5" w14:textId="650CDF48" w:rsidR="0000418D" w:rsidRPr="00863548" w:rsidRDefault="0000418D" w:rsidP="00863548">
            <w:pPr>
              <w:spacing w:before="120" w:after="120"/>
              <w:rPr>
                <w:rFonts w:eastAsia="Times New Roman" w:cs="Arial"/>
                <w:color w:val="000000"/>
                <w:sz w:val="18"/>
                <w:szCs w:val="18"/>
                <w:lang w:val="en-US"/>
              </w:rPr>
            </w:pPr>
          </w:p>
        </w:tc>
        <w:tc>
          <w:tcPr>
            <w:tcW w:w="107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9D9D9" w:themeFill="background2" w:themeFillShade="D9"/>
          </w:tcPr>
          <w:p w14:paraId="513C1C38" w14:textId="59E1778C" w:rsidR="0000418D" w:rsidRPr="00863548" w:rsidRDefault="0000418D" w:rsidP="00863548">
            <w:pPr>
              <w:spacing w:before="120" w:after="120"/>
              <w:rPr>
                <w:rFonts w:eastAsia="Times New Roman" w:cs="Arial"/>
                <w:color w:val="000000"/>
                <w:sz w:val="18"/>
                <w:szCs w:val="18"/>
                <w:lang w:val="en-US"/>
              </w:rPr>
            </w:pPr>
          </w:p>
        </w:tc>
      </w:tr>
    </w:tbl>
    <w:p w14:paraId="39DE2EA1" w14:textId="77777777" w:rsidR="00863548" w:rsidRDefault="00863548"/>
    <w:p w14:paraId="0B4A4A3C" w14:textId="073A09E3" w:rsidR="00884B95" w:rsidRDefault="00884B95">
      <w:r>
        <w:t xml:space="preserve">The method for determining the MDC-based GUI bundle variants comprehensively assesses all possible variant candidates and applies a set of criteria to shortlist the variant candidates and select a best-performing candidate as the final variant. </w:t>
      </w:r>
      <w:r w:rsidR="007F4EB6">
        <w:t xml:space="preserve">The method is similar to the approach applied in the splitting of Adjacent DRGs into DRGs within the development of the AR-DRG classification. </w:t>
      </w:r>
      <w:r>
        <w:t>The following section details the method.</w:t>
      </w:r>
    </w:p>
    <w:p w14:paraId="07F22F23" w14:textId="62295E3E" w:rsidR="00884B95" w:rsidRDefault="00884B95" w:rsidP="00884B95">
      <w:pPr>
        <w:pStyle w:val="Heading4"/>
        <w:numPr>
          <w:ilvl w:val="0"/>
          <w:numId w:val="0"/>
        </w:numPr>
        <w:ind w:left="864" w:hanging="864"/>
      </w:pPr>
      <w:r>
        <w:t xml:space="preserve">Method for selecting MDC-based </w:t>
      </w:r>
      <w:r w:rsidR="0012539C">
        <w:t xml:space="preserve">GUI </w:t>
      </w:r>
      <w:r>
        <w:t>bundle variants</w:t>
      </w:r>
    </w:p>
    <w:p w14:paraId="072AABFF" w14:textId="6E64F6C0" w:rsidR="00884B95" w:rsidRDefault="00884B95" w:rsidP="00884B95">
      <w:r>
        <w:t xml:space="preserve">For a given GUI product class, its product bundle episodes are grouped by MDC, with MDCs 21A and 21B combined into a single </w:t>
      </w:r>
      <w:r w:rsidR="005E1763">
        <w:t>‘</w:t>
      </w:r>
      <w:r w:rsidR="005E1763" w:rsidRPr="005E1763">
        <w:t>Injuries, Poisoning and Toxic Effects of Drugs</w:t>
      </w:r>
      <w:r w:rsidR="005E1763">
        <w:t xml:space="preserve">’ </w:t>
      </w:r>
      <w:r>
        <w:t>group</w:t>
      </w:r>
      <w:r w:rsidR="005E1763">
        <w:t xml:space="preserve"> to pool the low sample sizes of 21A</w:t>
      </w:r>
      <w:r>
        <w:t xml:space="preserve">. MDC groups with less than 10 episodes </w:t>
      </w:r>
      <w:r w:rsidR="00983BDC">
        <w:t xml:space="preserve">for the given product bundle </w:t>
      </w:r>
      <w:r>
        <w:t>are excluded, and the remaining MDC groups are ranked in descending order of average benefits per episode.</w:t>
      </w:r>
    </w:p>
    <w:p w14:paraId="4EB54B3F" w14:textId="15D9D8F2" w:rsidR="00884B95" w:rsidRDefault="00884B95" w:rsidP="00884B95">
      <w:r>
        <w:t>The ordered MDC groups are then split into a ‘high MDC’ collection and a ‘low MDC’ collection. This is done for all possible split points across the ordered MDC</w:t>
      </w:r>
      <w:r w:rsidR="00357AD8">
        <w:t>s</w:t>
      </w:r>
      <w:r>
        <w:t>. For each high/low split, the corresponding product bundle episodes are pooled within their respective collections to form a single candidate comprising two MDC bundle</w:t>
      </w:r>
      <w:r w:rsidR="00003A6F">
        <w:t xml:space="preserve"> variants</w:t>
      </w:r>
      <w:r>
        <w:t xml:space="preserve"> – a ‘high MDC </w:t>
      </w:r>
      <w:r w:rsidR="00357AD8">
        <w:t xml:space="preserve">grouping’ </w:t>
      </w:r>
      <w:r>
        <w:t xml:space="preserve">bundle variant and a ‘low MDC </w:t>
      </w:r>
      <w:r w:rsidR="00357AD8">
        <w:t xml:space="preserve">grouping’ </w:t>
      </w:r>
      <w:r>
        <w:t xml:space="preserve">bundle variant. This process results in a </w:t>
      </w:r>
      <w:r w:rsidR="00357AD8">
        <w:t>collection</w:t>
      </w:r>
      <w:r>
        <w:t xml:space="preserve"> of </w:t>
      </w:r>
      <w:r w:rsidR="00FC19D0">
        <w:t>two</w:t>
      </w:r>
      <w:r>
        <w:t>-variant</w:t>
      </w:r>
      <w:r w:rsidR="00357AD8">
        <w:t xml:space="preserve"> (high/low)</w:t>
      </w:r>
      <w:r>
        <w:t xml:space="preserve"> candidates for the selected </w:t>
      </w:r>
      <w:r w:rsidR="00357AD8">
        <w:t xml:space="preserve">GUI </w:t>
      </w:r>
      <w:r>
        <w:t>product class.</w:t>
      </w:r>
    </w:p>
    <w:p w14:paraId="1C148768" w14:textId="5BE40337" w:rsidR="00884B95" w:rsidRDefault="00884B95" w:rsidP="00884B95">
      <w:r>
        <w:t xml:space="preserve">The above process is repeated with </w:t>
      </w:r>
      <w:r w:rsidR="00FC19D0">
        <w:t xml:space="preserve">the ordered MDCs split into further groups </w:t>
      </w:r>
      <w:r>
        <w:t xml:space="preserve">to define all possible </w:t>
      </w:r>
      <w:r w:rsidR="00FC19D0">
        <w:t>three</w:t>
      </w:r>
      <w:r>
        <w:t xml:space="preserve">-variant and </w:t>
      </w:r>
      <w:r w:rsidR="00FC19D0">
        <w:t>four</w:t>
      </w:r>
      <w:r w:rsidR="00FC19D0">
        <w:noBreakHyphen/>
      </w:r>
      <w:r>
        <w:t xml:space="preserve">variant candidates for each product class. Given the large size of the ‘A54 Staples and Tackers’ </w:t>
      </w:r>
      <w:r w:rsidR="00FC19D0">
        <w:t xml:space="preserve">GUI </w:t>
      </w:r>
      <w:r>
        <w:t xml:space="preserve">product class, the process was extended for this product class to also define all possible </w:t>
      </w:r>
      <w:r w:rsidR="00FC19D0">
        <w:t xml:space="preserve">five-variant </w:t>
      </w:r>
      <w:r>
        <w:t>candidates</w:t>
      </w:r>
      <w:r w:rsidR="00357AD8">
        <w:t xml:space="preserve"> from its set of ordered MDCs</w:t>
      </w:r>
      <w:r>
        <w:t>.</w:t>
      </w:r>
    </w:p>
    <w:p w14:paraId="50FC051B" w14:textId="114E6A37" w:rsidR="00FC19D0" w:rsidRDefault="00357AD8" w:rsidP="00884B95">
      <w:r>
        <w:t xml:space="preserve">These processes collectively </w:t>
      </w:r>
      <w:r w:rsidR="00884B95">
        <w:t>result</w:t>
      </w:r>
      <w:r w:rsidR="00BB0644">
        <w:t>ed</w:t>
      </w:r>
      <w:r w:rsidR="00884B95">
        <w:t xml:space="preserve"> in a total of 26,490 MDC</w:t>
      </w:r>
      <w:r w:rsidR="00FC19D0">
        <w:t>-based</w:t>
      </w:r>
      <w:r w:rsidR="00884B95">
        <w:t xml:space="preserve"> bundle variant candidates </w:t>
      </w:r>
      <w:r>
        <w:t xml:space="preserve">defined </w:t>
      </w:r>
      <w:r w:rsidR="00884B95">
        <w:t>across the 24</w:t>
      </w:r>
      <w:r w:rsidR="00FC19D0">
        <w:t xml:space="preserve"> GUI</w:t>
      </w:r>
      <w:r w:rsidR="00884B95">
        <w:t xml:space="preserve"> product classes.</w:t>
      </w:r>
      <w:r>
        <w:t xml:space="preserve"> </w:t>
      </w:r>
      <w:r w:rsidR="00884B95">
        <w:t xml:space="preserve">A range of statistics </w:t>
      </w:r>
      <w:r>
        <w:t xml:space="preserve">are then </w:t>
      </w:r>
      <w:r w:rsidR="00884B95">
        <w:t>calculated for each candidate, including:</w:t>
      </w:r>
    </w:p>
    <w:p w14:paraId="672CECB1" w14:textId="787ECFC1" w:rsidR="00FC19D0" w:rsidRDefault="00357AD8" w:rsidP="007102CA">
      <w:pPr>
        <w:pStyle w:val="ListParagraph"/>
        <w:numPr>
          <w:ilvl w:val="0"/>
          <w:numId w:val="7"/>
        </w:numPr>
      </w:pPr>
      <w:r>
        <w:t>Total bundle episodes for each variant</w:t>
      </w:r>
    </w:p>
    <w:p w14:paraId="610F522D" w14:textId="1D3ECB01" w:rsidR="00FC19D0" w:rsidRDefault="00357AD8" w:rsidP="007102CA">
      <w:pPr>
        <w:pStyle w:val="ListParagraph"/>
        <w:numPr>
          <w:ilvl w:val="0"/>
          <w:numId w:val="7"/>
        </w:numPr>
      </w:pPr>
      <w:r>
        <w:t xml:space="preserve">Total </w:t>
      </w:r>
      <w:r w:rsidR="00BB0644">
        <w:t>bundle</w:t>
      </w:r>
      <w:r>
        <w:t xml:space="preserve"> b</w:t>
      </w:r>
      <w:r w:rsidR="00884B95">
        <w:t xml:space="preserve">enefits </w:t>
      </w:r>
      <w:r>
        <w:t xml:space="preserve">for each </w:t>
      </w:r>
      <w:r w:rsidR="00884B95">
        <w:t>variant</w:t>
      </w:r>
    </w:p>
    <w:p w14:paraId="038DF41B" w14:textId="52A5161F" w:rsidR="00884B95" w:rsidRDefault="00884B95" w:rsidP="007102CA">
      <w:pPr>
        <w:pStyle w:val="ListParagraph"/>
        <w:numPr>
          <w:ilvl w:val="0"/>
          <w:numId w:val="7"/>
        </w:numPr>
      </w:pPr>
      <w:r>
        <w:t xml:space="preserve">Average benefits per episode </w:t>
      </w:r>
      <w:r w:rsidR="00357AD8">
        <w:t xml:space="preserve">for each </w:t>
      </w:r>
      <w:r>
        <w:t>variant</w:t>
      </w:r>
    </w:p>
    <w:p w14:paraId="59C8B469" w14:textId="5F7D0CC6" w:rsidR="00FC19D0" w:rsidRDefault="00FC19D0" w:rsidP="007102CA">
      <w:pPr>
        <w:pStyle w:val="ListParagraph"/>
        <w:numPr>
          <w:ilvl w:val="0"/>
          <w:numId w:val="7"/>
        </w:numPr>
      </w:pPr>
      <w:r>
        <w:t>R-Squared performance statistic associated with the candidate’s prediction of average benefits per episode.</w:t>
      </w:r>
    </w:p>
    <w:p w14:paraId="5BB9B00A" w14:textId="77777777" w:rsidR="003D72FB" w:rsidRDefault="003D72FB" w:rsidP="00884B95">
      <w:r>
        <w:t>C</w:t>
      </w:r>
      <w:r w:rsidR="00884B95">
        <w:t xml:space="preserve">andidates </w:t>
      </w:r>
      <w:r>
        <w:t xml:space="preserve">are then excluded </w:t>
      </w:r>
      <w:r w:rsidR="00884B95">
        <w:t xml:space="preserve">if they </w:t>
      </w:r>
      <w:r>
        <w:t xml:space="preserve">do </w:t>
      </w:r>
      <w:r w:rsidR="00884B95">
        <w:t>not meet all of the following criteria:</w:t>
      </w:r>
    </w:p>
    <w:p w14:paraId="2BA88300" w14:textId="6DB9381F" w:rsidR="003D72FB" w:rsidRDefault="00884B95" w:rsidP="007102CA">
      <w:pPr>
        <w:pStyle w:val="ListParagraph"/>
        <w:numPr>
          <w:ilvl w:val="0"/>
          <w:numId w:val="16"/>
        </w:numPr>
      </w:pPr>
      <w:r>
        <w:lastRenderedPageBreak/>
        <w:t>Each of the variant</w:t>
      </w:r>
      <w:r w:rsidR="003D72FB">
        <w:t>s</w:t>
      </w:r>
      <w:r>
        <w:t xml:space="preserve"> must contain at least 100 </w:t>
      </w:r>
      <w:r w:rsidR="003D72FB">
        <w:t xml:space="preserve">bundle </w:t>
      </w:r>
      <w:r>
        <w:t>episodes</w:t>
      </w:r>
    </w:p>
    <w:p w14:paraId="6FD3B53C" w14:textId="7F7CC07B" w:rsidR="003D72FB" w:rsidRDefault="00884B95" w:rsidP="007102CA">
      <w:pPr>
        <w:pStyle w:val="ListParagraph"/>
        <w:numPr>
          <w:ilvl w:val="0"/>
          <w:numId w:val="16"/>
        </w:numPr>
      </w:pPr>
      <w:r>
        <w:t>Each of the variant</w:t>
      </w:r>
      <w:r w:rsidR="003D72FB">
        <w:t>s</w:t>
      </w:r>
      <w:r>
        <w:t xml:space="preserve"> must contain at least $100,000 in </w:t>
      </w:r>
      <w:r w:rsidR="003D72FB">
        <w:t xml:space="preserve">bundle </w:t>
      </w:r>
      <w:r>
        <w:t>benefits</w:t>
      </w:r>
    </w:p>
    <w:p w14:paraId="548044C2" w14:textId="51380ECD" w:rsidR="003D72FB" w:rsidRDefault="00884B95" w:rsidP="007102CA">
      <w:pPr>
        <w:pStyle w:val="ListParagraph"/>
        <w:numPr>
          <w:ilvl w:val="0"/>
          <w:numId w:val="16"/>
        </w:numPr>
      </w:pPr>
      <w:r>
        <w:t>Each of the variant</w:t>
      </w:r>
      <w:r w:rsidR="003D72FB">
        <w:t>s</w:t>
      </w:r>
      <w:r>
        <w:t xml:space="preserve"> must contain at least 1 per cent of total bundle episodes</w:t>
      </w:r>
      <w:r w:rsidR="003D72FB">
        <w:t xml:space="preserve"> of its associated GUI product bundle</w:t>
      </w:r>
    </w:p>
    <w:p w14:paraId="337291AB" w14:textId="3BBBEEC0" w:rsidR="003D72FB" w:rsidRDefault="00884B95" w:rsidP="007102CA">
      <w:pPr>
        <w:pStyle w:val="ListParagraph"/>
        <w:numPr>
          <w:ilvl w:val="0"/>
          <w:numId w:val="16"/>
        </w:numPr>
      </w:pPr>
      <w:r>
        <w:t>Each of the variant</w:t>
      </w:r>
      <w:r w:rsidR="003D72FB">
        <w:t>s</w:t>
      </w:r>
      <w:r>
        <w:t xml:space="preserve"> must contain at least 1 per cent of total benefits</w:t>
      </w:r>
      <w:r w:rsidR="003D72FB">
        <w:t xml:space="preserve"> of its associated GUI product class</w:t>
      </w:r>
    </w:p>
    <w:p w14:paraId="0147BBE3" w14:textId="3068423D" w:rsidR="003D72FB" w:rsidRDefault="00884B95" w:rsidP="007102CA">
      <w:pPr>
        <w:pStyle w:val="ListParagraph"/>
        <w:numPr>
          <w:ilvl w:val="0"/>
          <w:numId w:val="16"/>
        </w:numPr>
      </w:pPr>
      <w:r>
        <w:t xml:space="preserve">The </w:t>
      </w:r>
      <w:r w:rsidR="00983BDC">
        <w:t xml:space="preserve">difference </w:t>
      </w:r>
      <w:r>
        <w:t xml:space="preserve">in </w:t>
      </w:r>
      <w:r w:rsidR="00983BDC">
        <w:t xml:space="preserve">average </w:t>
      </w:r>
      <w:r>
        <w:t xml:space="preserve">benefit per episode between </w:t>
      </w:r>
      <w:r w:rsidR="003D72FB">
        <w:t xml:space="preserve">ordered </w:t>
      </w:r>
      <w:r>
        <w:t>variant</w:t>
      </w:r>
      <w:r w:rsidR="003D72FB">
        <w:t xml:space="preserve">s </w:t>
      </w:r>
      <w:r>
        <w:t>must be at least $25</w:t>
      </w:r>
    </w:p>
    <w:p w14:paraId="3A6E79D5" w14:textId="18F47583" w:rsidR="003D72FB" w:rsidRDefault="00884B95" w:rsidP="007102CA">
      <w:pPr>
        <w:pStyle w:val="ListParagraph"/>
        <w:numPr>
          <w:ilvl w:val="0"/>
          <w:numId w:val="16"/>
        </w:numPr>
      </w:pPr>
      <w:r>
        <w:t xml:space="preserve">If the </w:t>
      </w:r>
      <w:r w:rsidR="00983BDC">
        <w:t>difference in average</w:t>
      </w:r>
      <w:r>
        <w:t xml:space="preserve"> benefit per episode between </w:t>
      </w:r>
      <w:r w:rsidR="003D72FB">
        <w:t xml:space="preserve">ordered </w:t>
      </w:r>
      <w:r>
        <w:t>variant</w:t>
      </w:r>
      <w:r w:rsidR="003D72FB">
        <w:t>s</w:t>
      </w:r>
      <w:r>
        <w:t xml:space="preserve"> is less than $50, then this </w:t>
      </w:r>
      <w:r w:rsidR="00983BDC">
        <w:t>difference</w:t>
      </w:r>
      <w:r>
        <w:t xml:space="preserve"> must represent a relative change of at least 10 per cent</w:t>
      </w:r>
    </w:p>
    <w:p w14:paraId="0E36984A" w14:textId="68D9822D" w:rsidR="003D72FB" w:rsidRDefault="00884B95" w:rsidP="007102CA">
      <w:pPr>
        <w:pStyle w:val="ListParagraph"/>
        <w:numPr>
          <w:ilvl w:val="0"/>
          <w:numId w:val="16"/>
        </w:numPr>
      </w:pPr>
      <w:r>
        <w:t xml:space="preserve">If the </w:t>
      </w:r>
      <w:r w:rsidR="00983BDC">
        <w:t>difference in average</w:t>
      </w:r>
      <w:r>
        <w:t xml:space="preserve"> benefit per episode between </w:t>
      </w:r>
      <w:r w:rsidR="003D72FB">
        <w:t xml:space="preserve">ordered </w:t>
      </w:r>
      <w:r>
        <w:t>variant</w:t>
      </w:r>
      <w:r w:rsidR="003D72FB">
        <w:t>s</w:t>
      </w:r>
      <w:r>
        <w:t xml:space="preserve"> is greater than or equal to $50, then this </w:t>
      </w:r>
      <w:r w:rsidR="00983BDC">
        <w:t>difference</w:t>
      </w:r>
      <w:r>
        <w:t xml:space="preserve"> must represent a relative </w:t>
      </w:r>
      <w:r w:rsidR="00983BDC">
        <w:t>difference</w:t>
      </w:r>
      <w:r>
        <w:t xml:space="preserve"> of at least 5 per cent</w:t>
      </w:r>
    </w:p>
    <w:p w14:paraId="534DB987" w14:textId="64C952AD" w:rsidR="00884B95" w:rsidRDefault="00884B95" w:rsidP="007102CA">
      <w:pPr>
        <w:pStyle w:val="ListParagraph"/>
        <w:numPr>
          <w:ilvl w:val="0"/>
          <w:numId w:val="16"/>
        </w:numPr>
      </w:pPr>
      <w:r>
        <w:t xml:space="preserve">The </w:t>
      </w:r>
      <w:r w:rsidR="003D72FB">
        <w:t>candidate’s</w:t>
      </w:r>
      <w:r>
        <w:t xml:space="preserve"> R-Squared performance statistic must be at least </w:t>
      </w:r>
      <w:r w:rsidR="00983BDC">
        <w:t>0.01 (i.e. 1</w:t>
      </w:r>
      <w:r>
        <w:t xml:space="preserve"> per cent</w:t>
      </w:r>
      <w:r w:rsidR="00983BDC">
        <w:t>)</w:t>
      </w:r>
      <w:r w:rsidR="003D72FB">
        <w:t>.</w:t>
      </w:r>
    </w:p>
    <w:p w14:paraId="67D341CA" w14:textId="20841DA3" w:rsidR="00884B95" w:rsidRDefault="00884B95" w:rsidP="00884B95">
      <w:r>
        <w:t xml:space="preserve">The final </w:t>
      </w:r>
      <w:r w:rsidR="003D72FB">
        <w:t xml:space="preserve">MDC-based </w:t>
      </w:r>
      <w:r>
        <w:t>bundle variant</w:t>
      </w:r>
      <w:r w:rsidR="003D72FB">
        <w:t>s</w:t>
      </w:r>
      <w:r>
        <w:t xml:space="preserve"> for each </w:t>
      </w:r>
      <w:r w:rsidR="003D72FB">
        <w:t xml:space="preserve">GUI </w:t>
      </w:r>
      <w:r>
        <w:t xml:space="preserve">product class is defined </w:t>
      </w:r>
      <w:r w:rsidR="003D72FB">
        <w:t xml:space="preserve">from the short-listed candidates </w:t>
      </w:r>
      <w:r>
        <w:t>as the candidate with the greatest R-Squared statistic. In cases where the criteria exclude</w:t>
      </w:r>
      <w:r w:rsidR="00A8259D">
        <w:t>s</w:t>
      </w:r>
      <w:r>
        <w:t xml:space="preserve"> all candidates associated with a </w:t>
      </w:r>
      <w:r w:rsidR="003D72FB">
        <w:t xml:space="preserve">GUI </w:t>
      </w:r>
      <w:r>
        <w:t xml:space="preserve">product class, then the final </w:t>
      </w:r>
      <w:r w:rsidR="003D72FB">
        <w:t xml:space="preserve">MDC-based </w:t>
      </w:r>
      <w:r>
        <w:t xml:space="preserve">bundle variant </w:t>
      </w:r>
      <w:r w:rsidR="00A8259D">
        <w:t xml:space="preserve">for that product class </w:t>
      </w:r>
      <w:r>
        <w:t xml:space="preserve">is defined </w:t>
      </w:r>
      <w:r w:rsidR="003D72FB">
        <w:t xml:space="preserve">to </w:t>
      </w:r>
      <w:r w:rsidR="00A8259D">
        <w:t xml:space="preserve">be </w:t>
      </w:r>
      <w:r>
        <w:t>the product bundle</w:t>
      </w:r>
      <w:r w:rsidR="00A8259D">
        <w:t xml:space="preserve"> of that product class</w:t>
      </w:r>
      <w:r w:rsidR="003D72FB">
        <w:t xml:space="preserve">; that is, in these cases, the product bundle is not split into </w:t>
      </w:r>
      <w:r w:rsidR="00A8259D">
        <w:t xml:space="preserve">MDC-based </w:t>
      </w:r>
      <w:r w:rsidR="003D72FB">
        <w:t>sub-bundles.</w:t>
      </w:r>
    </w:p>
    <w:p w14:paraId="5DE5ACC0" w14:textId="4ACB022B" w:rsidR="00753D7F" w:rsidRDefault="00753D7F" w:rsidP="00884B95">
      <w:r>
        <w:t>Given a final set of MDC-based bundle variants for a GUI product class, there may be MDCs unassigned to a variant due to low sample size (i.e. if there are no bundle episodes for an MDC or the MDC is excluded in the initial stage due to having less than 10 bundle episodes). In these cases, the unassigned MDCs are assigned to the bundle variant with an average benefits per episode closest in value to the average benefit per episode of the overarching product bundle.</w:t>
      </w:r>
    </w:p>
    <w:p w14:paraId="071B9F08" w14:textId="41DB9371" w:rsidR="00753D7F" w:rsidRDefault="00753D7F" w:rsidP="00884B95">
      <w:r>
        <w:t>Finally,</w:t>
      </w:r>
      <w:r w:rsidR="00A8259D">
        <w:t xml:space="preserve"> for completeness,</w:t>
      </w:r>
      <w:r>
        <w:t xml:space="preserve"> the MDC representing error DRGs is assigned to the lowest MDC variant of each GUI product class.</w:t>
      </w:r>
    </w:p>
    <w:p w14:paraId="183AB00F" w14:textId="5434B5C3" w:rsidR="00C94F8F" w:rsidRDefault="00C94F8F" w:rsidP="00C94F8F">
      <w:r>
        <w:fldChar w:fldCharType="begin"/>
      </w:r>
      <w:r>
        <w:instrText xml:space="preserve"> REF _Ref119503178 \h </w:instrText>
      </w:r>
      <w:r>
        <w:fldChar w:fldCharType="separate"/>
      </w:r>
      <w:r w:rsidR="00106CD4">
        <w:t xml:space="preserve">Table </w:t>
      </w:r>
      <w:r w:rsidR="00106CD4">
        <w:rPr>
          <w:noProof/>
        </w:rPr>
        <w:t>7</w:t>
      </w:r>
      <w:r>
        <w:fldChar w:fldCharType="end"/>
      </w:r>
      <w:r>
        <w:t xml:space="preserve"> provides an illustration of MDC-based GUI bundle variants for the ‘A11 - Infusion Pumps, Balloon Based’ GUI product class.</w:t>
      </w:r>
    </w:p>
    <w:p w14:paraId="61BA4D03" w14:textId="1FD2920E" w:rsidR="0051700D" w:rsidRDefault="00A8259D" w:rsidP="00C94F8F">
      <w:r>
        <w:t>The complete d</w:t>
      </w:r>
      <w:r w:rsidRPr="00A8259D">
        <w:t xml:space="preserve">efinition of </w:t>
      </w:r>
      <w:r>
        <w:t>MDC</w:t>
      </w:r>
      <w:r w:rsidRPr="00A8259D">
        <w:t xml:space="preserve"> </w:t>
      </w:r>
      <w:r>
        <w:t>g</w:t>
      </w:r>
      <w:r w:rsidRPr="00A8259D">
        <w:t xml:space="preserve">roupings </w:t>
      </w:r>
      <w:r>
        <w:t xml:space="preserve">across all GUI product classes is provided at Table A4 of </w:t>
      </w:r>
      <w:r>
        <w:fldChar w:fldCharType="begin"/>
      </w:r>
      <w:r>
        <w:instrText xml:space="preserve"> REF _Ref119848406 \h </w:instrText>
      </w:r>
      <w:r>
        <w:fldChar w:fldCharType="separate"/>
      </w:r>
      <w:r w:rsidR="00106CD4" w:rsidRPr="008A5E4F">
        <w:t xml:space="preserve">Appendix A – </w:t>
      </w:r>
      <w:r w:rsidR="00106CD4">
        <w:t>Schedule of General Use Item Bundles</w:t>
      </w:r>
      <w:r>
        <w:fldChar w:fldCharType="end"/>
      </w:r>
      <w:r w:rsidR="00C94F8F">
        <w:t>.</w:t>
      </w:r>
    </w:p>
    <w:p w14:paraId="79543111" w14:textId="409DBECF" w:rsidR="002B0C8A" w:rsidRDefault="002B0C8A" w:rsidP="00B31EDD">
      <w:pPr>
        <w:pStyle w:val="Caption"/>
      </w:pPr>
      <w:bookmarkStart w:id="74" w:name="_Ref119503178"/>
      <w:r>
        <w:t xml:space="preserve">Table </w:t>
      </w:r>
      <w:fldSimple w:instr=" SEQ Table \* ARABIC ">
        <w:r w:rsidR="00106CD4">
          <w:rPr>
            <w:noProof/>
          </w:rPr>
          <w:t>7</w:t>
        </w:r>
      </w:fldSimple>
      <w:bookmarkEnd w:id="74"/>
      <w:r>
        <w:t xml:space="preserve">: </w:t>
      </w:r>
      <w:r w:rsidR="00C94F8F">
        <w:t xml:space="preserve">Illustration of </w:t>
      </w:r>
      <w:r>
        <w:t xml:space="preserve">MDC-based GUI </w:t>
      </w:r>
      <w:r w:rsidR="00C94F8F">
        <w:t>b</w:t>
      </w:r>
      <w:r>
        <w:t xml:space="preserve">undle </w:t>
      </w:r>
      <w:r w:rsidR="00C94F8F">
        <w:t>v</w:t>
      </w:r>
      <w:r>
        <w:t>ariants for ‘</w:t>
      </w:r>
      <w:r w:rsidR="00C94F8F">
        <w:t xml:space="preserve">A11 - </w:t>
      </w:r>
      <w:r>
        <w:t>Infusion Pumps, Balloon Based’</w:t>
      </w:r>
      <w:r w:rsidR="00C94F8F">
        <w:t xml:space="preserve"> GUI product class</w:t>
      </w:r>
    </w:p>
    <w:tbl>
      <w:tblPr>
        <w:tblW w:w="9776" w:type="dxa"/>
        <w:tblLayout w:type="fixed"/>
        <w:tblLook w:val="04A0" w:firstRow="1" w:lastRow="0" w:firstColumn="1" w:lastColumn="0" w:noHBand="0" w:noVBand="1"/>
        <w:tblDescription w:val="Table 7 has 5 columns demonstrating the Product Branch, Product Class, Variant Branch, Bundle Variant and MDC grouping for A1 Drug Delivery. "/>
      </w:tblPr>
      <w:tblGrid>
        <w:gridCol w:w="988"/>
        <w:gridCol w:w="1134"/>
        <w:gridCol w:w="1275"/>
        <w:gridCol w:w="851"/>
        <w:gridCol w:w="3969"/>
        <w:gridCol w:w="1559"/>
      </w:tblGrid>
      <w:tr w:rsidR="002B0C8A" w:rsidRPr="00863548" w14:paraId="745D954C" w14:textId="11D2F907" w:rsidTr="00AD0FA5">
        <w:trPr>
          <w:trHeight w:val="300"/>
        </w:trPr>
        <w:tc>
          <w:tcPr>
            <w:tcW w:w="988"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noWrap/>
            <w:vAlign w:val="center"/>
            <w:hideMark/>
          </w:tcPr>
          <w:p w14:paraId="2DEB6119" w14:textId="7217F9A8" w:rsidR="002B0C8A" w:rsidRPr="00863548" w:rsidRDefault="002B0C8A" w:rsidP="00E36361">
            <w:pPr>
              <w:spacing w:before="120" w:after="120"/>
              <w:jc w:val="center"/>
              <w:rPr>
                <w:rFonts w:eastAsia="Times New Roman" w:cs="Arial"/>
                <w:b/>
                <w:bCs/>
                <w:color w:val="FFFFFF" w:themeColor="background2"/>
                <w:sz w:val="18"/>
                <w:szCs w:val="18"/>
                <w:lang w:val="en-US"/>
              </w:rPr>
            </w:pPr>
            <w:r w:rsidRPr="00863548">
              <w:rPr>
                <w:rFonts w:eastAsia="Times New Roman" w:cs="Arial"/>
                <w:b/>
                <w:bCs/>
                <w:color w:val="FFFFFF" w:themeColor="background2"/>
                <w:sz w:val="18"/>
                <w:szCs w:val="18"/>
                <w:lang w:val="en-US"/>
              </w:rPr>
              <w:t xml:space="preserve">Product </w:t>
            </w:r>
            <w:r w:rsidR="00003A6F">
              <w:rPr>
                <w:rFonts w:eastAsia="Times New Roman" w:cs="Arial"/>
                <w:b/>
                <w:bCs/>
                <w:color w:val="FFFFFF" w:themeColor="background2"/>
                <w:sz w:val="18"/>
                <w:szCs w:val="18"/>
                <w:lang w:val="en-US"/>
              </w:rPr>
              <w:t>b</w:t>
            </w:r>
            <w:r w:rsidRPr="00863548">
              <w:rPr>
                <w:rFonts w:eastAsia="Times New Roman" w:cs="Arial"/>
                <w:b/>
                <w:bCs/>
                <w:color w:val="FFFFFF" w:themeColor="background2"/>
                <w:sz w:val="18"/>
                <w:szCs w:val="18"/>
                <w:lang w:val="en-US"/>
              </w:rPr>
              <w:t>ranch</w:t>
            </w:r>
          </w:p>
        </w:tc>
        <w:tc>
          <w:tcPr>
            <w:tcW w:w="1134" w:type="dxa"/>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noWrap/>
            <w:vAlign w:val="center"/>
            <w:hideMark/>
          </w:tcPr>
          <w:p w14:paraId="39F8C2BD" w14:textId="2EC006C6" w:rsidR="002B0C8A" w:rsidRPr="00863548" w:rsidRDefault="002B0C8A" w:rsidP="00E36361">
            <w:pPr>
              <w:spacing w:before="120" w:after="120"/>
              <w:jc w:val="center"/>
              <w:rPr>
                <w:rFonts w:eastAsia="Times New Roman" w:cs="Arial"/>
                <w:b/>
                <w:bCs/>
                <w:color w:val="FFFFFF" w:themeColor="background2"/>
                <w:sz w:val="18"/>
                <w:szCs w:val="18"/>
                <w:lang w:val="en-US"/>
              </w:rPr>
            </w:pPr>
            <w:r w:rsidRPr="00863548">
              <w:rPr>
                <w:rFonts w:eastAsia="Times New Roman" w:cs="Arial"/>
                <w:b/>
                <w:bCs/>
                <w:color w:val="FFFFFF" w:themeColor="background2"/>
                <w:sz w:val="18"/>
                <w:szCs w:val="18"/>
                <w:lang w:val="en-US"/>
              </w:rPr>
              <w:t xml:space="preserve">Product </w:t>
            </w:r>
            <w:r w:rsidR="00003A6F">
              <w:rPr>
                <w:rFonts w:eastAsia="Times New Roman" w:cs="Arial"/>
                <w:b/>
                <w:bCs/>
                <w:color w:val="FFFFFF" w:themeColor="background2"/>
                <w:sz w:val="18"/>
                <w:szCs w:val="18"/>
                <w:lang w:val="en-US"/>
              </w:rPr>
              <w:t>c</w:t>
            </w:r>
            <w:r w:rsidRPr="00863548">
              <w:rPr>
                <w:rFonts w:eastAsia="Times New Roman" w:cs="Arial"/>
                <w:b/>
                <w:bCs/>
                <w:color w:val="FFFFFF" w:themeColor="background2"/>
                <w:sz w:val="18"/>
                <w:szCs w:val="18"/>
                <w:lang w:val="en-US"/>
              </w:rPr>
              <w:t>lass</w:t>
            </w:r>
          </w:p>
        </w:tc>
        <w:tc>
          <w:tcPr>
            <w:tcW w:w="1275" w:type="dxa"/>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noWrap/>
            <w:vAlign w:val="center"/>
            <w:hideMark/>
          </w:tcPr>
          <w:p w14:paraId="1753B184" w14:textId="395FE2D7" w:rsidR="002B0C8A" w:rsidRPr="00863548" w:rsidRDefault="002B0C8A" w:rsidP="00E36361">
            <w:pPr>
              <w:spacing w:before="120" w:after="120"/>
              <w:jc w:val="center"/>
              <w:rPr>
                <w:rFonts w:eastAsia="Times New Roman" w:cs="Arial"/>
                <w:b/>
                <w:bCs/>
                <w:color w:val="FFFFFF" w:themeColor="background2"/>
                <w:sz w:val="18"/>
                <w:szCs w:val="18"/>
                <w:lang w:val="en-US"/>
              </w:rPr>
            </w:pPr>
            <w:r w:rsidRPr="00863548">
              <w:rPr>
                <w:rFonts w:eastAsia="Times New Roman" w:cs="Arial"/>
                <w:b/>
                <w:bCs/>
                <w:color w:val="FFFFFF" w:themeColor="background2"/>
                <w:sz w:val="18"/>
                <w:szCs w:val="18"/>
                <w:lang w:val="en-US"/>
              </w:rPr>
              <w:t xml:space="preserve">Variant </w:t>
            </w:r>
            <w:r w:rsidR="00003A6F">
              <w:rPr>
                <w:rFonts w:eastAsia="Times New Roman" w:cs="Arial"/>
                <w:b/>
                <w:bCs/>
                <w:color w:val="FFFFFF" w:themeColor="background2"/>
                <w:sz w:val="18"/>
                <w:szCs w:val="18"/>
                <w:lang w:val="en-US"/>
              </w:rPr>
              <w:t>b</w:t>
            </w:r>
            <w:r w:rsidRPr="00863548">
              <w:rPr>
                <w:rFonts w:eastAsia="Times New Roman" w:cs="Arial"/>
                <w:b/>
                <w:bCs/>
                <w:color w:val="FFFFFF" w:themeColor="background2"/>
                <w:sz w:val="18"/>
                <w:szCs w:val="18"/>
                <w:lang w:val="en-US"/>
              </w:rPr>
              <w:t>ranch</w:t>
            </w:r>
          </w:p>
        </w:tc>
        <w:tc>
          <w:tcPr>
            <w:tcW w:w="4820" w:type="dxa"/>
            <w:gridSpan w:val="2"/>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noWrap/>
            <w:vAlign w:val="center"/>
            <w:hideMark/>
          </w:tcPr>
          <w:p w14:paraId="00CDDB2A" w14:textId="7615A0F9" w:rsidR="002B0C8A" w:rsidRPr="00863548" w:rsidRDefault="002B0C8A" w:rsidP="00E36361">
            <w:pPr>
              <w:spacing w:before="120" w:after="120"/>
              <w:jc w:val="center"/>
              <w:rPr>
                <w:rFonts w:eastAsia="Times New Roman" w:cs="Arial"/>
                <w:b/>
                <w:bCs/>
                <w:color w:val="FFFFFF" w:themeColor="background2"/>
                <w:sz w:val="18"/>
                <w:szCs w:val="18"/>
                <w:lang w:val="en-US"/>
              </w:rPr>
            </w:pPr>
            <w:r w:rsidRPr="00863548">
              <w:rPr>
                <w:rFonts w:eastAsia="Times New Roman" w:cs="Arial"/>
                <w:b/>
                <w:bCs/>
                <w:color w:val="FFFFFF" w:themeColor="background2"/>
                <w:sz w:val="18"/>
                <w:szCs w:val="18"/>
                <w:lang w:val="en-US"/>
              </w:rPr>
              <w:t>Bundle</w:t>
            </w:r>
            <w:r w:rsidR="00003A6F">
              <w:rPr>
                <w:rFonts w:eastAsia="Times New Roman" w:cs="Arial"/>
                <w:b/>
                <w:bCs/>
                <w:color w:val="FFFFFF" w:themeColor="background2"/>
                <w:sz w:val="18"/>
                <w:szCs w:val="18"/>
                <w:lang w:val="en-US"/>
              </w:rPr>
              <w:t xml:space="preserve"> variant</w:t>
            </w:r>
          </w:p>
        </w:tc>
        <w:tc>
          <w:tcPr>
            <w:tcW w:w="1559" w:type="dxa"/>
            <w:tcBorders>
              <w:top w:val="single" w:sz="4" w:space="0" w:color="808080" w:themeColor="background2" w:themeShade="80"/>
              <w:left w:val="single" w:sz="4" w:space="0" w:color="FFFFFF" w:themeColor="background2"/>
              <w:bottom w:val="single" w:sz="4" w:space="0" w:color="808080" w:themeColor="background2" w:themeShade="80"/>
              <w:right w:val="single" w:sz="4" w:space="0" w:color="808080" w:themeColor="background2" w:themeShade="80"/>
            </w:tcBorders>
            <w:shd w:val="clear" w:color="auto" w:fill="104F99" w:themeFill="accent2"/>
            <w:vAlign w:val="center"/>
          </w:tcPr>
          <w:p w14:paraId="65A831CB" w14:textId="7EDB7E01" w:rsidR="002B0C8A" w:rsidRPr="00863548" w:rsidRDefault="00056A58" w:rsidP="00E36361">
            <w:pPr>
              <w:spacing w:before="120" w:after="120"/>
              <w:jc w:val="center"/>
              <w:rPr>
                <w:rFonts w:eastAsia="Times New Roman" w:cs="Arial"/>
                <w:b/>
                <w:bCs/>
                <w:color w:val="FFFFFF" w:themeColor="background2"/>
                <w:sz w:val="18"/>
                <w:szCs w:val="18"/>
                <w:lang w:val="en-US"/>
              </w:rPr>
            </w:pPr>
            <w:r>
              <w:rPr>
                <w:rFonts w:eastAsia="Times New Roman" w:cs="Arial"/>
                <w:b/>
                <w:bCs/>
                <w:color w:val="FFFFFF" w:themeColor="background2"/>
                <w:sz w:val="18"/>
                <w:szCs w:val="18"/>
                <w:lang w:val="en-US"/>
              </w:rPr>
              <w:t>MDC</w:t>
            </w:r>
            <w:r w:rsidR="00E36361">
              <w:rPr>
                <w:rFonts w:eastAsia="Times New Roman" w:cs="Arial"/>
                <w:b/>
                <w:bCs/>
                <w:color w:val="FFFFFF" w:themeColor="background2"/>
                <w:sz w:val="18"/>
                <w:szCs w:val="18"/>
                <w:lang w:val="en-US"/>
              </w:rPr>
              <w:t xml:space="preserve"> </w:t>
            </w:r>
            <w:r w:rsidR="00003A6F">
              <w:rPr>
                <w:rFonts w:eastAsia="Times New Roman" w:cs="Arial"/>
                <w:b/>
                <w:bCs/>
                <w:color w:val="FFFFFF" w:themeColor="background2"/>
                <w:sz w:val="18"/>
                <w:szCs w:val="18"/>
                <w:lang w:val="en-US"/>
              </w:rPr>
              <w:t>g</w:t>
            </w:r>
            <w:r w:rsidR="00E36361">
              <w:rPr>
                <w:rFonts w:eastAsia="Times New Roman" w:cs="Arial"/>
                <w:b/>
                <w:bCs/>
                <w:color w:val="FFFFFF" w:themeColor="background2"/>
                <w:sz w:val="18"/>
                <w:szCs w:val="18"/>
                <w:lang w:val="en-US"/>
              </w:rPr>
              <w:t>rouping</w:t>
            </w:r>
          </w:p>
        </w:tc>
      </w:tr>
      <w:tr w:rsidR="00056A58" w:rsidRPr="00863548" w14:paraId="4B937A32" w14:textId="008B380E" w:rsidTr="00AD0FA5">
        <w:trPr>
          <w:trHeight w:val="300"/>
        </w:trPr>
        <w:tc>
          <w:tcPr>
            <w:tcW w:w="988" w:type="dxa"/>
            <w:vMerge w:val="restar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60A94E08" w14:textId="77777777" w:rsidR="00056A58" w:rsidRDefault="00056A58" w:rsidP="00E36361">
            <w:pPr>
              <w:spacing w:before="120" w:after="120"/>
              <w:jc w:val="center"/>
              <w:rPr>
                <w:rFonts w:eastAsia="Times New Roman" w:cs="Arial"/>
                <w:color w:val="000000"/>
                <w:sz w:val="18"/>
                <w:szCs w:val="18"/>
                <w:lang w:val="en-US"/>
              </w:rPr>
            </w:pPr>
            <w:r w:rsidRPr="00863548">
              <w:rPr>
                <w:rFonts w:eastAsia="Times New Roman" w:cs="Arial"/>
                <w:color w:val="000000"/>
                <w:sz w:val="18"/>
                <w:szCs w:val="18"/>
                <w:lang w:val="en-US"/>
              </w:rPr>
              <w:t>A1</w:t>
            </w:r>
          </w:p>
          <w:p w14:paraId="390D690D" w14:textId="6BC4316F" w:rsidR="00056A58" w:rsidRPr="00863548" w:rsidRDefault="00056A58" w:rsidP="00E36361">
            <w:pPr>
              <w:spacing w:before="120" w:after="120"/>
              <w:jc w:val="center"/>
              <w:rPr>
                <w:rFonts w:eastAsia="Times New Roman" w:cs="Arial"/>
                <w:color w:val="000000"/>
                <w:sz w:val="18"/>
                <w:szCs w:val="18"/>
                <w:lang w:val="en-US"/>
              </w:rPr>
            </w:pPr>
            <w:r w:rsidRPr="00863548">
              <w:rPr>
                <w:rFonts w:eastAsia="Times New Roman" w:cs="Arial"/>
                <w:color w:val="000000"/>
                <w:sz w:val="18"/>
                <w:szCs w:val="18"/>
                <w:lang w:val="en-US"/>
              </w:rPr>
              <w:t>Drug Delivery</w:t>
            </w:r>
          </w:p>
        </w:tc>
        <w:tc>
          <w:tcPr>
            <w:tcW w:w="1134" w:type="dxa"/>
            <w:vMerge w:val="restar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16A2D69A" w14:textId="77777777" w:rsidR="00056A58" w:rsidRDefault="00056A58" w:rsidP="00E36361">
            <w:pPr>
              <w:spacing w:before="120" w:after="120"/>
              <w:jc w:val="center"/>
              <w:rPr>
                <w:rFonts w:eastAsia="Times New Roman" w:cs="Arial"/>
                <w:color w:val="000000"/>
                <w:sz w:val="18"/>
                <w:szCs w:val="18"/>
                <w:lang w:val="en-US"/>
              </w:rPr>
            </w:pPr>
            <w:r w:rsidRPr="00863548">
              <w:rPr>
                <w:rFonts w:eastAsia="Times New Roman" w:cs="Arial"/>
                <w:color w:val="000000"/>
                <w:sz w:val="18"/>
                <w:szCs w:val="18"/>
                <w:lang w:val="en-US"/>
              </w:rPr>
              <w:t>A11</w:t>
            </w:r>
          </w:p>
          <w:p w14:paraId="5283F276" w14:textId="1DF9E3BF" w:rsidR="00056A58" w:rsidRPr="00863548" w:rsidRDefault="00056A58" w:rsidP="00E36361">
            <w:pPr>
              <w:spacing w:before="120" w:after="120"/>
              <w:jc w:val="center"/>
              <w:rPr>
                <w:rFonts w:eastAsia="Times New Roman" w:cs="Arial"/>
                <w:color w:val="000000"/>
                <w:sz w:val="18"/>
                <w:szCs w:val="18"/>
                <w:lang w:val="en-US"/>
              </w:rPr>
            </w:pPr>
            <w:r w:rsidRPr="00863548">
              <w:rPr>
                <w:rFonts w:eastAsia="Times New Roman" w:cs="Arial"/>
                <w:color w:val="000000"/>
                <w:sz w:val="18"/>
                <w:szCs w:val="18"/>
                <w:lang w:val="en-US"/>
              </w:rPr>
              <w:t>Infusion Pumps, Balloon Based</w:t>
            </w:r>
          </w:p>
        </w:tc>
        <w:tc>
          <w:tcPr>
            <w:tcW w:w="1275" w:type="dxa"/>
            <w:vMerge w:val="restar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tcPr>
          <w:p w14:paraId="1D62F727" w14:textId="77777777" w:rsidR="00056A58" w:rsidRDefault="00056A58" w:rsidP="00E36361">
            <w:pPr>
              <w:spacing w:before="120" w:after="120"/>
              <w:jc w:val="center"/>
              <w:rPr>
                <w:rFonts w:eastAsia="Times New Roman" w:cs="Arial"/>
                <w:color w:val="000000"/>
                <w:sz w:val="18"/>
                <w:szCs w:val="18"/>
                <w:lang w:val="en-US"/>
              </w:rPr>
            </w:pPr>
            <w:r w:rsidRPr="00863548">
              <w:rPr>
                <w:rFonts w:eastAsia="Times New Roman" w:cs="Arial"/>
                <w:color w:val="000000"/>
                <w:sz w:val="18"/>
                <w:szCs w:val="18"/>
                <w:lang w:val="en-US"/>
              </w:rPr>
              <w:t>C</w:t>
            </w:r>
          </w:p>
          <w:p w14:paraId="3E817DA0" w14:textId="36956C27" w:rsidR="00056A58" w:rsidRPr="00863548" w:rsidRDefault="00056A58" w:rsidP="00E36361">
            <w:pPr>
              <w:spacing w:before="120" w:after="120"/>
              <w:jc w:val="center"/>
              <w:rPr>
                <w:rFonts w:eastAsia="Times New Roman" w:cs="Arial"/>
                <w:color w:val="000000"/>
                <w:sz w:val="18"/>
                <w:szCs w:val="18"/>
                <w:lang w:val="en-US"/>
              </w:rPr>
            </w:pPr>
            <w:r w:rsidRPr="00863548">
              <w:rPr>
                <w:rFonts w:eastAsia="Times New Roman" w:cs="Arial"/>
                <w:color w:val="000000"/>
                <w:sz w:val="18"/>
                <w:szCs w:val="18"/>
                <w:lang w:val="en-US"/>
              </w:rPr>
              <w:t>Major Diagnostic Category Grouping</w:t>
            </w:r>
          </w:p>
        </w:tc>
        <w:tc>
          <w:tcPr>
            <w:tcW w:w="85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08BD35D9" w14:textId="6C6393C0" w:rsidR="00056A58" w:rsidRPr="00863548" w:rsidRDefault="00056A58" w:rsidP="00E36361">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A11C1</w:t>
            </w:r>
          </w:p>
        </w:tc>
        <w:tc>
          <w:tcPr>
            <w:tcW w:w="396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5DC78DB0" w14:textId="4A1C2BA3" w:rsidR="00056A58" w:rsidRPr="00863548" w:rsidRDefault="00056A58" w:rsidP="00E36361">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 xml:space="preserve">Infusion Pumps, Balloon Based </w:t>
            </w:r>
            <w:r>
              <w:rPr>
                <w:rFonts w:eastAsia="Times New Roman" w:cs="Arial"/>
                <w:color w:val="000000"/>
                <w:sz w:val="18"/>
                <w:szCs w:val="18"/>
                <w:lang w:val="en-US"/>
              </w:rPr>
              <w:t>-</w:t>
            </w:r>
            <w:r w:rsidRPr="00863548">
              <w:rPr>
                <w:rFonts w:eastAsia="Times New Roman" w:cs="Arial"/>
                <w:color w:val="000000"/>
                <w:sz w:val="18"/>
                <w:szCs w:val="18"/>
                <w:lang w:val="en-US"/>
              </w:rPr>
              <w:t xml:space="preserve"> Very High MDC </w:t>
            </w:r>
            <w:r w:rsidR="00F7625C">
              <w:rPr>
                <w:rFonts w:eastAsia="Times New Roman" w:cs="Arial"/>
                <w:color w:val="000000"/>
                <w:sz w:val="18"/>
                <w:szCs w:val="18"/>
                <w:lang w:val="en-US"/>
              </w:rPr>
              <w:t>Grouping</w:t>
            </w:r>
          </w:p>
        </w:tc>
        <w:tc>
          <w:tcPr>
            <w:tcW w:w="1559"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77F2157F" w14:textId="3B3946AC" w:rsidR="00056A58" w:rsidRPr="00863548" w:rsidRDefault="00056A58" w:rsidP="00E36361">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05 18 21A 21B</w:t>
            </w:r>
          </w:p>
        </w:tc>
      </w:tr>
      <w:tr w:rsidR="00056A58" w:rsidRPr="00863548" w14:paraId="5703E01E" w14:textId="1D2FB3FC" w:rsidTr="00AD0FA5">
        <w:trPr>
          <w:trHeight w:val="300"/>
        </w:trPr>
        <w:tc>
          <w:tcPr>
            <w:tcW w:w="988"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73C3A129" w14:textId="77777777" w:rsidR="00056A58" w:rsidRPr="00863548" w:rsidRDefault="00056A58" w:rsidP="00E36361">
            <w:pPr>
              <w:spacing w:before="120" w:after="120"/>
              <w:rPr>
                <w:rFonts w:eastAsia="Times New Roman" w:cs="Arial"/>
                <w:color w:val="000000"/>
                <w:sz w:val="18"/>
                <w:szCs w:val="18"/>
                <w:lang w:val="en-US"/>
              </w:rPr>
            </w:pPr>
          </w:p>
        </w:tc>
        <w:tc>
          <w:tcPr>
            <w:tcW w:w="1134"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30A894C" w14:textId="77777777" w:rsidR="00056A58" w:rsidRPr="00863548" w:rsidRDefault="00056A58" w:rsidP="00E36361">
            <w:pPr>
              <w:spacing w:before="120" w:after="120"/>
              <w:rPr>
                <w:rFonts w:eastAsia="Times New Roman" w:cs="Arial"/>
                <w:color w:val="000000"/>
                <w:sz w:val="18"/>
                <w:szCs w:val="18"/>
                <w:lang w:val="en-US"/>
              </w:rPr>
            </w:pPr>
          </w:p>
        </w:tc>
        <w:tc>
          <w:tcPr>
            <w:tcW w:w="1275"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tcPr>
          <w:p w14:paraId="1B765DB2" w14:textId="77777777" w:rsidR="00056A58" w:rsidRPr="00863548" w:rsidDel="00EE3E5B" w:rsidRDefault="00056A58" w:rsidP="00E36361">
            <w:pPr>
              <w:spacing w:before="120" w:after="120"/>
              <w:rPr>
                <w:rFonts w:eastAsia="Times New Roman" w:cs="Arial"/>
                <w:color w:val="000000"/>
                <w:sz w:val="18"/>
                <w:szCs w:val="18"/>
                <w:lang w:val="en-US"/>
              </w:rPr>
            </w:pPr>
          </w:p>
        </w:tc>
        <w:tc>
          <w:tcPr>
            <w:tcW w:w="85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tcPr>
          <w:p w14:paraId="26F53AF9" w14:textId="5066472D" w:rsidR="00056A58" w:rsidRPr="00863548" w:rsidRDefault="00056A58" w:rsidP="00E36361">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A11C2</w:t>
            </w:r>
          </w:p>
        </w:tc>
        <w:tc>
          <w:tcPr>
            <w:tcW w:w="396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tcPr>
          <w:p w14:paraId="28E43CF9" w14:textId="1CEDEC59" w:rsidR="00056A58" w:rsidRPr="00863548" w:rsidRDefault="00056A58" w:rsidP="00E36361">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 xml:space="preserve">Infusion Pumps, Balloon Based </w:t>
            </w:r>
            <w:r>
              <w:rPr>
                <w:rFonts w:eastAsia="Times New Roman" w:cs="Arial"/>
                <w:color w:val="000000"/>
                <w:sz w:val="18"/>
                <w:szCs w:val="18"/>
                <w:lang w:val="en-US"/>
              </w:rPr>
              <w:t>-</w:t>
            </w:r>
            <w:r w:rsidRPr="00863548">
              <w:rPr>
                <w:rFonts w:eastAsia="Times New Roman" w:cs="Arial"/>
                <w:color w:val="000000"/>
                <w:sz w:val="18"/>
                <w:szCs w:val="18"/>
                <w:lang w:val="en-US"/>
              </w:rPr>
              <w:t xml:space="preserve"> High MDC </w:t>
            </w:r>
            <w:r w:rsidR="00F7625C">
              <w:rPr>
                <w:rFonts w:eastAsia="Times New Roman" w:cs="Arial"/>
                <w:color w:val="000000"/>
                <w:sz w:val="18"/>
                <w:szCs w:val="18"/>
                <w:lang w:val="en-US"/>
              </w:rPr>
              <w:t>Grouping</w:t>
            </w:r>
          </w:p>
        </w:tc>
        <w:tc>
          <w:tcPr>
            <w:tcW w:w="1559"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4A187987" w14:textId="5F78EE48" w:rsidR="00056A58" w:rsidRPr="00863548" w:rsidRDefault="00056A58" w:rsidP="00E36361">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00 01 09 10 11 12</w:t>
            </w:r>
          </w:p>
        </w:tc>
      </w:tr>
      <w:tr w:rsidR="00056A58" w:rsidRPr="00863548" w14:paraId="3E24E467" w14:textId="27FB059D" w:rsidTr="00AD0FA5">
        <w:trPr>
          <w:trHeight w:val="300"/>
        </w:trPr>
        <w:tc>
          <w:tcPr>
            <w:tcW w:w="988"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4AB9B990" w14:textId="77777777" w:rsidR="00056A58" w:rsidRPr="00863548" w:rsidRDefault="00056A58" w:rsidP="00E36361">
            <w:pPr>
              <w:spacing w:before="120" w:after="120"/>
              <w:rPr>
                <w:rFonts w:eastAsia="Times New Roman" w:cs="Arial"/>
                <w:color w:val="000000"/>
                <w:sz w:val="18"/>
                <w:szCs w:val="18"/>
                <w:lang w:val="en-US"/>
              </w:rPr>
            </w:pPr>
          </w:p>
        </w:tc>
        <w:tc>
          <w:tcPr>
            <w:tcW w:w="1134"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52109AE9" w14:textId="77777777" w:rsidR="00056A58" w:rsidRPr="00863548" w:rsidRDefault="00056A58" w:rsidP="00E36361">
            <w:pPr>
              <w:spacing w:before="120" w:after="120"/>
              <w:rPr>
                <w:rFonts w:eastAsia="Times New Roman" w:cs="Arial"/>
                <w:color w:val="000000"/>
                <w:sz w:val="18"/>
                <w:szCs w:val="18"/>
                <w:lang w:val="en-US"/>
              </w:rPr>
            </w:pPr>
          </w:p>
        </w:tc>
        <w:tc>
          <w:tcPr>
            <w:tcW w:w="1275"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tcPr>
          <w:p w14:paraId="282FF186" w14:textId="77777777" w:rsidR="00056A58" w:rsidRPr="00863548" w:rsidRDefault="00056A58" w:rsidP="00E36361">
            <w:pPr>
              <w:spacing w:before="120" w:after="120"/>
              <w:rPr>
                <w:rFonts w:eastAsia="Times New Roman" w:cs="Arial"/>
                <w:color w:val="000000"/>
                <w:sz w:val="18"/>
                <w:szCs w:val="18"/>
                <w:lang w:val="en-US"/>
              </w:rPr>
            </w:pPr>
          </w:p>
        </w:tc>
        <w:tc>
          <w:tcPr>
            <w:tcW w:w="85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hideMark/>
          </w:tcPr>
          <w:p w14:paraId="52516D0F" w14:textId="7816E8E5" w:rsidR="00056A58" w:rsidRPr="00863548" w:rsidRDefault="00056A58" w:rsidP="00E36361">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A11C3</w:t>
            </w:r>
          </w:p>
        </w:tc>
        <w:tc>
          <w:tcPr>
            <w:tcW w:w="396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hideMark/>
          </w:tcPr>
          <w:p w14:paraId="18D1A7F3" w14:textId="4329A610" w:rsidR="00056A58" w:rsidRPr="00863548" w:rsidRDefault="00056A58" w:rsidP="00E36361">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 xml:space="preserve">Infusion Pumps, Balloon Based </w:t>
            </w:r>
            <w:r>
              <w:rPr>
                <w:rFonts w:eastAsia="Times New Roman" w:cs="Arial"/>
                <w:color w:val="000000"/>
                <w:sz w:val="18"/>
                <w:szCs w:val="18"/>
                <w:lang w:val="en-US"/>
              </w:rPr>
              <w:t>-</w:t>
            </w:r>
            <w:r w:rsidRPr="00863548">
              <w:rPr>
                <w:rFonts w:eastAsia="Times New Roman" w:cs="Arial"/>
                <w:color w:val="000000"/>
                <w:sz w:val="18"/>
                <w:szCs w:val="18"/>
                <w:lang w:val="en-US"/>
              </w:rPr>
              <w:t xml:space="preserve"> Moderate MDC </w:t>
            </w:r>
            <w:r w:rsidR="00F7625C">
              <w:rPr>
                <w:rFonts w:eastAsia="Times New Roman" w:cs="Arial"/>
                <w:color w:val="000000"/>
                <w:sz w:val="18"/>
                <w:szCs w:val="18"/>
                <w:lang w:val="en-US"/>
              </w:rPr>
              <w:t>Grouping</w:t>
            </w:r>
          </w:p>
        </w:tc>
        <w:tc>
          <w:tcPr>
            <w:tcW w:w="1559"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64131C25" w14:textId="15BFCEA8" w:rsidR="00056A58" w:rsidRPr="00863548" w:rsidRDefault="00056A58" w:rsidP="00E36361">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03 04 06 07 08 13 14 16 98</w:t>
            </w:r>
          </w:p>
        </w:tc>
      </w:tr>
      <w:tr w:rsidR="00056A58" w:rsidRPr="00863548" w14:paraId="59C0378C" w14:textId="77777777" w:rsidTr="00AD0FA5">
        <w:trPr>
          <w:trHeight w:val="300"/>
        </w:trPr>
        <w:tc>
          <w:tcPr>
            <w:tcW w:w="988"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EA30C11" w14:textId="77777777" w:rsidR="00056A58" w:rsidRPr="00863548" w:rsidRDefault="00056A58" w:rsidP="00E36361">
            <w:pPr>
              <w:spacing w:before="120" w:after="120"/>
              <w:rPr>
                <w:rFonts w:eastAsia="Times New Roman" w:cs="Arial"/>
                <w:color w:val="000000"/>
                <w:sz w:val="18"/>
                <w:szCs w:val="18"/>
                <w:lang w:val="en-US"/>
              </w:rPr>
            </w:pPr>
          </w:p>
        </w:tc>
        <w:tc>
          <w:tcPr>
            <w:tcW w:w="1134"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1012C085" w14:textId="77777777" w:rsidR="00056A58" w:rsidRPr="00863548" w:rsidRDefault="00056A58" w:rsidP="00E36361">
            <w:pPr>
              <w:spacing w:before="120" w:after="120"/>
              <w:rPr>
                <w:rFonts w:eastAsia="Times New Roman" w:cs="Arial"/>
                <w:color w:val="000000"/>
                <w:sz w:val="18"/>
                <w:szCs w:val="18"/>
                <w:lang w:val="en-US"/>
              </w:rPr>
            </w:pPr>
          </w:p>
        </w:tc>
        <w:tc>
          <w:tcPr>
            <w:tcW w:w="1275"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tcPr>
          <w:p w14:paraId="05479035" w14:textId="77777777" w:rsidR="00056A58" w:rsidRPr="00863548" w:rsidRDefault="00056A58" w:rsidP="00E36361">
            <w:pPr>
              <w:spacing w:before="120" w:after="120"/>
              <w:rPr>
                <w:rFonts w:eastAsia="Times New Roman" w:cs="Arial"/>
                <w:color w:val="000000"/>
                <w:sz w:val="18"/>
                <w:szCs w:val="18"/>
                <w:lang w:val="en-US"/>
              </w:rPr>
            </w:pPr>
          </w:p>
        </w:tc>
        <w:tc>
          <w:tcPr>
            <w:tcW w:w="851" w:type="dxa"/>
            <w:tcBorders>
              <w:top w:val="single" w:sz="4" w:space="0" w:color="808080" w:themeColor="background2" w:themeShade="80"/>
              <w:left w:val="single" w:sz="4" w:space="0" w:color="808080" w:themeColor="background2" w:themeShade="80"/>
              <w:bottom w:val="single" w:sz="4" w:space="0" w:color="808080" w:themeColor="background2" w:themeShade="80"/>
            </w:tcBorders>
            <w:shd w:val="clear" w:color="auto" w:fill="auto"/>
            <w:noWrap/>
            <w:vAlign w:val="center"/>
          </w:tcPr>
          <w:p w14:paraId="2573E1A0" w14:textId="1430946A" w:rsidR="00056A58" w:rsidRPr="00863548" w:rsidRDefault="00056A58" w:rsidP="00E36361">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A11C4</w:t>
            </w:r>
          </w:p>
        </w:tc>
        <w:tc>
          <w:tcPr>
            <w:tcW w:w="3969"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tcPr>
          <w:p w14:paraId="69A37C95" w14:textId="0554337C" w:rsidR="00056A58" w:rsidRPr="00863548" w:rsidRDefault="00056A58" w:rsidP="00E36361">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Infusion Pumps, Balloon Based</w:t>
            </w:r>
            <w:r>
              <w:rPr>
                <w:rFonts w:eastAsia="Times New Roman" w:cs="Arial"/>
                <w:color w:val="000000"/>
                <w:sz w:val="18"/>
                <w:szCs w:val="18"/>
                <w:lang w:val="en-US"/>
              </w:rPr>
              <w:t xml:space="preserve"> </w:t>
            </w:r>
            <w:r w:rsidRPr="00863548">
              <w:rPr>
                <w:rFonts w:eastAsia="Times New Roman" w:cs="Arial"/>
                <w:color w:val="000000"/>
                <w:sz w:val="18"/>
                <w:szCs w:val="18"/>
                <w:lang w:val="en-US"/>
              </w:rPr>
              <w:t xml:space="preserve">- Low MDC </w:t>
            </w:r>
            <w:r w:rsidR="00F7625C">
              <w:rPr>
                <w:rFonts w:eastAsia="Times New Roman" w:cs="Arial"/>
                <w:color w:val="000000"/>
                <w:sz w:val="18"/>
                <w:szCs w:val="18"/>
                <w:lang w:val="en-US"/>
              </w:rPr>
              <w:t>Grouping</w:t>
            </w:r>
          </w:p>
        </w:tc>
        <w:tc>
          <w:tcPr>
            <w:tcW w:w="1559"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FEF4894" w14:textId="2563494E" w:rsidR="00056A58" w:rsidRPr="00863548" w:rsidRDefault="00056A58" w:rsidP="00E36361">
            <w:pPr>
              <w:spacing w:before="120" w:after="120"/>
              <w:rPr>
                <w:rFonts w:eastAsia="Times New Roman" w:cs="Arial"/>
                <w:color w:val="000000"/>
                <w:sz w:val="18"/>
                <w:szCs w:val="18"/>
                <w:lang w:val="en-US"/>
              </w:rPr>
            </w:pPr>
            <w:r w:rsidRPr="00863548">
              <w:rPr>
                <w:rFonts w:eastAsia="Times New Roman" w:cs="Arial"/>
                <w:color w:val="000000"/>
                <w:sz w:val="18"/>
                <w:szCs w:val="18"/>
                <w:lang w:val="en-US"/>
              </w:rPr>
              <w:t>02 15 17 19 20 22 23 99</w:t>
            </w:r>
          </w:p>
        </w:tc>
      </w:tr>
    </w:tbl>
    <w:p w14:paraId="0347E74B" w14:textId="108BA8B0" w:rsidR="002B0C8A" w:rsidRDefault="002B0C8A" w:rsidP="00F44793">
      <w:pPr>
        <w:spacing w:after="0"/>
      </w:pPr>
    </w:p>
    <w:p w14:paraId="34A32A57" w14:textId="3908D7B6" w:rsidR="00646BDD" w:rsidRDefault="00646BDD" w:rsidP="00646BDD">
      <w:pPr>
        <w:pStyle w:val="Heading2"/>
      </w:pPr>
      <w:bookmarkStart w:id="75" w:name="_Toc121130807"/>
      <w:r>
        <w:lastRenderedPageBreak/>
        <w:t xml:space="preserve">Calculation of </w:t>
      </w:r>
      <w:r w:rsidR="00EC0A94">
        <w:t>General Use Item</w:t>
      </w:r>
      <w:r>
        <w:t xml:space="preserve"> bundle </w:t>
      </w:r>
      <w:r w:rsidR="0012539C">
        <w:t>statistics</w:t>
      </w:r>
      <w:bookmarkEnd w:id="75"/>
    </w:p>
    <w:p w14:paraId="51B77A80" w14:textId="0910E679" w:rsidR="006D551D" w:rsidRPr="006D551D" w:rsidRDefault="006D551D" w:rsidP="007175ED">
      <w:r>
        <w:t xml:space="preserve">Following </w:t>
      </w:r>
      <w:r w:rsidR="00F124AA">
        <w:t xml:space="preserve">the </w:t>
      </w:r>
      <w:r>
        <w:t xml:space="preserve">definition of </w:t>
      </w:r>
      <w:r w:rsidR="00F124AA">
        <w:t xml:space="preserve">all </w:t>
      </w:r>
      <w:r>
        <w:t xml:space="preserve">GUI </w:t>
      </w:r>
      <w:r w:rsidR="0041409D">
        <w:t>b</w:t>
      </w:r>
      <w:r>
        <w:t xml:space="preserve">undle </w:t>
      </w:r>
      <w:r w:rsidR="0041409D">
        <w:t>v</w:t>
      </w:r>
      <w:r>
        <w:t xml:space="preserve">ariants, </w:t>
      </w:r>
      <w:r w:rsidR="00F124AA">
        <w:t xml:space="preserve">a range of bundle statistics are calculated for each variant, with the primary statistic being the GUI bundle benefit. </w:t>
      </w:r>
      <w:r>
        <w:t xml:space="preserve">The following </w:t>
      </w:r>
      <w:r w:rsidR="00F124AA">
        <w:t xml:space="preserve">sections details the </w:t>
      </w:r>
      <w:r>
        <w:t>calculat</w:t>
      </w:r>
      <w:r w:rsidR="00F124AA">
        <w:t xml:space="preserve">ions of </w:t>
      </w:r>
      <w:r>
        <w:t>bundle benefits and related statistics.</w:t>
      </w:r>
    </w:p>
    <w:p w14:paraId="729C1F5F" w14:textId="14A62AD2" w:rsidR="00646BDD" w:rsidRPr="007175ED" w:rsidRDefault="000D00BC" w:rsidP="00646BDD">
      <w:pPr>
        <w:pStyle w:val="Heading3"/>
      </w:pPr>
      <w:bookmarkStart w:id="76" w:name="_Toc121130808"/>
      <w:r>
        <w:t xml:space="preserve">Calculation of General Use Item </w:t>
      </w:r>
      <w:r w:rsidR="00646BDD" w:rsidRPr="007175ED">
        <w:t>bundle benefits</w:t>
      </w:r>
      <w:bookmarkEnd w:id="76"/>
    </w:p>
    <w:p w14:paraId="6A6C828F" w14:textId="6FB65D8E" w:rsidR="00646BDD" w:rsidRDefault="000D00BC" w:rsidP="006D551D">
      <w:pPr>
        <w:spacing w:line="259" w:lineRule="auto"/>
      </w:pPr>
      <w:r>
        <w:t xml:space="preserve">A </w:t>
      </w:r>
      <w:r w:rsidR="006D551D">
        <w:t>GUI bundle benefit</w:t>
      </w:r>
      <w:r>
        <w:t xml:space="preserve"> is defined for each GUI bundle variant </w:t>
      </w:r>
      <w:r w:rsidR="006D551D">
        <w:t xml:space="preserve">using the </w:t>
      </w:r>
      <w:r w:rsidR="00F124AA">
        <w:t xml:space="preserve">prepared 2020-21 financial year </w:t>
      </w:r>
      <w:r w:rsidR="006D551D">
        <w:t xml:space="preserve">HCP </w:t>
      </w:r>
      <w:r w:rsidR="00B217C8">
        <w:t xml:space="preserve">GUI </w:t>
      </w:r>
      <w:proofErr w:type="spellStart"/>
      <w:r w:rsidR="00B217C8">
        <w:t>utilisation</w:t>
      </w:r>
      <w:proofErr w:type="spellEnd"/>
      <w:r w:rsidR="00B217C8">
        <w:t xml:space="preserve"> </w:t>
      </w:r>
      <w:r w:rsidR="006D551D">
        <w:t>data</w:t>
      </w:r>
      <w:r w:rsidR="00551CE2">
        <w:t xml:space="preserve"> with expected March 2023 PL scheduled benefits applied</w:t>
      </w:r>
      <w:r w:rsidR="006D551D">
        <w:t>.</w:t>
      </w:r>
      <w:r w:rsidR="00551CE2">
        <w:t xml:space="preserve"> </w:t>
      </w:r>
      <w:r>
        <w:t xml:space="preserve">Specifically, for </w:t>
      </w:r>
      <w:r w:rsidR="006D551D" w:rsidRPr="007175ED">
        <w:t xml:space="preserve">each GUI </w:t>
      </w:r>
      <w:r>
        <w:t>bundle variant</w:t>
      </w:r>
      <w:r w:rsidR="006D551D" w:rsidRPr="006D551D">
        <w:t xml:space="preserve">, </w:t>
      </w:r>
      <w:r>
        <w:t xml:space="preserve">its </w:t>
      </w:r>
      <w:r w:rsidR="006D551D" w:rsidRPr="006D551D">
        <w:t xml:space="preserve">GUI bundle benefit is </w:t>
      </w:r>
      <w:r>
        <w:t xml:space="preserve">defined as </w:t>
      </w:r>
      <w:r w:rsidR="00646BDD" w:rsidRPr="007175ED">
        <w:t xml:space="preserve">the average </w:t>
      </w:r>
      <w:r>
        <w:t xml:space="preserve">GUI </w:t>
      </w:r>
      <w:r w:rsidR="00646BDD" w:rsidRPr="007175ED">
        <w:t xml:space="preserve">benefit episode for that particular </w:t>
      </w:r>
      <w:r w:rsidR="002A46FC">
        <w:t>bundle</w:t>
      </w:r>
      <w:r w:rsidR="00646BDD" w:rsidRPr="007175ED">
        <w:t>.</w:t>
      </w:r>
    </w:p>
    <w:p w14:paraId="0A489ABF" w14:textId="54FFAC2C" w:rsidR="006D551D" w:rsidRDefault="006D551D" w:rsidP="006D551D">
      <w:pPr>
        <w:spacing w:line="259" w:lineRule="auto"/>
      </w:pPr>
      <w:r>
        <w:fldChar w:fldCharType="begin"/>
      </w:r>
      <w:r>
        <w:instrText xml:space="preserve"> REF _Ref119505095 \h </w:instrText>
      </w:r>
      <w:r>
        <w:fldChar w:fldCharType="separate"/>
      </w:r>
      <w:r w:rsidR="00106CD4" w:rsidRPr="007175ED">
        <w:t xml:space="preserve">Table </w:t>
      </w:r>
      <w:r w:rsidR="00106CD4">
        <w:rPr>
          <w:noProof/>
        </w:rPr>
        <w:t>8</w:t>
      </w:r>
      <w:r>
        <w:fldChar w:fldCharType="end"/>
      </w:r>
      <w:r>
        <w:t xml:space="preserve"> </w:t>
      </w:r>
      <w:r w:rsidR="002A46FC">
        <w:t xml:space="preserve">illustrates the GUI bundle benefit calculation </w:t>
      </w:r>
      <w:r>
        <w:t xml:space="preserve">for </w:t>
      </w:r>
      <w:r w:rsidR="002A46FC">
        <w:t xml:space="preserve">all bundle variants within the </w:t>
      </w:r>
      <w:r w:rsidR="000D00BC">
        <w:t>‘</w:t>
      </w:r>
      <w:r w:rsidR="002A46FC">
        <w:t>Staples and Tackers</w:t>
      </w:r>
      <w:r w:rsidR="000D00BC">
        <w:t>’ GUI</w:t>
      </w:r>
      <w:r w:rsidR="002A46FC">
        <w:t xml:space="preserve"> product class</w:t>
      </w:r>
      <w:r>
        <w:t>.</w:t>
      </w:r>
    </w:p>
    <w:p w14:paraId="1FF34FFE" w14:textId="256678B7" w:rsidR="0043713D" w:rsidRPr="007175ED" w:rsidRDefault="0043713D" w:rsidP="006D551D">
      <w:pPr>
        <w:spacing w:line="259" w:lineRule="auto"/>
      </w:pPr>
      <w:r>
        <w:t>In cases where an insufficient number of episodes is present for a bundle variant</w:t>
      </w:r>
      <w:r w:rsidR="00C9437F">
        <w:t xml:space="preserve"> to calculate a statistically accurate estimate of average benefits per episode</w:t>
      </w:r>
      <w:r>
        <w:t>, an alternative approach is taken to the calculation of bundle benefit. The following sections describe the approach taken in these cases for GUI product bundles and facility type GUI bundle variants, noting that these cases do not arise for MDC-based GUI bundle variants due to the candidate selection criteria applied in the derivation</w:t>
      </w:r>
      <w:r w:rsidR="00B217C8">
        <w:t xml:space="preserve"> of MDC-based bundle variants</w:t>
      </w:r>
      <w:r>
        <w:t xml:space="preserve"> (see Section </w:t>
      </w:r>
      <w:r>
        <w:fldChar w:fldCharType="begin"/>
      </w:r>
      <w:r>
        <w:instrText xml:space="preserve"> REF _Ref120036418 \r \h </w:instrText>
      </w:r>
      <w:r>
        <w:fldChar w:fldCharType="separate"/>
      </w:r>
      <w:r w:rsidR="00106CD4">
        <w:t>5.3.4</w:t>
      </w:r>
      <w:r>
        <w:fldChar w:fldCharType="end"/>
      </w:r>
      <w:r>
        <w:t>).</w:t>
      </w:r>
    </w:p>
    <w:p w14:paraId="5FD99C50" w14:textId="7D447EE1" w:rsidR="00646BDD" w:rsidRPr="007175ED" w:rsidRDefault="00646BDD" w:rsidP="00B31EDD">
      <w:pPr>
        <w:pStyle w:val="Caption"/>
      </w:pPr>
      <w:bookmarkStart w:id="77" w:name="_Ref119505095"/>
      <w:r w:rsidRPr="007175ED">
        <w:t xml:space="preserve">Table </w:t>
      </w:r>
      <w:fldSimple w:instr=" SEQ Table \* ARABIC ">
        <w:r w:rsidR="00106CD4">
          <w:rPr>
            <w:noProof/>
          </w:rPr>
          <w:t>8</w:t>
        </w:r>
      </w:fldSimple>
      <w:bookmarkEnd w:id="77"/>
      <w:r w:rsidRPr="007175ED">
        <w:t xml:space="preserve">: </w:t>
      </w:r>
      <w:r w:rsidR="0063693F">
        <w:t xml:space="preserve">Illustration of </w:t>
      </w:r>
      <w:r w:rsidR="006D551D">
        <w:t xml:space="preserve">GUI </w:t>
      </w:r>
      <w:r w:rsidR="00693AD8">
        <w:t>b</w:t>
      </w:r>
      <w:r w:rsidRPr="007175ED">
        <w:t>undle benefit calculation</w:t>
      </w:r>
      <w:r w:rsidR="0063693F">
        <w:t xml:space="preserve"> - Staples and Tackers GUI </w:t>
      </w:r>
      <w:r w:rsidR="00551CE2">
        <w:t>p</w:t>
      </w:r>
      <w:r w:rsidR="0063693F">
        <w:t xml:space="preserve">roduct </w:t>
      </w:r>
      <w:r w:rsidR="00551CE2">
        <w:t>c</w:t>
      </w:r>
      <w:r w:rsidR="0063693F">
        <w:t>lass</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8 has 7 columns demonstrating bundle benefit calculation with sections showing Product Class, Variant Branch, Bundle Variant, Total Episodes, Total Benefis, Average benefits per episode and Bundle benefit. "/>
      </w:tblPr>
      <w:tblGrid>
        <w:gridCol w:w="999"/>
        <w:gridCol w:w="1133"/>
        <w:gridCol w:w="851"/>
        <w:gridCol w:w="2124"/>
        <w:gridCol w:w="1133"/>
        <w:gridCol w:w="1273"/>
        <w:gridCol w:w="1275"/>
        <w:gridCol w:w="1129"/>
      </w:tblGrid>
      <w:tr w:rsidR="000D00BC" w:rsidRPr="008464D8" w14:paraId="671AE83C" w14:textId="37858632" w:rsidTr="000D00BC">
        <w:trPr>
          <w:trHeight w:val="300"/>
          <w:tblHeader/>
        </w:trPr>
        <w:tc>
          <w:tcPr>
            <w:tcW w:w="504"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noWrap/>
            <w:vAlign w:val="center"/>
            <w:hideMark/>
          </w:tcPr>
          <w:p w14:paraId="3A4E8646" w14:textId="2EFC9891" w:rsidR="000D00BC" w:rsidRPr="008464D8" w:rsidRDefault="000D00BC" w:rsidP="000D00BC">
            <w:pPr>
              <w:spacing w:before="120" w:after="120"/>
              <w:jc w:val="center"/>
              <w:rPr>
                <w:rFonts w:eastAsia="Times New Roman" w:cs="Arial"/>
                <w:b/>
                <w:bCs/>
                <w:color w:val="FFFFFF" w:themeColor="background2"/>
                <w:sz w:val="18"/>
                <w:szCs w:val="18"/>
                <w:lang w:val="en-US"/>
              </w:rPr>
            </w:pPr>
            <w:r w:rsidRPr="008464D8">
              <w:rPr>
                <w:rFonts w:eastAsia="Times New Roman" w:cs="Arial"/>
                <w:b/>
                <w:bCs/>
                <w:color w:val="FFFFFF" w:themeColor="background2"/>
                <w:sz w:val="18"/>
                <w:szCs w:val="18"/>
                <w:lang w:val="en-US"/>
              </w:rPr>
              <w:t xml:space="preserve">Product </w:t>
            </w:r>
            <w:r>
              <w:rPr>
                <w:rFonts w:eastAsia="Times New Roman" w:cs="Arial"/>
                <w:b/>
                <w:bCs/>
                <w:color w:val="FFFFFF" w:themeColor="background2"/>
                <w:sz w:val="18"/>
                <w:szCs w:val="18"/>
                <w:lang w:val="en-US"/>
              </w:rPr>
              <w:t>class</w:t>
            </w:r>
          </w:p>
        </w:tc>
        <w:tc>
          <w:tcPr>
            <w:tcW w:w="571" w:type="pct"/>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1C050D05" w14:textId="61BACF8B" w:rsidR="000D00BC" w:rsidRPr="008464D8" w:rsidRDefault="000D00BC" w:rsidP="000D00BC">
            <w:pPr>
              <w:spacing w:before="120" w:after="120"/>
              <w:jc w:val="center"/>
              <w:rPr>
                <w:rFonts w:eastAsia="Times New Roman" w:cs="Arial"/>
                <w:b/>
                <w:bCs/>
                <w:color w:val="FFFFFF" w:themeColor="background2"/>
                <w:sz w:val="18"/>
                <w:szCs w:val="18"/>
                <w:lang w:val="en-US"/>
              </w:rPr>
            </w:pPr>
            <w:r>
              <w:rPr>
                <w:rFonts w:eastAsia="Times New Roman" w:cs="Arial"/>
                <w:b/>
                <w:bCs/>
                <w:color w:val="FFFFFF" w:themeColor="background2"/>
                <w:sz w:val="18"/>
                <w:szCs w:val="18"/>
                <w:lang w:val="en-US"/>
              </w:rPr>
              <w:t>Variant branch</w:t>
            </w:r>
          </w:p>
        </w:tc>
        <w:tc>
          <w:tcPr>
            <w:tcW w:w="1500" w:type="pct"/>
            <w:gridSpan w:val="2"/>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noWrap/>
            <w:vAlign w:val="center"/>
            <w:hideMark/>
          </w:tcPr>
          <w:p w14:paraId="718203C4" w14:textId="131013B6" w:rsidR="000D00BC" w:rsidRPr="008464D8" w:rsidRDefault="000D00BC" w:rsidP="000D00BC">
            <w:pPr>
              <w:spacing w:before="120" w:after="120"/>
              <w:jc w:val="center"/>
              <w:rPr>
                <w:rFonts w:eastAsia="Times New Roman" w:cs="Arial"/>
                <w:b/>
                <w:bCs/>
                <w:color w:val="FFFFFF" w:themeColor="background2"/>
                <w:sz w:val="18"/>
                <w:szCs w:val="18"/>
                <w:lang w:val="en-US"/>
              </w:rPr>
            </w:pPr>
            <w:r w:rsidRPr="008464D8">
              <w:rPr>
                <w:rFonts w:eastAsia="Times New Roman" w:cs="Arial"/>
                <w:b/>
                <w:bCs/>
                <w:color w:val="FFFFFF" w:themeColor="background2"/>
                <w:sz w:val="18"/>
                <w:szCs w:val="18"/>
                <w:lang w:val="en-US"/>
              </w:rPr>
              <w:t>Bundle</w:t>
            </w:r>
            <w:r>
              <w:rPr>
                <w:rFonts w:eastAsia="Times New Roman" w:cs="Arial"/>
                <w:b/>
                <w:bCs/>
                <w:color w:val="FFFFFF" w:themeColor="background2"/>
                <w:sz w:val="18"/>
                <w:szCs w:val="18"/>
                <w:lang w:val="en-US"/>
              </w:rPr>
              <w:t xml:space="preserve"> variant</w:t>
            </w:r>
          </w:p>
        </w:tc>
        <w:tc>
          <w:tcPr>
            <w:tcW w:w="571" w:type="pct"/>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1CC95B64" w14:textId="0B6A4A56" w:rsidR="000D00BC" w:rsidRPr="008464D8" w:rsidRDefault="000D00BC" w:rsidP="000D00BC">
            <w:pPr>
              <w:spacing w:before="120" w:after="120"/>
              <w:jc w:val="center"/>
              <w:rPr>
                <w:rFonts w:eastAsia="Times New Roman" w:cs="Arial"/>
                <w:b/>
                <w:bCs/>
                <w:color w:val="FFFFFF" w:themeColor="background2"/>
                <w:sz w:val="18"/>
                <w:szCs w:val="18"/>
                <w:lang w:val="en-US"/>
              </w:rPr>
            </w:pPr>
            <w:r w:rsidRPr="008464D8">
              <w:rPr>
                <w:rFonts w:eastAsia="Times New Roman" w:cs="Arial"/>
                <w:b/>
                <w:bCs/>
                <w:color w:val="FFFFFF" w:themeColor="background2"/>
                <w:sz w:val="18"/>
                <w:szCs w:val="18"/>
                <w:lang w:val="en-US"/>
              </w:rPr>
              <w:t xml:space="preserve">Total </w:t>
            </w:r>
            <w:r>
              <w:rPr>
                <w:rFonts w:eastAsia="Times New Roman" w:cs="Arial"/>
                <w:b/>
                <w:bCs/>
                <w:color w:val="FFFFFF" w:themeColor="background2"/>
                <w:sz w:val="18"/>
                <w:szCs w:val="18"/>
                <w:lang w:val="en-US"/>
              </w:rPr>
              <w:t>episodes</w:t>
            </w:r>
          </w:p>
        </w:tc>
        <w:tc>
          <w:tcPr>
            <w:tcW w:w="642" w:type="pct"/>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73C3B9A2" w14:textId="3072E11F" w:rsidR="000D00BC" w:rsidRPr="008464D8" w:rsidRDefault="000D00BC" w:rsidP="000D00BC">
            <w:pPr>
              <w:spacing w:before="120" w:after="120"/>
              <w:jc w:val="center"/>
              <w:rPr>
                <w:rFonts w:eastAsia="Times New Roman" w:cs="Arial"/>
                <w:b/>
                <w:bCs/>
                <w:color w:val="FFFFFF" w:themeColor="background2"/>
                <w:sz w:val="18"/>
                <w:szCs w:val="18"/>
                <w:lang w:val="en-US"/>
              </w:rPr>
            </w:pPr>
            <w:r w:rsidRPr="008464D8">
              <w:rPr>
                <w:rFonts w:eastAsia="Times New Roman" w:cs="Arial"/>
                <w:b/>
                <w:bCs/>
                <w:color w:val="FFFFFF" w:themeColor="background2"/>
                <w:sz w:val="18"/>
                <w:szCs w:val="18"/>
                <w:lang w:val="en-US"/>
              </w:rPr>
              <w:t>Total</w:t>
            </w:r>
            <w:r>
              <w:rPr>
                <w:rFonts w:eastAsia="Times New Roman" w:cs="Arial"/>
                <w:b/>
                <w:bCs/>
                <w:color w:val="FFFFFF" w:themeColor="background2"/>
                <w:sz w:val="18"/>
                <w:szCs w:val="18"/>
                <w:lang w:val="en-US"/>
              </w:rPr>
              <w:t xml:space="preserve"> benefits</w:t>
            </w:r>
          </w:p>
        </w:tc>
        <w:tc>
          <w:tcPr>
            <w:tcW w:w="643" w:type="pct"/>
            <w:tcBorders>
              <w:top w:val="single" w:sz="4" w:space="0" w:color="808080" w:themeColor="background2" w:themeShade="80"/>
              <w:left w:val="single" w:sz="4" w:space="0" w:color="FFFFFF" w:themeColor="background2"/>
              <w:bottom w:val="single" w:sz="4" w:space="0" w:color="808080" w:themeColor="background2" w:themeShade="80"/>
              <w:right w:val="single" w:sz="4" w:space="0" w:color="808080" w:themeColor="background2" w:themeShade="80"/>
            </w:tcBorders>
            <w:shd w:val="clear" w:color="auto" w:fill="104F99" w:themeFill="accent2"/>
            <w:vAlign w:val="center"/>
          </w:tcPr>
          <w:p w14:paraId="36B55F6F" w14:textId="7563C283" w:rsidR="000D00BC" w:rsidRPr="008464D8" w:rsidRDefault="000D00BC" w:rsidP="000D00BC">
            <w:pPr>
              <w:spacing w:before="120" w:after="120"/>
              <w:jc w:val="center"/>
              <w:rPr>
                <w:rFonts w:eastAsia="Times New Roman" w:cs="Arial"/>
                <w:b/>
                <w:bCs/>
                <w:color w:val="FFFFFF" w:themeColor="background2"/>
                <w:sz w:val="18"/>
                <w:szCs w:val="18"/>
                <w:lang w:val="en-US"/>
              </w:rPr>
            </w:pPr>
            <w:r>
              <w:rPr>
                <w:rFonts w:eastAsia="Times New Roman" w:cs="Arial"/>
                <w:b/>
                <w:bCs/>
                <w:color w:val="FFFFFF" w:themeColor="background2"/>
                <w:sz w:val="18"/>
                <w:szCs w:val="18"/>
                <w:lang w:val="en-US"/>
              </w:rPr>
              <w:t>Average benefits per episode</w:t>
            </w:r>
          </w:p>
        </w:tc>
        <w:tc>
          <w:tcPr>
            <w:tcW w:w="571" w:type="pct"/>
            <w:tcBorders>
              <w:top w:val="single" w:sz="4" w:space="0" w:color="808080" w:themeColor="background2" w:themeShade="80"/>
              <w:left w:val="single" w:sz="4" w:space="0" w:color="FFFFFF" w:themeColor="background2"/>
              <w:bottom w:val="single" w:sz="4" w:space="0" w:color="808080" w:themeColor="background2" w:themeShade="80"/>
              <w:right w:val="single" w:sz="4" w:space="0" w:color="808080" w:themeColor="background2" w:themeShade="80"/>
            </w:tcBorders>
            <w:shd w:val="clear" w:color="auto" w:fill="104F99" w:themeFill="accent2"/>
            <w:vAlign w:val="center"/>
          </w:tcPr>
          <w:p w14:paraId="187A0136" w14:textId="37CFD2EE" w:rsidR="000D00BC" w:rsidRPr="008464D8" w:rsidRDefault="000D00BC" w:rsidP="000D00BC">
            <w:pPr>
              <w:spacing w:before="120" w:after="120"/>
              <w:jc w:val="center"/>
              <w:rPr>
                <w:rFonts w:eastAsia="Times New Roman" w:cs="Arial"/>
                <w:b/>
                <w:bCs/>
                <w:color w:val="FFFFFF" w:themeColor="background2"/>
                <w:sz w:val="18"/>
                <w:szCs w:val="18"/>
                <w:lang w:val="en-US"/>
              </w:rPr>
            </w:pPr>
            <w:r w:rsidRPr="008464D8">
              <w:rPr>
                <w:rFonts w:eastAsia="Times New Roman" w:cs="Arial"/>
                <w:b/>
                <w:bCs/>
                <w:color w:val="FFFFFF" w:themeColor="background2"/>
                <w:sz w:val="18"/>
                <w:szCs w:val="18"/>
                <w:lang w:val="en-US"/>
              </w:rPr>
              <w:t xml:space="preserve">Bundle </w:t>
            </w:r>
            <w:r>
              <w:rPr>
                <w:rFonts w:eastAsia="Times New Roman" w:cs="Arial"/>
                <w:b/>
                <w:bCs/>
                <w:color w:val="FFFFFF" w:themeColor="background2"/>
                <w:sz w:val="18"/>
                <w:szCs w:val="18"/>
                <w:lang w:val="en-US"/>
              </w:rPr>
              <w:t>benefit</w:t>
            </w:r>
          </w:p>
        </w:tc>
      </w:tr>
      <w:tr w:rsidR="000D00BC" w:rsidRPr="008464D8" w14:paraId="39DFFFB4" w14:textId="1B8D2E51" w:rsidTr="000A7B83">
        <w:trPr>
          <w:cantSplit/>
          <w:trHeight w:val="300"/>
        </w:trPr>
        <w:tc>
          <w:tcPr>
            <w:tcW w:w="504" w:type="pct"/>
            <w:vMerge w:val="restar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center"/>
            <w:hideMark/>
          </w:tcPr>
          <w:p w14:paraId="77D69F21" w14:textId="54453822" w:rsidR="000D00BC" w:rsidRDefault="000D00BC" w:rsidP="000D00BC">
            <w:pPr>
              <w:spacing w:before="120" w:after="120"/>
              <w:jc w:val="center"/>
              <w:rPr>
                <w:rFonts w:eastAsia="Times New Roman" w:cs="Arial"/>
                <w:color w:val="000000"/>
                <w:sz w:val="18"/>
                <w:szCs w:val="18"/>
                <w:lang w:val="en-US"/>
              </w:rPr>
            </w:pPr>
            <w:r w:rsidRPr="008464D8">
              <w:rPr>
                <w:rFonts w:eastAsia="Times New Roman" w:cs="Arial"/>
                <w:color w:val="000000"/>
                <w:sz w:val="18"/>
                <w:szCs w:val="18"/>
                <w:lang w:val="en-US"/>
              </w:rPr>
              <w:t>A</w:t>
            </w:r>
            <w:r>
              <w:rPr>
                <w:rFonts w:eastAsia="Times New Roman" w:cs="Arial"/>
                <w:color w:val="000000"/>
                <w:sz w:val="18"/>
                <w:szCs w:val="18"/>
                <w:lang w:val="en-US"/>
              </w:rPr>
              <w:t>54</w:t>
            </w:r>
          </w:p>
          <w:p w14:paraId="0E4C2782" w14:textId="3C8FB63A" w:rsidR="000D00BC" w:rsidRPr="008464D8" w:rsidRDefault="000D00BC" w:rsidP="000D00BC">
            <w:pPr>
              <w:spacing w:before="120" w:after="120"/>
              <w:jc w:val="center"/>
              <w:rPr>
                <w:rFonts w:eastAsia="Times New Roman" w:cs="Arial"/>
                <w:color w:val="000000"/>
                <w:sz w:val="18"/>
                <w:szCs w:val="18"/>
                <w:lang w:val="en-US"/>
              </w:rPr>
            </w:pPr>
            <w:r w:rsidRPr="00C414C8">
              <w:rPr>
                <w:rFonts w:eastAsia="Times New Roman" w:cs="Arial"/>
                <w:color w:val="000000"/>
                <w:sz w:val="18"/>
                <w:szCs w:val="18"/>
                <w:lang w:val="en-US"/>
              </w:rPr>
              <w:t>Staples and Tackers</w:t>
            </w:r>
          </w:p>
        </w:tc>
        <w:tc>
          <w:tcPr>
            <w:tcW w:w="5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0147F041" w14:textId="7FAA9889" w:rsidR="000D00BC" w:rsidRDefault="000D00BC" w:rsidP="000D00BC">
            <w:pPr>
              <w:spacing w:before="120" w:after="120"/>
              <w:jc w:val="center"/>
              <w:rPr>
                <w:rFonts w:eastAsia="Times New Roman" w:cs="Arial"/>
                <w:color w:val="000000"/>
                <w:sz w:val="18"/>
                <w:szCs w:val="18"/>
                <w:lang w:val="en-US"/>
              </w:rPr>
            </w:pPr>
            <w:r>
              <w:rPr>
                <w:rFonts w:eastAsia="Times New Roman" w:cs="Arial"/>
                <w:color w:val="000000"/>
                <w:sz w:val="18"/>
                <w:szCs w:val="18"/>
                <w:lang w:val="en-US"/>
              </w:rPr>
              <w:t>A</w:t>
            </w:r>
          </w:p>
          <w:p w14:paraId="5EA24821" w14:textId="41EF232D" w:rsidR="000D00BC" w:rsidRPr="008464D8" w:rsidRDefault="000D00BC" w:rsidP="000D00BC">
            <w:pPr>
              <w:spacing w:before="120" w:after="120"/>
              <w:jc w:val="center"/>
              <w:rPr>
                <w:rFonts w:eastAsia="Times New Roman" w:cs="Arial"/>
                <w:color w:val="000000"/>
                <w:sz w:val="18"/>
                <w:szCs w:val="18"/>
                <w:lang w:val="en-US"/>
              </w:rPr>
            </w:pPr>
            <w:r>
              <w:rPr>
                <w:rFonts w:eastAsia="Times New Roman" w:cs="Arial"/>
                <w:color w:val="000000"/>
                <w:sz w:val="18"/>
                <w:szCs w:val="18"/>
                <w:lang w:val="en-US"/>
              </w:rPr>
              <w:t>Product Only</w:t>
            </w:r>
          </w:p>
        </w:tc>
        <w:tc>
          <w:tcPr>
            <w:tcW w:w="429" w:type="pct"/>
            <w:tcBorders>
              <w:top w:val="single" w:sz="4" w:space="0" w:color="808080" w:themeColor="background2" w:themeShade="80"/>
              <w:left w:val="single" w:sz="4" w:space="0" w:color="808080" w:themeColor="background2" w:themeShade="80"/>
              <w:bottom w:val="single" w:sz="4" w:space="0" w:color="808080" w:themeColor="background2" w:themeShade="80"/>
              <w:right w:val="nil"/>
            </w:tcBorders>
            <w:shd w:val="clear" w:color="auto" w:fill="auto"/>
            <w:noWrap/>
            <w:vAlign w:val="center"/>
            <w:hideMark/>
          </w:tcPr>
          <w:p w14:paraId="1A94544F" w14:textId="283D2A48" w:rsidR="000D00BC" w:rsidRPr="008464D8" w:rsidRDefault="000D00BC" w:rsidP="000D00BC">
            <w:pPr>
              <w:spacing w:before="120" w:after="120"/>
              <w:rPr>
                <w:rFonts w:eastAsia="Times New Roman" w:cs="Arial"/>
                <w:color w:val="000000"/>
                <w:sz w:val="18"/>
                <w:szCs w:val="18"/>
                <w:lang w:val="en-US"/>
              </w:rPr>
            </w:pPr>
            <w:r w:rsidRPr="00C414C8">
              <w:rPr>
                <w:rFonts w:eastAsia="Times New Roman" w:cs="Arial"/>
                <w:color w:val="000000"/>
                <w:sz w:val="18"/>
                <w:szCs w:val="18"/>
                <w:lang w:val="en-US"/>
              </w:rPr>
              <w:t>A54</w:t>
            </w:r>
            <w:r>
              <w:rPr>
                <w:rFonts w:eastAsia="Times New Roman" w:cs="Arial"/>
                <w:color w:val="000000"/>
                <w:sz w:val="18"/>
                <w:szCs w:val="18"/>
                <w:lang w:val="en-US"/>
              </w:rPr>
              <w:t>A</w:t>
            </w:r>
            <w:r w:rsidRPr="00C414C8">
              <w:rPr>
                <w:rFonts w:eastAsia="Times New Roman" w:cs="Arial"/>
                <w:color w:val="000000"/>
                <w:sz w:val="18"/>
                <w:szCs w:val="18"/>
                <w:lang w:val="en-US"/>
              </w:rPr>
              <w:t>1</w:t>
            </w:r>
          </w:p>
        </w:tc>
        <w:tc>
          <w:tcPr>
            <w:tcW w:w="1071" w:type="pct"/>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tcPr>
          <w:p w14:paraId="47732960" w14:textId="7F03043B" w:rsidR="000D00BC" w:rsidRPr="008464D8" w:rsidRDefault="000D00BC" w:rsidP="000D00BC">
            <w:pPr>
              <w:spacing w:before="120" w:after="120"/>
              <w:rPr>
                <w:rFonts w:eastAsia="Times New Roman" w:cs="Arial"/>
                <w:color w:val="000000"/>
                <w:sz w:val="18"/>
                <w:szCs w:val="18"/>
                <w:lang w:val="en-US"/>
              </w:rPr>
            </w:pPr>
            <w:r w:rsidRPr="00DF4B98">
              <w:rPr>
                <w:rFonts w:eastAsia="Times New Roman" w:cs="Arial"/>
                <w:color w:val="000000"/>
                <w:sz w:val="18"/>
                <w:szCs w:val="18"/>
                <w:lang w:val="en-US"/>
              </w:rPr>
              <w:t>Staples and Tackers</w:t>
            </w:r>
          </w:p>
        </w:tc>
        <w:tc>
          <w:tcPr>
            <w:tcW w:w="5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30D0D85" w14:textId="1A9BEAA3" w:rsidR="000D00BC" w:rsidRPr="008464D8" w:rsidRDefault="000D00BC" w:rsidP="000D00BC">
            <w:pPr>
              <w:spacing w:before="120" w:after="120"/>
              <w:jc w:val="right"/>
              <w:rPr>
                <w:rFonts w:eastAsia="Times New Roman" w:cs="Arial"/>
                <w:color w:val="000000"/>
                <w:sz w:val="18"/>
                <w:szCs w:val="18"/>
                <w:lang w:val="en-US"/>
              </w:rPr>
            </w:pPr>
            <w:r w:rsidRPr="00DF4B98">
              <w:rPr>
                <w:rFonts w:eastAsia="Times New Roman" w:cs="Arial"/>
                <w:color w:val="000000"/>
                <w:sz w:val="18"/>
                <w:szCs w:val="18"/>
                <w:lang w:val="en-US"/>
              </w:rPr>
              <w:t>54</w:t>
            </w:r>
            <w:r>
              <w:rPr>
                <w:rFonts w:eastAsia="Times New Roman" w:cs="Arial"/>
                <w:color w:val="000000"/>
                <w:sz w:val="18"/>
                <w:szCs w:val="18"/>
                <w:lang w:val="en-US"/>
              </w:rPr>
              <w:t>,</w:t>
            </w:r>
            <w:r w:rsidRPr="00DF4B98">
              <w:rPr>
                <w:rFonts w:eastAsia="Times New Roman" w:cs="Arial"/>
                <w:color w:val="000000"/>
                <w:sz w:val="18"/>
                <w:szCs w:val="18"/>
                <w:lang w:val="en-US"/>
              </w:rPr>
              <w:t>688</w:t>
            </w:r>
          </w:p>
        </w:tc>
        <w:tc>
          <w:tcPr>
            <w:tcW w:w="64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16CC6416" w14:textId="4E1AB2FD" w:rsidR="000D00BC" w:rsidRPr="008464D8"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87</w:t>
            </w:r>
            <w:r>
              <w:rPr>
                <w:rFonts w:eastAsia="Times New Roman" w:cs="Arial"/>
                <w:color w:val="000000"/>
                <w:sz w:val="18"/>
                <w:szCs w:val="18"/>
                <w:lang w:val="en-US"/>
              </w:rPr>
              <w:t>,</w:t>
            </w:r>
            <w:r w:rsidRPr="00DF4B98">
              <w:rPr>
                <w:rFonts w:eastAsia="Times New Roman" w:cs="Arial"/>
                <w:color w:val="000000"/>
                <w:sz w:val="18"/>
                <w:szCs w:val="18"/>
                <w:lang w:val="en-US"/>
              </w:rPr>
              <w:t>370</w:t>
            </w:r>
            <w:r>
              <w:rPr>
                <w:rFonts w:eastAsia="Times New Roman" w:cs="Arial"/>
                <w:color w:val="000000"/>
                <w:sz w:val="18"/>
                <w:szCs w:val="18"/>
                <w:lang w:val="en-US"/>
              </w:rPr>
              <w:t>,</w:t>
            </w:r>
            <w:r w:rsidRPr="00DF4B98">
              <w:rPr>
                <w:rFonts w:eastAsia="Times New Roman" w:cs="Arial"/>
                <w:color w:val="000000"/>
                <w:sz w:val="18"/>
                <w:szCs w:val="18"/>
                <w:lang w:val="en-US"/>
              </w:rPr>
              <w:t>130</w:t>
            </w:r>
          </w:p>
        </w:tc>
        <w:tc>
          <w:tcPr>
            <w:tcW w:w="64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A285F62" w14:textId="1CF0B85F" w:rsidR="000D00BC" w:rsidRPr="008464D8"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1</w:t>
            </w:r>
            <w:r>
              <w:rPr>
                <w:rFonts w:eastAsia="Times New Roman" w:cs="Arial"/>
                <w:color w:val="000000"/>
                <w:sz w:val="18"/>
                <w:szCs w:val="18"/>
                <w:lang w:val="en-US"/>
              </w:rPr>
              <w:t>,</w:t>
            </w:r>
            <w:r w:rsidRPr="00DF4B98">
              <w:rPr>
                <w:rFonts w:eastAsia="Times New Roman" w:cs="Arial"/>
                <w:color w:val="000000"/>
                <w:sz w:val="18"/>
                <w:szCs w:val="18"/>
                <w:lang w:val="en-US"/>
              </w:rPr>
              <w:t>597.61</w:t>
            </w:r>
          </w:p>
        </w:tc>
        <w:tc>
          <w:tcPr>
            <w:tcW w:w="5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123687A9" w14:textId="0CB77B7E" w:rsidR="000D00BC"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1</w:t>
            </w:r>
            <w:r>
              <w:rPr>
                <w:rFonts w:eastAsia="Times New Roman" w:cs="Arial"/>
                <w:color w:val="000000"/>
                <w:sz w:val="18"/>
                <w:szCs w:val="18"/>
                <w:lang w:val="en-US"/>
              </w:rPr>
              <w:t>,</w:t>
            </w:r>
            <w:r w:rsidRPr="00DF4B98">
              <w:rPr>
                <w:rFonts w:eastAsia="Times New Roman" w:cs="Arial"/>
                <w:color w:val="000000"/>
                <w:sz w:val="18"/>
                <w:szCs w:val="18"/>
                <w:lang w:val="en-US"/>
              </w:rPr>
              <w:t>597.61</w:t>
            </w:r>
          </w:p>
        </w:tc>
      </w:tr>
      <w:tr w:rsidR="000D00BC" w:rsidRPr="008464D8" w14:paraId="1CD8D862" w14:textId="50FF14A4" w:rsidTr="000A7B83">
        <w:trPr>
          <w:cantSplit/>
          <w:trHeight w:val="300"/>
        </w:trPr>
        <w:tc>
          <w:tcPr>
            <w:tcW w:w="504"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616172B5" w14:textId="77777777" w:rsidR="000D00BC" w:rsidRPr="008464D8" w:rsidRDefault="000D00BC" w:rsidP="000D00BC">
            <w:pPr>
              <w:spacing w:before="120" w:after="120"/>
              <w:jc w:val="center"/>
              <w:rPr>
                <w:rFonts w:eastAsia="Times New Roman" w:cs="Arial"/>
                <w:color w:val="000000"/>
                <w:sz w:val="18"/>
                <w:szCs w:val="18"/>
                <w:lang w:val="en-US"/>
              </w:rPr>
            </w:pPr>
          </w:p>
        </w:tc>
        <w:tc>
          <w:tcPr>
            <w:tcW w:w="571" w:type="pct"/>
            <w:vMerge w:val="restar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052F40D4" w14:textId="77777777" w:rsidR="000D00BC" w:rsidRDefault="000D00BC" w:rsidP="000D00BC">
            <w:pPr>
              <w:spacing w:before="120" w:after="120"/>
              <w:jc w:val="center"/>
              <w:rPr>
                <w:rFonts w:eastAsia="Times New Roman" w:cs="Arial"/>
                <w:color w:val="000000"/>
                <w:sz w:val="18"/>
                <w:szCs w:val="18"/>
                <w:lang w:val="en-US"/>
              </w:rPr>
            </w:pPr>
            <w:r>
              <w:rPr>
                <w:rFonts w:eastAsia="Times New Roman" w:cs="Arial"/>
                <w:color w:val="000000"/>
                <w:sz w:val="18"/>
                <w:szCs w:val="18"/>
                <w:lang w:val="en-US"/>
              </w:rPr>
              <w:t>B</w:t>
            </w:r>
          </w:p>
          <w:p w14:paraId="69DEF79B" w14:textId="34641D51" w:rsidR="000D00BC" w:rsidRPr="008464D8" w:rsidRDefault="000D00BC" w:rsidP="000D00BC">
            <w:pPr>
              <w:spacing w:before="120" w:after="120"/>
              <w:jc w:val="center"/>
              <w:rPr>
                <w:rFonts w:eastAsia="Times New Roman" w:cs="Arial"/>
                <w:color w:val="000000"/>
                <w:sz w:val="18"/>
                <w:szCs w:val="18"/>
                <w:lang w:val="en-US"/>
              </w:rPr>
            </w:pPr>
            <w:r>
              <w:rPr>
                <w:rFonts w:eastAsia="Times New Roman" w:cs="Arial"/>
                <w:color w:val="000000"/>
                <w:sz w:val="18"/>
                <w:szCs w:val="18"/>
                <w:lang w:val="en-US"/>
              </w:rPr>
              <w:t>Facility Type</w:t>
            </w:r>
          </w:p>
        </w:tc>
        <w:tc>
          <w:tcPr>
            <w:tcW w:w="429" w:type="pct"/>
            <w:tcBorders>
              <w:top w:val="single" w:sz="4" w:space="0" w:color="808080" w:themeColor="background2" w:themeShade="80"/>
              <w:left w:val="single" w:sz="4" w:space="0" w:color="808080" w:themeColor="background2" w:themeShade="80"/>
              <w:bottom w:val="single" w:sz="4" w:space="0" w:color="808080" w:themeColor="background2" w:themeShade="80"/>
              <w:right w:val="nil"/>
            </w:tcBorders>
            <w:shd w:val="clear" w:color="auto" w:fill="auto"/>
            <w:noWrap/>
            <w:vAlign w:val="center"/>
            <w:hideMark/>
          </w:tcPr>
          <w:p w14:paraId="727A6D2E" w14:textId="57E278D0" w:rsidR="000D00BC" w:rsidRPr="008464D8" w:rsidRDefault="000D00BC" w:rsidP="000D00BC">
            <w:pPr>
              <w:spacing w:before="120" w:after="120"/>
              <w:rPr>
                <w:rFonts w:eastAsia="Times New Roman" w:cs="Arial"/>
                <w:color w:val="000000"/>
                <w:sz w:val="18"/>
                <w:szCs w:val="18"/>
                <w:lang w:val="en-US"/>
              </w:rPr>
            </w:pPr>
            <w:r w:rsidRPr="00C414C8">
              <w:rPr>
                <w:rFonts w:eastAsia="Times New Roman" w:cs="Arial"/>
                <w:color w:val="000000"/>
                <w:sz w:val="18"/>
                <w:szCs w:val="18"/>
                <w:lang w:val="en-US"/>
              </w:rPr>
              <w:t>A54</w:t>
            </w:r>
            <w:r>
              <w:rPr>
                <w:rFonts w:eastAsia="Times New Roman" w:cs="Arial"/>
                <w:color w:val="000000"/>
                <w:sz w:val="18"/>
                <w:szCs w:val="18"/>
                <w:lang w:val="en-US"/>
              </w:rPr>
              <w:t>B</w:t>
            </w:r>
            <w:r w:rsidRPr="00C414C8">
              <w:rPr>
                <w:rFonts w:eastAsia="Times New Roman" w:cs="Arial"/>
                <w:color w:val="000000"/>
                <w:sz w:val="18"/>
                <w:szCs w:val="18"/>
                <w:lang w:val="en-US"/>
              </w:rPr>
              <w:t>1</w:t>
            </w:r>
          </w:p>
        </w:tc>
        <w:tc>
          <w:tcPr>
            <w:tcW w:w="1071" w:type="pct"/>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tcPr>
          <w:p w14:paraId="5DBB7F56" w14:textId="379DAEAC" w:rsidR="000D00BC" w:rsidRPr="008464D8" w:rsidRDefault="000D00BC" w:rsidP="000D00BC">
            <w:pPr>
              <w:spacing w:before="120" w:after="120"/>
              <w:rPr>
                <w:rFonts w:eastAsia="Times New Roman" w:cs="Arial"/>
                <w:color w:val="000000"/>
                <w:sz w:val="18"/>
                <w:szCs w:val="18"/>
                <w:lang w:val="en-US"/>
              </w:rPr>
            </w:pPr>
            <w:r w:rsidRPr="00DF4B98">
              <w:rPr>
                <w:rFonts w:eastAsia="Times New Roman" w:cs="Arial"/>
                <w:color w:val="000000"/>
                <w:sz w:val="18"/>
                <w:szCs w:val="18"/>
                <w:lang w:val="en-US"/>
              </w:rPr>
              <w:t>Staples and Tackers - Private Overnight Facilities</w:t>
            </w:r>
          </w:p>
        </w:tc>
        <w:tc>
          <w:tcPr>
            <w:tcW w:w="5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0CD5C745" w14:textId="6A853100" w:rsidR="000D00BC" w:rsidRPr="008464D8" w:rsidRDefault="000D00BC" w:rsidP="000D00BC">
            <w:pPr>
              <w:spacing w:before="120" w:after="120"/>
              <w:jc w:val="right"/>
              <w:rPr>
                <w:rFonts w:eastAsia="Times New Roman" w:cs="Arial"/>
                <w:color w:val="000000"/>
                <w:sz w:val="18"/>
                <w:szCs w:val="18"/>
                <w:lang w:val="en-US"/>
              </w:rPr>
            </w:pPr>
            <w:r w:rsidRPr="00DF4B98">
              <w:rPr>
                <w:rFonts w:eastAsia="Times New Roman" w:cs="Arial"/>
                <w:color w:val="000000"/>
                <w:sz w:val="18"/>
                <w:szCs w:val="18"/>
                <w:lang w:val="en-US"/>
              </w:rPr>
              <w:t>53</w:t>
            </w:r>
            <w:r>
              <w:rPr>
                <w:rFonts w:eastAsia="Times New Roman" w:cs="Arial"/>
                <w:color w:val="000000"/>
                <w:sz w:val="18"/>
                <w:szCs w:val="18"/>
                <w:lang w:val="en-US"/>
              </w:rPr>
              <w:t>,</w:t>
            </w:r>
            <w:r w:rsidRPr="00DF4B98">
              <w:rPr>
                <w:rFonts w:eastAsia="Times New Roman" w:cs="Arial"/>
                <w:color w:val="000000"/>
                <w:sz w:val="18"/>
                <w:szCs w:val="18"/>
                <w:lang w:val="en-US"/>
              </w:rPr>
              <w:t>072</w:t>
            </w:r>
          </w:p>
        </w:tc>
        <w:tc>
          <w:tcPr>
            <w:tcW w:w="64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004A48F5" w14:textId="2BDCD39B" w:rsidR="000D00BC" w:rsidRPr="008464D8"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85</w:t>
            </w:r>
            <w:r>
              <w:rPr>
                <w:rFonts w:eastAsia="Times New Roman" w:cs="Arial"/>
                <w:color w:val="000000"/>
                <w:sz w:val="18"/>
                <w:szCs w:val="18"/>
                <w:lang w:val="en-US"/>
              </w:rPr>
              <w:t>,</w:t>
            </w:r>
            <w:r w:rsidRPr="00DF4B98">
              <w:rPr>
                <w:rFonts w:eastAsia="Times New Roman" w:cs="Arial"/>
                <w:color w:val="000000"/>
                <w:sz w:val="18"/>
                <w:szCs w:val="18"/>
                <w:lang w:val="en-US"/>
              </w:rPr>
              <w:t>709</w:t>
            </w:r>
            <w:r>
              <w:rPr>
                <w:rFonts w:eastAsia="Times New Roman" w:cs="Arial"/>
                <w:color w:val="000000"/>
                <w:sz w:val="18"/>
                <w:szCs w:val="18"/>
                <w:lang w:val="en-US"/>
              </w:rPr>
              <w:t>,</w:t>
            </w:r>
            <w:r w:rsidRPr="00DF4B98">
              <w:rPr>
                <w:rFonts w:eastAsia="Times New Roman" w:cs="Arial"/>
                <w:color w:val="000000"/>
                <w:sz w:val="18"/>
                <w:szCs w:val="18"/>
                <w:lang w:val="en-US"/>
              </w:rPr>
              <w:t>442</w:t>
            </w:r>
          </w:p>
        </w:tc>
        <w:tc>
          <w:tcPr>
            <w:tcW w:w="64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CDD9CE5" w14:textId="2F9B2090" w:rsidR="000D00BC" w:rsidRPr="008464D8"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1</w:t>
            </w:r>
            <w:r>
              <w:rPr>
                <w:rFonts w:eastAsia="Times New Roman" w:cs="Arial"/>
                <w:color w:val="000000"/>
                <w:sz w:val="18"/>
                <w:szCs w:val="18"/>
                <w:lang w:val="en-US"/>
              </w:rPr>
              <w:t>,</w:t>
            </w:r>
            <w:r w:rsidRPr="00DF4B98">
              <w:rPr>
                <w:rFonts w:eastAsia="Times New Roman" w:cs="Arial"/>
                <w:color w:val="000000"/>
                <w:sz w:val="18"/>
                <w:szCs w:val="18"/>
                <w:lang w:val="en-US"/>
              </w:rPr>
              <w:t>614.97</w:t>
            </w:r>
          </w:p>
        </w:tc>
        <w:tc>
          <w:tcPr>
            <w:tcW w:w="5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64C7C4E6" w14:textId="7609528F" w:rsidR="000D00BC"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1</w:t>
            </w:r>
            <w:r>
              <w:rPr>
                <w:rFonts w:eastAsia="Times New Roman" w:cs="Arial"/>
                <w:color w:val="000000"/>
                <w:sz w:val="18"/>
                <w:szCs w:val="18"/>
                <w:lang w:val="en-US"/>
              </w:rPr>
              <w:t>,</w:t>
            </w:r>
            <w:r w:rsidRPr="00DF4B98">
              <w:rPr>
                <w:rFonts w:eastAsia="Times New Roman" w:cs="Arial"/>
                <w:color w:val="000000"/>
                <w:sz w:val="18"/>
                <w:szCs w:val="18"/>
                <w:lang w:val="en-US"/>
              </w:rPr>
              <w:t>614.97</w:t>
            </w:r>
          </w:p>
        </w:tc>
      </w:tr>
      <w:tr w:rsidR="000D00BC" w:rsidRPr="008464D8" w14:paraId="52E584F0" w14:textId="5ED985EB" w:rsidTr="000A7B83">
        <w:trPr>
          <w:cantSplit/>
          <w:trHeight w:val="300"/>
        </w:trPr>
        <w:tc>
          <w:tcPr>
            <w:tcW w:w="504"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45F1EBA3" w14:textId="77777777" w:rsidR="000D00BC" w:rsidRPr="008464D8" w:rsidRDefault="000D00BC" w:rsidP="000D00BC">
            <w:pPr>
              <w:spacing w:before="120" w:after="120"/>
              <w:jc w:val="center"/>
              <w:rPr>
                <w:rFonts w:eastAsia="Times New Roman" w:cs="Arial"/>
                <w:color w:val="000000"/>
                <w:sz w:val="18"/>
                <w:szCs w:val="18"/>
                <w:lang w:val="en-US"/>
              </w:rPr>
            </w:pPr>
          </w:p>
        </w:tc>
        <w:tc>
          <w:tcPr>
            <w:tcW w:w="571"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5CF75845" w14:textId="77777777" w:rsidR="000D00BC" w:rsidRPr="008464D8" w:rsidRDefault="000D00BC" w:rsidP="000D00BC">
            <w:pPr>
              <w:spacing w:before="120" w:after="120"/>
              <w:jc w:val="center"/>
              <w:rPr>
                <w:rFonts w:eastAsia="Times New Roman" w:cs="Arial"/>
                <w:color w:val="000000"/>
                <w:sz w:val="18"/>
                <w:szCs w:val="18"/>
                <w:lang w:val="en-US"/>
              </w:rPr>
            </w:pPr>
          </w:p>
        </w:tc>
        <w:tc>
          <w:tcPr>
            <w:tcW w:w="429" w:type="pct"/>
            <w:tcBorders>
              <w:top w:val="single" w:sz="4" w:space="0" w:color="808080" w:themeColor="background2" w:themeShade="80"/>
              <w:left w:val="single" w:sz="4" w:space="0" w:color="808080" w:themeColor="background2" w:themeShade="80"/>
              <w:bottom w:val="single" w:sz="4" w:space="0" w:color="808080" w:themeColor="background2" w:themeShade="80"/>
              <w:right w:val="nil"/>
            </w:tcBorders>
            <w:shd w:val="clear" w:color="auto" w:fill="auto"/>
            <w:noWrap/>
            <w:vAlign w:val="center"/>
            <w:hideMark/>
          </w:tcPr>
          <w:p w14:paraId="6CE9A35B" w14:textId="357EE64A" w:rsidR="000D00BC" w:rsidRPr="008464D8" w:rsidRDefault="000D00BC" w:rsidP="000D00BC">
            <w:pPr>
              <w:spacing w:before="120" w:after="120"/>
              <w:rPr>
                <w:rFonts w:eastAsia="Times New Roman" w:cs="Arial"/>
                <w:color w:val="000000"/>
                <w:sz w:val="18"/>
                <w:szCs w:val="18"/>
                <w:lang w:val="en-US"/>
              </w:rPr>
            </w:pPr>
            <w:r w:rsidRPr="00C414C8">
              <w:rPr>
                <w:rFonts w:eastAsia="Times New Roman" w:cs="Arial"/>
                <w:color w:val="000000"/>
                <w:sz w:val="18"/>
                <w:szCs w:val="18"/>
                <w:lang w:val="en-US"/>
              </w:rPr>
              <w:t>A54</w:t>
            </w:r>
            <w:r>
              <w:rPr>
                <w:rFonts w:eastAsia="Times New Roman" w:cs="Arial"/>
                <w:color w:val="000000"/>
                <w:sz w:val="18"/>
                <w:szCs w:val="18"/>
                <w:lang w:val="en-US"/>
              </w:rPr>
              <w:t>B2</w:t>
            </w:r>
          </w:p>
        </w:tc>
        <w:tc>
          <w:tcPr>
            <w:tcW w:w="1071" w:type="pct"/>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tcPr>
          <w:p w14:paraId="5A2CBD6A" w14:textId="30BF2918" w:rsidR="000D00BC" w:rsidRPr="008464D8" w:rsidRDefault="000D00BC" w:rsidP="000D00BC">
            <w:pPr>
              <w:spacing w:before="120" w:after="120"/>
              <w:rPr>
                <w:rFonts w:eastAsia="Times New Roman" w:cs="Arial"/>
                <w:color w:val="000000"/>
                <w:sz w:val="18"/>
                <w:szCs w:val="18"/>
                <w:lang w:val="en-US"/>
              </w:rPr>
            </w:pPr>
            <w:r w:rsidRPr="00DF4B98">
              <w:rPr>
                <w:rFonts w:eastAsia="Times New Roman" w:cs="Arial"/>
                <w:color w:val="000000"/>
                <w:sz w:val="18"/>
                <w:szCs w:val="18"/>
                <w:lang w:val="en-US"/>
              </w:rPr>
              <w:t>Staples and Tackers - Private Day Facilities</w:t>
            </w:r>
          </w:p>
        </w:tc>
        <w:tc>
          <w:tcPr>
            <w:tcW w:w="5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0F4CE252" w14:textId="25CC1375" w:rsidR="000D00BC" w:rsidRPr="008464D8" w:rsidRDefault="000D00BC" w:rsidP="000D00BC">
            <w:pPr>
              <w:spacing w:before="120" w:after="120"/>
              <w:jc w:val="right"/>
              <w:rPr>
                <w:rFonts w:eastAsia="Times New Roman" w:cs="Arial"/>
                <w:color w:val="000000"/>
                <w:sz w:val="18"/>
                <w:szCs w:val="18"/>
                <w:lang w:val="en-US"/>
              </w:rPr>
            </w:pPr>
            <w:r w:rsidRPr="00DF4B98">
              <w:rPr>
                <w:rFonts w:eastAsia="Times New Roman" w:cs="Arial"/>
                <w:color w:val="000000"/>
                <w:sz w:val="18"/>
                <w:szCs w:val="18"/>
                <w:lang w:val="en-US"/>
              </w:rPr>
              <w:t>168</w:t>
            </w:r>
          </w:p>
        </w:tc>
        <w:tc>
          <w:tcPr>
            <w:tcW w:w="64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13930CA1" w14:textId="51AEAC29" w:rsidR="000D00BC" w:rsidRPr="008464D8"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97</w:t>
            </w:r>
            <w:r>
              <w:rPr>
                <w:rFonts w:eastAsia="Times New Roman" w:cs="Arial"/>
                <w:color w:val="000000"/>
                <w:sz w:val="18"/>
                <w:szCs w:val="18"/>
                <w:lang w:val="en-US"/>
              </w:rPr>
              <w:t>,</w:t>
            </w:r>
            <w:r w:rsidRPr="00DF4B98">
              <w:rPr>
                <w:rFonts w:eastAsia="Times New Roman" w:cs="Arial"/>
                <w:color w:val="000000"/>
                <w:sz w:val="18"/>
                <w:szCs w:val="18"/>
                <w:lang w:val="en-US"/>
              </w:rPr>
              <w:t>351</w:t>
            </w:r>
          </w:p>
        </w:tc>
        <w:tc>
          <w:tcPr>
            <w:tcW w:w="64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0B583B3F" w14:textId="56EAE727" w:rsidR="000D00BC" w:rsidRPr="008464D8"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579.47</w:t>
            </w:r>
          </w:p>
        </w:tc>
        <w:tc>
          <w:tcPr>
            <w:tcW w:w="5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59F36475" w14:textId="5EB12438" w:rsidR="000D00BC"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579.47</w:t>
            </w:r>
          </w:p>
        </w:tc>
      </w:tr>
      <w:tr w:rsidR="000D00BC" w:rsidRPr="008464D8" w14:paraId="33B2BDC1" w14:textId="6961BF68" w:rsidTr="000A7B83">
        <w:trPr>
          <w:cantSplit/>
          <w:trHeight w:val="300"/>
        </w:trPr>
        <w:tc>
          <w:tcPr>
            <w:tcW w:w="504"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hideMark/>
          </w:tcPr>
          <w:p w14:paraId="4A29D15A" w14:textId="77777777" w:rsidR="000D00BC" w:rsidRPr="008464D8" w:rsidRDefault="000D00BC" w:rsidP="000D00BC">
            <w:pPr>
              <w:spacing w:before="120" w:after="120"/>
              <w:jc w:val="center"/>
              <w:rPr>
                <w:rFonts w:eastAsia="Times New Roman" w:cs="Arial"/>
                <w:color w:val="000000"/>
                <w:sz w:val="18"/>
                <w:szCs w:val="18"/>
                <w:lang w:val="en-US"/>
              </w:rPr>
            </w:pPr>
          </w:p>
        </w:tc>
        <w:tc>
          <w:tcPr>
            <w:tcW w:w="571"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27BCA8E0" w14:textId="77777777" w:rsidR="000D00BC" w:rsidRPr="008464D8" w:rsidRDefault="000D00BC" w:rsidP="000D00BC">
            <w:pPr>
              <w:spacing w:before="120" w:after="120"/>
              <w:jc w:val="center"/>
              <w:rPr>
                <w:rFonts w:eastAsia="Times New Roman" w:cs="Arial"/>
                <w:color w:val="000000"/>
                <w:sz w:val="18"/>
                <w:szCs w:val="18"/>
                <w:lang w:val="en-US"/>
              </w:rPr>
            </w:pPr>
          </w:p>
        </w:tc>
        <w:tc>
          <w:tcPr>
            <w:tcW w:w="429" w:type="pct"/>
            <w:tcBorders>
              <w:top w:val="single" w:sz="4" w:space="0" w:color="808080" w:themeColor="background2" w:themeShade="80"/>
              <w:left w:val="single" w:sz="4" w:space="0" w:color="808080" w:themeColor="background2" w:themeShade="80"/>
              <w:bottom w:val="single" w:sz="4" w:space="0" w:color="808080" w:themeColor="background2" w:themeShade="80"/>
              <w:right w:val="nil"/>
            </w:tcBorders>
            <w:shd w:val="clear" w:color="auto" w:fill="auto"/>
            <w:noWrap/>
            <w:vAlign w:val="center"/>
            <w:hideMark/>
          </w:tcPr>
          <w:p w14:paraId="415149E7" w14:textId="2792D216" w:rsidR="000D00BC" w:rsidRPr="008464D8" w:rsidRDefault="000D00BC" w:rsidP="000D00BC">
            <w:pPr>
              <w:spacing w:before="120" w:after="120"/>
              <w:rPr>
                <w:rFonts w:eastAsia="Times New Roman" w:cs="Arial"/>
                <w:color w:val="000000"/>
                <w:sz w:val="18"/>
                <w:szCs w:val="18"/>
                <w:lang w:val="en-US"/>
              </w:rPr>
            </w:pPr>
            <w:r w:rsidRPr="00C414C8">
              <w:rPr>
                <w:rFonts w:eastAsia="Times New Roman" w:cs="Arial"/>
                <w:color w:val="000000"/>
                <w:sz w:val="18"/>
                <w:szCs w:val="18"/>
                <w:lang w:val="en-US"/>
              </w:rPr>
              <w:t>A54</w:t>
            </w:r>
            <w:r>
              <w:rPr>
                <w:rFonts w:eastAsia="Times New Roman" w:cs="Arial"/>
                <w:color w:val="000000"/>
                <w:sz w:val="18"/>
                <w:szCs w:val="18"/>
                <w:lang w:val="en-US"/>
              </w:rPr>
              <w:t>B3</w:t>
            </w:r>
          </w:p>
        </w:tc>
        <w:tc>
          <w:tcPr>
            <w:tcW w:w="1071" w:type="pct"/>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tcPr>
          <w:p w14:paraId="668D0572" w14:textId="70086067" w:rsidR="000D00BC" w:rsidRPr="008464D8" w:rsidRDefault="000D00BC" w:rsidP="000D00BC">
            <w:pPr>
              <w:spacing w:before="120" w:after="120"/>
              <w:rPr>
                <w:rFonts w:eastAsia="Times New Roman" w:cs="Arial"/>
                <w:color w:val="000000"/>
                <w:sz w:val="18"/>
                <w:szCs w:val="18"/>
                <w:lang w:val="en-US"/>
              </w:rPr>
            </w:pPr>
            <w:r w:rsidRPr="00DF4B98">
              <w:rPr>
                <w:rFonts w:eastAsia="Times New Roman" w:cs="Arial"/>
                <w:color w:val="000000"/>
                <w:sz w:val="18"/>
                <w:szCs w:val="18"/>
                <w:lang w:val="en-US"/>
              </w:rPr>
              <w:t>Staples and Tackers - Public Facilities</w:t>
            </w:r>
          </w:p>
        </w:tc>
        <w:tc>
          <w:tcPr>
            <w:tcW w:w="5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47C83683" w14:textId="12B5B946" w:rsidR="000D00BC" w:rsidRPr="008464D8" w:rsidRDefault="000D00BC" w:rsidP="000D00BC">
            <w:pPr>
              <w:spacing w:before="120" w:after="120"/>
              <w:jc w:val="right"/>
              <w:rPr>
                <w:rFonts w:eastAsia="Times New Roman" w:cs="Arial"/>
                <w:color w:val="000000"/>
                <w:sz w:val="18"/>
                <w:szCs w:val="18"/>
                <w:lang w:val="en-US"/>
              </w:rPr>
            </w:pPr>
            <w:r w:rsidRPr="00DF4B98">
              <w:rPr>
                <w:rFonts w:eastAsia="Times New Roman" w:cs="Arial"/>
                <w:color w:val="000000"/>
                <w:sz w:val="18"/>
                <w:szCs w:val="18"/>
                <w:lang w:val="en-US"/>
              </w:rPr>
              <w:t>1</w:t>
            </w:r>
            <w:r>
              <w:rPr>
                <w:rFonts w:eastAsia="Times New Roman" w:cs="Arial"/>
                <w:color w:val="000000"/>
                <w:sz w:val="18"/>
                <w:szCs w:val="18"/>
                <w:lang w:val="en-US"/>
              </w:rPr>
              <w:t>,</w:t>
            </w:r>
            <w:r w:rsidRPr="00DF4B98">
              <w:rPr>
                <w:rFonts w:eastAsia="Times New Roman" w:cs="Arial"/>
                <w:color w:val="000000"/>
                <w:sz w:val="18"/>
                <w:szCs w:val="18"/>
                <w:lang w:val="en-US"/>
              </w:rPr>
              <w:t>448</w:t>
            </w:r>
          </w:p>
        </w:tc>
        <w:tc>
          <w:tcPr>
            <w:tcW w:w="64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66E012E8" w14:textId="3087D194" w:rsidR="000D00BC" w:rsidRPr="008464D8"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1</w:t>
            </w:r>
            <w:r>
              <w:rPr>
                <w:rFonts w:eastAsia="Times New Roman" w:cs="Arial"/>
                <w:color w:val="000000"/>
                <w:sz w:val="18"/>
                <w:szCs w:val="18"/>
                <w:lang w:val="en-US"/>
              </w:rPr>
              <w:t>,</w:t>
            </w:r>
            <w:r w:rsidRPr="00DF4B98">
              <w:rPr>
                <w:rFonts w:eastAsia="Times New Roman" w:cs="Arial"/>
                <w:color w:val="000000"/>
                <w:sz w:val="18"/>
                <w:szCs w:val="18"/>
                <w:lang w:val="en-US"/>
              </w:rPr>
              <w:t>563</w:t>
            </w:r>
            <w:r>
              <w:rPr>
                <w:rFonts w:eastAsia="Times New Roman" w:cs="Arial"/>
                <w:color w:val="000000"/>
                <w:sz w:val="18"/>
                <w:szCs w:val="18"/>
                <w:lang w:val="en-US"/>
              </w:rPr>
              <w:t>,</w:t>
            </w:r>
            <w:r w:rsidRPr="00DF4B98">
              <w:rPr>
                <w:rFonts w:eastAsia="Times New Roman" w:cs="Arial"/>
                <w:color w:val="000000"/>
                <w:sz w:val="18"/>
                <w:szCs w:val="18"/>
                <w:lang w:val="en-US"/>
              </w:rPr>
              <w:t>337</w:t>
            </w:r>
          </w:p>
        </w:tc>
        <w:tc>
          <w:tcPr>
            <w:tcW w:w="64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D424DE2" w14:textId="3EF87C76" w:rsidR="000D00BC" w:rsidRPr="008464D8"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1</w:t>
            </w:r>
            <w:r>
              <w:rPr>
                <w:rFonts w:eastAsia="Times New Roman" w:cs="Arial"/>
                <w:color w:val="000000"/>
                <w:sz w:val="18"/>
                <w:szCs w:val="18"/>
                <w:lang w:val="en-US"/>
              </w:rPr>
              <w:t>,</w:t>
            </w:r>
            <w:r w:rsidRPr="00DF4B98">
              <w:rPr>
                <w:rFonts w:eastAsia="Times New Roman" w:cs="Arial"/>
                <w:color w:val="000000"/>
                <w:sz w:val="18"/>
                <w:szCs w:val="18"/>
                <w:lang w:val="en-US"/>
              </w:rPr>
              <w:t>079.65</w:t>
            </w:r>
          </w:p>
        </w:tc>
        <w:tc>
          <w:tcPr>
            <w:tcW w:w="5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65F8EFFD" w14:textId="4CC76451" w:rsidR="000D00BC"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1</w:t>
            </w:r>
            <w:r>
              <w:rPr>
                <w:rFonts w:eastAsia="Times New Roman" w:cs="Arial"/>
                <w:color w:val="000000"/>
                <w:sz w:val="18"/>
                <w:szCs w:val="18"/>
                <w:lang w:val="en-US"/>
              </w:rPr>
              <w:t>,</w:t>
            </w:r>
            <w:r w:rsidRPr="00DF4B98">
              <w:rPr>
                <w:rFonts w:eastAsia="Times New Roman" w:cs="Arial"/>
                <w:color w:val="000000"/>
                <w:sz w:val="18"/>
                <w:szCs w:val="18"/>
                <w:lang w:val="en-US"/>
              </w:rPr>
              <w:t>079.65</w:t>
            </w:r>
          </w:p>
        </w:tc>
      </w:tr>
      <w:tr w:rsidR="000D00BC" w:rsidRPr="008464D8" w14:paraId="72855720" w14:textId="1A1BBCBE" w:rsidTr="000A7B83">
        <w:trPr>
          <w:cantSplit/>
          <w:trHeight w:val="300"/>
        </w:trPr>
        <w:tc>
          <w:tcPr>
            <w:tcW w:w="504"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40579A99" w14:textId="77777777" w:rsidR="000D00BC" w:rsidRPr="008464D8" w:rsidRDefault="000D00BC" w:rsidP="000D00BC">
            <w:pPr>
              <w:spacing w:before="120" w:after="120"/>
              <w:jc w:val="center"/>
              <w:rPr>
                <w:rFonts w:eastAsia="Times New Roman" w:cs="Arial"/>
                <w:color w:val="000000"/>
                <w:sz w:val="18"/>
                <w:szCs w:val="18"/>
                <w:lang w:val="en-US"/>
              </w:rPr>
            </w:pPr>
          </w:p>
        </w:tc>
        <w:tc>
          <w:tcPr>
            <w:tcW w:w="571" w:type="pct"/>
            <w:vMerge w:val="restar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5B791E79" w14:textId="77777777" w:rsidR="000D00BC" w:rsidRDefault="000D00BC" w:rsidP="000D00BC">
            <w:pPr>
              <w:spacing w:before="120" w:after="120"/>
              <w:jc w:val="center"/>
              <w:rPr>
                <w:rFonts w:eastAsia="Times New Roman" w:cs="Arial"/>
                <w:color w:val="000000"/>
                <w:sz w:val="18"/>
                <w:szCs w:val="18"/>
                <w:lang w:val="en-US"/>
              </w:rPr>
            </w:pPr>
            <w:r>
              <w:rPr>
                <w:rFonts w:eastAsia="Times New Roman" w:cs="Arial"/>
                <w:color w:val="000000"/>
                <w:sz w:val="18"/>
                <w:szCs w:val="18"/>
                <w:lang w:val="en-US"/>
              </w:rPr>
              <w:t>C</w:t>
            </w:r>
          </w:p>
          <w:p w14:paraId="7BD2B346" w14:textId="1A87F017" w:rsidR="000D00BC" w:rsidRPr="008464D8" w:rsidRDefault="000D00BC" w:rsidP="000D00BC">
            <w:pPr>
              <w:spacing w:before="120" w:after="120"/>
              <w:jc w:val="center"/>
              <w:rPr>
                <w:rFonts w:eastAsia="Times New Roman" w:cs="Arial"/>
                <w:color w:val="000000"/>
                <w:sz w:val="18"/>
                <w:szCs w:val="18"/>
                <w:lang w:val="en-US"/>
              </w:rPr>
            </w:pPr>
            <w:r>
              <w:rPr>
                <w:rFonts w:eastAsia="Times New Roman" w:cs="Arial"/>
                <w:color w:val="000000"/>
                <w:sz w:val="18"/>
                <w:szCs w:val="18"/>
                <w:lang w:val="en-US"/>
              </w:rPr>
              <w:t>Major Diagnostic Category Grouping</w:t>
            </w:r>
          </w:p>
        </w:tc>
        <w:tc>
          <w:tcPr>
            <w:tcW w:w="429" w:type="pct"/>
            <w:tcBorders>
              <w:top w:val="single" w:sz="4" w:space="0" w:color="808080" w:themeColor="background2" w:themeShade="80"/>
              <w:left w:val="single" w:sz="4" w:space="0" w:color="808080" w:themeColor="background2" w:themeShade="80"/>
              <w:bottom w:val="single" w:sz="4" w:space="0" w:color="808080" w:themeColor="background2" w:themeShade="80"/>
              <w:right w:val="nil"/>
            </w:tcBorders>
            <w:shd w:val="clear" w:color="auto" w:fill="auto"/>
            <w:noWrap/>
            <w:vAlign w:val="center"/>
          </w:tcPr>
          <w:p w14:paraId="5D348082" w14:textId="052FAEB3" w:rsidR="000D00BC" w:rsidRPr="008464D8" w:rsidRDefault="000D00BC" w:rsidP="000D00BC">
            <w:pPr>
              <w:spacing w:before="120" w:after="120"/>
              <w:rPr>
                <w:rFonts w:eastAsia="Times New Roman" w:cs="Arial"/>
                <w:color w:val="000000"/>
                <w:sz w:val="18"/>
                <w:szCs w:val="18"/>
                <w:lang w:val="en-US"/>
              </w:rPr>
            </w:pPr>
            <w:r w:rsidRPr="00C414C8">
              <w:rPr>
                <w:rFonts w:eastAsia="Times New Roman" w:cs="Arial"/>
                <w:color w:val="000000"/>
                <w:sz w:val="18"/>
                <w:szCs w:val="18"/>
                <w:lang w:val="en-US"/>
              </w:rPr>
              <w:t>A54C1</w:t>
            </w:r>
          </w:p>
        </w:tc>
        <w:tc>
          <w:tcPr>
            <w:tcW w:w="1071" w:type="pct"/>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tcPr>
          <w:p w14:paraId="4232F3A3" w14:textId="4DAAB603" w:rsidR="000D00BC" w:rsidRPr="008464D8" w:rsidRDefault="000D00BC" w:rsidP="000D00BC">
            <w:pPr>
              <w:spacing w:before="120" w:after="120"/>
              <w:rPr>
                <w:rFonts w:eastAsia="Times New Roman" w:cs="Arial"/>
                <w:color w:val="000000"/>
                <w:sz w:val="18"/>
                <w:szCs w:val="18"/>
                <w:lang w:val="en-US"/>
              </w:rPr>
            </w:pPr>
            <w:r w:rsidRPr="00C414C8">
              <w:rPr>
                <w:rFonts w:eastAsia="Times New Roman" w:cs="Arial"/>
                <w:color w:val="000000"/>
                <w:sz w:val="18"/>
                <w:szCs w:val="18"/>
                <w:lang w:val="en-US"/>
              </w:rPr>
              <w:t xml:space="preserve">Staples and Tackers - Very High MDC </w:t>
            </w:r>
            <w:r>
              <w:rPr>
                <w:rFonts w:eastAsia="Times New Roman" w:cs="Arial"/>
                <w:color w:val="000000"/>
                <w:sz w:val="18"/>
                <w:szCs w:val="18"/>
                <w:lang w:val="en-US"/>
              </w:rPr>
              <w:t>Grouping</w:t>
            </w:r>
          </w:p>
        </w:tc>
        <w:tc>
          <w:tcPr>
            <w:tcW w:w="5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7B98A15" w14:textId="609177F6" w:rsidR="000D00BC" w:rsidRPr="008464D8" w:rsidRDefault="000D00BC" w:rsidP="000D00BC">
            <w:pPr>
              <w:spacing w:before="120" w:after="120"/>
              <w:jc w:val="right"/>
              <w:rPr>
                <w:rFonts w:eastAsia="Times New Roman" w:cs="Arial"/>
                <w:color w:val="000000"/>
                <w:sz w:val="18"/>
                <w:szCs w:val="18"/>
                <w:lang w:val="en-US"/>
              </w:rPr>
            </w:pPr>
            <w:r w:rsidRPr="00C414C8">
              <w:rPr>
                <w:rFonts w:eastAsia="Times New Roman" w:cs="Arial"/>
                <w:color w:val="000000"/>
                <w:sz w:val="18"/>
                <w:szCs w:val="18"/>
                <w:lang w:val="en-US"/>
              </w:rPr>
              <w:t>17</w:t>
            </w:r>
            <w:r>
              <w:rPr>
                <w:rFonts w:eastAsia="Times New Roman" w:cs="Arial"/>
                <w:color w:val="000000"/>
                <w:sz w:val="18"/>
                <w:szCs w:val="18"/>
                <w:lang w:val="en-US"/>
              </w:rPr>
              <w:t>,</w:t>
            </w:r>
            <w:r w:rsidRPr="00C414C8">
              <w:rPr>
                <w:rFonts w:eastAsia="Times New Roman" w:cs="Arial"/>
                <w:color w:val="000000"/>
                <w:sz w:val="18"/>
                <w:szCs w:val="18"/>
                <w:lang w:val="en-US"/>
              </w:rPr>
              <w:t>395</w:t>
            </w:r>
          </w:p>
        </w:tc>
        <w:tc>
          <w:tcPr>
            <w:tcW w:w="64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63F3279C" w14:textId="775F20EB" w:rsidR="000D00BC" w:rsidRPr="008464D8"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50</w:t>
            </w:r>
            <w:r>
              <w:rPr>
                <w:rFonts w:eastAsia="Times New Roman" w:cs="Arial"/>
                <w:color w:val="000000"/>
                <w:sz w:val="18"/>
                <w:szCs w:val="18"/>
                <w:lang w:val="en-US"/>
              </w:rPr>
              <w:t>,</w:t>
            </w:r>
            <w:r w:rsidRPr="00DF4B98">
              <w:rPr>
                <w:rFonts w:eastAsia="Times New Roman" w:cs="Arial"/>
                <w:color w:val="000000"/>
                <w:sz w:val="18"/>
                <w:szCs w:val="18"/>
                <w:lang w:val="en-US"/>
              </w:rPr>
              <w:t>331</w:t>
            </w:r>
            <w:r>
              <w:rPr>
                <w:rFonts w:eastAsia="Times New Roman" w:cs="Arial"/>
                <w:color w:val="000000"/>
                <w:sz w:val="18"/>
                <w:szCs w:val="18"/>
                <w:lang w:val="en-US"/>
              </w:rPr>
              <w:t>,</w:t>
            </w:r>
            <w:r w:rsidRPr="00DF4B98">
              <w:rPr>
                <w:rFonts w:eastAsia="Times New Roman" w:cs="Arial"/>
                <w:color w:val="000000"/>
                <w:sz w:val="18"/>
                <w:szCs w:val="18"/>
                <w:lang w:val="en-US"/>
              </w:rPr>
              <w:t>063</w:t>
            </w:r>
          </w:p>
        </w:tc>
        <w:tc>
          <w:tcPr>
            <w:tcW w:w="64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02437FAA" w14:textId="67F1DFF5" w:rsidR="000D00BC" w:rsidRPr="008464D8"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2</w:t>
            </w:r>
            <w:r>
              <w:rPr>
                <w:rFonts w:eastAsia="Times New Roman" w:cs="Arial"/>
                <w:color w:val="000000"/>
                <w:sz w:val="18"/>
                <w:szCs w:val="18"/>
                <w:lang w:val="en-US"/>
              </w:rPr>
              <w:t>,</w:t>
            </w:r>
            <w:r w:rsidRPr="00DF4B98">
              <w:rPr>
                <w:rFonts w:eastAsia="Times New Roman" w:cs="Arial"/>
                <w:color w:val="000000"/>
                <w:sz w:val="18"/>
                <w:szCs w:val="18"/>
                <w:lang w:val="en-US"/>
              </w:rPr>
              <w:t>893.42</w:t>
            </w:r>
          </w:p>
        </w:tc>
        <w:tc>
          <w:tcPr>
            <w:tcW w:w="5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52473DB" w14:textId="18604774" w:rsidR="000D00BC"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2</w:t>
            </w:r>
            <w:r>
              <w:rPr>
                <w:rFonts w:eastAsia="Times New Roman" w:cs="Arial"/>
                <w:color w:val="000000"/>
                <w:sz w:val="18"/>
                <w:szCs w:val="18"/>
                <w:lang w:val="en-US"/>
              </w:rPr>
              <w:t>,</w:t>
            </w:r>
            <w:r w:rsidRPr="00DF4B98">
              <w:rPr>
                <w:rFonts w:eastAsia="Times New Roman" w:cs="Arial"/>
                <w:color w:val="000000"/>
                <w:sz w:val="18"/>
                <w:szCs w:val="18"/>
                <w:lang w:val="en-US"/>
              </w:rPr>
              <w:t>893.42</w:t>
            </w:r>
          </w:p>
        </w:tc>
      </w:tr>
      <w:tr w:rsidR="000D00BC" w:rsidRPr="008464D8" w14:paraId="5BED9C75" w14:textId="527D6030" w:rsidTr="000A7B83">
        <w:trPr>
          <w:cantSplit/>
          <w:trHeight w:val="300"/>
        </w:trPr>
        <w:tc>
          <w:tcPr>
            <w:tcW w:w="504"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0E102DD6" w14:textId="77777777" w:rsidR="000D00BC" w:rsidRPr="008464D8" w:rsidRDefault="000D00BC" w:rsidP="000D00BC">
            <w:pPr>
              <w:spacing w:before="120" w:after="120"/>
              <w:rPr>
                <w:rFonts w:eastAsia="Times New Roman" w:cs="Arial"/>
                <w:color w:val="000000"/>
                <w:sz w:val="18"/>
                <w:szCs w:val="18"/>
                <w:lang w:val="en-US"/>
              </w:rPr>
            </w:pPr>
          </w:p>
        </w:tc>
        <w:tc>
          <w:tcPr>
            <w:tcW w:w="571"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tcPr>
          <w:p w14:paraId="1DBB2E1B" w14:textId="77777777" w:rsidR="000D00BC" w:rsidRDefault="000D00BC" w:rsidP="000D00BC">
            <w:pPr>
              <w:spacing w:before="120" w:after="120"/>
              <w:rPr>
                <w:rFonts w:eastAsia="Times New Roman" w:cs="Arial"/>
                <w:color w:val="000000"/>
                <w:sz w:val="18"/>
                <w:szCs w:val="18"/>
                <w:lang w:val="en-US"/>
              </w:rPr>
            </w:pPr>
          </w:p>
        </w:tc>
        <w:tc>
          <w:tcPr>
            <w:tcW w:w="429" w:type="pct"/>
            <w:tcBorders>
              <w:top w:val="single" w:sz="4" w:space="0" w:color="808080" w:themeColor="background2" w:themeShade="80"/>
              <w:left w:val="single" w:sz="4" w:space="0" w:color="808080" w:themeColor="background2" w:themeShade="80"/>
              <w:bottom w:val="single" w:sz="4" w:space="0" w:color="808080" w:themeColor="background2" w:themeShade="80"/>
              <w:right w:val="nil"/>
            </w:tcBorders>
            <w:shd w:val="clear" w:color="auto" w:fill="auto"/>
            <w:noWrap/>
            <w:vAlign w:val="center"/>
          </w:tcPr>
          <w:p w14:paraId="30E4809A" w14:textId="7C5C1C61" w:rsidR="000D00BC" w:rsidRPr="008464D8" w:rsidRDefault="000D00BC" w:rsidP="000D00BC">
            <w:pPr>
              <w:spacing w:before="120" w:after="120"/>
              <w:rPr>
                <w:rFonts w:eastAsia="Times New Roman" w:cs="Arial"/>
                <w:color w:val="000000"/>
                <w:sz w:val="18"/>
                <w:szCs w:val="18"/>
                <w:lang w:val="en-US"/>
              </w:rPr>
            </w:pPr>
            <w:r w:rsidRPr="00C414C8">
              <w:rPr>
                <w:rFonts w:eastAsia="Times New Roman" w:cs="Arial"/>
                <w:color w:val="000000"/>
                <w:sz w:val="18"/>
                <w:szCs w:val="18"/>
                <w:lang w:val="en-US"/>
              </w:rPr>
              <w:t>A54C</w:t>
            </w:r>
            <w:r>
              <w:rPr>
                <w:rFonts w:eastAsia="Times New Roman" w:cs="Arial"/>
                <w:color w:val="000000"/>
                <w:sz w:val="18"/>
                <w:szCs w:val="18"/>
                <w:lang w:val="en-US"/>
              </w:rPr>
              <w:t>2</w:t>
            </w:r>
          </w:p>
        </w:tc>
        <w:tc>
          <w:tcPr>
            <w:tcW w:w="1071" w:type="pct"/>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tcPr>
          <w:p w14:paraId="49264FAA" w14:textId="3265C249" w:rsidR="000D00BC" w:rsidRPr="008464D8" w:rsidRDefault="000D00BC" w:rsidP="000D00BC">
            <w:pPr>
              <w:spacing w:before="120" w:after="120"/>
              <w:rPr>
                <w:rFonts w:eastAsia="Times New Roman" w:cs="Arial"/>
                <w:color w:val="000000"/>
                <w:sz w:val="18"/>
                <w:szCs w:val="18"/>
                <w:lang w:val="en-US"/>
              </w:rPr>
            </w:pPr>
            <w:r w:rsidRPr="00C414C8">
              <w:rPr>
                <w:rFonts w:eastAsia="Times New Roman" w:cs="Arial"/>
                <w:color w:val="000000"/>
                <w:sz w:val="18"/>
                <w:szCs w:val="18"/>
                <w:lang w:val="en-US"/>
              </w:rPr>
              <w:t xml:space="preserve">Staples and Tackers - High MDC </w:t>
            </w:r>
            <w:r>
              <w:rPr>
                <w:rFonts w:eastAsia="Times New Roman" w:cs="Arial"/>
                <w:color w:val="000000"/>
                <w:sz w:val="18"/>
                <w:szCs w:val="18"/>
                <w:lang w:val="en-US"/>
              </w:rPr>
              <w:t>Grouping</w:t>
            </w:r>
          </w:p>
        </w:tc>
        <w:tc>
          <w:tcPr>
            <w:tcW w:w="5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5DCAFDAE" w14:textId="47B407C9" w:rsidR="000D00BC" w:rsidRPr="008464D8" w:rsidRDefault="000D00BC" w:rsidP="000D00BC">
            <w:pPr>
              <w:spacing w:before="120" w:after="120"/>
              <w:jc w:val="right"/>
              <w:rPr>
                <w:rFonts w:eastAsia="Times New Roman" w:cs="Arial"/>
                <w:color w:val="000000"/>
                <w:sz w:val="18"/>
                <w:szCs w:val="18"/>
                <w:lang w:val="en-US"/>
              </w:rPr>
            </w:pPr>
            <w:r w:rsidRPr="00C414C8">
              <w:rPr>
                <w:rFonts w:eastAsia="Times New Roman" w:cs="Arial"/>
                <w:color w:val="000000"/>
                <w:sz w:val="18"/>
                <w:szCs w:val="18"/>
                <w:lang w:val="en-US"/>
              </w:rPr>
              <w:t>3</w:t>
            </w:r>
            <w:r>
              <w:rPr>
                <w:rFonts w:eastAsia="Times New Roman" w:cs="Arial"/>
                <w:color w:val="000000"/>
                <w:sz w:val="18"/>
                <w:szCs w:val="18"/>
                <w:lang w:val="en-US"/>
              </w:rPr>
              <w:t>,</w:t>
            </w:r>
            <w:r w:rsidRPr="00C414C8">
              <w:rPr>
                <w:rFonts w:eastAsia="Times New Roman" w:cs="Arial"/>
                <w:color w:val="000000"/>
                <w:sz w:val="18"/>
                <w:szCs w:val="18"/>
                <w:lang w:val="en-US"/>
              </w:rPr>
              <w:t>422</w:t>
            </w:r>
          </w:p>
        </w:tc>
        <w:tc>
          <w:tcPr>
            <w:tcW w:w="64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4F72DCA5" w14:textId="787A1036" w:rsidR="000D00BC" w:rsidRPr="008464D8"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7</w:t>
            </w:r>
            <w:r>
              <w:rPr>
                <w:rFonts w:eastAsia="Times New Roman" w:cs="Arial"/>
                <w:color w:val="000000"/>
                <w:sz w:val="18"/>
                <w:szCs w:val="18"/>
                <w:lang w:val="en-US"/>
              </w:rPr>
              <w:t>,</w:t>
            </w:r>
            <w:r w:rsidRPr="00DF4B98">
              <w:rPr>
                <w:rFonts w:eastAsia="Times New Roman" w:cs="Arial"/>
                <w:color w:val="000000"/>
                <w:sz w:val="18"/>
                <w:szCs w:val="18"/>
                <w:lang w:val="en-US"/>
              </w:rPr>
              <w:t>690</w:t>
            </w:r>
            <w:r>
              <w:rPr>
                <w:rFonts w:eastAsia="Times New Roman" w:cs="Arial"/>
                <w:color w:val="000000"/>
                <w:sz w:val="18"/>
                <w:szCs w:val="18"/>
                <w:lang w:val="en-US"/>
              </w:rPr>
              <w:t>,</w:t>
            </w:r>
            <w:r w:rsidRPr="00DF4B98">
              <w:rPr>
                <w:rFonts w:eastAsia="Times New Roman" w:cs="Arial"/>
                <w:color w:val="000000"/>
                <w:sz w:val="18"/>
                <w:szCs w:val="18"/>
                <w:lang w:val="en-US"/>
              </w:rPr>
              <w:t>276</w:t>
            </w:r>
          </w:p>
        </w:tc>
        <w:tc>
          <w:tcPr>
            <w:tcW w:w="64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04877705" w14:textId="67FF8CCB" w:rsidR="000D00BC" w:rsidRPr="008464D8"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2</w:t>
            </w:r>
            <w:r>
              <w:rPr>
                <w:rFonts w:eastAsia="Times New Roman" w:cs="Arial"/>
                <w:color w:val="000000"/>
                <w:sz w:val="18"/>
                <w:szCs w:val="18"/>
                <w:lang w:val="en-US"/>
              </w:rPr>
              <w:t>,</w:t>
            </w:r>
            <w:r w:rsidRPr="00DF4B98">
              <w:rPr>
                <w:rFonts w:eastAsia="Times New Roman" w:cs="Arial"/>
                <w:color w:val="000000"/>
                <w:sz w:val="18"/>
                <w:szCs w:val="18"/>
                <w:lang w:val="en-US"/>
              </w:rPr>
              <w:t>247.3</w:t>
            </w:r>
            <w:r>
              <w:rPr>
                <w:rFonts w:eastAsia="Times New Roman" w:cs="Arial"/>
                <w:color w:val="000000"/>
                <w:sz w:val="18"/>
                <w:szCs w:val="18"/>
                <w:lang w:val="en-US"/>
              </w:rPr>
              <w:t>0</w:t>
            </w:r>
          </w:p>
        </w:tc>
        <w:tc>
          <w:tcPr>
            <w:tcW w:w="5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2EE00427" w14:textId="40A1E051" w:rsidR="000D00BC"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2</w:t>
            </w:r>
            <w:r>
              <w:rPr>
                <w:rFonts w:eastAsia="Times New Roman" w:cs="Arial"/>
                <w:color w:val="000000"/>
                <w:sz w:val="18"/>
                <w:szCs w:val="18"/>
                <w:lang w:val="en-US"/>
              </w:rPr>
              <w:t>,</w:t>
            </w:r>
            <w:r w:rsidRPr="00DF4B98">
              <w:rPr>
                <w:rFonts w:eastAsia="Times New Roman" w:cs="Arial"/>
                <w:color w:val="000000"/>
                <w:sz w:val="18"/>
                <w:szCs w:val="18"/>
                <w:lang w:val="en-US"/>
              </w:rPr>
              <w:t>247.3</w:t>
            </w:r>
            <w:r>
              <w:rPr>
                <w:rFonts w:eastAsia="Times New Roman" w:cs="Arial"/>
                <w:color w:val="000000"/>
                <w:sz w:val="18"/>
                <w:szCs w:val="18"/>
                <w:lang w:val="en-US"/>
              </w:rPr>
              <w:t>0</w:t>
            </w:r>
          </w:p>
        </w:tc>
      </w:tr>
      <w:tr w:rsidR="000D00BC" w:rsidRPr="008464D8" w14:paraId="6431B50B" w14:textId="630C2987" w:rsidTr="000A7B83">
        <w:trPr>
          <w:cantSplit/>
          <w:trHeight w:val="300"/>
        </w:trPr>
        <w:tc>
          <w:tcPr>
            <w:tcW w:w="504"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60D804A6" w14:textId="77777777" w:rsidR="000D00BC" w:rsidRPr="008464D8" w:rsidRDefault="000D00BC" w:rsidP="000D00BC">
            <w:pPr>
              <w:spacing w:before="120" w:after="120"/>
              <w:rPr>
                <w:rFonts w:eastAsia="Times New Roman" w:cs="Arial"/>
                <w:color w:val="000000"/>
                <w:sz w:val="18"/>
                <w:szCs w:val="18"/>
                <w:lang w:val="en-US"/>
              </w:rPr>
            </w:pPr>
          </w:p>
        </w:tc>
        <w:tc>
          <w:tcPr>
            <w:tcW w:w="571"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tcPr>
          <w:p w14:paraId="5A373B54" w14:textId="77777777" w:rsidR="000D00BC" w:rsidRDefault="000D00BC" w:rsidP="000D00BC">
            <w:pPr>
              <w:spacing w:before="120" w:after="120"/>
              <w:rPr>
                <w:rFonts w:eastAsia="Times New Roman" w:cs="Arial"/>
                <w:color w:val="000000"/>
                <w:sz w:val="18"/>
                <w:szCs w:val="18"/>
                <w:lang w:val="en-US"/>
              </w:rPr>
            </w:pPr>
          </w:p>
        </w:tc>
        <w:tc>
          <w:tcPr>
            <w:tcW w:w="429" w:type="pct"/>
            <w:tcBorders>
              <w:top w:val="single" w:sz="4" w:space="0" w:color="808080" w:themeColor="background2" w:themeShade="80"/>
              <w:left w:val="single" w:sz="4" w:space="0" w:color="808080" w:themeColor="background2" w:themeShade="80"/>
              <w:bottom w:val="single" w:sz="4" w:space="0" w:color="808080" w:themeColor="background2" w:themeShade="80"/>
              <w:right w:val="nil"/>
            </w:tcBorders>
            <w:shd w:val="clear" w:color="auto" w:fill="auto"/>
            <w:noWrap/>
            <w:vAlign w:val="center"/>
          </w:tcPr>
          <w:p w14:paraId="13EBFC5B" w14:textId="605A324E" w:rsidR="000D00BC" w:rsidRPr="008464D8" w:rsidRDefault="000D00BC" w:rsidP="000D00BC">
            <w:pPr>
              <w:spacing w:before="120" w:after="120"/>
              <w:rPr>
                <w:rFonts w:eastAsia="Times New Roman" w:cs="Arial"/>
                <w:color w:val="000000"/>
                <w:sz w:val="18"/>
                <w:szCs w:val="18"/>
                <w:lang w:val="en-US"/>
              </w:rPr>
            </w:pPr>
            <w:r w:rsidRPr="00C414C8">
              <w:rPr>
                <w:rFonts w:eastAsia="Times New Roman" w:cs="Arial"/>
                <w:color w:val="000000"/>
                <w:sz w:val="18"/>
                <w:szCs w:val="18"/>
                <w:lang w:val="en-US"/>
              </w:rPr>
              <w:t>A54C</w:t>
            </w:r>
            <w:r>
              <w:rPr>
                <w:rFonts w:eastAsia="Times New Roman" w:cs="Arial"/>
                <w:color w:val="000000"/>
                <w:sz w:val="18"/>
                <w:szCs w:val="18"/>
                <w:lang w:val="en-US"/>
              </w:rPr>
              <w:t>3</w:t>
            </w:r>
          </w:p>
        </w:tc>
        <w:tc>
          <w:tcPr>
            <w:tcW w:w="1071" w:type="pct"/>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tcPr>
          <w:p w14:paraId="5F3CE5AE" w14:textId="6B98068E" w:rsidR="000D00BC" w:rsidRPr="008464D8" w:rsidRDefault="000D00BC" w:rsidP="000D00BC">
            <w:pPr>
              <w:spacing w:before="120" w:after="120"/>
              <w:rPr>
                <w:rFonts w:eastAsia="Times New Roman" w:cs="Arial"/>
                <w:color w:val="000000"/>
                <w:sz w:val="18"/>
                <w:szCs w:val="18"/>
                <w:lang w:val="en-US"/>
              </w:rPr>
            </w:pPr>
            <w:r w:rsidRPr="00C414C8">
              <w:rPr>
                <w:rFonts w:eastAsia="Times New Roman" w:cs="Arial"/>
                <w:color w:val="000000"/>
                <w:sz w:val="18"/>
                <w:szCs w:val="18"/>
                <w:lang w:val="en-US"/>
              </w:rPr>
              <w:t xml:space="preserve">Staples and Tackers - Moderate MDC </w:t>
            </w:r>
            <w:r>
              <w:rPr>
                <w:rFonts w:eastAsia="Times New Roman" w:cs="Arial"/>
                <w:color w:val="000000"/>
                <w:sz w:val="18"/>
                <w:szCs w:val="18"/>
                <w:lang w:val="en-US"/>
              </w:rPr>
              <w:t>Grouping</w:t>
            </w:r>
          </w:p>
        </w:tc>
        <w:tc>
          <w:tcPr>
            <w:tcW w:w="5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E442E03" w14:textId="609B87AE" w:rsidR="000D00BC" w:rsidRPr="008464D8" w:rsidRDefault="000D00BC" w:rsidP="000D00BC">
            <w:pPr>
              <w:spacing w:before="120" w:after="120"/>
              <w:jc w:val="right"/>
              <w:rPr>
                <w:rFonts w:eastAsia="Times New Roman" w:cs="Arial"/>
                <w:color w:val="000000"/>
                <w:sz w:val="18"/>
                <w:szCs w:val="18"/>
                <w:lang w:val="en-US"/>
              </w:rPr>
            </w:pPr>
            <w:r w:rsidRPr="00C414C8">
              <w:rPr>
                <w:rFonts w:eastAsia="Times New Roman" w:cs="Arial"/>
                <w:color w:val="000000"/>
                <w:sz w:val="18"/>
                <w:szCs w:val="18"/>
                <w:lang w:val="en-US"/>
              </w:rPr>
              <w:t>1</w:t>
            </w:r>
            <w:r>
              <w:rPr>
                <w:rFonts w:eastAsia="Times New Roman" w:cs="Arial"/>
                <w:color w:val="000000"/>
                <w:sz w:val="18"/>
                <w:szCs w:val="18"/>
                <w:lang w:val="en-US"/>
              </w:rPr>
              <w:t>,</w:t>
            </w:r>
            <w:r w:rsidRPr="00C414C8">
              <w:rPr>
                <w:rFonts w:eastAsia="Times New Roman" w:cs="Arial"/>
                <w:color w:val="000000"/>
                <w:sz w:val="18"/>
                <w:szCs w:val="18"/>
                <w:lang w:val="en-US"/>
              </w:rPr>
              <w:t>967</w:t>
            </w:r>
          </w:p>
        </w:tc>
        <w:tc>
          <w:tcPr>
            <w:tcW w:w="64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58A5EED9" w14:textId="3905D3B0" w:rsidR="000D00BC" w:rsidRPr="008464D8"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2</w:t>
            </w:r>
            <w:r>
              <w:rPr>
                <w:rFonts w:eastAsia="Times New Roman" w:cs="Arial"/>
                <w:color w:val="000000"/>
                <w:sz w:val="18"/>
                <w:szCs w:val="18"/>
                <w:lang w:val="en-US"/>
              </w:rPr>
              <w:t>,</w:t>
            </w:r>
            <w:r w:rsidRPr="00DF4B98">
              <w:rPr>
                <w:rFonts w:eastAsia="Times New Roman" w:cs="Arial"/>
                <w:color w:val="000000"/>
                <w:sz w:val="18"/>
                <w:szCs w:val="18"/>
                <w:lang w:val="en-US"/>
              </w:rPr>
              <w:t>615</w:t>
            </w:r>
            <w:r>
              <w:rPr>
                <w:rFonts w:eastAsia="Times New Roman" w:cs="Arial"/>
                <w:color w:val="000000"/>
                <w:sz w:val="18"/>
                <w:szCs w:val="18"/>
                <w:lang w:val="en-US"/>
              </w:rPr>
              <w:t>,</w:t>
            </w:r>
            <w:r w:rsidRPr="00DF4B98">
              <w:rPr>
                <w:rFonts w:eastAsia="Times New Roman" w:cs="Arial"/>
                <w:color w:val="000000"/>
                <w:sz w:val="18"/>
                <w:szCs w:val="18"/>
                <w:lang w:val="en-US"/>
              </w:rPr>
              <w:t>730</w:t>
            </w:r>
          </w:p>
        </w:tc>
        <w:tc>
          <w:tcPr>
            <w:tcW w:w="64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70C8D8CA" w14:textId="2E5EEF0B" w:rsidR="000D00BC" w:rsidRPr="008464D8"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1</w:t>
            </w:r>
            <w:r>
              <w:rPr>
                <w:rFonts w:eastAsia="Times New Roman" w:cs="Arial"/>
                <w:color w:val="000000"/>
                <w:sz w:val="18"/>
                <w:szCs w:val="18"/>
                <w:lang w:val="en-US"/>
              </w:rPr>
              <w:t>,</w:t>
            </w:r>
            <w:r w:rsidRPr="00DF4B98">
              <w:rPr>
                <w:rFonts w:eastAsia="Times New Roman" w:cs="Arial"/>
                <w:color w:val="000000"/>
                <w:sz w:val="18"/>
                <w:szCs w:val="18"/>
                <w:lang w:val="en-US"/>
              </w:rPr>
              <w:t>329.81</w:t>
            </w:r>
          </w:p>
        </w:tc>
        <w:tc>
          <w:tcPr>
            <w:tcW w:w="5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64A20651" w14:textId="1D275F97" w:rsidR="000D00BC"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1</w:t>
            </w:r>
            <w:r>
              <w:rPr>
                <w:rFonts w:eastAsia="Times New Roman" w:cs="Arial"/>
                <w:color w:val="000000"/>
                <w:sz w:val="18"/>
                <w:szCs w:val="18"/>
                <w:lang w:val="en-US"/>
              </w:rPr>
              <w:t>,</w:t>
            </w:r>
            <w:r w:rsidRPr="00DF4B98">
              <w:rPr>
                <w:rFonts w:eastAsia="Times New Roman" w:cs="Arial"/>
                <w:color w:val="000000"/>
                <w:sz w:val="18"/>
                <w:szCs w:val="18"/>
                <w:lang w:val="en-US"/>
              </w:rPr>
              <w:t>329.81</w:t>
            </w:r>
          </w:p>
        </w:tc>
      </w:tr>
      <w:tr w:rsidR="000D00BC" w:rsidRPr="008464D8" w14:paraId="3A33546F" w14:textId="36D94F4E" w:rsidTr="000A7B83">
        <w:trPr>
          <w:cantSplit/>
          <w:trHeight w:val="300"/>
        </w:trPr>
        <w:tc>
          <w:tcPr>
            <w:tcW w:w="504"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74C1BF19" w14:textId="77777777" w:rsidR="000D00BC" w:rsidRPr="008464D8" w:rsidRDefault="000D00BC" w:rsidP="000D00BC">
            <w:pPr>
              <w:spacing w:before="120" w:after="120"/>
              <w:rPr>
                <w:rFonts w:eastAsia="Times New Roman" w:cs="Arial"/>
                <w:color w:val="000000"/>
                <w:sz w:val="18"/>
                <w:szCs w:val="18"/>
                <w:lang w:val="en-US"/>
              </w:rPr>
            </w:pPr>
          </w:p>
        </w:tc>
        <w:tc>
          <w:tcPr>
            <w:tcW w:w="571"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tcPr>
          <w:p w14:paraId="47CD116D" w14:textId="77777777" w:rsidR="000D00BC" w:rsidRDefault="000D00BC" w:rsidP="000D00BC">
            <w:pPr>
              <w:spacing w:before="120" w:after="120"/>
              <w:rPr>
                <w:rFonts w:eastAsia="Times New Roman" w:cs="Arial"/>
                <w:color w:val="000000"/>
                <w:sz w:val="18"/>
                <w:szCs w:val="18"/>
                <w:lang w:val="en-US"/>
              </w:rPr>
            </w:pPr>
          </w:p>
        </w:tc>
        <w:tc>
          <w:tcPr>
            <w:tcW w:w="429" w:type="pct"/>
            <w:tcBorders>
              <w:top w:val="single" w:sz="4" w:space="0" w:color="808080" w:themeColor="background2" w:themeShade="80"/>
              <w:left w:val="single" w:sz="4" w:space="0" w:color="808080" w:themeColor="background2" w:themeShade="80"/>
              <w:bottom w:val="single" w:sz="4" w:space="0" w:color="808080" w:themeColor="background2" w:themeShade="80"/>
              <w:right w:val="nil"/>
            </w:tcBorders>
            <w:shd w:val="clear" w:color="auto" w:fill="auto"/>
            <w:noWrap/>
            <w:vAlign w:val="center"/>
          </w:tcPr>
          <w:p w14:paraId="21225971" w14:textId="6EA3B07D" w:rsidR="000D00BC" w:rsidRPr="008464D8" w:rsidRDefault="000D00BC" w:rsidP="000D00BC">
            <w:pPr>
              <w:spacing w:before="120" w:after="120"/>
              <w:rPr>
                <w:rFonts w:eastAsia="Times New Roman" w:cs="Arial"/>
                <w:color w:val="000000"/>
                <w:sz w:val="18"/>
                <w:szCs w:val="18"/>
                <w:lang w:val="en-US"/>
              </w:rPr>
            </w:pPr>
            <w:r w:rsidRPr="00C414C8">
              <w:rPr>
                <w:rFonts w:eastAsia="Times New Roman" w:cs="Arial"/>
                <w:color w:val="000000"/>
                <w:sz w:val="18"/>
                <w:szCs w:val="18"/>
                <w:lang w:val="en-US"/>
              </w:rPr>
              <w:t>A54C</w:t>
            </w:r>
            <w:r>
              <w:rPr>
                <w:rFonts w:eastAsia="Times New Roman" w:cs="Arial"/>
                <w:color w:val="000000"/>
                <w:sz w:val="18"/>
                <w:szCs w:val="18"/>
                <w:lang w:val="en-US"/>
              </w:rPr>
              <w:t>4</w:t>
            </w:r>
          </w:p>
        </w:tc>
        <w:tc>
          <w:tcPr>
            <w:tcW w:w="1071" w:type="pct"/>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tcPr>
          <w:p w14:paraId="3DCE0B88" w14:textId="24931A51" w:rsidR="000D00BC" w:rsidRPr="008464D8" w:rsidRDefault="000D00BC" w:rsidP="000D00BC">
            <w:pPr>
              <w:spacing w:before="120" w:after="120"/>
              <w:rPr>
                <w:rFonts w:eastAsia="Times New Roman" w:cs="Arial"/>
                <w:color w:val="000000"/>
                <w:sz w:val="18"/>
                <w:szCs w:val="18"/>
                <w:lang w:val="en-US"/>
              </w:rPr>
            </w:pPr>
            <w:r w:rsidRPr="00C414C8">
              <w:rPr>
                <w:rFonts w:eastAsia="Times New Roman" w:cs="Arial"/>
                <w:color w:val="000000"/>
                <w:sz w:val="18"/>
                <w:szCs w:val="18"/>
                <w:lang w:val="en-US"/>
              </w:rPr>
              <w:t xml:space="preserve">Staples and Tackers - Low MDC </w:t>
            </w:r>
            <w:r>
              <w:rPr>
                <w:rFonts w:eastAsia="Times New Roman" w:cs="Arial"/>
                <w:color w:val="000000"/>
                <w:sz w:val="18"/>
                <w:szCs w:val="18"/>
                <w:lang w:val="en-US"/>
              </w:rPr>
              <w:t>Grouping</w:t>
            </w:r>
          </w:p>
        </w:tc>
        <w:tc>
          <w:tcPr>
            <w:tcW w:w="5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249D4530" w14:textId="49B0F9FF" w:rsidR="000D00BC" w:rsidRPr="008464D8" w:rsidRDefault="000D00BC" w:rsidP="000D00BC">
            <w:pPr>
              <w:spacing w:before="120" w:after="120"/>
              <w:jc w:val="right"/>
              <w:rPr>
                <w:rFonts w:eastAsia="Times New Roman" w:cs="Arial"/>
                <w:color w:val="000000"/>
                <w:sz w:val="18"/>
                <w:szCs w:val="18"/>
                <w:lang w:val="en-US"/>
              </w:rPr>
            </w:pPr>
            <w:r w:rsidRPr="00C414C8">
              <w:rPr>
                <w:rFonts w:eastAsia="Times New Roman" w:cs="Arial"/>
                <w:color w:val="000000"/>
                <w:sz w:val="18"/>
                <w:szCs w:val="18"/>
                <w:lang w:val="en-US"/>
              </w:rPr>
              <w:t>29</w:t>
            </w:r>
            <w:r>
              <w:rPr>
                <w:rFonts w:eastAsia="Times New Roman" w:cs="Arial"/>
                <w:color w:val="000000"/>
                <w:sz w:val="18"/>
                <w:szCs w:val="18"/>
                <w:lang w:val="en-US"/>
              </w:rPr>
              <w:t>,</w:t>
            </w:r>
            <w:r w:rsidRPr="00C414C8">
              <w:rPr>
                <w:rFonts w:eastAsia="Times New Roman" w:cs="Arial"/>
                <w:color w:val="000000"/>
                <w:sz w:val="18"/>
                <w:szCs w:val="18"/>
                <w:lang w:val="en-US"/>
              </w:rPr>
              <w:t>198</w:t>
            </w:r>
          </w:p>
        </w:tc>
        <w:tc>
          <w:tcPr>
            <w:tcW w:w="64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407401AD" w14:textId="4B36F895" w:rsidR="000D00BC" w:rsidRPr="008464D8"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25</w:t>
            </w:r>
            <w:r>
              <w:rPr>
                <w:rFonts w:eastAsia="Times New Roman" w:cs="Arial"/>
                <w:color w:val="000000"/>
                <w:sz w:val="18"/>
                <w:szCs w:val="18"/>
                <w:lang w:val="en-US"/>
              </w:rPr>
              <w:t>,</w:t>
            </w:r>
            <w:r w:rsidRPr="00DF4B98">
              <w:rPr>
                <w:rFonts w:eastAsia="Times New Roman" w:cs="Arial"/>
                <w:color w:val="000000"/>
                <w:sz w:val="18"/>
                <w:szCs w:val="18"/>
                <w:lang w:val="en-US"/>
              </w:rPr>
              <w:t>654</w:t>
            </w:r>
            <w:r>
              <w:rPr>
                <w:rFonts w:eastAsia="Times New Roman" w:cs="Arial"/>
                <w:color w:val="000000"/>
                <w:sz w:val="18"/>
                <w:szCs w:val="18"/>
                <w:lang w:val="en-US"/>
              </w:rPr>
              <w:t>,</w:t>
            </w:r>
            <w:r w:rsidRPr="00DF4B98">
              <w:rPr>
                <w:rFonts w:eastAsia="Times New Roman" w:cs="Arial"/>
                <w:color w:val="000000"/>
                <w:sz w:val="18"/>
                <w:szCs w:val="18"/>
                <w:lang w:val="en-US"/>
              </w:rPr>
              <w:t>030</w:t>
            </w:r>
          </w:p>
        </w:tc>
        <w:tc>
          <w:tcPr>
            <w:tcW w:w="64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D712F60" w14:textId="62315C7D" w:rsidR="000D00BC" w:rsidRPr="008464D8"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878.62</w:t>
            </w:r>
          </w:p>
        </w:tc>
        <w:tc>
          <w:tcPr>
            <w:tcW w:w="5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49C4432B" w14:textId="0A8AE75F" w:rsidR="000D00BC"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878.62</w:t>
            </w:r>
          </w:p>
        </w:tc>
      </w:tr>
      <w:tr w:rsidR="000D00BC" w:rsidRPr="008464D8" w14:paraId="7014CE20" w14:textId="0951AEAD" w:rsidTr="000A7B83">
        <w:trPr>
          <w:cantSplit/>
          <w:trHeight w:val="300"/>
        </w:trPr>
        <w:tc>
          <w:tcPr>
            <w:tcW w:w="504"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20DDBC7" w14:textId="77777777" w:rsidR="000D00BC" w:rsidRPr="008464D8" w:rsidRDefault="000D00BC" w:rsidP="000D00BC">
            <w:pPr>
              <w:spacing w:before="120" w:after="120"/>
              <w:rPr>
                <w:rFonts w:eastAsia="Times New Roman" w:cs="Arial"/>
                <w:color w:val="000000"/>
                <w:sz w:val="18"/>
                <w:szCs w:val="18"/>
                <w:lang w:val="en-US"/>
              </w:rPr>
            </w:pPr>
          </w:p>
        </w:tc>
        <w:tc>
          <w:tcPr>
            <w:tcW w:w="571"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tcPr>
          <w:p w14:paraId="58B53AFB" w14:textId="77777777" w:rsidR="000D00BC" w:rsidRDefault="000D00BC" w:rsidP="000D00BC">
            <w:pPr>
              <w:spacing w:before="120" w:after="120"/>
              <w:rPr>
                <w:rFonts w:eastAsia="Times New Roman" w:cs="Arial"/>
                <w:color w:val="000000"/>
                <w:sz w:val="18"/>
                <w:szCs w:val="18"/>
                <w:lang w:val="en-US"/>
              </w:rPr>
            </w:pPr>
          </w:p>
        </w:tc>
        <w:tc>
          <w:tcPr>
            <w:tcW w:w="429" w:type="pct"/>
            <w:tcBorders>
              <w:top w:val="single" w:sz="4" w:space="0" w:color="808080" w:themeColor="background2" w:themeShade="80"/>
              <w:left w:val="single" w:sz="4" w:space="0" w:color="808080" w:themeColor="background2" w:themeShade="80"/>
              <w:bottom w:val="single" w:sz="4" w:space="0" w:color="808080" w:themeColor="background2" w:themeShade="80"/>
              <w:right w:val="nil"/>
            </w:tcBorders>
            <w:shd w:val="clear" w:color="auto" w:fill="auto"/>
            <w:noWrap/>
            <w:vAlign w:val="center"/>
          </w:tcPr>
          <w:p w14:paraId="3BA49948" w14:textId="1B0A5711" w:rsidR="000D00BC" w:rsidRPr="008464D8" w:rsidRDefault="000D00BC" w:rsidP="000D00BC">
            <w:pPr>
              <w:spacing w:before="120" w:after="120"/>
              <w:rPr>
                <w:rFonts w:eastAsia="Times New Roman" w:cs="Arial"/>
                <w:color w:val="000000"/>
                <w:sz w:val="18"/>
                <w:szCs w:val="18"/>
                <w:lang w:val="en-US"/>
              </w:rPr>
            </w:pPr>
            <w:r w:rsidRPr="00C414C8">
              <w:rPr>
                <w:rFonts w:eastAsia="Times New Roman" w:cs="Arial"/>
                <w:color w:val="000000"/>
                <w:sz w:val="18"/>
                <w:szCs w:val="18"/>
                <w:lang w:val="en-US"/>
              </w:rPr>
              <w:t>A54C</w:t>
            </w:r>
            <w:r>
              <w:rPr>
                <w:rFonts w:eastAsia="Times New Roman" w:cs="Arial"/>
                <w:color w:val="000000"/>
                <w:sz w:val="18"/>
                <w:szCs w:val="18"/>
                <w:lang w:val="en-US"/>
              </w:rPr>
              <w:t>5</w:t>
            </w:r>
          </w:p>
        </w:tc>
        <w:tc>
          <w:tcPr>
            <w:tcW w:w="1071" w:type="pct"/>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center"/>
          </w:tcPr>
          <w:p w14:paraId="349940CA" w14:textId="4DB977E4" w:rsidR="000D00BC" w:rsidRPr="008464D8" w:rsidRDefault="000D00BC" w:rsidP="000D00BC">
            <w:pPr>
              <w:spacing w:before="120" w:after="120"/>
              <w:rPr>
                <w:rFonts w:eastAsia="Times New Roman" w:cs="Arial"/>
                <w:color w:val="000000"/>
                <w:sz w:val="18"/>
                <w:szCs w:val="18"/>
                <w:lang w:val="en-US"/>
              </w:rPr>
            </w:pPr>
            <w:r w:rsidRPr="00C414C8">
              <w:rPr>
                <w:rFonts w:eastAsia="Times New Roman" w:cs="Arial"/>
                <w:color w:val="000000"/>
                <w:sz w:val="18"/>
                <w:szCs w:val="18"/>
                <w:lang w:val="en-US"/>
              </w:rPr>
              <w:t xml:space="preserve">Staples and Tackers - Very Low MDC </w:t>
            </w:r>
            <w:r>
              <w:rPr>
                <w:rFonts w:eastAsia="Times New Roman" w:cs="Arial"/>
                <w:color w:val="000000"/>
                <w:sz w:val="18"/>
                <w:szCs w:val="18"/>
                <w:lang w:val="en-US"/>
              </w:rPr>
              <w:t>Grouping</w:t>
            </w:r>
          </w:p>
        </w:tc>
        <w:tc>
          <w:tcPr>
            <w:tcW w:w="5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765752DB" w14:textId="25739909" w:rsidR="000D00BC" w:rsidRPr="008464D8" w:rsidRDefault="000D00BC" w:rsidP="000D00BC">
            <w:pPr>
              <w:spacing w:before="120" w:after="120"/>
              <w:jc w:val="right"/>
              <w:rPr>
                <w:rFonts w:eastAsia="Times New Roman" w:cs="Arial"/>
                <w:color w:val="000000"/>
                <w:sz w:val="18"/>
                <w:szCs w:val="18"/>
                <w:lang w:val="en-US"/>
              </w:rPr>
            </w:pPr>
            <w:r w:rsidRPr="00C414C8">
              <w:rPr>
                <w:rFonts w:eastAsia="Times New Roman" w:cs="Arial"/>
                <w:color w:val="000000"/>
                <w:sz w:val="18"/>
                <w:szCs w:val="18"/>
                <w:lang w:val="en-US"/>
              </w:rPr>
              <w:t>2</w:t>
            </w:r>
            <w:r>
              <w:rPr>
                <w:rFonts w:eastAsia="Times New Roman" w:cs="Arial"/>
                <w:color w:val="000000"/>
                <w:sz w:val="18"/>
                <w:szCs w:val="18"/>
                <w:lang w:val="en-US"/>
              </w:rPr>
              <w:t>,</w:t>
            </w:r>
            <w:r w:rsidRPr="00C414C8">
              <w:rPr>
                <w:rFonts w:eastAsia="Times New Roman" w:cs="Arial"/>
                <w:color w:val="000000"/>
                <w:sz w:val="18"/>
                <w:szCs w:val="18"/>
                <w:lang w:val="en-US"/>
              </w:rPr>
              <w:t>706</w:t>
            </w:r>
          </w:p>
        </w:tc>
        <w:tc>
          <w:tcPr>
            <w:tcW w:w="64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0F1294B9" w14:textId="5DFBA954" w:rsidR="000D00BC" w:rsidRPr="008464D8"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1</w:t>
            </w:r>
            <w:r>
              <w:rPr>
                <w:rFonts w:eastAsia="Times New Roman" w:cs="Arial"/>
                <w:color w:val="000000"/>
                <w:sz w:val="18"/>
                <w:szCs w:val="18"/>
                <w:lang w:val="en-US"/>
              </w:rPr>
              <w:t>,</w:t>
            </w:r>
            <w:r w:rsidRPr="00DF4B98">
              <w:rPr>
                <w:rFonts w:eastAsia="Times New Roman" w:cs="Arial"/>
                <w:color w:val="000000"/>
                <w:sz w:val="18"/>
                <w:szCs w:val="18"/>
                <w:lang w:val="en-US"/>
              </w:rPr>
              <w:t>079</w:t>
            </w:r>
            <w:r>
              <w:rPr>
                <w:rFonts w:eastAsia="Times New Roman" w:cs="Arial"/>
                <w:color w:val="000000"/>
                <w:sz w:val="18"/>
                <w:szCs w:val="18"/>
                <w:lang w:val="en-US"/>
              </w:rPr>
              <w:t>,</w:t>
            </w:r>
            <w:r w:rsidRPr="00DF4B98">
              <w:rPr>
                <w:rFonts w:eastAsia="Times New Roman" w:cs="Arial"/>
                <w:color w:val="000000"/>
                <w:sz w:val="18"/>
                <w:szCs w:val="18"/>
                <w:lang w:val="en-US"/>
              </w:rPr>
              <w:t>031</w:t>
            </w:r>
          </w:p>
        </w:tc>
        <w:tc>
          <w:tcPr>
            <w:tcW w:w="64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56E025BE" w14:textId="53DEFFF9" w:rsidR="000D00BC" w:rsidRPr="008464D8"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398.75</w:t>
            </w:r>
          </w:p>
        </w:tc>
        <w:tc>
          <w:tcPr>
            <w:tcW w:w="5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1DA6E576" w14:textId="0DDACDE1" w:rsidR="000D00BC" w:rsidRDefault="000D00BC" w:rsidP="000D00BC">
            <w:pPr>
              <w:spacing w:before="120" w:after="120"/>
              <w:jc w:val="right"/>
              <w:rPr>
                <w:rFonts w:eastAsia="Times New Roman" w:cs="Arial"/>
                <w:color w:val="000000"/>
                <w:sz w:val="18"/>
                <w:szCs w:val="18"/>
                <w:lang w:val="en-US"/>
              </w:rPr>
            </w:pPr>
            <w:r>
              <w:rPr>
                <w:rFonts w:eastAsia="Times New Roman" w:cs="Arial"/>
                <w:color w:val="000000"/>
                <w:sz w:val="18"/>
                <w:szCs w:val="18"/>
                <w:lang w:val="en-US"/>
              </w:rPr>
              <w:t>$</w:t>
            </w:r>
            <w:r w:rsidRPr="00DF4B98">
              <w:rPr>
                <w:rFonts w:eastAsia="Times New Roman" w:cs="Arial"/>
                <w:color w:val="000000"/>
                <w:sz w:val="18"/>
                <w:szCs w:val="18"/>
                <w:lang w:val="en-US"/>
              </w:rPr>
              <w:t>398.75</w:t>
            </w:r>
          </w:p>
        </w:tc>
      </w:tr>
    </w:tbl>
    <w:p w14:paraId="6B26691B" w14:textId="7E074C27" w:rsidR="00646BDD" w:rsidRDefault="00646BDD" w:rsidP="00646BDD">
      <w:pPr>
        <w:spacing w:line="259" w:lineRule="auto"/>
        <w:rPr>
          <w:highlight w:val="yellow"/>
        </w:rPr>
      </w:pPr>
    </w:p>
    <w:p w14:paraId="3E8A9345" w14:textId="396D948F" w:rsidR="000D00BC" w:rsidRDefault="00C9437F" w:rsidP="00C9437F">
      <w:pPr>
        <w:pStyle w:val="Heading4"/>
        <w:numPr>
          <w:ilvl w:val="0"/>
          <w:numId w:val="0"/>
        </w:numPr>
        <w:ind w:left="864" w:hanging="864"/>
      </w:pPr>
      <w:r>
        <w:t>Calculation of bundle benefit for GUI product bundles with insufficient episodes</w:t>
      </w:r>
    </w:p>
    <w:p w14:paraId="0BEEF29D" w14:textId="4B6FBE29" w:rsidR="0099561C" w:rsidRDefault="0099561C" w:rsidP="004A1501">
      <w:r>
        <w:t>In cases where a GUI product bundle has less than 50 bundle episodes occurring within the prepared 2020</w:t>
      </w:r>
      <w:r>
        <w:noBreakHyphen/>
        <w:t xml:space="preserve">21 financial year HCP data, then the bundle benefit of the product bundle is defined to be equal to the average </w:t>
      </w:r>
      <w:r w:rsidR="00D214A4">
        <w:t xml:space="preserve">(March 2023) </w:t>
      </w:r>
      <w:r>
        <w:t>PL scheduled benefit across billing codes within the associated GUI product class.</w:t>
      </w:r>
      <w:r w:rsidR="00B52514">
        <w:t xml:space="preserve"> That is, the average is a simple average across billing code schedule benefits and does not take GUI </w:t>
      </w:r>
      <w:proofErr w:type="spellStart"/>
      <w:r w:rsidR="00B52514">
        <w:t>utilisation</w:t>
      </w:r>
      <w:proofErr w:type="spellEnd"/>
      <w:r w:rsidR="00B52514">
        <w:t xml:space="preserve"> into account.</w:t>
      </w:r>
    </w:p>
    <w:p w14:paraId="70EB8855" w14:textId="75FAABB9" w:rsidR="00B31EDD" w:rsidRDefault="00D214A4" w:rsidP="004A1501">
      <w:r>
        <w:fldChar w:fldCharType="begin"/>
      </w:r>
      <w:r>
        <w:instrText xml:space="preserve"> REF _Ref120038512 \h </w:instrText>
      </w:r>
      <w:r>
        <w:fldChar w:fldCharType="separate"/>
      </w:r>
      <w:r w:rsidR="00106CD4">
        <w:t xml:space="preserve">Table </w:t>
      </w:r>
      <w:r w:rsidR="00106CD4">
        <w:rPr>
          <w:noProof/>
        </w:rPr>
        <w:t>9</w:t>
      </w:r>
      <w:r>
        <w:fldChar w:fldCharType="end"/>
      </w:r>
      <w:r>
        <w:t xml:space="preserve"> </w:t>
      </w:r>
      <w:r w:rsidR="0099561C">
        <w:t>lists the only three instances in which this approach is taken to the calculation of bundle benefit.</w:t>
      </w:r>
    </w:p>
    <w:p w14:paraId="335AA03A" w14:textId="66D84BC1" w:rsidR="00B31EDD" w:rsidRDefault="00B31EDD" w:rsidP="00B31EDD">
      <w:pPr>
        <w:pStyle w:val="Caption"/>
        <w:keepNext/>
      </w:pPr>
      <w:bookmarkStart w:id="78" w:name="_Ref120038512"/>
      <w:r>
        <w:t xml:space="preserve">Table </w:t>
      </w:r>
      <w:fldSimple w:instr=" SEQ Table \* ARABIC ">
        <w:r w:rsidR="00106CD4">
          <w:rPr>
            <w:noProof/>
          </w:rPr>
          <w:t>9</w:t>
        </w:r>
      </w:fldSimple>
      <w:bookmarkEnd w:id="78"/>
      <w:r>
        <w:t>: List of GUI product bundles with alternative approach to calculation of bundle benefit</w:t>
      </w:r>
    </w:p>
    <w:tbl>
      <w:tblPr>
        <w:tblStyle w:val="TableGrid"/>
        <w:tblW w:w="9493" w:type="dxa"/>
        <w:tblLook w:val="04A0" w:firstRow="1" w:lastRow="0" w:firstColumn="1" w:lastColumn="0" w:noHBand="0" w:noVBand="1"/>
        <w:tblDescription w:val="Table 9 has 6 colums demonstrating calculation of bundle benefit by Product Class, Variant Branch, Bundle Variant, Billing Code, Average PL Scheduled Benefit and Bundle benefit. "/>
      </w:tblPr>
      <w:tblGrid>
        <w:gridCol w:w="1391"/>
        <w:gridCol w:w="872"/>
        <w:gridCol w:w="851"/>
        <w:gridCol w:w="2921"/>
        <w:gridCol w:w="766"/>
        <w:gridCol w:w="1417"/>
        <w:gridCol w:w="1275"/>
      </w:tblGrid>
      <w:tr w:rsidR="00304DBD" w:rsidRPr="00304DBD" w14:paraId="0D0E92B6" w14:textId="77777777" w:rsidTr="00B31EDD">
        <w:trPr>
          <w:cantSplit/>
          <w:tblHeader/>
        </w:trPr>
        <w:tc>
          <w:tcPr>
            <w:tcW w:w="139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vAlign w:val="center"/>
          </w:tcPr>
          <w:p w14:paraId="027DCEE5" w14:textId="7269A37B" w:rsidR="00304DBD" w:rsidRPr="00B31EDD" w:rsidRDefault="00304DBD" w:rsidP="00304DBD">
            <w:pPr>
              <w:spacing w:before="120" w:after="120"/>
              <w:jc w:val="center"/>
              <w:rPr>
                <w:b/>
                <w:bCs/>
                <w:color w:val="FFFFFF" w:themeColor="background2"/>
                <w:sz w:val="18"/>
                <w:szCs w:val="18"/>
              </w:rPr>
            </w:pPr>
            <w:r w:rsidRPr="00B31EDD">
              <w:rPr>
                <w:b/>
                <w:bCs/>
                <w:color w:val="FFFFFF" w:themeColor="background2"/>
                <w:sz w:val="18"/>
                <w:szCs w:val="18"/>
              </w:rPr>
              <w:t>Product class</w:t>
            </w:r>
          </w:p>
        </w:tc>
        <w:tc>
          <w:tcPr>
            <w:tcW w:w="872" w:type="dxa"/>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2F76E4DC" w14:textId="6F0F3908" w:rsidR="00304DBD" w:rsidRPr="00B31EDD" w:rsidRDefault="00304DBD" w:rsidP="00304DBD">
            <w:pPr>
              <w:spacing w:before="120" w:after="120"/>
              <w:jc w:val="center"/>
              <w:rPr>
                <w:b/>
                <w:bCs/>
                <w:color w:val="FFFFFF" w:themeColor="background2"/>
                <w:sz w:val="18"/>
                <w:szCs w:val="18"/>
              </w:rPr>
            </w:pPr>
            <w:r w:rsidRPr="00B31EDD">
              <w:rPr>
                <w:b/>
                <w:bCs/>
                <w:color w:val="FFFFFF" w:themeColor="background2"/>
                <w:sz w:val="18"/>
                <w:szCs w:val="18"/>
              </w:rPr>
              <w:t>Variant branch</w:t>
            </w:r>
          </w:p>
        </w:tc>
        <w:tc>
          <w:tcPr>
            <w:tcW w:w="3772" w:type="dxa"/>
            <w:gridSpan w:val="2"/>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7F369234" w14:textId="14AB5A85" w:rsidR="00304DBD" w:rsidRPr="00B31EDD" w:rsidRDefault="00304DBD" w:rsidP="00304DBD">
            <w:pPr>
              <w:spacing w:before="120" w:after="120"/>
              <w:jc w:val="center"/>
              <w:rPr>
                <w:b/>
                <w:bCs/>
                <w:color w:val="FFFFFF" w:themeColor="background2"/>
                <w:sz w:val="18"/>
                <w:szCs w:val="18"/>
              </w:rPr>
            </w:pPr>
            <w:r w:rsidRPr="00B31EDD">
              <w:rPr>
                <w:b/>
                <w:bCs/>
                <w:color w:val="FFFFFF" w:themeColor="background2"/>
                <w:sz w:val="18"/>
                <w:szCs w:val="18"/>
              </w:rPr>
              <w:t>Bundle variant</w:t>
            </w:r>
          </w:p>
        </w:tc>
        <w:tc>
          <w:tcPr>
            <w:tcW w:w="766" w:type="dxa"/>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6B93D444" w14:textId="1E1737D3" w:rsidR="00304DBD" w:rsidRPr="00B31EDD" w:rsidRDefault="00304DBD" w:rsidP="00304DBD">
            <w:pPr>
              <w:spacing w:before="120" w:after="120"/>
              <w:jc w:val="center"/>
              <w:rPr>
                <w:b/>
                <w:bCs/>
                <w:color w:val="FFFFFF" w:themeColor="background2"/>
                <w:sz w:val="18"/>
                <w:szCs w:val="18"/>
              </w:rPr>
            </w:pPr>
            <w:r w:rsidRPr="00B31EDD">
              <w:rPr>
                <w:b/>
                <w:bCs/>
                <w:color w:val="FFFFFF" w:themeColor="background2"/>
                <w:sz w:val="18"/>
                <w:szCs w:val="18"/>
              </w:rPr>
              <w:t>Billing codes</w:t>
            </w:r>
          </w:p>
        </w:tc>
        <w:tc>
          <w:tcPr>
            <w:tcW w:w="1417" w:type="dxa"/>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21432CD1" w14:textId="531EC23B" w:rsidR="00304DBD" w:rsidRPr="00B31EDD" w:rsidRDefault="00304DBD" w:rsidP="00304DBD">
            <w:pPr>
              <w:spacing w:before="120" w:after="120"/>
              <w:jc w:val="center"/>
              <w:rPr>
                <w:b/>
                <w:bCs/>
                <w:color w:val="FFFFFF" w:themeColor="background2"/>
                <w:sz w:val="18"/>
                <w:szCs w:val="18"/>
              </w:rPr>
            </w:pPr>
            <w:r w:rsidRPr="00B31EDD">
              <w:rPr>
                <w:b/>
                <w:bCs/>
                <w:color w:val="FFFFFF" w:themeColor="background2"/>
                <w:sz w:val="18"/>
                <w:szCs w:val="18"/>
              </w:rPr>
              <w:t>Average PL scheduled benefit</w:t>
            </w:r>
          </w:p>
        </w:tc>
        <w:tc>
          <w:tcPr>
            <w:tcW w:w="1275" w:type="dxa"/>
            <w:tcBorders>
              <w:top w:val="single" w:sz="4" w:space="0" w:color="808080" w:themeColor="background2" w:themeShade="80"/>
              <w:left w:val="single" w:sz="4" w:space="0" w:color="FFFFFF" w:themeColor="background2"/>
              <w:bottom w:val="single" w:sz="4" w:space="0" w:color="808080" w:themeColor="background2" w:themeShade="80"/>
              <w:right w:val="single" w:sz="4" w:space="0" w:color="808080" w:themeColor="background2" w:themeShade="80"/>
            </w:tcBorders>
            <w:shd w:val="clear" w:color="auto" w:fill="104F99" w:themeFill="accent2"/>
            <w:vAlign w:val="center"/>
          </w:tcPr>
          <w:p w14:paraId="291B07FF" w14:textId="6F0C54DB" w:rsidR="00304DBD" w:rsidRPr="00B31EDD" w:rsidRDefault="00304DBD" w:rsidP="00304DBD">
            <w:pPr>
              <w:spacing w:before="120" w:after="120"/>
              <w:jc w:val="center"/>
              <w:rPr>
                <w:b/>
                <w:bCs/>
                <w:color w:val="FFFFFF" w:themeColor="background2"/>
                <w:sz w:val="18"/>
                <w:szCs w:val="18"/>
              </w:rPr>
            </w:pPr>
            <w:r w:rsidRPr="00B31EDD">
              <w:rPr>
                <w:b/>
                <w:bCs/>
                <w:color w:val="FFFFFF" w:themeColor="background2"/>
                <w:sz w:val="18"/>
                <w:szCs w:val="18"/>
              </w:rPr>
              <w:t>Bundle benefit</w:t>
            </w:r>
          </w:p>
        </w:tc>
      </w:tr>
      <w:tr w:rsidR="00304DBD" w:rsidRPr="00304DBD" w14:paraId="5B77BAA9" w14:textId="77777777" w:rsidTr="00B31EDD">
        <w:trPr>
          <w:cantSplit/>
        </w:trPr>
        <w:tc>
          <w:tcPr>
            <w:tcW w:w="139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73A530D8" w14:textId="5D2A76C4" w:rsidR="00304DBD" w:rsidRDefault="00304DBD" w:rsidP="00B31EDD">
            <w:pPr>
              <w:spacing w:before="120" w:after="120"/>
              <w:jc w:val="center"/>
              <w:rPr>
                <w:sz w:val="18"/>
                <w:szCs w:val="18"/>
              </w:rPr>
            </w:pPr>
            <w:r>
              <w:rPr>
                <w:sz w:val="18"/>
                <w:szCs w:val="18"/>
              </w:rPr>
              <w:t>A21</w:t>
            </w:r>
          </w:p>
          <w:p w14:paraId="031F1821" w14:textId="4D683DFC" w:rsidR="00304DBD" w:rsidRPr="00304DBD" w:rsidRDefault="00304DBD" w:rsidP="00B31EDD">
            <w:pPr>
              <w:spacing w:before="120" w:after="120"/>
              <w:jc w:val="center"/>
              <w:rPr>
                <w:sz w:val="18"/>
                <w:szCs w:val="18"/>
              </w:rPr>
            </w:pPr>
            <w:r w:rsidRPr="00304DBD">
              <w:rPr>
                <w:sz w:val="18"/>
                <w:szCs w:val="18"/>
              </w:rPr>
              <w:t>Feeding Tubes</w:t>
            </w:r>
          </w:p>
        </w:tc>
        <w:tc>
          <w:tcPr>
            <w:tcW w:w="872" w:type="dxa"/>
            <w:vMerge w:val="restar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1773B6DE" w14:textId="4979B53B" w:rsidR="00304DBD" w:rsidRDefault="00304DBD" w:rsidP="00B31EDD">
            <w:pPr>
              <w:spacing w:before="120" w:after="120"/>
              <w:jc w:val="center"/>
              <w:rPr>
                <w:sz w:val="18"/>
                <w:szCs w:val="18"/>
              </w:rPr>
            </w:pPr>
            <w:r>
              <w:rPr>
                <w:sz w:val="18"/>
                <w:szCs w:val="18"/>
              </w:rPr>
              <w:t>A</w:t>
            </w:r>
          </w:p>
          <w:p w14:paraId="5AED4C74" w14:textId="2B0E566D" w:rsidR="00304DBD" w:rsidRPr="00304DBD" w:rsidRDefault="00304DBD" w:rsidP="00B31EDD">
            <w:pPr>
              <w:spacing w:before="120" w:after="120"/>
              <w:jc w:val="center"/>
              <w:rPr>
                <w:sz w:val="18"/>
                <w:szCs w:val="18"/>
              </w:rPr>
            </w:pPr>
            <w:r>
              <w:rPr>
                <w:sz w:val="18"/>
                <w:szCs w:val="18"/>
              </w:rPr>
              <w:t>Product Only</w:t>
            </w:r>
          </w:p>
        </w:tc>
        <w:tc>
          <w:tcPr>
            <w:tcW w:w="851" w:type="dxa"/>
            <w:tcBorders>
              <w:top w:val="single" w:sz="4" w:space="0" w:color="808080" w:themeColor="background2" w:themeShade="80"/>
              <w:left w:val="single" w:sz="4" w:space="0" w:color="808080" w:themeColor="background2" w:themeShade="80"/>
              <w:bottom w:val="single" w:sz="4" w:space="0" w:color="808080" w:themeColor="background2" w:themeShade="80"/>
              <w:right w:val="nil"/>
            </w:tcBorders>
            <w:vAlign w:val="center"/>
          </w:tcPr>
          <w:p w14:paraId="1A2FD7C9" w14:textId="07C7A82E" w:rsidR="00304DBD" w:rsidRPr="00304DBD" w:rsidRDefault="00304DBD" w:rsidP="00B31EDD">
            <w:pPr>
              <w:spacing w:before="120" w:after="120"/>
              <w:rPr>
                <w:sz w:val="18"/>
                <w:szCs w:val="18"/>
              </w:rPr>
            </w:pPr>
            <w:r w:rsidRPr="00304DBD">
              <w:rPr>
                <w:sz w:val="18"/>
                <w:szCs w:val="18"/>
              </w:rPr>
              <w:t>A21A1</w:t>
            </w:r>
          </w:p>
        </w:tc>
        <w:tc>
          <w:tcPr>
            <w:tcW w:w="2921"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vAlign w:val="center"/>
          </w:tcPr>
          <w:p w14:paraId="5C9AED43" w14:textId="37EFF809" w:rsidR="00304DBD" w:rsidRPr="00304DBD" w:rsidRDefault="00304DBD" w:rsidP="00B31EDD">
            <w:pPr>
              <w:spacing w:before="120" w:after="120"/>
              <w:rPr>
                <w:sz w:val="18"/>
                <w:szCs w:val="18"/>
              </w:rPr>
            </w:pPr>
            <w:r w:rsidRPr="00304DBD">
              <w:rPr>
                <w:sz w:val="18"/>
                <w:szCs w:val="18"/>
              </w:rPr>
              <w:t>Feeding Tubes</w:t>
            </w:r>
          </w:p>
        </w:tc>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E8CFC21" w14:textId="5A1679CD" w:rsidR="00304DBD" w:rsidRPr="00304DBD" w:rsidRDefault="00B31EDD" w:rsidP="00B31EDD">
            <w:pPr>
              <w:spacing w:before="120" w:after="120"/>
              <w:jc w:val="center"/>
              <w:rPr>
                <w:sz w:val="18"/>
                <w:szCs w:val="18"/>
              </w:rPr>
            </w:pPr>
            <w:r>
              <w:rPr>
                <w:sz w:val="18"/>
                <w:szCs w:val="18"/>
              </w:rPr>
              <w:t>1</w:t>
            </w:r>
          </w:p>
        </w:tc>
        <w:tc>
          <w:tcPr>
            <w:tcW w:w="14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41B16132" w14:textId="608640F7" w:rsidR="00304DBD" w:rsidRPr="00304DBD" w:rsidRDefault="00B31EDD" w:rsidP="00B31EDD">
            <w:pPr>
              <w:spacing w:before="120" w:after="120"/>
              <w:jc w:val="center"/>
              <w:rPr>
                <w:sz w:val="18"/>
                <w:szCs w:val="18"/>
              </w:rPr>
            </w:pPr>
            <w:r>
              <w:rPr>
                <w:sz w:val="18"/>
                <w:szCs w:val="18"/>
              </w:rPr>
              <w:t>$</w:t>
            </w:r>
            <w:r w:rsidRPr="00B31EDD">
              <w:rPr>
                <w:sz w:val="18"/>
                <w:szCs w:val="18"/>
              </w:rPr>
              <w:t>161</w:t>
            </w:r>
            <w:r>
              <w:rPr>
                <w:sz w:val="18"/>
                <w:szCs w:val="18"/>
              </w:rPr>
              <w:t>.00</w:t>
            </w:r>
          </w:p>
        </w:tc>
        <w:tc>
          <w:tcPr>
            <w:tcW w:w="1275"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4CEA8185" w14:textId="71B9AA63" w:rsidR="00304DBD" w:rsidRPr="00304DBD" w:rsidRDefault="00B31EDD" w:rsidP="00B31EDD">
            <w:pPr>
              <w:spacing w:before="120" w:after="120"/>
              <w:jc w:val="center"/>
              <w:rPr>
                <w:sz w:val="18"/>
                <w:szCs w:val="18"/>
              </w:rPr>
            </w:pPr>
            <w:r>
              <w:rPr>
                <w:sz w:val="18"/>
                <w:szCs w:val="18"/>
              </w:rPr>
              <w:t>$</w:t>
            </w:r>
            <w:r w:rsidRPr="00B31EDD">
              <w:rPr>
                <w:sz w:val="18"/>
                <w:szCs w:val="18"/>
              </w:rPr>
              <w:t>161</w:t>
            </w:r>
            <w:r>
              <w:rPr>
                <w:sz w:val="18"/>
                <w:szCs w:val="18"/>
              </w:rPr>
              <w:t>.00</w:t>
            </w:r>
          </w:p>
        </w:tc>
      </w:tr>
      <w:tr w:rsidR="00304DBD" w:rsidRPr="00304DBD" w14:paraId="694AEE9E" w14:textId="77777777" w:rsidTr="00B31EDD">
        <w:trPr>
          <w:cantSplit/>
        </w:trPr>
        <w:tc>
          <w:tcPr>
            <w:tcW w:w="139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0549FD8D" w14:textId="7AB79D60" w:rsidR="00304DBD" w:rsidRDefault="00304DBD" w:rsidP="00B31EDD">
            <w:pPr>
              <w:spacing w:before="120" w:after="120"/>
              <w:jc w:val="center"/>
              <w:rPr>
                <w:sz w:val="18"/>
                <w:szCs w:val="18"/>
              </w:rPr>
            </w:pPr>
            <w:r>
              <w:rPr>
                <w:sz w:val="18"/>
                <w:szCs w:val="18"/>
              </w:rPr>
              <w:t>A41</w:t>
            </w:r>
          </w:p>
          <w:p w14:paraId="1B40BC17" w14:textId="40438E51" w:rsidR="00304DBD" w:rsidRPr="00304DBD" w:rsidRDefault="00304DBD" w:rsidP="00B31EDD">
            <w:pPr>
              <w:spacing w:before="120" w:after="120"/>
              <w:jc w:val="center"/>
              <w:rPr>
                <w:sz w:val="18"/>
                <w:szCs w:val="18"/>
              </w:rPr>
            </w:pPr>
            <w:proofErr w:type="spellStart"/>
            <w:r w:rsidRPr="00304DBD">
              <w:rPr>
                <w:sz w:val="18"/>
                <w:szCs w:val="18"/>
              </w:rPr>
              <w:t>Occluder</w:t>
            </w:r>
            <w:proofErr w:type="spellEnd"/>
            <w:r w:rsidRPr="00304DBD">
              <w:rPr>
                <w:sz w:val="18"/>
                <w:szCs w:val="18"/>
              </w:rPr>
              <w:t xml:space="preserve"> Pins</w:t>
            </w:r>
          </w:p>
        </w:tc>
        <w:tc>
          <w:tcPr>
            <w:tcW w:w="872"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1D7C77E7" w14:textId="77777777" w:rsidR="00304DBD" w:rsidRPr="00304DBD" w:rsidRDefault="00304DBD" w:rsidP="00B31EDD">
            <w:pPr>
              <w:spacing w:before="120" w:after="120"/>
              <w:jc w:val="center"/>
              <w:rPr>
                <w:sz w:val="18"/>
                <w:szCs w:val="18"/>
              </w:rPr>
            </w:pPr>
          </w:p>
        </w:tc>
        <w:tc>
          <w:tcPr>
            <w:tcW w:w="851" w:type="dxa"/>
            <w:tcBorders>
              <w:top w:val="single" w:sz="4" w:space="0" w:color="808080" w:themeColor="background2" w:themeShade="80"/>
              <w:left w:val="single" w:sz="4" w:space="0" w:color="808080" w:themeColor="background2" w:themeShade="80"/>
              <w:bottom w:val="single" w:sz="4" w:space="0" w:color="808080" w:themeColor="background2" w:themeShade="80"/>
              <w:right w:val="nil"/>
            </w:tcBorders>
            <w:vAlign w:val="center"/>
          </w:tcPr>
          <w:p w14:paraId="218C1723" w14:textId="25E619E2" w:rsidR="00304DBD" w:rsidRPr="00304DBD" w:rsidRDefault="00304DBD" w:rsidP="00B31EDD">
            <w:pPr>
              <w:spacing w:before="120" w:after="120"/>
              <w:rPr>
                <w:sz w:val="18"/>
                <w:szCs w:val="18"/>
              </w:rPr>
            </w:pPr>
            <w:r w:rsidRPr="00304DBD">
              <w:rPr>
                <w:sz w:val="18"/>
                <w:szCs w:val="18"/>
              </w:rPr>
              <w:t>A41A1</w:t>
            </w:r>
          </w:p>
        </w:tc>
        <w:tc>
          <w:tcPr>
            <w:tcW w:w="2921"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vAlign w:val="center"/>
          </w:tcPr>
          <w:p w14:paraId="4B109F93" w14:textId="7023D96B" w:rsidR="00304DBD" w:rsidRPr="00304DBD" w:rsidRDefault="00304DBD" w:rsidP="00B31EDD">
            <w:pPr>
              <w:spacing w:before="120" w:after="120"/>
              <w:rPr>
                <w:sz w:val="18"/>
                <w:szCs w:val="18"/>
              </w:rPr>
            </w:pPr>
            <w:proofErr w:type="spellStart"/>
            <w:r w:rsidRPr="00304DBD">
              <w:rPr>
                <w:sz w:val="18"/>
                <w:szCs w:val="18"/>
              </w:rPr>
              <w:t>Occluder</w:t>
            </w:r>
            <w:proofErr w:type="spellEnd"/>
            <w:r w:rsidRPr="00304DBD">
              <w:rPr>
                <w:sz w:val="18"/>
                <w:szCs w:val="18"/>
              </w:rPr>
              <w:t xml:space="preserve"> Pins</w:t>
            </w:r>
          </w:p>
        </w:tc>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57C6AF41" w14:textId="6C74DD1E" w:rsidR="00304DBD" w:rsidRPr="00304DBD" w:rsidRDefault="00B31EDD" w:rsidP="00B31EDD">
            <w:pPr>
              <w:spacing w:before="120" w:after="120"/>
              <w:jc w:val="center"/>
              <w:rPr>
                <w:sz w:val="18"/>
                <w:szCs w:val="18"/>
              </w:rPr>
            </w:pPr>
            <w:r>
              <w:rPr>
                <w:sz w:val="18"/>
                <w:szCs w:val="18"/>
              </w:rPr>
              <w:t>1</w:t>
            </w:r>
          </w:p>
        </w:tc>
        <w:tc>
          <w:tcPr>
            <w:tcW w:w="14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7C3E3D2E" w14:textId="173DC708" w:rsidR="00304DBD" w:rsidRPr="00304DBD" w:rsidRDefault="00B31EDD" w:rsidP="00B31EDD">
            <w:pPr>
              <w:spacing w:before="120" w:after="120"/>
              <w:jc w:val="center"/>
              <w:rPr>
                <w:sz w:val="18"/>
                <w:szCs w:val="18"/>
              </w:rPr>
            </w:pPr>
            <w:r>
              <w:rPr>
                <w:sz w:val="18"/>
                <w:szCs w:val="18"/>
              </w:rPr>
              <w:t>$</w:t>
            </w:r>
            <w:r w:rsidRPr="00B31EDD">
              <w:rPr>
                <w:sz w:val="18"/>
                <w:szCs w:val="18"/>
              </w:rPr>
              <w:t>286</w:t>
            </w:r>
            <w:r>
              <w:rPr>
                <w:sz w:val="18"/>
                <w:szCs w:val="18"/>
              </w:rPr>
              <w:t>.00</w:t>
            </w:r>
          </w:p>
        </w:tc>
        <w:tc>
          <w:tcPr>
            <w:tcW w:w="1275"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7ABE157A" w14:textId="1F15A408" w:rsidR="00304DBD" w:rsidRPr="00304DBD" w:rsidRDefault="00B31EDD" w:rsidP="00B31EDD">
            <w:pPr>
              <w:spacing w:before="120" w:after="120"/>
              <w:jc w:val="center"/>
              <w:rPr>
                <w:sz w:val="18"/>
                <w:szCs w:val="18"/>
              </w:rPr>
            </w:pPr>
            <w:r>
              <w:rPr>
                <w:sz w:val="18"/>
                <w:szCs w:val="18"/>
              </w:rPr>
              <w:t>$</w:t>
            </w:r>
            <w:r w:rsidRPr="00B31EDD">
              <w:rPr>
                <w:sz w:val="18"/>
                <w:szCs w:val="18"/>
              </w:rPr>
              <w:t>286</w:t>
            </w:r>
            <w:r>
              <w:rPr>
                <w:sz w:val="18"/>
                <w:szCs w:val="18"/>
              </w:rPr>
              <w:t>.00</w:t>
            </w:r>
          </w:p>
        </w:tc>
      </w:tr>
      <w:tr w:rsidR="00304DBD" w:rsidRPr="00304DBD" w14:paraId="3E38C728" w14:textId="77777777" w:rsidTr="00B31EDD">
        <w:trPr>
          <w:cantSplit/>
        </w:trPr>
        <w:tc>
          <w:tcPr>
            <w:tcW w:w="139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D2A9D7F" w14:textId="711D77EA" w:rsidR="00304DBD" w:rsidRDefault="00304DBD" w:rsidP="00B31EDD">
            <w:pPr>
              <w:spacing w:before="120" w:after="120"/>
              <w:jc w:val="center"/>
              <w:rPr>
                <w:sz w:val="18"/>
                <w:szCs w:val="18"/>
              </w:rPr>
            </w:pPr>
            <w:r>
              <w:rPr>
                <w:sz w:val="18"/>
                <w:szCs w:val="18"/>
              </w:rPr>
              <w:t>A56</w:t>
            </w:r>
          </w:p>
          <w:p w14:paraId="7AB102A1" w14:textId="452D3D6C" w:rsidR="00304DBD" w:rsidRPr="00304DBD" w:rsidRDefault="00304DBD" w:rsidP="00B31EDD">
            <w:pPr>
              <w:spacing w:before="120" w:after="120"/>
              <w:jc w:val="center"/>
              <w:rPr>
                <w:sz w:val="18"/>
                <w:szCs w:val="18"/>
              </w:rPr>
            </w:pPr>
            <w:r w:rsidRPr="00304DBD">
              <w:rPr>
                <w:sz w:val="18"/>
                <w:szCs w:val="18"/>
              </w:rPr>
              <w:t>Dura Repair, Membrane Sealants</w:t>
            </w:r>
          </w:p>
        </w:tc>
        <w:tc>
          <w:tcPr>
            <w:tcW w:w="872" w:type="dxa"/>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73BED585" w14:textId="77777777" w:rsidR="00304DBD" w:rsidRPr="00304DBD" w:rsidRDefault="00304DBD" w:rsidP="00B31EDD">
            <w:pPr>
              <w:spacing w:before="120" w:after="120"/>
              <w:jc w:val="center"/>
              <w:rPr>
                <w:sz w:val="18"/>
                <w:szCs w:val="18"/>
              </w:rPr>
            </w:pPr>
          </w:p>
        </w:tc>
        <w:tc>
          <w:tcPr>
            <w:tcW w:w="851" w:type="dxa"/>
            <w:tcBorders>
              <w:top w:val="single" w:sz="4" w:space="0" w:color="808080" w:themeColor="background2" w:themeShade="80"/>
              <w:left w:val="single" w:sz="4" w:space="0" w:color="808080" w:themeColor="background2" w:themeShade="80"/>
              <w:bottom w:val="single" w:sz="4" w:space="0" w:color="808080" w:themeColor="background2" w:themeShade="80"/>
              <w:right w:val="nil"/>
            </w:tcBorders>
            <w:vAlign w:val="center"/>
          </w:tcPr>
          <w:p w14:paraId="077E227A" w14:textId="0FFD8AB0" w:rsidR="00304DBD" w:rsidRPr="00304DBD" w:rsidRDefault="00304DBD" w:rsidP="00B31EDD">
            <w:pPr>
              <w:spacing w:before="120" w:after="120"/>
              <w:rPr>
                <w:sz w:val="18"/>
                <w:szCs w:val="18"/>
              </w:rPr>
            </w:pPr>
            <w:r w:rsidRPr="00304DBD">
              <w:rPr>
                <w:sz w:val="18"/>
                <w:szCs w:val="18"/>
              </w:rPr>
              <w:t>A56A1</w:t>
            </w:r>
          </w:p>
        </w:tc>
        <w:tc>
          <w:tcPr>
            <w:tcW w:w="2921"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vAlign w:val="center"/>
          </w:tcPr>
          <w:p w14:paraId="7B12330B" w14:textId="199A198E" w:rsidR="00304DBD" w:rsidRPr="00304DBD" w:rsidRDefault="00304DBD" w:rsidP="00B31EDD">
            <w:pPr>
              <w:spacing w:before="120" w:after="120"/>
              <w:rPr>
                <w:sz w:val="18"/>
                <w:szCs w:val="18"/>
              </w:rPr>
            </w:pPr>
            <w:r w:rsidRPr="00304DBD">
              <w:rPr>
                <w:sz w:val="18"/>
                <w:szCs w:val="18"/>
              </w:rPr>
              <w:t>Dura Repair, Membrane Sealants</w:t>
            </w:r>
          </w:p>
        </w:tc>
        <w:tc>
          <w:tcPr>
            <w:tcW w:w="76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043D2436" w14:textId="0A8637C7" w:rsidR="00304DBD" w:rsidRPr="00304DBD" w:rsidRDefault="00B31EDD" w:rsidP="00B31EDD">
            <w:pPr>
              <w:spacing w:before="120" w:after="120"/>
              <w:jc w:val="center"/>
              <w:rPr>
                <w:sz w:val="18"/>
                <w:szCs w:val="18"/>
              </w:rPr>
            </w:pPr>
            <w:r w:rsidRPr="00B31EDD">
              <w:rPr>
                <w:sz w:val="18"/>
                <w:szCs w:val="18"/>
              </w:rPr>
              <w:t>6</w:t>
            </w:r>
          </w:p>
        </w:tc>
        <w:tc>
          <w:tcPr>
            <w:tcW w:w="14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8A2DECB" w14:textId="6DC8EEB4" w:rsidR="00304DBD" w:rsidRPr="00304DBD" w:rsidRDefault="00B31EDD" w:rsidP="00B31EDD">
            <w:pPr>
              <w:spacing w:before="120" w:after="120"/>
              <w:jc w:val="center"/>
              <w:rPr>
                <w:sz w:val="18"/>
                <w:szCs w:val="18"/>
              </w:rPr>
            </w:pPr>
            <w:r>
              <w:rPr>
                <w:sz w:val="18"/>
                <w:szCs w:val="18"/>
              </w:rPr>
              <w:t>$</w:t>
            </w:r>
            <w:r w:rsidRPr="00B31EDD">
              <w:rPr>
                <w:sz w:val="18"/>
                <w:szCs w:val="18"/>
              </w:rPr>
              <w:t>378.5</w:t>
            </w:r>
            <w:r>
              <w:rPr>
                <w:sz w:val="18"/>
                <w:szCs w:val="18"/>
              </w:rPr>
              <w:t>0</w:t>
            </w:r>
          </w:p>
        </w:tc>
        <w:tc>
          <w:tcPr>
            <w:tcW w:w="1275"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5B49EDE8" w14:textId="6EBB083F" w:rsidR="00304DBD" w:rsidRPr="00304DBD" w:rsidRDefault="00B31EDD" w:rsidP="00B31EDD">
            <w:pPr>
              <w:spacing w:before="120" w:after="120"/>
              <w:jc w:val="center"/>
              <w:rPr>
                <w:sz w:val="18"/>
                <w:szCs w:val="18"/>
              </w:rPr>
            </w:pPr>
            <w:r>
              <w:rPr>
                <w:sz w:val="18"/>
                <w:szCs w:val="18"/>
              </w:rPr>
              <w:t>$</w:t>
            </w:r>
            <w:r w:rsidRPr="00B31EDD">
              <w:rPr>
                <w:sz w:val="18"/>
                <w:szCs w:val="18"/>
              </w:rPr>
              <w:t>378.5</w:t>
            </w:r>
            <w:r>
              <w:rPr>
                <w:sz w:val="18"/>
                <w:szCs w:val="18"/>
              </w:rPr>
              <w:t>0</w:t>
            </w:r>
          </w:p>
        </w:tc>
      </w:tr>
    </w:tbl>
    <w:p w14:paraId="45C15F96" w14:textId="77777777" w:rsidR="0099561C" w:rsidRDefault="0099561C" w:rsidP="004A1501"/>
    <w:p w14:paraId="0E1601FC" w14:textId="7A0FEA8E" w:rsidR="00C9437F" w:rsidRDefault="00C9437F" w:rsidP="00C9437F">
      <w:pPr>
        <w:pStyle w:val="Heading4"/>
        <w:numPr>
          <w:ilvl w:val="0"/>
          <w:numId w:val="0"/>
        </w:numPr>
        <w:ind w:left="864" w:hanging="864"/>
      </w:pPr>
      <w:r>
        <w:t>Calculation of bundle benefit for facility type GUI bundle variants with insufficient episodes</w:t>
      </w:r>
    </w:p>
    <w:p w14:paraId="7E441165" w14:textId="34BEAC9E" w:rsidR="008D4D74" w:rsidRDefault="008D4D74" w:rsidP="008D4D74">
      <w:r>
        <w:t xml:space="preserve">For each GUI product class, if all three of its facility type GUI bundle variants (i.e. private overnight, private day and public) </w:t>
      </w:r>
      <w:r w:rsidR="00385303">
        <w:t xml:space="preserve">satisfy </w:t>
      </w:r>
      <w:r>
        <w:t>both of the following criteria</w:t>
      </w:r>
      <w:r w:rsidR="00385303">
        <w:t>, then each facility type variant has its bundle benefit calculated as its average benefits per episode.</w:t>
      </w:r>
    </w:p>
    <w:p w14:paraId="2C6050C4" w14:textId="5FA1DC1A" w:rsidR="008D4D74" w:rsidRDefault="00385303" w:rsidP="007102CA">
      <w:pPr>
        <w:pStyle w:val="ListParagraph"/>
        <w:numPr>
          <w:ilvl w:val="0"/>
          <w:numId w:val="18"/>
        </w:numPr>
      </w:pPr>
      <w:r>
        <w:t>T</w:t>
      </w:r>
      <w:r w:rsidR="008D4D74">
        <w:t>he bundle variant has 50 or more bundle episodes</w:t>
      </w:r>
    </w:p>
    <w:p w14:paraId="6A458075" w14:textId="25F7A1F8" w:rsidR="008D4D74" w:rsidRDefault="00385303" w:rsidP="007102CA">
      <w:pPr>
        <w:pStyle w:val="ListParagraph"/>
        <w:numPr>
          <w:ilvl w:val="0"/>
          <w:numId w:val="18"/>
        </w:numPr>
      </w:pPr>
      <w:r>
        <w:t>T</w:t>
      </w:r>
      <w:r w:rsidR="008D4D74">
        <w:t>he bundle variant episodes occur across three or more providers.</w:t>
      </w:r>
    </w:p>
    <w:p w14:paraId="075DE98A" w14:textId="17CB64F7" w:rsidR="008D4D74" w:rsidRDefault="008D4D74" w:rsidP="008D4D74">
      <w:r>
        <w:t>In cases where at least one facility type</w:t>
      </w:r>
      <w:r w:rsidR="00385303">
        <w:t xml:space="preserve"> variant</w:t>
      </w:r>
      <w:r>
        <w:t xml:space="preserve"> does not satisfy these </w:t>
      </w:r>
      <w:r w:rsidR="00385303">
        <w:t xml:space="preserve">two </w:t>
      </w:r>
      <w:r>
        <w:t>criteria</w:t>
      </w:r>
      <w:r w:rsidR="008D13C6">
        <w:t xml:space="preserve"> (i.e. at least one facility type has less than 50 episodes for the product class or less than three providers contributing </w:t>
      </w:r>
      <w:r w:rsidR="008D13C6">
        <w:lastRenderedPageBreak/>
        <w:t>episodes for the product class)</w:t>
      </w:r>
      <w:r>
        <w:t xml:space="preserve">, then facility types </w:t>
      </w:r>
      <w:r w:rsidR="00385303">
        <w:t xml:space="preserve">have their bundle episodes </w:t>
      </w:r>
      <w:r>
        <w:t xml:space="preserve">pooled for the purpose of </w:t>
      </w:r>
      <w:r w:rsidR="00385303">
        <w:t xml:space="preserve">calculating average </w:t>
      </w:r>
      <w:r>
        <w:t>benefit</w:t>
      </w:r>
      <w:r w:rsidR="00385303">
        <w:t>s</w:t>
      </w:r>
      <w:r>
        <w:t xml:space="preserve"> per episode </w:t>
      </w:r>
      <w:r w:rsidR="00385303">
        <w:t>and assigning bundle benefits. In these cases, the approach to pooling facility type variants and assigning bundle benefits is as follows:</w:t>
      </w:r>
    </w:p>
    <w:p w14:paraId="7F5BC1D5" w14:textId="77777777" w:rsidR="00385303" w:rsidRDefault="008D4D74" w:rsidP="007102CA">
      <w:pPr>
        <w:pStyle w:val="ListParagraph"/>
        <w:numPr>
          <w:ilvl w:val="0"/>
          <w:numId w:val="17"/>
        </w:numPr>
      </w:pPr>
      <w:r>
        <w:t xml:space="preserve">If at most one facility type satisfies the </w:t>
      </w:r>
      <w:r w:rsidR="00385303">
        <w:t xml:space="preserve">two </w:t>
      </w:r>
      <w:r>
        <w:t>criteria, then all facility type bundle variant</w:t>
      </w:r>
      <w:r w:rsidR="00385303">
        <w:t xml:space="preserve">s are assigned a bundle benefit equal to the bundle benefit of the overarching GUI </w:t>
      </w:r>
      <w:r>
        <w:t>product bundle</w:t>
      </w:r>
    </w:p>
    <w:p w14:paraId="77752B6F" w14:textId="77777777" w:rsidR="00385303" w:rsidRDefault="008D4D74" w:rsidP="007102CA">
      <w:pPr>
        <w:pStyle w:val="ListParagraph"/>
        <w:numPr>
          <w:ilvl w:val="0"/>
          <w:numId w:val="17"/>
        </w:numPr>
      </w:pPr>
      <w:r>
        <w:t xml:space="preserve">Else if the </w:t>
      </w:r>
      <w:r w:rsidR="00385303">
        <w:t>p</w:t>
      </w:r>
      <w:r>
        <w:t xml:space="preserve">rivate </w:t>
      </w:r>
      <w:r w:rsidR="00385303">
        <w:t>o</w:t>
      </w:r>
      <w:r>
        <w:t xml:space="preserve">vernight facility type does not satisfy the criteria (hence the </w:t>
      </w:r>
      <w:r w:rsidR="00385303">
        <w:t>p</w:t>
      </w:r>
      <w:r>
        <w:t xml:space="preserve">rivate </w:t>
      </w:r>
      <w:r w:rsidR="00385303">
        <w:t>d</w:t>
      </w:r>
      <w:r>
        <w:t xml:space="preserve">ay and </w:t>
      </w:r>
      <w:r w:rsidR="00385303">
        <w:t>p</w:t>
      </w:r>
      <w:r>
        <w:t xml:space="preserve">ublic facility types do satisfy the criteria), then the </w:t>
      </w:r>
      <w:r w:rsidR="00385303">
        <w:t>p</w:t>
      </w:r>
      <w:r>
        <w:t xml:space="preserve">rivate </w:t>
      </w:r>
      <w:r w:rsidR="00385303">
        <w:t>o</w:t>
      </w:r>
      <w:r>
        <w:t xml:space="preserve">vernight and </w:t>
      </w:r>
      <w:r w:rsidR="00385303">
        <w:t>p</w:t>
      </w:r>
      <w:r>
        <w:t xml:space="preserve">rivate </w:t>
      </w:r>
      <w:r w:rsidR="00385303">
        <w:t>d</w:t>
      </w:r>
      <w:r>
        <w:t xml:space="preserve">ay facility type </w:t>
      </w:r>
      <w:r w:rsidR="00385303">
        <w:t xml:space="preserve">variants have their bundle episodes </w:t>
      </w:r>
      <w:r>
        <w:t xml:space="preserve">pooled </w:t>
      </w:r>
      <w:r w:rsidR="00385303">
        <w:t xml:space="preserve">for the purpose of calculating average benefits per episode, and </w:t>
      </w:r>
      <w:r>
        <w:t xml:space="preserve">both </w:t>
      </w:r>
      <w:r w:rsidR="00385303">
        <w:t xml:space="preserve">are assigned a bundle benefit equal to the </w:t>
      </w:r>
      <w:r>
        <w:t>pooled</w:t>
      </w:r>
      <w:r w:rsidR="00385303">
        <w:t xml:space="preserve"> average benefits per episode</w:t>
      </w:r>
    </w:p>
    <w:p w14:paraId="75A24642" w14:textId="77777777" w:rsidR="004A4019" w:rsidRDefault="008D4D74" w:rsidP="007102CA">
      <w:pPr>
        <w:pStyle w:val="ListParagraph"/>
        <w:numPr>
          <w:ilvl w:val="0"/>
          <w:numId w:val="17"/>
        </w:numPr>
      </w:pPr>
      <w:r>
        <w:t xml:space="preserve">Else if the </w:t>
      </w:r>
      <w:r w:rsidR="00385303">
        <w:t>p</w:t>
      </w:r>
      <w:r>
        <w:t xml:space="preserve">rivate </w:t>
      </w:r>
      <w:r w:rsidR="00385303">
        <w:t>d</w:t>
      </w:r>
      <w:r>
        <w:t xml:space="preserve">ay facility type does not satisfy the criteria (hence the </w:t>
      </w:r>
      <w:r w:rsidR="00385303">
        <w:t>p</w:t>
      </w:r>
      <w:r>
        <w:t xml:space="preserve">rivate </w:t>
      </w:r>
      <w:r w:rsidR="00385303">
        <w:t>o</w:t>
      </w:r>
      <w:r>
        <w:t xml:space="preserve">vernight and </w:t>
      </w:r>
      <w:r w:rsidR="00385303">
        <w:t>p</w:t>
      </w:r>
      <w:r>
        <w:t xml:space="preserve">ublic facility types do satisfy the criteria), then the </w:t>
      </w:r>
      <w:r w:rsidR="00385303">
        <w:t>p</w:t>
      </w:r>
      <w:r>
        <w:t xml:space="preserve">rivate </w:t>
      </w:r>
      <w:r w:rsidR="00385303">
        <w:t>o</w:t>
      </w:r>
      <w:r>
        <w:t xml:space="preserve">vernight and </w:t>
      </w:r>
      <w:r w:rsidR="00385303">
        <w:t>p</w:t>
      </w:r>
      <w:r>
        <w:t xml:space="preserve">rivate </w:t>
      </w:r>
      <w:r w:rsidR="00385303">
        <w:t>d</w:t>
      </w:r>
      <w:r>
        <w:t xml:space="preserve">ay facility type </w:t>
      </w:r>
      <w:r w:rsidR="00385303">
        <w:t xml:space="preserve">variants have their bundle episodes pooled </w:t>
      </w:r>
      <w:r w:rsidR="004A4019">
        <w:t>for the purpose of calculating average benefits per episode, and both are assigned a bundle benefit equal to the pooled average benefits per episode</w:t>
      </w:r>
    </w:p>
    <w:p w14:paraId="2A488EF0" w14:textId="54E6FBF9" w:rsidR="006D551D" w:rsidRDefault="008D4D74" w:rsidP="007102CA">
      <w:pPr>
        <w:pStyle w:val="ListParagraph"/>
        <w:numPr>
          <w:ilvl w:val="0"/>
          <w:numId w:val="17"/>
        </w:numPr>
      </w:pPr>
      <w:r>
        <w:t xml:space="preserve">Else if the </w:t>
      </w:r>
      <w:r w:rsidR="00A65DC3">
        <w:t>p</w:t>
      </w:r>
      <w:r>
        <w:t xml:space="preserve">ublic facility type does not satisfy the criteria (hence the </w:t>
      </w:r>
      <w:r w:rsidR="00A65DC3">
        <w:t>p</w:t>
      </w:r>
      <w:r>
        <w:t xml:space="preserve">rivate </w:t>
      </w:r>
      <w:r w:rsidR="00A65DC3">
        <w:t>o</w:t>
      </w:r>
      <w:r>
        <w:t xml:space="preserve">vernight and </w:t>
      </w:r>
      <w:r w:rsidR="00A65DC3">
        <w:t>p</w:t>
      </w:r>
      <w:r>
        <w:t xml:space="preserve">rivate </w:t>
      </w:r>
      <w:r w:rsidR="00A65DC3">
        <w:t>d</w:t>
      </w:r>
      <w:r>
        <w:t xml:space="preserve">ay facility types do satisfy the criteria), then the </w:t>
      </w:r>
      <w:r w:rsidR="00A65DC3">
        <w:t>p</w:t>
      </w:r>
      <w:r>
        <w:t xml:space="preserve">rivate </w:t>
      </w:r>
      <w:r w:rsidR="00A65DC3">
        <w:t>o</w:t>
      </w:r>
      <w:r>
        <w:t xml:space="preserve">vernight and </w:t>
      </w:r>
      <w:r w:rsidR="00A65DC3">
        <w:t>p</w:t>
      </w:r>
      <w:r>
        <w:t xml:space="preserve">ublic facility type </w:t>
      </w:r>
      <w:r w:rsidR="00A65DC3">
        <w:t>variants have their bundle episodes pooled for the purpose of calculating average benefits per episode, and both are assigned a bundle benefit equal to the pooled average benefits per episode.</w:t>
      </w:r>
    </w:p>
    <w:p w14:paraId="67085D1B" w14:textId="0CFF64DA" w:rsidR="00353860" w:rsidRDefault="00066724" w:rsidP="00353860">
      <w:pPr>
        <w:pStyle w:val="Heading3"/>
      </w:pPr>
      <w:bookmarkStart w:id="79" w:name="_Toc121130809"/>
      <w:r>
        <w:t xml:space="preserve">Calculation of </w:t>
      </w:r>
      <w:r w:rsidR="00353860">
        <w:t xml:space="preserve">GUI bundle </w:t>
      </w:r>
      <w:r>
        <w:t xml:space="preserve">variation </w:t>
      </w:r>
      <w:r w:rsidR="00353860">
        <w:t>statistics</w:t>
      </w:r>
      <w:bookmarkEnd w:id="79"/>
    </w:p>
    <w:p w14:paraId="117BC080" w14:textId="77777777" w:rsidR="00240DE3" w:rsidRDefault="00240DE3" w:rsidP="00240DE3">
      <w:r>
        <w:t>Each of the three types of GUI bundle variants, together with their bundle benefits, have been defined so that, when applied across all privately insured admitted episodes of care, they are estimated to deliver the same total amount of GUI benefits as would be distributed by the current PL payment mechanism using the March 2023 PL scheduled benefits. In this way, the bundle benefit of each variant is defined at a national level.</w:t>
      </w:r>
    </w:p>
    <w:p w14:paraId="0268E49E" w14:textId="0D173986" w:rsidR="00240DE3" w:rsidRDefault="00240DE3" w:rsidP="00240DE3">
      <w:r>
        <w:t xml:space="preserve">In contrast, individual providers or insurers will have their own observed mix of GUI </w:t>
      </w:r>
      <w:proofErr w:type="spellStart"/>
      <w:r>
        <w:t>utilisation</w:t>
      </w:r>
      <w:proofErr w:type="spellEnd"/>
      <w:r>
        <w:t xml:space="preserve"> across admitted episodes, resulting in variation in their average PL benefits per episode for GUIs compared with the nationally defined bundle benefit.</w:t>
      </w:r>
    </w:p>
    <w:p w14:paraId="32CA6CC0" w14:textId="33541F4C" w:rsidR="00353860" w:rsidRPr="00284F52" w:rsidRDefault="00240DE3" w:rsidP="00240DE3">
      <w:r>
        <w:t>At both the national level and the level of an individual provider or insurer, t</w:t>
      </w:r>
      <w:r w:rsidR="00353860" w:rsidRPr="00284F52">
        <w:t xml:space="preserve">he </w:t>
      </w:r>
      <w:r w:rsidR="00A111E1">
        <w:t xml:space="preserve">average </w:t>
      </w:r>
      <w:r w:rsidR="00353860" w:rsidRPr="00284F52">
        <w:t>benefit</w:t>
      </w:r>
      <w:r w:rsidR="00A111E1">
        <w:t>s</w:t>
      </w:r>
      <w:r w:rsidR="00353860" w:rsidRPr="00284F52">
        <w:t xml:space="preserve"> per episode </w:t>
      </w:r>
      <w:r w:rsidR="00A111E1">
        <w:t xml:space="preserve">of each </w:t>
      </w:r>
      <w:r w:rsidR="00353860" w:rsidRPr="00284F52">
        <w:t xml:space="preserve">GUI </w:t>
      </w:r>
      <w:r w:rsidR="00A111E1">
        <w:t>bundle variant</w:t>
      </w:r>
      <w:r w:rsidR="00353860" w:rsidRPr="00284F52">
        <w:t xml:space="preserve"> can be decomposed as:</w:t>
      </w:r>
    </w:p>
    <w:p w14:paraId="1ABAE123" w14:textId="71252CDA" w:rsidR="00353860" w:rsidRPr="00284F52" w:rsidRDefault="00353860" w:rsidP="00353860">
      <w:pPr>
        <w:jc w:val="center"/>
      </w:pPr>
      <w:r w:rsidRPr="00284F52">
        <w:t>(</w:t>
      </w:r>
      <w:r w:rsidR="00A111E1">
        <w:t xml:space="preserve">Average </w:t>
      </w:r>
      <w:r w:rsidRPr="00284F52">
        <w:t>Benefits per Episode) = (</w:t>
      </w:r>
      <w:r w:rsidR="00A111E1">
        <w:t xml:space="preserve">Average </w:t>
      </w:r>
      <w:r w:rsidRPr="00284F52">
        <w:t xml:space="preserve">Benefits </w:t>
      </w:r>
      <w:r>
        <w:t>per Item) x (</w:t>
      </w:r>
      <w:r w:rsidR="00A111E1">
        <w:t xml:space="preserve">Average </w:t>
      </w:r>
      <w:r>
        <w:t>Items per Episode)</w:t>
      </w:r>
    </w:p>
    <w:p w14:paraId="673055D5" w14:textId="77777777" w:rsidR="00240DE3" w:rsidRDefault="00A111E1" w:rsidP="00F44793">
      <w:r>
        <w:t xml:space="preserve">This relationship </w:t>
      </w:r>
      <w:r w:rsidR="00240DE3">
        <w:t xml:space="preserve">illustrates how the variation in average benefits per episode that a provider or insurer may observe in comparison to nationally defined bundle benefits can be understood as the product of variation in </w:t>
      </w:r>
      <w:r w:rsidR="00240DE3" w:rsidRPr="00240DE3">
        <w:t>average PL benefit</w:t>
      </w:r>
      <w:r w:rsidR="00240DE3">
        <w:t>s</w:t>
      </w:r>
      <w:r w:rsidR="00240DE3" w:rsidRPr="00240DE3">
        <w:t xml:space="preserve"> per item (i.e. differences in the types of GUI products used), combined with variation in the average number of items used per episode.</w:t>
      </w:r>
    </w:p>
    <w:p w14:paraId="07F16117" w14:textId="6DAA2543" w:rsidR="000811A9" w:rsidRDefault="0058590F" w:rsidP="00F44793">
      <w:r>
        <w:t>Furthermore, s</w:t>
      </w:r>
      <w:r w:rsidR="00240DE3" w:rsidRPr="00240DE3">
        <w:t xml:space="preserve">maller providers or insurers may be susceptible to greater variation in their average PL benefits per episode due to the increased influence of individual episodes with unusual patterns of GUI </w:t>
      </w:r>
      <w:proofErr w:type="spellStart"/>
      <w:r w:rsidR="00240DE3" w:rsidRPr="00240DE3">
        <w:t>utilisation</w:t>
      </w:r>
      <w:proofErr w:type="spellEnd"/>
      <w:r w:rsidR="00240DE3" w:rsidRPr="00240DE3">
        <w:t>.</w:t>
      </w:r>
    </w:p>
    <w:p w14:paraId="4ECB12E8" w14:textId="26B784A1" w:rsidR="0058590F" w:rsidRDefault="000811A9" w:rsidP="008E2A0F">
      <w:r>
        <w:t xml:space="preserve">Additional </w:t>
      </w:r>
      <w:r w:rsidR="0058590F">
        <w:t xml:space="preserve">bundle variation </w:t>
      </w:r>
      <w:r w:rsidR="008E2A0F">
        <w:t xml:space="preserve">statistics </w:t>
      </w:r>
      <w:r w:rsidR="0058590F">
        <w:t xml:space="preserve">have been calculated to </w:t>
      </w:r>
      <w:r w:rsidR="0058590F" w:rsidRPr="0058590F">
        <w:t>provide insurers and providers with the ability to compare their own observed variation against the national profile</w:t>
      </w:r>
      <w:r w:rsidR="0058590F">
        <w:t>. Specifically</w:t>
      </w:r>
      <w:r w:rsidR="0058590F" w:rsidRPr="0058590F">
        <w:t xml:space="preserve">, IHACPA’s advice includes GUI percentile statistics for ‘average PL benefits per episode’, ‘average PL benefits </w:t>
      </w:r>
      <w:r w:rsidR="0058590F" w:rsidRPr="0058590F">
        <w:lastRenderedPageBreak/>
        <w:t>per item’ and ‘average items per episode’ across all bundle variants</w:t>
      </w:r>
      <w:r w:rsidR="0058590F">
        <w:t xml:space="preserve"> (see </w:t>
      </w:r>
      <w:r w:rsidR="0058590F">
        <w:fldChar w:fldCharType="begin"/>
      </w:r>
      <w:r w:rsidR="0058590F">
        <w:instrText xml:space="preserve"> REF _Ref119920263 \h </w:instrText>
      </w:r>
      <w:r w:rsidR="0058590F">
        <w:fldChar w:fldCharType="separate"/>
      </w:r>
      <w:r w:rsidR="00106CD4">
        <w:t>Appendix D – General Use Item bundle variation statistics</w:t>
      </w:r>
      <w:r w:rsidR="0058590F">
        <w:fldChar w:fldCharType="end"/>
      </w:r>
      <w:r w:rsidR="0058590F">
        <w:t>).</w:t>
      </w:r>
    </w:p>
    <w:p w14:paraId="790A0F00" w14:textId="3051F2F1" w:rsidR="0058590F" w:rsidRDefault="0058590F" w:rsidP="008E2A0F">
      <w:r>
        <w:t xml:space="preserve">The percentile statistics have been calculated for incremental </w:t>
      </w:r>
      <w:r w:rsidR="009F7AA4">
        <w:t>volumes</w:t>
      </w:r>
      <w:r>
        <w:t xml:space="preserve"> of episode</w:t>
      </w:r>
      <w:r w:rsidR="009F7AA4">
        <w:t xml:space="preserve">s </w:t>
      </w:r>
      <w:r>
        <w:t xml:space="preserve">to illustrate how the observed number of bundle episodes can affect the expected variation in average benefits per episode and so on (i.e. </w:t>
      </w:r>
      <w:r w:rsidR="009F7AA4">
        <w:t xml:space="preserve">in general, </w:t>
      </w:r>
      <w:r>
        <w:t xml:space="preserve">the greater the </w:t>
      </w:r>
      <w:r w:rsidR="009F7AA4">
        <w:t xml:space="preserve">volume of </w:t>
      </w:r>
      <w:r>
        <w:t xml:space="preserve">episodes, the </w:t>
      </w:r>
      <w:r w:rsidR="009F7AA4">
        <w:t>less</w:t>
      </w:r>
      <w:r>
        <w:t xml:space="preserve"> the expected variation). </w:t>
      </w:r>
      <w:r w:rsidR="009F7AA4">
        <w:t>Providers and insurers can restrict their attention to variation statistics associated with the episode volumes most aligned with their own observed volumes.</w:t>
      </w:r>
    </w:p>
    <w:p w14:paraId="19317C81" w14:textId="77777777" w:rsidR="007102CA" w:rsidRDefault="009F7AA4" w:rsidP="008E2A0F">
      <w:r>
        <w:t xml:space="preserve">The percentile variation statistics are calculated </w:t>
      </w:r>
      <w:r w:rsidR="007C0C0E">
        <w:t xml:space="preserve">for each GUI bundle variant using </w:t>
      </w:r>
      <w:r w:rsidR="007102CA">
        <w:t xml:space="preserve">a </w:t>
      </w:r>
      <w:r w:rsidR="007C0C0E">
        <w:t>statistical bootstrapping method</w:t>
      </w:r>
      <w:r w:rsidR="007102CA">
        <w:t>. This method estimates the national distribution of each of the statistics of average benefits per episode, average benefits per item and average items per episodes, for each selected volume of episodes.</w:t>
      </w:r>
    </w:p>
    <w:p w14:paraId="2160390B" w14:textId="34B37D2E" w:rsidR="009F7AA4" w:rsidRDefault="007102CA" w:rsidP="007102CA">
      <w:r>
        <w:t xml:space="preserve">The statistical bootstrapping method is undertaken as follows for a selected GUI </w:t>
      </w:r>
      <w:r w:rsidR="003A0A23">
        <w:t xml:space="preserve">bundle variant and </w:t>
      </w:r>
      <w:r>
        <w:t>a selected volume of episodes (up to a maximum volume equal to the total number of episodes of that bundle variant):</w:t>
      </w:r>
    </w:p>
    <w:p w14:paraId="6A90524E" w14:textId="79371D7E" w:rsidR="00F74945" w:rsidRDefault="00F74945" w:rsidP="007102CA">
      <w:pPr>
        <w:pStyle w:val="ListParagraph"/>
        <w:numPr>
          <w:ilvl w:val="0"/>
          <w:numId w:val="19"/>
        </w:numPr>
      </w:pPr>
      <w:r>
        <w:t>Create 10,000 random samples with replacement from the pool of bundle episodes, with each random sample having a sample size equal to the selected volume</w:t>
      </w:r>
    </w:p>
    <w:p w14:paraId="6599D0CA" w14:textId="52736A86" w:rsidR="00F74945" w:rsidRDefault="00F74945" w:rsidP="007102CA">
      <w:pPr>
        <w:pStyle w:val="ListParagraph"/>
        <w:numPr>
          <w:ilvl w:val="0"/>
          <w:numId w:val="19"/>
        </w:numPr>
      </w:pPr>
      <w:r>
        <w:t>For each of the 10,000 samples, calculate the three average statistics (i.e. average benefits per episode, average benefits per item and average items per episode)</w:t>
      </w:r>
    </w:p>
    <w:p w14:paraId="626A4469" w14:textId="2007FE00" w:rsidR="007102CA" w:rsidRDefault="00F74945" w:rsidP="007102CA">
      <w:pPr>
        <w:pStyle w:val="ListParagraph"/>
        <w:numPr>
          <w:ilvl w:val="0"/>
          <w:numId w:val="19"/>
        </w:numPr>
      </w:pPr>
      <w:r>
        <w:t xml:space="preserve">For each of the three average statistics, calculate percentile statistics across its 10,000 </w:t>
      </w:r>
      <w:r w:rsidR="00AF3771">
        <w:t xml:space="preserve">sample </w:t>
      </w:r>
      <w:r>
        <w:t>estimates.</w:t>
      </w:r>
    </w:p>
    <w:p w14:paraId="3EA77C05" w14:textId="622B7732" w:rsidR="00573EEA" w:rsidRDefault="00573EEA" w:rsidP="00573EEA"/>
    <w:p w14:paraId="606D14E7" w14:textId="53C7CE6A" w:rsidR="008A5E4F" w:rsidRDefault="008A5E4F" w:rsidP="00573EEA"/>
    <w:p w14:paraId="11E378E2" w14:textId="77777777" w:rsidR="008A5E4F" w:rsidRDefault="008A5E4F" w:rsidP="00573EEA">
      <w:pPr>
        <w:sectPr w:rsidR="008A5E4F" w:rsidSect="003404B6">
          <w:pgSz w:w="11906" w:h="16838" w:code="9"/>
          <w:pgMar w:top="1134" w:right="1077" w:bottom="1134" w:left="1077" w:header="709" w:footer="709" w:gutter="0"/>
          <w:cols w:space="708"/>
          <w:docGrid w:linePitch="360"/>
        </w:sectPr>
      </w:pPr>
    </w:p>
    <w:p w14:paraId="7CE64678" w14:textId="3EE36592" w:rsidR="00191D9E" w:rsidRDefault="008A5E4F" w:rsidP="008A5E4F">
      <w:pPr>
        <w:pStyle w:val="Heading1"/>
        <w:numPr>
          <w:ilvl w:val="0"/>
          <w:numId w:val="0"/>
        </w:numPr>
        <w:ind w:left="432"/>
      </w:pPr>
      <w:bookmarkStart w:id="80" w:name="_Ref119848406"/>
      <w:bookmarkStart w:id="81" w:name="_Ref119852631"/>
      <w:bookmarkStart w:id="82" w:name="_Toc121130810"/>
      <w:r w:rsidRPr="008A5E4F">
        <w:lastRenderedPageBreak/>
        <w:t xml:space="preserve">Appendix A – </w:t>
      </w:r>
      <w:r>
        <w:t>Schedule of General Use Item Bundles</w:t>
      </w:r>
      <w:bookmarkEnd w:id="80"/>
      <w:bookmarkEnd w:id="81"/>
      <w:bookmarkEnd w:id="82"/>
    </w:p>
    <w:p w14:paraId="1C1EADEE" w14:textId="1F629B7E" w:rsidR="008A5E4F" w:rsidRDefault="008A5E4F" w:rsidP="00461D28">
      <w:pPr>
        <w:pStyle w:val="Caption"/>
      </w:pPr>
      <w:r>
        <w:t>Table A1: Definition of General Use Item Product Classes</w:t>
      </w:r>
    </w:p>
    <w:tbl>
      <w:tblPr>
        <w:tblW w:w="13674" w:type="dxa"/>
        <w:tbl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insideH w:val="single" w:sz="4" w:space="0" w:color="808080" w:themeColor="background2" w:themeShade="80"/>
          <w:insideV w:val="single" w:sz="4" w:space="0" w:color="808080" w:themeColor="background2" w:themeShade="80"/>
        </w:tblBorders>
        <w:tblLook w:val="04A0" w:firstRow="1" w:lastRow="0" w:firstColumn="1" w:lastColumn="0" w:noHBand="0" w:noVBand="1"/>
        <w:tblDescription w:val="Table A1 shows the definition of General Use Item Product Classes through a table with three columns: Product Branch, Product Class and August 2022 Prostheses List Billing Codes. "/>
      </w:tblPr>
      <w:tblGrid>
        <w:gridCol w:w="1413"/>
        <w:gridCol w:w="537"/>
        <w:gridCol w:w="2998"/>
        <w:gridCol w:w="8726"/>
      </w:tblGrid>
      <w:tr w:rsidR="00461D28" w:rsidRPr="00461D28" w14:paraId="1495E4A0" w14:textId="77777777" w:rsidTr="00461D28">
        <w:trPr>
          <w:trHeight w:val="300"/>
        </w:trPr>
        <w:tc>
          <w:tcPr>
            <w:tcW w:w="1413" w:type="dxa"/>
            <w:tcBorders>
              <w:right w:val="single" w:sz="4" w:space="0" w:color="FFFFFF" w:themeColor="background2"/>
            </w:tcBorders>
            <w:shd w:val="clear" w:color="auto" w:fill="104F99" w:themeFill="accent2"/>
            <w:noWrap/>
            <w:vAlign w:val="center"/>
            <w:hideMark/>
          </w:tcPr>
          <w:p w14:paraId="6BC24F33" w14:textId="77777777" w:rsidR="00461D28" w:rsidRPr="00461D28" w:rsidRDefault="00461D28" w:rsidP="00461D28">
            <w:pPr>
              <w:spacing w:before="120" w:after="120"/>
              <w:jc w:val="center"/>
              <w:rPr>
                <w:rFonts w:eastAsia="Times New Roman" w:cs="Arial"/>
                <w:b/>
                <w:bCs/>
                <w:color w:val="FFFFFF" w:themeColor="background2"/>
                <w:sz w:val="18"/>
                <w:szCs w:val="18"/>
                <w:lang w:val="en-AU" w:eastAsia="en-AU"/>
              </w:rPr>
            </w:pPr>
            <w:r w:rsidRPr="00461D28">
              <w:rPr>
                <w:rFonts w:eastAsia="Times New Roman" w:cs="Arial"/>
                <w:b/>
                <w:bCs/>
                <w:color w:val="FFFFFF" w:themeColor="background2"/>
                <w:sz w:val="18"/>
                <w:szCs w:val="18"/>
                <w:lang w:val="en-AU" w:eastAsia="en-AU"/>
              </w:rPr>
              <w:t>Product Branch</w:t>
            </w:r>
          </w:p>
        </w:tc>
        <w:tc>
          <w:tcPr>
            <w:tcW w:w="3535" w:type="dxa"/>
            <w:gridSpan w:val="2"/>
            <w:tcBorders>
              <w:left w:val="single" w:sz="4" w:space="0" w:color="FFFFFF" w:themeColor="background2"/>
              <w:right w:val="single" w:sz="4" w:space="0" w:color="FFFFFF" w:themeColor="background2"/>
            </w:tcBorders>
            <w:shd w:val="clear" w:color="auto" w:fill="104F99" w:themeFill="accent2"/>
            <w:noWrap/>
            <w:vAlign w:val="center"/>
            <w:hideMark/>
          </w:tcPr>
          <w:p w14:paraId="18654274" w14:textId="77777777" w:rsidR="00461D28" w:rsidRPr="00461D28" w:rsidRDefault="00461D28" w:rsidP="00461D28">
            <w:pPr>
              <w:spacing w:before="120" w:after="120"/>
              <w:jc w:val="center"/>
              <w:rPr>
                <w:rFonts w:eastAsia="Times New Roman" w:cs="Arial"/>
                <w:b/>
                <w:bCs/>
                <w:color w:val="FFFFFF" w:themeColor="background2"/>
                <w:sz w:val="18"/>
                <w:szCs w:val="18"/>
                <w:lang w:val="en-AU" w:eastAsia="en-AU"/>
              </w:rPr>
            </w:pPr>
            <w:r w:rsidRPr="00461D28">
              <w:rPr>
                <w:rFonts w:eastAsia="Times New Roman" w:cs="Arial"/>
                <w:b/>
                <w:bCs/>
                <w:color w:val="FFFFFF" w:themeColor="background2"/>
                <w:sz w:val="18"/>
                <w:szCs w:val="18"/>
                <w:lang w:val="en-AU" w:eastAsia="en-AU"/>
              </w:rPr>
              <w:t>Product class</w:t>
            </w:r>
          </w:p>
        </w:tc>
        <w:tc>
          <w:tcPr>
            <w:tcW w:w="8726" w:type="dxa"/>
            <w:tcBorders>
              <w:left w:val="single" w:sz="4" w:space="0" w:color="FFFFFF" w:themeColor="background2"/>
            </w:tcBorders>
            <w:shd w:val="clear" w:color="auto" w:fill="104F99" w:themeFill="accent2"/>
            <w:noWrap/>
            <w:vAlign w:val="center"/>
            <w:hideMark/>
          </w:tcPr>
          <w:p w14:paraId="7FB31768" w14:textId="33086927" w:rsidR="00461D28" w:rsidRPr="00461D28" w:rsidRDefault="00461D28" w:rsidP="00461D28">
            <w:pPr>
              <w:spacing w:before="120" w:after="120"/>
              <w:jc w:val="center"/>
              <w:rPr>
                <w:rFonts w:eastAsia="Times New Roman" w:cs="Arial"/>
                <w:b/>
                <w:bCs/>
                <w:color w:val="FFFFFF" w:themeColor="background2"/>
                <w:sz w:val="18"/>
                <w:szCs w:val="18"/>
                <w:lang w:val="en-AU" w:eastAsia="en-AU"/>
              </w:rPr>
            </w:pPr>
            <w:r w:rsidRPr="00461D28">
              <w:rPr>
                <w:rFonts w:eastAsia="Times New Roman" w:cs="Arial"/>
                <w:b/>
                <w:bCs/>
                <w:color w:val="FFFFFF" w:themeColor="background2"/>
                <w:sz w:val="18"/>
                <w:szCs w:val="18"/>
                <w:lang w:val="en-AU" w:eastAsia="en-AU"/>
              </w:rPr>
              <w:t>August 2022 Prosthesis List billing codes</w:t>
            </w:r>
          </w:p>
        </w:tc>
      </w:tr>
      <w:tr w:rsidR="00461D28" w:rsidRPr="00461D28" w14:paraId="33C5AD7A" w14:textId="77777777" w:rsidTr="00461D28">
        <w:trPr>
          <w:trHeight w:val="720"/>
        </w:trPr>
        <w:tc>
          <w:tcPr>
            <w:tcW w:w="1413" w:type="dxa"/>
            <w:vMerge w:val="restart"/>
            <w:shd w:val="clear" w:color="auto" w:fill="auto"/>
            <w:noWrap/>
            <w:vAlign w:val="center"/>
            <w:hideMark/>
          </w:tcPr>
          <w:p w14:paraId="55707AB5" w14:textId="77777777" w:rsidR="00461D28" w:rsidRPr="00461D28" w:rsidRDefault="00461D28" w:rsidP="00461D28">
            <w:pPr>
              <w:spacing w:before="120" w:after="120"/>
              <w:jc w:val="center"/>
              <w:rPr>
                <w:rFonts w:eastAsia="Times New Roman" w:cs="Arial"/>
                <w:color w:val="000000"/>
                <w:sz w:val="18"/>
                <w:szCs w:val="18"/>
                <w:lang w:val="en-AU" w:eastAsia="en-AU"/>
              </w:rPr>
            </w:pPr>
            <w:r w:rsidRPr="00461D28">
              <w:rPr>
                <w:rFonts w:eastAsia="Times New Roman" w:cs="Arial"/>
                <w:color w:val="000000"/>
                <w:sz w:val="18"/>
                <w:szCs w:val="18"/>
                <w:lang w:val="en-AU" w:eastAsia="en-AU"/>
              </w:rPr>
              <w:t>A1 Drug Delivery</w:t>
            </w:r>
          </w:p>
        </w:tc>
        <w:tc>
          <w:tcPr>
            <w:tcW w:w="537" w:type="dxa"/>
            <w:tcBorders>
              <w:right w:val="nil"/>
            </w:tcBorders>
            <w:shd w:val="clear" w:color="auto" w:fill="auto"/>
            <w:noWrap/>
            <w:vAlign w:val="center"/>
            <w:hideMark/>
          </w:tcPr>
          <w:p w14:paraId="57204E84"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A11</w:t>
            </w:r>
          </w:p>
        </w:tc>
        <w:tc>
          <w:tcPr>
            <w:tcW w:w="2998" w:type="dxa"/>
            <w:tcBorders>
              <w:left w:val="nil"/>
            </w:tcBorders>
            <w:shd w:val="clear" w:color="auto" w:fill="auto"/>
            <w:noWrap/>
            <w:vAlign w:val="center"/>
            <w:hideMark/>
          </w:tcPr>
          <w:p w14:paraId="0D70F2DA"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Infusion Pumps, Balloon Based</w:t>
            </w:r>
          </w:p>
        </w:tc>
        <w:tc>
          <w:tcPr>
            <w:tcW w:w="8726" w:type="dxa"/>
            <w:shd w:val="clear" w:color="auto" w:fill="auto"/>
            <w:vAlign w:val="center"/>
            <w:hideMark/>
          </w:tcPr>
          <w:p w14:paraId="412140F4"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BB349 BU024 BU025 BX247 BX249 BX281 BX287 BX327 BX328 BX330 CU003 CU004 CU005 RN004 RN006 RN007 SI049 SI050 SI051 SQ035 SQ037 SQ146 TX057 TX058 TX059 TX060 TY001 UX001 UX002 UX003 UX004</w:t>
            </w:r>
          </w:p>
        </w:tc>
      </w:tr>
      <w:tr w:rsidR="00461D28" w:rsidRPr="00461D28" w14:paraId="5F219122" w14:textId="77777777" w:rsidTr="00461D28">
        <w:trPr>
          <w:trHeight w:val="240"/>
        </w:trPr>
        <w:tc>
          <w:tcPr>
            <w:tcW w:w="1413" w:type="dxa"/>
            <w:vMerge/>
            <w:vAlign w:val="center"/>
            <w:hideMark/>
          </w:tcPr>
          <w:p w14:paraId="419CFD2F" w14:textId="77777777" w:rsidR="00461D28" w:rsidRPr="00461D28" w:rsidRDefault="00461D28" w:rsidP="00461D28">
            <w:pPr>
              <w:spacing w:before="120" w:after="120"/>
              <w:jc w:val="center"/>
              <w:rPr>
                <w:rFonts w:eastAsia="Times New Roman" w:cs="Arial"/>
                <w:color w:val="000000"/>
                <w:sz w:val="18"/>
                <w:szCs w:val="18"/>
                <w:lang w:val="en-AU" w:eastAsia="en-AU"/>
              </w:rPr>
            </w:pPr>
          </w:p>
        </w:tc>
        <w:tc>
          <w:tcPr>
            <w:tcW w:w="537" w:type="dxa"/>
            <w:tcBorders>
              <w:right w:val="nil"/>
            </w:tcBorders>
            <w:shd w:val="clear" w:color="auto" w:fill="auto"/>
            <w:noWrap/>
            <w:vAlign w:val="center"/>
            <w:hideMark/>
          </w:tcPr>
          <w:p w14:paraId="3EA9C213"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A12</w:t>
            </w:r>
          </w:p>
        </w:tc>
        <w:tc>
          <w:tcPr>
            <w:tcW w:w="2998" w:type="dxa"/>
            <w:tcBorders>
              <w:left w:val="nil"/>
            </w:tcBorders>
            <w:shd w:val="clear" w:color="auto" w:fill="auto"/>
            <w:noWrap/>
            <w:vAlign w:val="center"/>
            <w:hideMark/>
          </w:tcPr>
          <w:p w14:paraId="1187301E"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Infusion Pumps, Battery Powered</w:t>
            </w:r>
          </w:p>
        </w:tc>
        <w:tc>
          <w:tcPr>
            <w:tcW w:w="8726" w:type="dxa"/>
            <w:shd w:val="clear" w:color="auto" w:fill="auto"/>
            <w:vAlign w:val="center"/>
            <w:hideMark/>
          </w:tcPr>
          <w:p w14:paraId="0A4DA0E1"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DE776 DQ002 FK017 FX002 FX003 FX004 RE001 RE002 SI034 SI045 SI052</w:t>
            </w:r>
          </w:p>
        </w:tc>
      </w:tr>
      <w:tr w:rsidR="00461D28" w:rsidRPr="00461D28" w14:paraId="7F96E087" w14:textId="77777777" w:rsidTr="00461D28">
        <w:trPr>
          <w:trHeight w:val="240"/>
        </w:trPr>
        <w:tc>
          <w:tcPr>
            <w:tcW w:w="1413" w:type="dxa"/>
            <w:vMerge/>
            <w:vAlign w:val="center"/>
            <w:hideMark/>
          </w:tcPr>
          <w:p w14:paraId="25C9A470" w14:textId="77777777" w:rsidR="00461D28" w:rsidRPr="00461D28" w:rsidRDefault="00461D28" w:rsidP="00461D28">
            <w:pPr>
              <w:spacing w:before="120" w:after="120"/>
              <w:jc w:val="center"/>
              <w:rPr>
                <w:rFonts w:eastAsia="Times New Roman" w:cs="Arial"/>
                <w:color w:val="000000"/>
                <w:sz w:val="18"/>
                <w:szCs w:val="18"/>
                <w:lang w:val="en-AU" w:eastAsia="en-AU"/>
              </w:rPr>
            </w:pPr>
          </w:p>
        </w:tc>
        <w:tc>
          <w:tcPr>
            <w:tcW w:w="537" w:type="dxa"/>
            <w:tcBorders>
              <w:right w:val="nil"/>
            </w:tcBorders>
            <w:shd w:val="clear" w:color="auto" w:fill="auto"/>
            <w:noWrap/>
            <w:vAlign w:val="center"/>
            <w:hideMark/>
          </w:tcPr>
          <w:p w14:paraId="43B6236B"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A13</w:t>
            </w:r>
          </w:p>
        </w:tc>
        <w:tc>
          <w:tcPr>
            <w:tcW w:w="2998" w:type="dxa"/>
            <w:tcBorders>
              <w:left w:val="nil"/>
            </w:tcBorders>
            <w:shd w:val="clear" w:color="auto" w:fill="auto"/>
            <w:noWrap/>
            <w:vAlign w:val="center"/>
            <w:hideMark/>
          </w:tcPr>
          <w:p w14:paraId="3D79ABB2"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Infusion Pumps, Spring Powered</w:t>
            </w:r>
          </w:p>
        </w:tc>
        <w:tc>
          <w:tcPr>
            <w:tcW w:w="8726" w:type="dxa"/>
            <w:shd w:val="clear" w:color="auto" w:fill="auto"/>
            <w:vAlign w:val="center"/>
            <w:hideMark/>
          </w:tcPr>
          <w:p w14:paraId="7FBC8DBF"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BX326 CU001 CU002 DQ001 LE002</w:t>
            </w:r>
          </w:p>
        </w:tc>
      </w:tr>
      <w:tr w:rsidR="00461D28" w:rsidRPr="00461D28" w14:paraId="54F83873" w14:textId="77777777" w:rsidTr="00461D28">
        <w:trPr>
          <w:trHeight w:val="480"/>
        </w:trPr>
        <w:tc>
          <w:tcPr>
            <w:tcW w:w="1413" w:type="dxa"/>
            <w:vMerge/>
            <w:vAlign w:val="center"/>
            <w:hideMark/>
          </w:tcPr>
          <w:p w14:paraId="5A309CE4" w14:textId="77777777" w:rsidR="00461D28" w:rsidRPr="00461D28" w:rsidRDefault="00461D28" w:rsidP="00461D28">
            <w:pPr>
              <w:spacing w:before="120" w:after="120"/>
              <w:jc w:val="center"/>
              <w:rPr>
                <w:rFonts w:eastAsia="Times New Roman" w:cs="Arial"/>
                <w:color w:val="000000"/>
                <w:sz w:val="18"/>
                <w:szCs w:val="18"/>
                <w:lang w:val="en-AU" w:eastAsia="en-AU"/>
              </w:rPr>
            </w:pPr>
          </w:p>
        </w:tc>
        <w:tc>
          <w:tcPr>
            <w:tcW w:w="537" w:type="dxa"/>
            <w:tcBorders>
              <w:right w:val="nil"/>
            </w:tcBorders>
            <w:shd w:val="clear" w:color="auto" w:fill="auto"/>
            <w:noWrap/>
            <w:vAlign w:val="center"/>
            <w:hideMark/>
          </w:tcPr>
          <w:p w14:paraId="15FFCECB"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A19</w:t>
            </w:r>
          </w:p>
        </w:tc>
        <w:tc>
          <w:tcPr>
            <w:tcW w:w="2998" w:type="dxa"/>
            <w:tcBorders>
              <w:left w:val="nil"/>
            </w:tcBorders>
            <w:shd w:val="clear" w:color="auto" w:fill="auto"/>
            <w:noWrap/>
            <w:vAlign w:val="center"/>
            <w:hideMark/>
          </w:tcPr>
          <w:p w14:paraId="11ACEDCF"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Drug Delivery Accessories</w:t>
            </w:r>
          </w:p>
        </w:tc>
        <w:tc>
          <w:tcPr>
            <w:tcW w:w="8726" w:type="dxa"/>
            <w:shd w:val="clear" w:color="auto" w:fill="auto"/>
            <w:vAlign w:val="center"/>
            <w:hideMark/>
          </w:tcPr>
          <w:p w14:paraId="322BCA2F"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AN016 BX245 BX286 DE777 FX001 RE003 RX002 RX003 SI024 SI026 SI028 SI040 SI046 SQ069 SQ070 SQ142</w:t>
            </w:r>
          </w:p>
        </w:tc>
      </w:tr>
      <w:tr w:rsidR="00461D28" w:rsidRPr="00461D28" w14:paraId="633D02B1" w14:textId="77777777" w:rsidTr="00461D28">
        <w:trPr>
          <w:trHeight w:val="240"/>
        </w:trPr>
        <w:tc>
          <w:tcPr>
            <w:tcW w:w="1413" w:type="dxa"/>
            <w:vMerge w:val="restart"/>
            <w:shd w:val="clear" w:color="auto" w:fill="auto"/>
            <w:noWrap/>
            <w:vAlign w:val="center"/>
            <w:hideMark/>
          </w:tcPr>
          <w:p w14:paraId="519A89A4" w14:textId="76AB9899" w:rsidR="00461D28" w:rsidRPr="00461D28" w:rsidRDefault="00461D28" w:rsidP="00461D28">
            <w:pPr>
              <w:spacing w:before="120" w:after="120"/>
              <w:jc w:val="center"/>
              <w:rPr>
                <w:rFonts w:eastAsia="Times New Roman" w:cs="Arial"/>
                <w:color w:val="000000"/>
                <w:sz w:val="18"/>
                <w:szCs w:val="18"/>
                <w:lang w:val="en-AU" w:eastAsia="en-AU"/>
              </w:rPr>
            </w:pPr>
            <w:r w:rsidRPr="00461D28">
              <w:rPr>
                <w:rFonts w:eastAsia="Times New Roman" w:cs="Arial"/>
                <w:color w:val="000000"/>
                <w:sz w:val="18"/>
                <w:szCs w:val="18"/>
                <w:lang w:val="en-AU" w:eastAsia="en-AU"/>
              </w:rPr>
              <w:t>A2 Enteral</w:t>
            </w:r>
            <w:r w:rsidR="00F412C3">
              <w:rPr>
                <w:rFonts w:eastAsia="Times New Roman" w:cs="Arial"/>
                <w:color w:val="000000"/>
                <w:sz w:val="18"/>
                <w:szCs w:val="18"/>
                <w:lang w:val="en-AU" w:eastAsia="en-AU"/>
              </w:rPr>
              <w:t xml:space="preserve"> Access</w:t>
            </w:r>
          </w:p>
        </w:tc>
        <w:tc>
          <w:tcPr>
            <w:tcW w:w="537" w:type="dxa"/>
            <w:tcBorders>
              <w:right w:val="nil"/>
            </w:tcBorders>
            <w:shd w:val="clear" w:color="auto" w:fill="auto"/>
            <w:noWrap/>
            <w:vAlign w:val="center"/>
            <w:hideMark/>
          </w:tcPr>
          <w:p w14:paraId="309F27B4"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A21</w:t>
            </w:r>
          </w:p>
        </w:tc>
        <w:tc>
          <w:tcPr>
            <w:tcW w:w="2998" w:type="dxa"/>
            <w:tcBorders>
              <w:left w:val="nil"/>
            </w:tcBorders>
            <w:shd w:val="clear" w:color="auto" w:fill="auto"/>
            <w:noWrap/>
            <w:vAlign w:val="center"/>
            <w:hideMark/>
          </w:tcPr>
          <w:p w14:paraId="64C2F709"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Feeding Tubes</w:t>
            </w:r>
          </w:p>
        </w:tc>
        <w:tc>
          <w:tcPr>
            <w:tcW w:w="8726" w:type="dxa"/>
            <w:shd w:val="clear" w:color="auto" w:fill="auto"/>
            <w:vAlign w:val="center"/>
            <w:hideMark/>
          </w:tcPr>
          <w:p w14:paraId="268BFB86"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KI010</w:t>
            </w:r>
          </w:p>
        </w:tc>
      </w:tr>
      <w:tr w:rsidR="00461D28" w:rsidRPr="00461D28" w14:paraId="350264B4" w14:textId="77777777" w:rsidTr="00461D28">
        <w:trPr>
          <w:trHeight w:val="720"/>
        </w:trPr>
        <w:tc>
          <w:tcPr>
            <w:tcW w:w="1413" w:type="dxa"/>
            <w:vMerge/>
            <w:vAlign w:val="center"/>
            <w:hideMark/>
          </w:tcPr>
          <w:p w14:paraId="369D374A" w14:textId="77777777" w:rsidR="00461D28" w:rsidRPr="00461D28" w:rsidRDefault="00461D28" w:rsidP="00461D28">
            <w:pPr>
              <w:spacing w:before="120" w:after="120"/>
              <w:jc w:val="center"/>
              <w:rPr>
                <w:rFonts w:eastAsia="Times New Roman" w:cs="Arial"/>
                <w:color w:val="000000"/>
                <w:sz w:val="18"/>
                <w:szCs w:val="18"/>
                <w:lang w:val="en-AU" w:eastAsia="en-AU"/>
              </w:rPr>
            </w:pPr>
          </w:p>
        </w:tc>
        <w:tc>
          <w:tcPr>
            <w:tcW w:w="537" w:type="dxa"/>
            <w:tcBorders>
              <w:right w:val="nil"/>
            </w:tcBorders>
            <w:shd w:val="clear" w:color="auto" w:fill="auto"/>
            <w:noWrap/>
            <w:vAlign w:val="center"/>
            <w:hideMark/>
          </w:tcPr>
          <w:p w14:paraId="485ED671"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A22</w:t>
            </w:r>
          </w:p>
        </w:tc>
        <w:tc>
          <w:tcPr>
            <w:tcW w:w="2998" w:type="dxa"/>
            <w:tcBorders>
              <w:left w:val="nil"/>
            </w:tcBorders>
            <w:shd w:val="clear" w:color="auto" w:fill="auto"/>
            <w:noWrap/>
            <w:vAlign w:val="center"/>
            <w:hideMark/>
          </w:tcPr>
          <w:p w14:paraId="79558E9B"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Gastrostomy Tubes</w:t>
            </w:r>
          </w:p>
        </w:tc>
        <w:tc>
          <w:tcPr>
            <w:tcW w:w="8726" w:type="dxa"/>
            <w:shd w:val="clear" w:color="auto" w:fill="auto"/>
            <w:vAlign w:val="center"/>
            <w:hideMark/>
          </w:tcPr>
          <w:p w14:paraId="624CBD2D"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BA047 BS141 BS142 DE536 DE541 DE546 DE564 DO020 DO021 DO022 DO023 DO024 FK008 FK011 FK012 FK013 FK018 KI001 KI002 KI004 KI005 KI007 NF001 WC070 WC072 WC185 WC334 WC335</w:t>
            </w:r>
          </w:p>
        </w:tc>
      </w:tr>
      <w:tr w:rsidR="00461D28" w:rsidRPr="00461D28" w14:paraId="24497019" w14:textId="77777777" w:rsidTr="00461D28">
        <w:trPr>
          <w:trHeight w:val="240"/>
        </w:trPr>
        <w:tc>
          <w:tcPr>
            <w:tcW w:w="1413" w:type="dxa"/>
            <w:vMerge/>
            <w:vAlign w:val="center"/>
            <w:hideMark/>
          </w:tcPr>
          <w:p w14:paraId="37DE22CF" w14:textId="77777777" w:rsidR="00461D28" w:rsidRPr="00461D28" w:rsidRDefault="00461D28" w:rsidP="00461D28">
            <w:pPr>
              <w:spacing w:before="120" w:after="120"/>
              <w:jc w:val="center"/>
              <w:rPr>
                <w:rFonts w:eastAsia="Times New Roman" w:cs="Arial"/>
                <w:color w:val="000000"/>
                <w:sz w:val="18"/>
                <w:szCs w:val="18"/>
                <w:lang w:val="en-AU" w:eastAsia="en-AU"/>
              </w:rPr>
            </w:pPr>
          </w:p>
        </w:tc>
        <w:tc>
          <w:tcPr>
            <w:tcW w:w="537" w:type="dxa"/>
            <w:tcBorders>
              <w:right w:val="nil"/>
            </w:tcBorders>
            <w:shd w:val="clear" w:color="auto" w:fill="auto"/>
            <w:noWrap/>
            <w:vAlign w:val="center"/>
            <w:hideMark/>
          </w:tcPr>
          <w:p w14:paraId="5FEA3BBC"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A23</w:t>
            </w:r>
          </w:p>
        </w:tc>
        <w:tc>
          <w:tcPr>
            <w:tcW w:w="2998" w:type="dxa"/>
            <w:tcBorders>
              <w:left w:val="nil"/>
            </w:tcBorders>
            <w:shd w:val="clear" w:color="auto" w:fill="auto"/>
            <w:noWrap/>
            <w:vAlign w:val="center"/>
            <w:hideMark/>
          </w:tcPr>
          <w:p w14:paraId="380281A6"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Jejunostomy Tubes</w:t>
            </w:r>
          </w:p>
        </w:tc>
        <w:tc>
          <w:tcPr>
            <w:tcW w:w="8726" w:type="dxa"/>
            <w:shd w:val="clear" w:color="auto" w:fill="auto"/>
            <w:vAlign w:val="center"/>
            <w:hideMark/>
          </w:tcPr>
          <w:p w14:paraId="53349BCA"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FK009 FK010 FK014 FK015 FK016 KI014 KI016 KI017 WC098 WC099</w:t>
            </w:r>
          </w:p>
        </w:tc>
      </w:tr>
      <w:tr w:rsidR="00461D28" w:rsidRPr="00461D28" w14:paraId="5803646F" w14:textId="77777777" w:rsidTr="00461D28">
        <w:trPr>
          <w:trHeight w:val="240"/>
        </w:trPr>
        <w:tc>
          <w:tcPr>
            <w:tcW w:w="1413" w:type="dxa"/>
            <w:vMerge/>
            <w:vAlign w:val="center"/>
            <w:hideMark/>
          </w:tcPr>
          <w:p w14:paraId="305E2F26" w14:textId="77777777" w:rsidR="00461D28" w:rsidRPr="00461D28" w:rsidRDefault="00461D28" w:rsidP="00461D28">
            <w:pPr>
              <w:spacing w:before="120" w:after="120"/>
              <w:jc w:val="center"/>
              <w:rPr>
                <w:rFonts w:eastAsia="Times New Roman" w:cs="Arial"/>
                <w:color w:val="000000"/>
                <w:sz w:val="18"/>
                <w:szCs w:val="18"/>
                <w:lang w:val="en-AU" w:eastAsia="en-AU"/>
              </w:rPr>
            </w:pPr>
          </w:p>
        </w:tc>
        <w:tc>
          <w:tcPr>
            <w:tcW w:w="537" w:type="dxa"/>
            <w:tcBorders>
              <w:right w:val="nil"/>
            </w:tcBorders>
            <w:shd w:val="clear" w:color="auto" w:fill="auto"/>
            <w:noWrap/>
            <w:vAlign w:val="center"/>
            <w:hideMark/>
          </w:tcPr>
          <w:p w14:paraId="284383E5"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A24</w:t>
            </w:r>
          </w:p>
        </w:tc>
        <w:tc>
          <w:tcPr>
            <w:tcW w:w="2998" w:type="dxa"/>
            <w:tcBorders>
              <w:left w:val="nil"/>
            </w:tcBorders>
            <w:shd w:val="clear" w:color="auto" w:fill="auto"/>
            <w:noWrap/>
            <w:vAlign w:val="center"/>
            <w:hideMark/>
          </w:tcPr>
          <w:p w14:paraId="4127BFC8" w14:textId="77777777" w:rsidR="00461D28" w:rsidRPr="00461D28" w:rsidRDefault="00461D28" w:rsidP="00461D28">
            <w:pPr>
              <w:spacing w:before="120" w:after="120"/>
              <w:rPr>
                <w:rFonts w:eastAsia="Times New Roman" w:cs="Arial"/>
                <w:color w:val="000000"/>
                <w:sz w:val="18"/>
                <w:szCs w:val="18"/>
                <w:lang w:val="en-AU" w:eastAsia="en-AU"/>
              </w:rPr>
            </w:pPr>
            <w:proofErr w:type="spellStart"/>
            <w:r w:rsidRPr="00461D28">
              <w:rPr>
                <w:rFonts w:eastAsia="Times New Roman" w:cs="Arial"/>
                <w:color w:val="000000"/>
                <w:sz w:val="18"/>
                <w:szCs w:val="18"/>
                <w:lang w:val="en-AU" w:eastAsia="en-AU"/>
              </w:rPr>
              <w:t>Caecostomy</w:t>
            </w:r>
            <w:proofErr w:type="spellEnd"/>
            <w:r w:rsidRPr="00461D28">
              <w:rPr>
                <w:rFonts w:eastAsia="Times New Roman" w:cs="Arial"/>
                <w:color w:val="000000"/>
                <w:sz w:val="18"/>
                <w:szCs w:val="18"/>
                <w:lang w:val="en-AU" w:eastAsia="en-AU"/>
              </w:rPr>
              <w:t xml:space="preserve"> Tubes</w:t>
            </w:r>
          </w:p>
        </w:tc>
        <w:tc>
          <w:tcPr>
            <w:tcW w:w="8726" w:type="dxa"/>
            <w:shd w:val="clear" w:color="auto" w:fill="auto"/>
            <w:vAlign w:val="center"/>
            <w:hideMark/>
          </w:tcPr>
          <w:p w14:paraId="2CF54276"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WC197</w:t>
            </w:r>
          </w:p>
        </w:tc>
      </w:tr>
      <w:tr w:rsidR="00461D28" w:rsidRPr="00461D28" w14:paraId="773D4C5E" w14:textId="77777777" w:rsidTr="00461D28">
        <w:trPr>
          <w:trHeight w:val="1440"/>
        </w:trPr>
        <w:tc>
          <w:tcPr>
            <w:tcW w:w="1413" w:type="dxa"/>
            <w:shd w:val="clear" w:color="auto" w:fill="auto"/>
            <w:noWrap/>
            <w:vAlign w:val="center"/>
            <w:hideMark/>
          </w:tcPr>
          <w:p w14:paraId="1530DFAD" w14:textId="77777777" w:rsidR="00461D28" w:rsidRPr="00461D28" w:rsidRDefault="00461D28" w:rsidP="00461D28">
            <w:pPr>
              <w:spacing w:before="120" w:after="120"/>
              <w:jc w:val="center"/>
              <w:rPr>
                <w:rFonts w:eastAsia="Times New Roman" w:cs="Arial"/>
                <w:color w:val="000000"/>
                <w:sz w:val="18"/>
                <w:szCs w:val="18"/>
                <w:lang w:val="en-AU" w:eastAsia="en-AU"/>
              </w:rPr>
            </w:pPr>
            <w:r w:rsidRPr="00461D28">
              <w:rPr>
                <w:rFonts w:eastAsia="Times New Roman" w:cs="Arial"/>
                <w:color w:val="000000"/>
                <w:sz w:val="18"/>
                <w:szCs w:val="18"/>
                <w:lang w:val="en-AU" w:eastAsia="en-AU"/>
              </w:rPr>
              <w:lastRenderedPageBreak/>
              <w:t>A3 Vascular Access</w:t>
            </w:r>
          </w:p>
        </w:tc>
        <w:tc>
          <w:tcPr>
            <w:tcW w:w="537" w:type="dxa"/>
            <w:tcBorders>
              <w:right w:val="nil"/>
            </w:tcBorders>
            <w:shd w:val="clear" w:color="auto" w:fill="auto"/>
            <w:noWrap/>
            <w:vAlign w:val="center"/>
            <w:hideMark/>
          </w:tcPr>
          <w:p w14:paraId="0F01B22A"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A31</w:t>
            </w:r>
          </w:p>
        </w:tc>
        <w:tc>
          <w:tcPr>
            <w:tcW w:w="2998" w:type="dxa"/>
            <w:tcBorders>
              <w:left w:val="nil"/>
            </w:tcBorders>
            <w:shd w:val="clear" w:color="auto" w:fill="auto"/>
            <w:noWrap/>
            <w:vAlign w:val="center"/>
            <w:hideMark/>
          </w:tcPr>
          <w:p w14:paraId="4F1C9F38"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Percutaneous Catheters</w:t>
            </w:r>
          </w:p>
        </w:tc>
        <w:tc>
          <w:tcPr>
            <w:tcW w:w="8726" w:type="dxa"/>
            <w:shd w:val="clear" w:color="auto" w:fill="auto"/>
            <w:vAlign w:val="center"/>
            <w:hideMark/>
          </w:tcPr>
          <w:p w14:paraId="1814F665"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BA049 BA051 BA125 BA126 BA129 BA130 BA183 BA184 BA209 BA212 BA213 BA220 BA268 BA273 BA274 BA282 BA283 BA289 BA290 BA291 BA292 BA293 BA294 BA295 BA296 BA298 BA299 BA300 BA302 BA303 BA308 MS067 MS069 MS071 MS074 MS075 MS076 MS077 MS078 MS080 TX026 TX027 TX028 TX030 TX031 TX032 TX033 TX034 TX035 TX036 TX043 TX056 TX061 TX062 WC111 WC201 WC204 WC205 WC230 WC231 WC279 WC280 WC297 WC321</w:t>
            </w:r>
          </w:p>
        </w:tc>
      </w:tr>
      <w:tr w:rsidR="00461D28" w:rsidRPr="00461D28" w14:paraId="6FE18FCB" w14:textId="77777777" w:rsidTr="00461D28">
        <w:trPr>
          <w:trHeight w:val="240"/>
        </w:trPr>
        <w:tc>
          <w:tcPr>
            <w:tcW w:w="1413" w:type="dxa"/>
            <w:vMerge w:val="restart"/>
            <w:shd w:val="clear" w:color="auto" w:fill="auto"/>
            <w:noWrap/>
            <w:vAlign w:val="center"/>
            <w:hideMark/>
          </w:tcPr>
          <w:p w14:paraId="05A79D86" w14:textId="77777777" w:rsidR="00461D28" w:rsidRPr="00461D28" w:rsidRDefault="00461D28" w:rsidP="00461D28">
            <w:pPr>
              <w:spacing w:before="120" w:after="120"/>
              <w:jc w:val="center"/>
              <w:rPr>
                <w:rFonts w:eastAsia="Times New Roman" w:cs="Arial"/>
                <w:color w:val="000000"/>
                <w:sz w:val="18"/>
                <w:szCs w:val="18"/>
                <w:lang w:val="en-AU" w:eastAsia="en-AU"/>
              </w:rPr>
            </w:pPr>
            <w:r w:rsidRPr="00461D28">
              <w:rPr>
                <w:rFonts w:eastAsia="Times New Roman" w:cs="Arial"/>
                <w:color w:val="000000"/>
                <w:sz w:val="18"/>
                <w:szCs w:val="18"/>
                <w:lang w:val="en-AU" w:eastAsia="en-AU"/>
              </w:rPr>
              <w:t>A4 Haemostatic</w:t>
            </w:r>
          </w:p>
        </w:tc>
        <w:tc>
          <w:tcPr>
            <w:tcW w:w="537" w:type="dxa"/>
            <w:tcBorders>
              <w:right w:val="nil"/>
            </w:tcBorders>
            <w:shd w:val="clear" w:color="auto" w:fill="auto"/>
            <w:noWrap/>
            <w:vAlign w:val="center"/>
            <w:hideMark/>
          </w:tcPr>
          <w:p w14:paraId="0A52DC66"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A41</w:t>
            </w:r>
          </w:p>
        </w:tc>
        <w:tc>
          <w:tcPr>
            <w:tcW w:w="2998" w:type="dxa"/>
            <w:tcBorders>
              <w:left w:val="nil"/>
            </w:tcBorders>
            <w:shd w:val="clear" w:color="auto" w:fill="auto"/>
            <w:noWrap/>
            <w:vAlign w:val="center"/>
            <w:hideMark/>
          </w:tcPr>
          <w:p w14:paraId="27DDE9CE" w14:textId="77777777" w:rsidR="00461D28" w:rsidRPr="00461D28" w:rsidRDefault="00461D28" w:rsidP="00461D28">
            <w:pPr>
              <w:spacing w:before="120" w:after="120"/>
              <w:rPr>
                <w:rFonts w:eastAsia="Times New Roman" w:cs="Arial"/>
                <w:color w:val="000000"/>
                <w:sz w:val="18"/>
                <w:szCs w:val="18"/>
                <w:lang w:val="en-AU" w:eastAsia="en-AU"/>
              </w:rPr>
            </w:pPr>
            <w:proofErr w:type="spellStart"/>
            <w:r w:rsidRPr="00461D28">
              <w:rPr>
                <w:rFonts w:eastAsia="Times New Roman" w:cs="Arial"/>
                <w:color w:val="000000"/>
                <w:sz w:val="18"/>
                <w:szCs w:val="18"/>
                <w:lang w:val="en-AU" w:eastAsia="en-AU"/>
              </w:rPr>
              <w:t>Occluder</w:t>
            </w:r>
            <w:proofErr w:type="spellEnd"/>
            <w:r w:rsidRPr="00461D28">
              <w:rPr>
                <w:rFonts w:eastAsia="Times New Roman" w:cs="Arial"/>
                <w:color w:val="000000"/>
                <w:sz w:val="18"/>
                <w:szCs w:val="18"/>
                <w:lang w:val="en-AU" w:eastAsia="en-AU"/>
              </w:rPr>
              <w:t xml:space="preserve"> Pins</w:t>
            </w:r>
          </w:p>
        </w:tc>
        <w:tc>
          <w:tcPr>
            <w:tcW w:w="8726" w:type="dxa"/>
            <w:shd w:val="clear" w:color="auto" w:fill="auto"/>
            <w:vAlign w:val="center"/>
            <w:hideMark/>
          </w:tcPr>
          <w:p w14:paraId="075F58E2"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PV001</w:t>
            </w:r>
          </w:p>
        </w:tc>
      </w:tr>
      <w:tr w:rsidR="00461D28" w:rsidRPr="00461D28" w14:paraId="253D0476" w14:textId="77777777" w:rsidTr="00461D28">
        <w:trPr>
          <w:trHeight w:val="480"/>
        </w:trPr>
        <w:tc>
          <w:tcPr>
            <w:tcW w:w="1413" w:type="dxa"/>
            <w:vMerge/>
            <w:vAlign w:val="center"/>
            <w:hideMark/>
          </w:tcPr>
          <w:p w14:paraId="3B5659B4" w14:textId="77777777" w:rsidR="00461D28" w:rsidRPr="00461D28" w:rsidRDefault="00461D28" w:rsidP="00461D28">
            <w:pPr>
              <w:spacing w:before="120" w:after="120"/>
              <w:jc w:val="center"/>
              <w:rPr>
                <w:rFonts w:eastAsia="Times New Roman" w:cs="Arial"/>
                <w:color w:val="000000"/>
                <w:sz w:val="18"/>
                <w:szCs w:val="18"/>
                <w:lang w:val="en-AU" w:eastAsia="en-AU"/>
              </w:rPr>
            </w:pPr>
          </w:p>
        </w:tc>
        <w:tc>
          <w:tcPr>
            <w:tcW w:w="537" w:type="dxa"/>
            <w:tcBorders>
              <w:right w:val="nil"/>
            </w:tcBorders>
            <w:shd w:val="clear" w:color="auto" w:fill="auto"/>
            <w:noWrap/>
            <w:vAlign w:val="center"/>
            <w:hideMark/>
          </w:tcPr>
          <w:p w14:paraId="7ABC2B13"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A42</w:t>
            </w:r>
          </w:p>
        </w:tc>
        <w:tc>
          <w:tcPr>
            <w:tcW w:w="2998" w:type="dxa"/>
            <w:tcBorders>
              <w:left w:val="nil"/>
            </w:tcBorders>
            <w:shd w:val="clear" w:color="auto" w:fill="auto"/>
            <w:noWrap/>
            <w:vAlign w:val="center"/>
            <w:hideMark/>
          </w:tcPr>
          <w:p w14:paraId="1FCD6C31"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Powder</w:t>
            </w:r>
          </w:p>
        </w:tc>
        <w:tc>
          <w:tcPr>
            <w:tcW w:w="8726" w:type="dxa"/>
            <w:shd w:val="clear" w:color="auto" w:fill="auto"/>
            <w:vAlign w:val="center"/>
            <w:hideMark/>
          </w:tcPr>
          <w:p w14:paraId="26BC6A0C"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AB083 AB084 BA260 BA261 BA262 BA284 BA285 BA301 BF024 BX336 BX337 BX345 BX346 BX347 BX348 JJ636 LH408 MN234 SV053 SV054 SV055 VM001 WA004</w:t>
            </w:r>
          </w:p>
        </w:tc>
      </w:tr>
      <w:tr w:rsidR="00461D28" w:rsidRPr="00461D28" w14:paraId="1F9EF5D9" w14:textId="77777777" w:rsidTr="00461D28">
        <w:trPr>
          <w:trHeight w:val="480"/>
        </w:trPr>
        <w:tc>
          <w:tcPr>
            <w:tcW w:w="1413" w:type="dxa"/>
            <w:vMerge/>
            <w:vAlign w:val="center"/>
            <w:hideMark/>
          </w:tcPr>
          <w:p w14:paraId="30E0DBE4" w14:textId="77777777" w:rsidR="00461D28" w:rsidRPr="00461D28" w:rsidRDefault="00461D28" w:rsidP="00461D28">
            <w:pPr>
              <w:spacing w:before="120" w:after="120"/>
              <w:jc w:val="center"/>
              <w:rPr>
                <w:rFonts w:eastAsia="Times New Roman" w:cs="Arial"/>
                <w:color w:val="000000"/>
                <w:sz w:val="18"/>
                <w:szCs w:val="18"/>
                <w:lang w:val="en-AU" w:eastAsia="en-AU"/>
              </w:rPr>
            </w:pPr>
          </w:p>
        </w:tc>
        <w:tc>
          <w:tcPr>
            <w:tcW w:w="537" w:type="dxa"/>
            <w:tcBorders>
              <w:right w:val="nil"/>
            </w:tcBorders>
            <w:shd w:val="clear" w:color="auto" w:fill="auto"/>
            <w:noWrap/>
            <w:vAlign w:val="center"/>
            <w:hideMark/>
          </w:tcPr>
          <w:p w14:paraId="3D607612"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A43</w:t>
            </w:r>
          </w:p>
        </w:tc>
        <w:tc>
          <w:tcPr>
            <w:tcW w:w="2998" w:type="dxa"/>
            <w:tcBorders>
              <w:left w:val="nil"/>
            </w:tcBorders>
            <w:shd w:val="clear" w:color="auto" w:fill="auto"/>
            <w:noWrap/>
            <w:vAlign w:val="center"/>
            <w:hideMark/>
          </w:tcPr>
          <w:p w14:paraId="389E6BE1"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Sponges</w:t>
            </w:r>
          </w:p>
        </w:tc>
        <w:tc>
          <w:tcPr>
            <w:tcW w:w="8726" w:type="dxa"/>
            <w:shd w:val="clear" w:color="auto" w:fill="auto"/>
            <w:vAlign w:val="center"/>
            <w:hideMark/>
          </w:tcPr>
          <w:p w14:paraId="309D5A53"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JJ003 JJ004 JJ005 JJ006 JJ007 JJ015 LH405 LH410 LH411 LH412 LH414 PU059 PU060</w:t>
            </w:r>
          </w:p>
        </w:tc>
      </w:tr>
      <w:tr w:rsidR="00461D28" w:rsidRPr="00461D28" w14:paraId="787C58D2" w14:textId="77777777" w:rsidTr="00461D28">
        <w:trPr>
          <w:trHeight w:val="480"/>
        </w:trPr>
        <w:tc>
          <w:tcPr>
            <w:tcW w:w="1413" w:type="dxa"/>
            <w:vMerge/>
            <w:vAlign w:val="center"/>
            <w:hideMark/>
          </w:tcPr>
          <w:p w14:paraId="304A5B8D" w14:textId="77777777" w:rsidR="00461D28" w:rsidRPr="00461D28" w:rsidRDefault="00461D28" w:rsidP="00461D28">
            <w:pPr>
              <w:spacing w:before="120" w:after="120"/>
              <w:jc w:val="center"/>
              <w:rPr>
                <w:rFonts w:eastAsia="Times New Roman" w:cs="Arial"/>
                <w:color w:val="000000"/>
                <w:sz w:val="18"/>
                <w:szCs w:val="18"/>
                <w:lang w:val="en-AU" w:eastAsia="en-AU"/>
              </w:rPr>
            </w:pPr>
          </w:p>
        </w:tc>
        <w:tc>
          <w:tcPr>
            <w:tcW w:w="537" w:type="dxa"/>
            <w:tcBorders>
              <w:right w:val="nil"/>
            </w:tcBorders>
            <w:shd w:val="clear" w:color="auto" w:fill="auto"/>
            <w:noWrap/>
            <w:vAlign w:val="center"/>
            <w:hideMark/>
          </w:tcPr>
          <w:p w14:paraId="2FA70245"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A44</w:t>
            </w:r>
          </w:p>
        </w:tc>
        <w:tc>
          <w:tcPr>
            <w:tcW w:w="2998" w:type="dxa"/>
            <w:tcBorders>
              <w:left w:val="nil"/>
            </w:tcBorders>
            <w:shd w:val="clear" w:color="auto" w:fill="auto"/>
            <w:noWrap/>
            <w:vAlign w:val="center"/>
            <w:hideMark/>
          </w:tcPr>
          <w:p w14:paraId="350EE6EF"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Pliable Patches</w:t>
            </w:r>
          </w:p>
        </w:tc>
        <w:tc>
          <w:tcPr>
            <w:tcW w:w="8726" w:type="dxa"/>
            <w:shd w:val="clear" w:color="auto" w:fill="auto"/>
            <w:vAlign w:val="center"/>
            <w:hideMark/>
          </w:tcPr>
          <w:p w14:paraId="17BE3ECF"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BG001 BG002 JJ008 JJ009 JJ012 JJ013 JJ014 JJ023 JJ029 JJ030 JJ432 JJ433 LH423 LH424 LM486 LM487 MN112 MN116 MN117</w:t>
            </w:r>
          </w:p>
        </w:tc>
      </w:tr>
      <w:tr w:rsidR="00461D28" w:rsidRPr="00461D28" w14:paraId="63B48DB7" w14:textId="77777777" w:rsidTr="00461D28">
        <w:trPr>
          <w:trHeight w:val="240"/>
        </w:trPr>
        <w:tc>
          <w:tcPr>
            <w:tcW w:w="1413" w:type="dxa"/>
            <w:vMerge/>
            <w:vAlign w:val="center"/>
            <w:hideMark/>
          </w:tcPr>
          <w:p w14:paraId="55687762" w14:textId="77777777" w:rsidR="00461D28" w:rsidRPr="00461D28" w:rsidRDefault="00461D28" w:rsidP="00461D28">
            <w:pPr>
              <w:spacing w:before="120" w:after="120"/>
              <w:jc w:val="center"/>
              <w:rPr>
                <w:rFonts w:eastAsia="Times New Roman" w:cs="Arial"/>
                <w:color w:val="000000"/>
                <w:sz w:val="18"/>
                <w:szCs w:val="18"/>
                <w:lang w:val="en-AU" w:eastAsia="en-AU"/>
              </w:rPr>
            </w:pPr>
          </w:p>
        </w:tc>
        <w:tc>
          <w:tcPr>
            <w:tcW w:w="537" w:type="dxa"/>
            <w:tcBorders>
              <w:right w:val="nil"/>
            </w:tcBorders>
            <w:shd w:val="clear" w:color="auto" w:fill="auto"/>
            <w:noWrap/>
            <w:vAlign w:val="center"/>
            <w:hideMark/>
          </w:tcPr>
          <w:p w14:paraId="23B8D7A0"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A45</w:t>
            </w:r>
          </w:p>
        </w:tc>
        <w:tc>
          <w:tcPr>
            <w:tcW w:w="2998" w:type="dxa"/>
            <w:tcBorders>
              <w:left w:val="nil"/>
            </w:tcBorders>
            <w:shd w:val="clear" w:color="auto" w:fill="auto"/>
            <w:noWrap/>
            <w:vAlign w:val="center"/>
            <w:hideMark/>
          </w:tcPr>
          <w:p w14:paraId="0534D39E"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Matrix</w:t>
            </w:r>
          </w:p>
        </w:tc>
        <w:tc>
          <w:tcPr>
            <w:tcW w:w="8726" w:type="dxa"/>
            <w:shd w:val="clear" w:color="auto" w:fill="auto"/>
            <w:vAlign w:val="center"/>
            <w:hideMark/>
          </w:tcPr>
          <w:p w14:paraId="56A71A9B"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AN008 AN009 BX258 BX259 FY001 JJ640 MN172 VB002</w:t>
            </w:r>
          </w:p>
        </w:tc>
      </w:tr>
      <w:tr w:rsidR="00461D28" w:rsidRPr="00461D28" w14:paraId="222C73BD" w14:textId="77777777" w:rsidTr="00461D28">
        <w:trPr>
          <w:trHeight w:val="240"/>
        </w:trPr>
        <w:tc>
          <w:tcPr>
            <w:tcW w:w="1413" w:type="dxa"/>
            <w:vMerge/>
            <w:vAlign w:val="center"/>
            <w:hideMark/>
          </w:tcPr>
          <w:p w14:paraId="20AD846B" w14:textId="77777777" w:rsidR="00461D28" w:rsidRPr="00461D28" w:rsidRDefault="00461D28" w:rsidP="00461D28">
            <w:pPr>
              <w:spacing w:before="120" w:after="120"/>
              <w:jc w:val="center"/>
              <w:rPr>
                <w:rFonts w:eastAsia="Times New Roman" w:cs="Arial"/>
                <w:color w:val="000000"/>
                <w:sz w:val="18"/>
                <w:szCs w:val="18"/>
                <w:lang w:val="en-AU" w:eastAsia="en-AU"/>
              </w:rPr>
            </w:pPr>
          </w:p>
        </w:tc>
        <w:tc>
          <w:tcPr>
            <w:tcW w:w="537" w:type="dxa"/>
            <w:tcBorders>
              <w:right w:val="nil"/>
            </w:tcBorders>
            <w:shd w:val="clear" w:color="auto" w:fill="auto"/>
            <w:noWrap/>
            <w:vAlign w:val="center"/>
            <w:hideMark/>
          </w:tcPr>
          <w:p w14:paraId="3BBDB5AB"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A46</w:t>
            </w:r>
          </w:p>
        </w:tc>
        <w:tc>
          <w:tcPr>
            <w:tcW w:w="2998" w:type="dxa"/>
            <w:tcBorders>
              <w:left w:val="nil"/>
            </w:tcBorders>
            <w:shd w:val="clear" w:color="auto" w:fill="auto"/>
            <w:noWrap/>
            <w:vAlign w:val="center"/>
            <w:hideMark/>
          </w:tcPr>
          <w:p w14:paraId="77EF2ED2"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Foam</w:t>
            </w:r>
          </w:p>
        </w:tc>
        <w:tc>
          <w:tcPr>
            <w:tcW w:w="8726" w:type="dxa"/>
            <w:shd w:val="clear" w:color="auto" w:fill="auto"/>
            <w:vAlign w:val="center"/>
            <w:hideMark/>
          </w:tcPr>
          <w:p w14:paraId="2DE415FE"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BF021 HW582 ME230 SL081 SL083</w:t>
            </w:r>
          </w:p>
        </w:tc>
      </w:tr>
      <w:tr w:rsidR="00461D28" w:rsidRPr="00461D28" w14:paraId="64D6970B" w14:textId="77777777" w:rsidTr="00461D28">
        <w:trPr>
          <w:trHeight w:val="240"/>
        </w:trPr>
        <w:tc>
          <w:tcPr>
            <w:tcW w:w="1413" w:type="dxa"/>
            <w:vMerge/>
            <w:vAlign w:val="center"/>
            <w:hideMark/>
          </w:tcPr>
          <w:p w14:paraId="1E60D18F" w14:textId="77777777" w:rsidR="00461D28" w:rsidRPr="00461D28" w:rsidRDefault="00461D28" w:rsidP="00461D28">
            <w:pPr>
              <w:spacing w:before="120" w:after="120"/>
              <w:jc w:val="center"/>
              <w:rPr>
                <w:rFonts w:eastAsia="Times New Roman" w:cs="Arial"/>
                <w:color w:val="000000"/>
                <w:sz w:val="18"/>
                <w:szCs w:val="18"/>
                <w:lang w:val="en-AU" w:eastAsia="en-AU"/>
              </w:rPr>
            </w:pPr>
          </w:p>
        </w:tc>
        <w:tc>
          <w:tcPr>
            <w:tcW w:w="537" w:type="dxa"/>
            <w:tcBorders>
              <w:right w:val="nil"/>
            </w:tcBorders>
            <w:shd w:val="clear" w:color="auto" w:fill="auto"/>
            <w:noWrap/>
            <w:vAlign w:val="center"/>
            <w:hideMark/>
          </w:tcPr>
          <w:p w14:paraId="035421C3"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A49</w:t>
            </w:r>
          </w:p>
        </w:tc>
        <w:tc>
          <w:tcPr>
            <w:tcW w:w="2998" w:type="dxa"/>
            <w:tcBorders>
              <w:left w:val="nil"/>
            </w:tcBorders>
            <w:shd w:val="clear" w:color="auto" w:fill="auto"/>
            <w:noWrap/>
            <w:vAlign w:val="center"/>
            <w:hideMark/>
          </w:tcPr>
          <w:p w14:paraId="4D9FDBE7"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Haemostatic Accessories</w:t>
            </w:r>
          </w:p>
        </w:tc>
        <w:tc>
          <w:tcPr>
            <w:tcW w:w="8726" w:type="dxa"/>
            <w:shd w:val="clear" w:color="auto" w:fill="auto"/>
            <w:vAlign w:val="center"/>
            <w:hideMark/>
          </w:tcPr>
          <w:p w14:paraId="08C41141"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FY003 MN154 VB001</w:t>
            </w:r>
          </w:p>
        </w:tc>
      </w:tr>
      <w:tr w:rsidR="00461D28" w:rsidRPr="00461D28" w14:paraId="093AA319" w14:textId="77777777" w:rsidTr="00461D28">
        <w:trPr>
          <w:trHeight w:val="480"/>
        </w:trPr>
        <w:tc>
          <w:tcPr>
            <w:tcW w:w="1413" w:type="dxa"/>
            <w:vMerge w:val="restart"/>
            <w:shd w:val="clear" w:color="auto" w:fill="auto"/>
            <w:noWrap/>
            <w:vAlign w:val="center"/>
            <w:hideMark/>
          </w:tcPr>
          <w:p w14:paraId="176D7630" w14:textId="77777777" w:rsidR="00461D28" w:rsidRPr="00461D28" w:rsidRDefault="00461D28" w:rsidP="00461D28">
            <w:pPr>
              <w:spacing w:before="120" w:after="120"/>
              <w:jc w:val="center"/>
              <w:rPr>
                <w:rFonts w:eastAsia="Times New Roman" w:cs="Arial"/>
                <w:color w:val="000000"/>
                <w:sz w:val="18"/>
                <w:szCs w:val="18"/>
                <w:lang w:val="en-AU" w:eastAsia="en-AU"/>
              </w:rPr>
            </w:pPr>
            <w:r w:rsidRPr="00461D28">
              <w:rPr>
                <w:rFonts w:eastAsia="Times New Roman" w:cs="Arial"/>
                <w:color w:val="000000"/>
                <w:sz w:val="18"/>
                <w:szCs w:val="18"/>
                <w:lang w:val="en-AU" w:eastAsia="en-AU"/>
              </w:rPr>
              <w:t>A5 Closure</w:t>
            </w:r>
          </w:p>
        </w:tc>
        <w:tc>
          <w:tcPr>
            <w:tcW w:w="537" w:type="dxa"/>
            <w:tcBorders>
              <w:right w:val="nil"/>
            </w:tcBorders>
            <w:shd w:val="clear" w:color="auto" w:fill="auto"/>
            <w:noWrap/>
            <w:vAlign w:val="center"/>
            <w:hideMark/>
          </w:tcPr>
          <w:p w14:paraId="5D5BC635"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A51</w:t>
            </w:r>
          </w:p>
        </w:tc>
        <w:tc>
          <w:tcPr>
            <w:tcW w:w="2998" w:type="dxa"/>
            <w:tcBorders>
              <w:left w:val="nil"/>
            </w:tcBorders>
            <w:shd w:val="clear" w:color="auto" w:fill="auto"/>
            <w:noWrap/>
            <w:vAlign w:val="center"/>
            <w:hideMark/>
          </w:tcPr>
          <w:p w14:paraId="24CFD6FE"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Adhesion Barriers</w:t>
            </w:r>
          </w:p>
        </w:tc>
        <w:tc>
          <w:tcPr>
            <w:tcW w:w="8726" w:type="dxa"/>
            <w:shd w:val="clear" w:color="auto" w:fill="auto"/>
            <w:vAlign w:val="center"/>
            <w:hideMark/>
          </w:tcPr>
          <w:p w14:paraId="54778BCA"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BX260 BX342 ET051 ET082 FJ001 FJ002 FJ003 FJ004 JJ010 JJ464 LH001 LH534 LM084 MC618</w:t>
            </w:r>
          </w:p>
        </w:tc>
      </w:tr>
      <w:tr w:rsidR="00461D28" w:rsidRPr="00461D28" w14:paraId="5A8748B1" w14:textId="77777777" w:rsidTr="00461D28">
        <w:trPr>
          <w:trHeight w:val="720"/>
        </w:trPr>
        <w:tc>
          <w:tcPr>
            <w:tcW w:w="1413" w:type="dxa"/>
            <w:vMerge/>
            <w:vAlign w:val="center"/>
            <w:hideMark/>
          </w:tcPr>
          <w:p w14:paraId="298F99F9" w14:textId="77777777" w:rsidR="00461D28" w:rsidRPr="00461D28" w:rsidRDefault="00461D28" w:rsidP="00461D28">
            <w:pPr>
              <w:spacing w:before="120" w:after="120"/>
              <w:jc w:val="center"/>
              <w:rPr>
                <w:rFonts w:eastAsia="Times New Roman" w:cs="Arial"/>
                <w:color w:val="000000"/>
                <w:sz w:val="18"/>
                <w:szCs w:val="18"/>
                <w:lang w:val="en-AU" w:eastAsia="en-AU"/>
              </w:rPr>
            </w:pPr>
          </w:p>
        </w:tc>
        <w:tc>
          <w:tcPr>
            <w:tcW w:w="537" w:type="dxa"/>
            <w:tcBorders>
              <w:right w:val="nil"/>
            </w:tcBorders>
            <w:shd w:val="clear" w:color="auto" w:fill="auto"/>
            <w:noWrap/>
            <w:vAlign w:val="center"/>
            <w:hideMark/>
          </w:tcPr>
          <w:p w14:paraId="0512BF86"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A52</w:t>
            </w:r>
          </w:p>
        </w:tc>
        <w:tc>
          <w:tcPr>
            <w:tcW w:w="2998" w:type="dxa"/>
            <w:tcBorders>
              <w:left w:val="nil"/>
            </w:tcBorders>
            <w:shd w:val="clear" w:color="auto" w:fill="auto"/>
            <w:noWrap/>
            <w:vAlign w:val="center"/>
            <w:hideMark/>
          </w:tcPr>
          <w:p w14:paraId="3B4A37E5"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Internal Adhesives</w:t>
            </w:r>
          </w:p>
        </w:tc>
        <w:tc>
          <w:tcPr>
            <w:tcW w:w="8726" w:type="dxa"/>
            <w:shd w:val="clear" w:color="auto" w:fill="auto"/>
            <w:vAlign w:val="center"/>
            <w:hideMark/>
          </w:tcPr>
          <w:p w14:paraId="294F1938"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AB003 AB004 AB075 AS212 AS213 BA265 BB382 BB383 BX214 BX215 BX216 BX252 BX253 BX254 BX283 BX284 BX285 BX334 BX335 DE720 DE721 JI006 KF001 KF002 KF003 LH596 LH597 MI286 MI317 MN204 MN229 MN230</w:t>
            </w:r>
          </w:p>
        </w:tc>
      </w:tr>
      <w:tr w:rsidR="00461D28" w:rsidRPr="00461D28" w14:paraId="6EBFE49D" w14:textId="77777777" w:rsidTr="00461D28">
        <w:trPr>
          <w:trHeight w:val="1440"/>
        </w:trPr>
        <w:tc>
          <w:tcPr>
            <w:tcW w:w="1413" w:type="dxa"/>
            <w:vMerge/>
            <w:vAlign w:val="center"/>
            <w:hideMark/>
          </w:tcPr>
          <w:p w14:paraId="12FC95DB" w14:textId="77777777" w:rsidR="00461D28" w:rsidRPr="00461D28" w:rsidRDefault="00461D28" w:rsidP="00461D28">
            <w:pPr>
              <w:spacing w:before="120" w:after="120"/>
              <w:jc w:val="center"/>
              <w:rPr>
                <w:rFonts w:eastAsia="Times New Roman" w:cs="Arial"/>
                <w:color w:val="000000"/>
                <w:sz w:val="18"/>
                <w:szCs w:val="18"/>
                <w:lang w:val="en-AU" w:eastAsia="en-AU"/>
              </w:rPr>
            </w:pPr>
          </w:p>
        </w:tc>
        <w:tc>
          <w:tcPr>
            <w:tcW w:w="537" w:type="dxa"/>
            <w:tcBorders>
              <w:right w:val="nil"/>
            </w:tcBorders>
            <w:shd w:val="clear" w:color="auto" w:fill="auto"/>
            <w:noWrap/>
            <w:vAlign w:val="center"/>
            <w:hideMark/>
          </w:tcPr>
          <w:p w14:paraId="7F0DA714"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A53</w:t>
            </w:r>
          </w:p>
        </w:tc>
        <w:tc>
          <w:tcPr>
            <w:tcW w:w="2998" w:type="dxa"/>
            <w:tcBorders>
              <w:left w:val="nil"/>
            </w:tcBorders>
            <w:shd w:val="clear" w:color="auto" w:fill="auto"/>
            <w:noWrap/>
            <w:vAlign w:val="center"/>
            <w:hideMark/>
          </w:tcPr>
          <w:p w14:paraId="49CFB721"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Ligating Items</w:t>
            </w:r>
          </w:p>
        </w:tc>
        <w:tc>
          <w:tcPr>
            <w:tcW w:w="8726" w:type="dxa"/>
            <w:shd w:val="clear" w:color="auto" w:fill="auto"/>
            <w:vAlign w:val="center"/>
            <w:hideMark/>
          </w:tcPr>
          <w:p w14:paraId="40B15969"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AK012 AS074 BB016 BB294 BB297 BB298 BB299 BB300 BB301 BB321 CK001 CK002 CK003 DE606 DE609 DE616 DE617 DE618 DE619 DE698 DE724 DE725 EB136 EB137 EB138 ER279 ER280 ER650 ET065 FQ002 GQ006 GQ007 JJ033 JJ034 JJ035 JJ036 JJ037 JJ038 JJ039 JJ040 JJ186 JJ482 LM042 LV076 LV081 LV086 MH015 MI213 MI217 TX006 TX007 TX008 TX009 TX010 TX011 TX012 TX013 TX023 TX024 TX025 WA011</w:t>
            </w:r>
          </w:p>
        </w:tc>
      </w:tr>
      <w:tr w:rsidR="00461D28" w:rsidRPr="00461D28" w14:paraId="0239A976" w14:textId="77777777" w:rsidTr="00461D28">
        <w:trPr>
          <w:trHeight w:val="1920"/>
        </w:trPr>
        <w:tc>
          <w:tcPr>
            <w:tcW w:w="1413" w:type="dxa"/>
            <w:vMerge/>
            <w:vAlign w:val="center"/>
            <w:hideMark/>
          </w:tcPr>
          <w:p w14:paraId="52B24236" w14:textId="77777777" w:rsidR="00461D28" w:rsidRPr="00461D28" w:rsidRDefault="00461D28" w:rsidP="00461D28">
            <w:pPr>
              <w:spacing w:before="120" w:after="120"/>
              <w:jc w:val="center"/>
              <w:rPr>
                <w:rFonts w:eastAsia="Times New Roman" w:cs="Arial"/>
                <w:color w:val="000000"/>
                <w:sz w:val="18"/>
                <w:szCs w:val="18"/>
                <w:lang w:val="en-AU" w:eastAsia="en-AU"/>
              </w:rPr>
            </w:pPr>
          </w:p>
        </w:tc>
        <w:tc>
          <w:tcPr>
            <w:tcW w:w="537" w:type="dxa"/>
            <w:tcBorders>
              <w:right w:val="nil"/>
            </w:tcBorders>
            <w:shd w:val="clear" w:color="auto" w:fill="auto"/>
            <w:noWrap/>
            <w:vAlign w:val="center"/>
            <w:hideMark/>
          </w:tcPr>
          <w:p w14:paraId="1BA2F01B"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A54</w:t>
            </w:r>
          </w:p>
        </w:tc>
        <w:tc>
          <w:tcPr>
            <w:tcW w:w="2998" w:type="dxa"/>
            <w:tcBorders>
              <w:left w:val="nil"/>
            </w:tcBorders>
            <w:shd w:val="clear" w:color="auto" w:fill="auto"/>
            <w:noWrap/>
            <w:vAlign w:val="center"/>
            <w:hideMark/>
          </w:tcPr>
          <w:p w14:paraId="54E1F128"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Staples and Tackers</w:t>
            </w:r>
          </w:p>
        </w:tc>
        <w:tc>
          <w:tcPr>
            <w:tcW w:w="8726" w:type="dxa"/>
            <w:shd w:val="clear" w:color="auto" w:fill="auto"/>
            <w:vAlign w:val="center"/>
            <w:hideMark/>
          </w:tcPr>
          <w:p w14:paraId="7AED71F4"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AS045 AS046 AS075 AS076 AS077 AS081 AS091 AS092 AS095 AS110 AS134 AS179 AS186 AS209 AS227 AS228 AS229 AS246 BA203 BA204 BA269 DE472 DE560 DE610 DE611 DE683 DE726 ET066 GT224 GT228 IJ014 IJ015 IJ016 IJ017 IJ018 IJ019 IJ020 IJ021 JJ050 JJ056 JJ184 JJ443 JJ475 JJ812 JJ903 JJ904 MI212 MI214 MI215 MI216 MI219 MI227 MI281 MI282 MI287 MI303 MI304 MI305 MI455 MI456 MN115 MN175 MN206 MN213 MN214 MN215 MN216 MN217 MN218 MN219 MN220 OB002 OB003 OB004 OB005 OB006 OB007 OB009 OB010 OX031 OX032 OX033 OX034 OX035 OX036 OX037 OX038 OX039 OX040 WL001 ZZ068 ZZ069</w:t>
            </w:r>
          </w:p>
        </w:tc>
      </w:tr>
      <w:tr w:rsidR="00461D28" w:rsidRPr="00461D28" w14:paraId="6D514D88" w14:textId="77777777" w:rsidTr="00461D28">
        <w:trPr>
          <w:trHeight w:val="240"/>
        </w:trPr>
        <w:tc>
          <w:tcPr>
            <w:tcW w:w="1413" w:type="dxa"/>
            <w:vMerge/>
            <w:vAlign w:val="center"/>
            <w:hideMark/>
          </w:tcPr>
          <w:p w14:paraId="7926C53E" w14:textId="77777777" w:rsidR="00461D28" w:rsidRPr="00461D28" w:rsidRDefault="00461D28" w:rsidP="00461D28">
            <w:pPr>
              <w:spacing w:before="120" w:after="120"/>
              <w:jc w:val="center"/>
              <w:rPr>
                <w:rFonts w:eastAsia="Times New Roman" w:cs="Arial"/>
                <w:color w:val="000000"/>
                <w:sz w:val="18"/>
                <w:szCs w:val="18"/>
                <w:lang w:val="en-AU" w:eastAsia="en-AU"/>
              </w:rPr>
            </w:pPr>
          </w:p>
        </w:tc>
        <w:tc>
          <w:tcPr>
            <w:tcW w:w="537" w:type="dxa"/>
            <w:tcBorders>
              <w:right w:val="nil"/>
            </w:tcBorders>
            <w:shd w:val="clear" w:color="auto" w:fill="auto"/>
            <w:noWrap/>
            <w:vAlign w:val="center"/>
            <w:hideMark/>
          </w:tcPr>
          <w:p w14:paraId="5F69D043"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A55</w:t>
            </w:r>
          </w:p>
        </w:tc>
        <w:tc>
          <w:tcPr>
            <w:tcW w:w="2998" w:type="dxa"/>
            <w:tcBorders>
              <w:left w:val="nil"/>
            </w:tcBorders>
            <w:shd w:val="clear" w:color="auto" w:fill="auto"/>
            <w:noWrap/>
            <w:vAlign w:val="center"/>
            <w:hideMark/>
          </w:tcPr>
          <w:p w14:paraId="79678B1B"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Dura Repair, Liquid Sealants</w:t>
            </w:r>
          </w:p>
        </w:tc>
        <w:tc>
          <w:tcPr>
            <w:tcW w:w="8726" w:type="dxa"/>
            <w:shd w:val="clear" w:color="auto" w:fill="auto"/>
            <w:vAlign w:val="center"/>
            <w:hideMark/>
          </w:tcPr>
          <w:p w14:paraId="145072D0"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HW659 HW660 IG141 IG142 MN202 MN203</w:t>
            </w:r>
          </w:p>
        </w:tc>
      </w:tr>
      <w:tr w:rsidR="00461D28" w:rsidRPr="00461D28" w14:paraId="709C3A20" w14:textId="77777777" w:rsidTr="00461D28">
        <w:trPr>
          <w:trHeight w:val="240"/>
        </w:trPr>
        <w:tc>
          <w:tcPr>
            <w:tcW w:w="1413" w:type="dxa"/>
            <w:vMerge/>
            <w:vAlign w:val="center"/>
            <w:hideMark/>
          </w:tcPr>
          <w:p w14:paraId="63184E8B" w14:textId="77777777" w:rsidR="00461D28" w:rsidRPr="00461D28" w:rsidRDefault="00461D28" w:rsidP="00461D28">
            <w:pPr>
              <w:spacing w:before="120" w:after="120"/>
              <w:jc w:val="center"/>
              <w:rPr>
                <w:rFonts w:eastAsia="Times New Roman" w:cs="Arial"/>
                <w:color w:val="000000"/>
                <w:sz w:val="18"/>
                <w:szCs w:val="18"/>
                <w:lang w:val="en-AU" w:eastAsia="en-AU"/>
              </w:rPr>
            </w:pPr>
          </w:p>
        </w:tc>
        <w:tc>
          <w:tcPr>
            <w:tcW w:w="537" w:type="dxa"/>
            <w:tcBorders>
              <w:right w:val="nil"/>
            </w:tcBorders>
            <w:shd w:val="clear" w:color="auto" w:fill="auto"/>
            <w:noWrap/>
            <w:vAlign w:val="center"/>
            <w:hideMark/>
          </w:tcPr>
          <w:p w14:paraId="368A1951"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A56</w:t>
            </w:r>
          </w:p>
        </w:tc>
        <w:tc>
          <w:tcPr>
            <w:tcW w:w="2998" w:type="dxa"/>
            <w:tcBorders>
              <w:left w:val="nil"/>
            </w:tcBorders>
            <w:shd w:val="clear" w:color="auto" w:fill="auto"/>
            <w:noWrap/>
            <w:vAlign w:val="center"/>
            <w:hideMark/>
          </w:tcPr>
          <w:p w14:paraId="6AFA04B3"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Dura Repair, Membrane Sealants</w:t>
            </w:r>
          </w:p>
        </w:tc>
        <w:tc>
          <w:tcPr>
            <w:tcW w:w="8726" w:type="dxa"/>
            <w:shd w:val="clear" w:color="auto" w:fill="auto"/>
            <w:vAlign w:val="center"/>
            <w:hideMark/>
          </w:tcPr>
          <w:p w14:paraId="149343C9"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BX343 BX344 LH719 LH720 LH721 LH723</w:t>
            </w:r>
          </w:p>
        </w:tc>
      </w:tr>
      <w:tr w:rsidR="00461D28" w:rsidRPr="00461D28" w14:paraId="0867A8D0" w14:textId="77777777" w:rsidTr="00461D28">
        <w:trPr>
          <w:trHeight w:val="240"/>
        </w:trPr>
        <w:tc>
          <w:tcPr>
            <w:tcW w:w="1413" w:type="dxa"/>
            <w:vMerge/>
            <w:vAlign w:val="center"/>
            <w:hideMark/>
          </w:tcPr>
          <w:p w14:paraId="346EE219" w14:textId="77777777" w:rsidR="00461D28" w:rsidRPr="00461D28" w:rsidRDefault="00461D28" w:rsidP="00461D28">
            <w:pPr>
              <w:spacing w:before="120" w:after="120"/>
              <w:jc w:val="center"/>
              <w:rPr>
                <w:rFonts w:eastAsia="Times New Roman" w:cs="Arial"/>
                <w:color w:val="000000"/>
                <w:sz w:val="18"/>
                <w:szCs w:val="18"/>
                <w:lang w:val="en-AU" w:eastAsia="en-AU"/>
              </w:rPr>
            </w:pPr>
          </w:p>
        </w:tc>
        <w:tc>
          <w:tcPr>
            <w:tcW w:w="537" w:type="dxa"/>
            <w:tcBorders>
              <w:right w:val="nil"/>
            </w:tcBorders>
            <w:shd w:val="clear" w:color="auto" w:fill="auto"/>
            <w:noWrap/>
            <w:vAlign w:val="center"/>
            <w:hideMark/>
          </w:tcPr>
          <w:p w14:paraId="1CE4B851"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A57</w:t>
            </w:r>
          </w:p>
        </w:tc>
        <w:tc>
          <w:tcPr>
            <w:tcW w:w="2998" w:type="dxa"/>
            <w:tcBorders>
              <w:left w:val="nil"/>
            </w:tcBorders>
            <w:shd w:val="clear" w:color="auto" w:fill="auto"/>
            <w:noWrap/>
            <w:vAlign w:val="center"/>
            <w:hideMark/>
          </w:tcPr>
          <w:p w14:paraId="0D7FD019"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Arterial Closure Items</w:t>
            </w:r>
          </w:p>
        </w:tc>
        <w:tc>
          <w:tcPr>
            <w:tcW w:w="8726" w:type="dxa"/>
            <w:shd w:val="clear" w:color="auto" w:fill="auto"/>
            <w:vAlign w:val="center"/>
            <w:hideMark/>
          </w:tcPr>
          <w:p w14:paraId="7B5F0C4C"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DO009 DO012 DO025 SJ451 SJ452 SJ459 SJ463 TU061 TU067</w:t>
            </w:r>
          </w:p>
        </w:tc>
      </w:tr>
      <w:tr w:rsidR="00461D28" w:rsidRPr="00461D28" w14:paraId="3305EC3D" w14:textId="77777777" w:rsidTr="00461D28">
        <w:trPr>
          <w:trHeight w:val="720"/>
        </w:trPr>
        <w:tc>
          <w:tcPr>
            <w:tcW w:w="1413" w:type="dxa"/>
            <w:vMerge/>
            <w:vAlign w:val="center"/>
            <w:hideMark/>
          </w:tcPr>
          <w:p w14:paraId="0BC3E7F1" w14:textId="77777777" w:rsidR="00461D28" w:rsidRPr="00461D28" w:rsidRDefault="00461D28" w:rsidP="00461D28">
            <w:pPr>
              <w:spacing w:before="120" w:after="120"/>
              <w:jc w:val="center"/>
              <w:rPr>
                <w:rFonts w:eastAsia="Times New Roman" w:cs="Arial"/>
                <w:color w:val="000000"/>
                <w:sz w:val="18"/>
                <w:szCs w:val="18"/>
                <w:lang w:val="en-AU" w:eastAsia="en-AU"/>
              </w:rPr>
            </w:pPr>
          </w:p>
        </w:tc>
        <w:tc>
          <w:tcPr>
            <w:tcW w:w="537" w:type="dxa"/>
            <w:tcBorders>
              <w:right w:val="nil"/>
            </w:tcBorders>
            <w:shd w:val="clear" w:color="auto" w:fill="auto"/>
            <w:noWrap/>
            <w:vAlign w:val="center"/>
            <w:hideMark/>
          </w:tcPr>
          <w:p w14:paraId="75A5BAC0"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A59</w:t>
            </w:r>
          </w:p>
        </w:tc>
        <w:tc>
          <w:tcPr>
            <w:tcW w:w="2998" w:type="dxa"/>
            <w:tcBorders>
              <w:left w:val="nil"/>
            </w:tcBorders>
            <w:shd w:val="clear" w:color="auto" w:fill="auto"/>
            <w:noWrap/>
            <w:vAlign w:val="center"/>
            <w:hideMark/>
          </w:tcPr>
          <w:p w14:paraId="71FA4C69"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Closure Accessories</w:t>
            </w:r>
          </w:p>
        </w:tc>
        <w:tc>
          <w:tcPr>
            <w:tcW w:w="8726" w:type="dxa"/>
            <w:shd w:val="clear" w:color="auto" w:fill="auto"/>
            <w:vAlign w:val="center"/>
            <w:hideMark/>
          </w:tcPr>
          <w:p w14:paraId="2A52514E" w14:textId="77777777" w:rsidR="00461D28" w:rsidRPr="00461D28" w:rsidRDefault="00461D28" w:rsidP="00461D28">
            <w:pPr>
              <w:spacing w:before="120" w:after="120"/>
              <w:rPr>
                <w:rFonts w:eastAsia="Times New Roman" w:cs="Arial"/>
                <w:color w:val="000000"/>
                <w:sz w:val="18"/>
                <w:szCs w:val="18"/>
                <w:lang w:val="en-AU" w:eastAsia="en-AU"/>
              </w:rPr>
            </w:pPr>
            <w:r w:rsidRPr="00461D28">
              <w:rPr>
                <w:rFonts w:eastAsia="Times New Roman" w:cs="Arial"/>
                <w:color w:val="000000"/>
                <w:sz w:val="18"/>
                <w:szCs w:val="18"/>
                <w:lang w:val="en-AU" w:eastAsia="en-AU"/>
              </w:rPr>
              <w:t>AB008 AB009 AB010 AB065 AB076 BA266 BA267 BX261 BX262 BX263 BX264 BX265 BX266 BX267 BX268 BX269 BX270 BX271 BX272 BX273 BX275 BX277 BX279 BX280 BX282 BX340 BX341 DE722 DE723 DE727 FY002 MN041 MN153</w:t>
            </w:r>
          </w:p>
        </w:tc>
      </w:tr>
    </w:tbl>
    <w:p w14:paraId="24F3E18E" w14:textId="3B20C194" w:rsidR="008A5E4F" w:rsidRDefault="008A5E4F" w:rsidP="008A5E4F"/>
    <w:p w14:paraId="735035C3" w14:textId="77777777" w:rsidR="003D725B" w:rsidRDefault="003D725B">
      <w:pPr>
        <w:spacing w:line="259" w:lineRule="auto"/>
      </w:pPr>
      <w:r>
        <w:br w:type="page"/>
      </w:r>
    </w:p>
    <w:p w14:paraId="72AF1F0F" w14:textId="47FDEBE9" w:rsidR="008A5E4F" w:rsidRDefault="008A5E4F" w:rsidP="003D725B">
      <w:pPr>
        <w:pStyle w:val="TableFigureheading"/>
      </w:pPr>
      <w:r>
        <w:t>Table A2: General Use Item Bundles – Product Bundle Variants</w:t>
      </w:r>
    </w:p>
    <w:tbl>
      <w:tblPr>
        <w:tblW w:w="7792" w:type="dxa"/>
        <w:tbl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insideH w:val="single" w:sz="4" w:space="0" w:color="808080" w:themeColor="background2" w:themeShade="80"/>
          <w:insideV w:val="single" w:sz="4" w:space="0" w:color="808080" w:themeColor="background2" w:themeShade="80"/>
        </w:tblBorders>
        <w:tblLook w:val="04A0" w:firstRow="1" w:lastRow="0" w:firstColumn="1" w:lastColumn="0" w:noHBand="0" w:noVBand="1"/>
        <w:tblDescription w:val="Table A2 shows the General Use Item Product Bundle Variants through a table with three columns: Product Branch, Bundle Variant and Bundle Benefit. "/>
      </w:tblPr>
      <w:tblGrid>
        <w:gridCol w:w="1860"/>
        <w:gridCol w:w="757"/>
        <w:gridCol w:w="3474"/>
        <w:gridCol w:w="1701"/>
      </w:tblGrid>
      <w:tr w:rsidR="003D725B" w:rsidRPr="003D725B" w14:paraId="6A3207C6" w14:textId="77777777" w:rsidTr="003D725B">
        <w:trPr>
          <w:cantSplit/>
          <w:trHeight w:val="240"/>
          <w:tblHeader/>
        </w:trPr>
        <w:tc>
          <w:tcPr>
            <w:tcW w:w="1860" w:type="dxa"/>
            <w:tcBorders>
              <w:right w:val="single" w:sz="4" w:space="0" w:color="FFFFFF" w:themeColor="background2"/>
            </w:tcBorders>
            <w:shd w:val="clear" w:color="auto" w:fill="104F99" w:themeFill="accent2"/>
            <w:noWrap/>
            <w:vAlign w:val="center"/>
            <w:hideMark/>
          </w:tcPr>
          <w:p w14:paraId="0965B528" w14:textId="77777777" w:rsidR="003D725B" w:rsidRPr="003D725B" w:rsidRDefault="003D725B" w:rsidP="003D725B">
            <w:pPr>
              <w:spacing w:before="120" w:after="120"/>
              <w:jc w:val="center"/>
              <w:rPr>
                <w:rFonts w:eastAsia="Times New Roman" w:cs="Arial"/>
                <w:b/>
                <w:bCs/>
                <w:color w:val="FFFFFF" w:themeColor="background2"/>
                <w:sz w:val="18"/>
                <w:szCs w:val="18"/>
                <w:lang w:val="en-AU" w:eastAsia="en-AU"/>
              </w:rPr>
            </w:pPr>
            <w:r w:rsidRPr="003D725B">
              <w:rPr>
                <w:rFonts w:eastAsia="Times New Roman" w:cs="Arial"/>
                <w:b/>
                <w:bCs/>
                <w:color w:val="FFFFFF" w:themeColor="background2"/>
                <w:sz w:val="18"/>
                <w:szCs w:val="18"/>
                <w:lang w:val="en-AU" w:eastAsia="en-AU"/>
              </w:rPr>
              <w:t>Product Branch</w:t>
            </w:r>
          </w:p>
        </w:tc>
        <w:tc>
          <w:tcPr>
            <w:tcW w:w="4231" w:type="dxa"/>
            <w:gridSpan w:val="2"/>
            <w:tcBorders>
              <w:left w:val="single" w:sz="4" w:space="0" w:color="FFFFFF" w:themeColor="background2"/>
              <w:right w:val="single" w:sz="4" w:space="0" w:color="FFFFFF" w:themeColor="background2"/>
            </w:tcBorders>
            <w:shd w:val="clear" w:color="auto" w:fill="104F99" w:themeFill="accent2"/>
            <w:noWrap/>
            <w:vAlign w:val="center"/>
            <w:hideMark/>
          </w:tcPr>
          <w:p w14:paraId="1DE37C60" w14:textId="77777777" w:rsidR="003D725B" w:rsidRPr="003D725B" w:rsidRDefault="003D725B" w:rsidP="003D725B">
            <w:pPr>
              <w:spacing w:before="120" w:after="120"/>
              <w:jc w:val="center"/>
              <w:rPr>
                <w:rFonts w:eastAsia="Times New Roman" w:cs="Arial"/>
                <w:b/>
                <w:bCs/>
                <w:color w:val="FFFFFF" w:themeColor="background2"/>
                <w:sz w:val="18"/>
                <w:szCs w:val="18"/>
                <w:lang w:val="en-AU" w:eastAsia="en-AU"/>
              </w:rPr>
            </w:pPr>
            <w:r w:rsidRPr="003D725B">
              <w:rPr>
                <w:rFonts w:eastAsia="Times New Roman" w:cs="Arial"/>
                <w:b/>
                <w:bCs/>
                <w:color w:val="FFFFFF" w:themeColor="background2"/>
                <w:sz w:val="18"/>
                <w:szCs w:val="18"/>
                <w:lang w:val="en-AU" w:eastAsia="en-AU"/>
              </w:rPr>
              <w:t>Bundle variant</w:t>
            </w:r>
          </w:p>
        </w:tc>
        <w:tc>
          <w:tcPr>
            <w:tcW w:w="1701" w:type="dxa"/>
            <w:tcBorders>
              <w:left w:val="single" w:sz="4" w:space="0" w:color="FFFFFF" w:themeColor="background2"/>
            </w:tcBorders>
            <w:shd w:val="clear" w:color="auto" w:fill="104F99" w:themeFill="accent2"/>
            <w:noWrap/>
            <w:vAlign w:val="center"/>
            <w:hideMark/>
          </w:tcPr>
          <w:p w14:paraId="3B27353C" w14:textId="77777777" w:rsidR="003D725B" w:rsidRPr="003D725B" w:rsidRDefault="003D725B" w:rsidP="003D725B">
            <w:pPr>
              <w:spacing w:before="120" w:after="120"/>
              <w:jc w:val="center"/>
              <w:rPr>
                <w:rFonts w:eastAsia="Times New Roman" w:cs="Arial"/>
                <w:b/>
                <w:bCs/>
                <w:color w:val="FFFFFF" w:themeColor="background2"/>
                <w:sz w:val="18"/>
                <w:szCs w:val="18"/>
                <w:lang w:val="en-AU" w:eastAsia="en-AU"/>
              </w:rPr>
            </w:pPr>
            <w:r w:rsidRPr="003D725B">
              <w:rPr>
                <w:rFonts w:eastAsia="Times New Roman" w:cs="Arial"/>
                <w:b/>
                <w:bCs/>
                <w:color w:val="FFFFFF" w:themeColor="background2"/>
                <w:sz w:val="18"/>
                <w:szCs w:val="18"/>
                <w:lang w:val="en-AU" w:eastAsia="en-AU"/>
              </w:rPr>
              <w:t>Bundle benefit</w:t>
            </w:r>
          </w:p>
        </w:tc>
      </w:tr>
      <w:tr w:rsidR="003D725B" w:rsidRPr="003D725B" w14:paraId="77BDA9F4" w14:textId="77777777" w:rsidTr="003D725B">
        <w:trPr>
          <w:cantSplit/>
          <w:trHeight w:val="240"/>
        </w:trPr>
        <w:tc>
          <w:tcPr>
            <w:tcW w:w="1860" w:type="dxa"/>
            <w:vMerge w:val="restart"/>
            <w:shd w:val="clear" w:color="auto" w:fill="auto"/>
            <w:noWrap/>
            <w:vAlign w:val="center"/>
            <w:hideMark/>
          </w:tcPr>
          <w:p w14:paraId="1C6133FD" w14:textId="77777777" w:rsidR="003D725B" w:rsidRPr="003D725B" w:rsidRDefault="003D725B" w:rsidP="003D725B">
            <w:pPr>
              <w:spacing w:before="120" w:after="120"/>
              <w:jc w:val="center"/>
              <w:rPr>
                <w:rFonts w:eastAsia="Times New Roman" w:cs="Arial"/>
                <w:color w:val="000000"/>
                <w:sz w:val="18"/>
                <w:szCs w:val="18"/>
                <w:lang w:val="en-AU" w:eastAsia="en-AU"/>
              </w:rPr>
            </w:pPr>
            <w:r w:rsidRPr="003D725B">
              <w:rPr>
                <w:rFonts w:eastAsia="Times New Roman" w:cs="Arial"/>
                <w:color w:val="000000"/>
                <w:sz w:val="18"/>
                <w:szCs w:val="18"/>
                <w:lang w:val="en-AU" w:eastAsia="en-AU"/>
              </w:rPr>
              <w:t>A1 Drug Delivery</w:t>
            </w:r>
          </w:p>
        </w:tc>
        <w:tc>
          <w:tcPr>
            <w:tcW w:w="757" w:type="dxa"/>
            <w:tcBorders>
              <w:right w:val="nil"/>
            </w:tcBorders>
            <w:shd w:val="clear" w:color="auto" w:fill="auto"/>
            <w:noWrap/>
            <w:vAlign w:val="center"/>
            <w:hideMark/>
          </w:tcPr>
          <w:p w14:paraId="58142A74"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A11A1</w:t>
            </w:r>
          </w:p>
        </w:tc>
        <w:tc>
          <w:tcPr>
            <w:tcW w:w="3474" w:type="dxa"/>
            <w:tcBorders>
              <w:left w:val="nil"/>
            </w:tcBorders>
            <w:shd w:val="clear" w:color="auto" w:fill="auto"/>
            <w:noWrap/>
            <w:vAlign w:val="center"/>
            <w:hideMark/>
          </w:tcPr>
          <w:p w14:paraId="18AD912A"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Infusion Pumps, Balloon Based</w:t>
            </w:r>
          </w:p>
        </w:tc>
        <w:tc>
          <w:tcPr>
            <w:tcW w:w="1701" w:type="dxa"/>
            <w:shd w:val="clear" w:color="auto" w:fill="auto"/>
            <w:noWrap/>
            <w:vAlign w:val="center"/>
            <w:hideMark/>
          </w:tcPr>
          <w:p w14:paraId="55A6B6BF"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$132.86</w:t>
            </w:r>
          </w:p>
        </w:tc>
      </w:tr>
      <w:tr w:rsidR="003D725B" w:rsidRPr="003D725B" w14:paraId="2A3EA40E" w14:textId="77777777" w:rsidTr="003D725B">
        <w:trPr>
          <w:cantSplit/>
          <w:trHeight w:val="240"/>
        </w:trPr>
        <w:tc>
          <w:tcPr>
            <w:tcW w:w="1860" w:type="dxa"/>
            <w:vMerge/>
            <w:vAlign w:val="center"/>
            <w:hideMark/>
          </w:tcPr>
          <w:p w14:paraId="422DFD69" w14:textId="77777777" w:rsidR="003D725B" w:rsidRPr="003D725B" w:rsidRDefault="003D725B" w:rsidP="003D725B">
            <w:pPr>
              <w:spacing w:before="120" w:after="120"/>
              <w:jc w:val="center"/>
              <w:rPr>
                <w:rFonts w:eastAsia="Times New Roman" w:cs="Arial"/>
                <w:color w:val="000000"/>
                <w:sz w:val="18"/>
                <w:szCs w:val="18"/>
                <w:lang w:val="en-AU" w:eastAsia="en-AU"/>
              </w:rPr>
            </w:pPr>
          </w:p>
        </w:tc>
        <w:tc>
          <w:tcPr>
            <w:tcW w:w="757" w:type="dxa"/>
            <w:tcBorders>
              <w:right w:val="nil"/>
            </w:tcBorders>
            <w:shd w:val="clear" w:color="auto" w:fill="auto"/>
            <w:noWrap/>
            <w:vAlign w:val="center"/>
            <w:hideMark/>
          </w:tcPr>
          <w:p w14:paraId="795F8413"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A12A1</w:t>
            </w:r>
          </w:p>
        </w:tc>
        <w:tc>
          <w:tcPr>
            <w:tcW w:w="3474" w:type="dxa"/>
            <w:tcBorders>
              <w:left w:val="nil"/>
            </w:tcBorders>
            <w:shd w:val="clear" w:color="auto" w:fill="auto"/>
            <w:noWrap/>
            <w:vAlign w:val="center"/>
            <w:hideMark/>
          </w:tcPr>
          <w:p w14:paraId="605AD26C"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Infusion Pumps, Battery Powered</w:t>
            </w:r>
          </w:p>
        </w:tc>
        <w:tc>
          <w:tcPr>
            <w:tcW w:w="1701" w:type="dxa"/>
            <w:shd w:val="clear" w:color="auto" w:fill="auto"/>
            <w:noWrap/>
            <w:vAlign w:val="center"/>
            <w:hideMark/>
          </w:tcPr>
          <w:p w14:paraId="17476D73"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$513.65</w:t>
            </w:r>
          </w:p>
        </w:tc>
      </w:tr>
      <w:tr w:rsidR="003D725B" w:rsidRPr="003D725B" w14:paraId="6EB0CB78" w14:textId="77777777" w:rsidTr="003D725B">
        <w:trPr>
          <w:cantSplit/>
          <w:trHeight w:val="240"/>
        </w:trPr>
        <w:tc>
          <w:tcPr>
            <w:tcW w:w="1860" w:type="dxa"/>
            <w:vMerge/>
            <w:vAlign w:val="center"/>
            <w:hideMark/>
          </w:tcPr>
          <w:p w14:paraId="4028674E" w14:textId="77777777" w:rsidR="003D725B" w:rsidRPr="003D725B" w:rsidRDefault="003D725B" w:rsidP="003D725B">
            <w:pPr>
              <w:spacing w:before="120" w:after="120"/>
              <w:jc w:val="center"/>
              <w:rPr>
                <w:rFonts w:eastAsia="Times New Roman" w:cs="Arial"/>
                <w:color w:val="000000"/>
                <w:sz w:val="18"/>
                <w:szCs w:val="18"/>
                <w:lang w:val="en-AU" w:eastAsia="en-AU"/>
              </w:rPr>
            </w:pPr>
          </w:p>
        </w:tc>
        <w:tc>
          <w:tcPr>
            <w:tcW w:w="757" w:type="dxa"/>
            <w:tcBorders>
              <w:right w:val="nil"/>
            </w:tcBorders>
            <w:shd w:val="clear" w:color="auto" w:fill="auto"/>
            <w:noWrap/>
            <w:vAlign w:val="center"/>
            <w:hideMark/>
          </w:tcPr>
          <w:p w14:paraId="690FFA58"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A13A1</w:t>
            </w:r>
          </w:p>
        </w:tc>
        <w:tc>
          <w:tcPr>
            <w:tcW w:w="3474" w:type="dxa"/>
            <w:tcBorders>
              <w:left w:val="nil"/>
            </w:tcBorders>
            <w:shd w:val="clear" w:color="auto" w:fill="auto"/>
            <w:noWrap/>
            <w:vAlign w:val="center"/>
            <w:hideMark/>
          </w:tcPr>
          <w:p w14:paraId="2503E819"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Infusion Pumps, Spring Powered</w:t>
            </w:r>
          </w:p>
        </w:tc>
        <w:tc>
          <w:tcPr>
            <w:tcW w:w="1701" w:type="dxa"/>
            <w:shd w:val="clear" w:color="auto" w:fill="auto"/>
            <w:noWrap/>
            <w:vAlign w:val="center"/>
            <w:hideMark/>
          </w:tcPr>
          <w:p w14:paraId="21EBD0AA"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$127.54</w:t>
            </w:r>
          </w:p>
        </w:tc>
      </w:tr>
      <w:tr w:rsidR="003D725B" w:rsidRPr="003D725B" w14:paraId="38A69D84" w14:textId="77777777" w:rsidTr="003D725B">
        <w:trPr>
          <w:cantSplit/>
          <w:trHeight w:val="240"/>
        </w:trPr>
        <w:tc>
          <w:tcPr>
            <w:tcW w:w="1860" w:type="dxa"/>
            <w:vMerge/>
            <w:vAlign w:val="center"/>
            <w:hideMark/>
          </w:tcPr>
          <w:p w14:paraId="0F7A9FE6" w14:textId="77777777" w:rsidR="003D725B" w:rsidRPr="003D725B" w:rsidRDefault="003D725B" w:rsidP="003D725B">
            <w:pPr>
              <w:spacing w:before="120" w:after="120"/>
              <w:jc w:val="center"/>
              <w:rPr>
                <w:rFonts w:eastAsia="Times New Roman" w:cs="Arial"/>
                <w:color w:val="000000"/>
                <w:sz w:val="18"/>
                <w:szCs w:val="18"/>
                <w:lang w:val="en-AU" w:eastAsia="en-AU"/>
              </w:rPr>
            </w:pPr>
          </w:p>
        </w:tc>
        <w:tc>
          <w:tcPr>
            <w:tcW w:w="757" w:type="dxa"/>
            <w:tcBorders>
              <w:right w:val="nil"/>
            </w:tcBorders>
            <w:shd w:val="clear" w:color="auto" w:fill="auto"/>
            <w:noWrap/>
            <w:vAlign w:val="center"/>
            <w:hideMark/>
          </w:tcPr>
          <w:p w14:paraId="6E550435"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A19A1</w:t>
            </w:r>
          </w:p>
        </w:tc>
        <w:tc>
          <w:tcPr>
            <w:tcW w:w="3474" w:type="dxa"/>
            <w:tcBorders>
              <w:left w:val="nil"/>
            </w:tcBorders>
            <w:shd w:val="clear" w:color="auto" w:fill="auto"/>
            <w:noWrap/>
            <w:vAlign w:val="center"/>
            <w:hideMark/>
          </w:tcPr>
          <w:p w14:paraId="4E8F544C"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Drug Delivery Accessories</w:t>
            </w:r>
          </w:p>
        </w:tc>
        <w:tc>
          <w:tcPr>
            <w:tcW w:w="1701" w:type="dxa"/>
            <w:shd w:val="clear" w:color="auto" w:fill="auto"/>
            <w:noWrap/>
            <w:vAlign w:val="center"/>
            <w:hideMark/>
          </w:tcPr>
          <w:p w14:paraId="6BA1C8F0"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$40.35</w:t>
            </w:r>
          </w:p>
        </w:tc>
      </w:tr>
      <w:tr w:rsidR="003D725B" w:rsidRPr="003D725B" w14:paraId="3E77CE50" w14:textId="77777777" w:rsidTr="003D725B">
        <w:trPr>
          <w:cantSplit/>
          <w:trHeight w:val="240"/>
        </w:trPr>
        <w:tc>
          <w:tcPr>
            <w:tcW w:w="1860" w:type="dxa"/>
            <w:vMerge w:val="restart"/>
            <w:shd w:val="clear" w:color="auto" w:fill="auto"/>
            <w:noWrap/>
            <w:vAlign w:val="center"/>
            <w:hideMark/>
          </w:tcPr>
          <w:p w14:paraId="6AF5B461" w14:textId="5FBF9B40" w:rsidR="003D725B" w:rsidRPr="003D725B" w:rsidRDefault="003D725B" w:rsidP="003D725B">
            <w:pPr>
              <w:spacing w:before="120" w:after="120"/>
              <w:jc w:val="center"/>
              <w:rPr>
                <w:rFonts w:eastAsia="Times New Roman" w:cs="Arial"/>
                <w:color w:val="000000"/>
                <w:sz w:val="18"/>
                <w:szCs w:val="18"/>
                <w:lang w:val="en-AU" w:eastAsia="en-AU"/>
              </w:rPr>
            </w:pPr>
            <w:r w:rsidRPr="003D725B">
              <w:rPr>
                <w:rFonts w:eastAsia="Times New Roman" w:cs="Arial"/>
                <w:color w:val="000000"/>
                <w:sz w:val="18"/>
                <w:szCs w:val="18"/>
                <w:lang w:val="en-AU" w:eastAsia="en-AU"/>
              </w:rPr>
              <w:t>A2 Enteral</w:t>
            </w:r>
            <w:r w:rsidR="00F412C3">
              <w:rPr>
                <w:rFonts w:eastAsia="Times New Roman" w:cs="Arial"/>
                <w:color w:val="000000"/>
                <w:sz w:val="18"/>
                <w:szCs w:val="18"/>
                <w:lang w:val="en-AU" w:eastAsia="en-AU"/>
              </w:rPr>
              <w:t xml:space="preserve"> Access</w:t>
            </w:r>
          </w:p>
        </w:tc>
        <w:tc>
          <w:tcPr>
            <w:tcW w:w="757" w:type="dxa"/>
            <w:tcBorders>
              <w:right w:val="nil"/>
            </w:tcBorders>
            <w:shd w:val="clear" w:color="auto" w:fill="auto"/>
            <w:noWrap/>
            <w:vAlign w:val="center"/>
            <w:hideMark/>
          </w:tcPr>
          <w:p w14:paraId="6F15EEDD"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A21A1</w:t>
            </w:r>
          </w:p>
        </w:tc>
        <w:tc>
          <w:tcPr>
            <w:tcW w:w="3474" w:type="dxa"/>
            <w:tcBorders>
              <w:left w:val="nil"/>
            </w:tcBorders>
            <w:shd w:val="clear" w:color="auto" w:fill="auto"/>
            <w:noWrap/>
            <w:vAlign w:val="center"/>
            <w:hideMark/>
          </w:tcPr>
          <w:p w14:paraId="3779776B"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Feeding Tubes</w:t>
            </w:r>
          </w:p>
        </w:tc>
        <w:tc>
          <w:tcPr>
            <w:tcW w:w="1701" w:type="dxa"/>
            <w:shd w:val="clear" w:color="auto" w:fill="auto"/>
            <w:noWrap/>
            <w:vAlign w:val="center"/>
            <w:hideMark/>
          </w:tcPr>
          <w:p w14:paraId="49E70356"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$161.00</w:t>
            </w:r>
          </w:p>
        </w:tc>
      </w:tr>
      <w:tr w:rsidR="003D725B" w:rsidRPr="003D725B" w14:paraId="668E98CC" w14:textId="77777777" w:rsidTr="003D725B">
        <w:trPr>
          <w:cantSplit/>
          <w:trHeight w:val="240"/>
        </w:trPr>
        <w:tc>
          <w:tcPr>
            <w:tcW w:w="1860" w:type="dxa"/>
            <w:vMerge/>
            <w:vAlign w:val="center"/>
            <w:hideMark/>
          </w:tcPr>
          <w:p w14:paraId="1532A543" w14:textId="77777777" w:rsidR="003D725B" w:rsidRPr="003D725B" w:rsidRDefault="003D725B" w:rsidP="003D725B">
            <w:pPr>
              <w:spacing w:before="120" w:after="120"/>
              <w:jc w:val="center"/>
              <w:rPr>
                <w:rFonts w:eastAsia="Times New Roman" w:cs="Arial"/>
                <w:color w:val="000000"/>
                <w:sz w:val="18"/>
                <w:szCs w:val="18"/>
                <w:lang w:val="en-AU" w:eastAsia="en-AU"/>
              </w:rPr>
            </w:pPr>
          </w:p>
        </w:tc>
        <w:tc>
          <w:tcPr>
            <w:tcW w:w="757" w:type="dxa"/>
            <w:tcBorders>
              <w:right w:val="nil"/>
            </w:tcBorders>
            <w:shd w:val="clear" w:color="auto" w:fill="auto"/>
            <w:noWrap/>
            <w:vAlign w:val="center"/>
            <w:hideMark/>
          </w:tcPr>
          <w:p w14:paraId="52FAB8C8"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A22A1</w:t>
            </w:r>
          </w:p>
        </w:tc>
        <w:tc>
          <w:tcPr>
            <w:tcW w:w="3474" w:type="dxa"/>
            <w:tcBorders>
              <w:left w:val="nil"/>
            </w:tcBorders>
            <w:shd w:val="clear" w:color="auto" w:fill="auto"/>
            <w:noWrap/>
            <w:vAlign w:val="center"/>
            <w:hideMark/>
          </w:tcPr>
          <w:p w14:paraId="778FA865"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Gastrostomy Tubes</w:t>
            </w:r>
          </w:p>
        </w:tc>
        <w:tc>
          <w:tcPr>
            <w:tcW w:w="1701" w:type="dxa"/>
            <w:shd w:val="clear" w:color="auto" w:fill="auto"/>
            <w:noWrap/>
            <w:vAlign w:val="center"/>
            <w:hideMark/>
          </w:tcPr>
          <w:p w14:paraId="5D3C1F6E"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$170.22</w:t>
            </w:r>
          </w:p>
        </w:tc>
      </w:tr>
      <w:tr w:rsidR="003D725B" w:rsidRPr="003D725B" w14:paraId="6FEBF6CA" w14:textId="77777777" w:rsidTr="003D725B">
        <w:trPr>
          <w:cantSplit/>
          <w:trHeight w:val="240"/>
        </w:trPr>
        <w:tc>
          <w:tcPr>
            <w:tcW w:w="1860" w:type="dxa"/>
            <w:vMerge/>
            <w:vAlign w:val="center"/>
            <w:hideMark/>
          </w:tcPr>
          <w:p w14:paraId="0788C226" w14:textId="77777777" w:rsidR="003D725B" w:rsidRPr="003D725B" w:rsidRDefault="003D725B" w:rsidP="003D725B">
            <w:pPr>
              <w:spacing w:before="120" w:after="120"/>
              <w:jc w:val="center"/>
              <w:rPr>
                <w:rFonts w:eastAsia="Times New Roman" w:cs="Arial"/>
                <w:color w:val="000000"/>
                <w:sz w:val="18"/>
                <w:szCs w:val="18"/>
                <w:lang w:val="en-AU" w:eastAsia="en-AU"/>
              </w:rPr>
            </w:pPr>
          </w:p>
        </w:tc>
        <w:tc>
          <w:tcPr>
            <w:tcW w:w="757" w:type="dxa"/>
            <w:tcBorders>
              <w:right w:val="nil"/>
            </w:tcBorders>
            <w:shd w:val="clear" w:color="auto" w:fill="auto"/>
            <w:noWrap/>
            <w:vAlign w:val="center"/>
            <w:hideMark/>
          </w:tcPr>
          <w:p w14:paraId="248CDED5"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A23A1</w:t>
            </w:r>
          </w:p>
        </w:tc>
        <w:tc>
          <w:tcPr>
            <w:tcW w:w="3474" w:type="dxa"/>
            <w:tcBorders>
              <w:left w:val="nil"/>
            </w:tcBorders>
            <w:shd w:val="clear" w:color="auto" w:fill="auto"/>
            <w:noWrap/>
            <w:vAlign w:val="center"/>
            <w:hideMark/>
          </w:tcPr>
          <w:p w14:paraId="4B4D5F9B"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Jejunostomy Tubes</w:t>
            </w:r>
          </w:p>
        </w:tc>
        <w:tc>
          <w:tcPr>
            <w:tcW w:w="1701" w:type="dxa"/>
            <w:shd w:val="clear" w:color="auto" w:fill="auto"/>
            <w:noWrap/>
            <w:vAlign w:val="center"/>
            <w:hideMark/>
          </w:tcPr>
          <w:p w14:paraId="7259890F"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$448.05</w:t>
            </w:r>
          </w:p>
        </w:tc>
      </w:tr>
      <w:tr w:rsidR="003D725B" w:rsidRPr="003D725B" w14:paraId="1D709B3B" w14:textId="77777777" w:rsidTr="003D725B">
        <w:trPr>
          <w:cantSplit/>
          <w:trHeight w:val="240"/>
        </w:trPr>
        <w:tc>
          <w:tcPr>
            <w:tcW w:w="1860" w:type="dxa"/>
            <w:vMerge/>
            <w:vAlign w:val="center"/>
            <w:hideMark/>
          </w:tcPr>
          <w:p w14:paraId="4A67846A" w14:textId="77777777" w:rsidR="003D725B" w:rsidRPr="003D725B" w:rsidRDefault="003D725B" w:rsidP="003D725B">
            <w:pPr>
              <w:spacing w:before="120" w:after="120"/>
              <w:jc w:val="center"/>
              <w:rPr>
                <w:rFonts w:eastAsia="Times New Roman" w:cs="Arial"/>
                <w:color w:val="000000"/>
                <w:sz w:val="18"/>
                <w:szCs w:val="18"/>
                <w:lang w:val="en-AU" w:eastAsia="en-AU"/>
              </w:rPr>
            </w:pPr>
          </w:p>
        </w:tc>
        <w:tc>
          <w:tcPr>
            <w:tcW w:w="757" w:type="dxa"/>
            <w:tcBorders>
              <w:right w:val="nil"/>
            </w:tcBorders>
            <w:shd w:val="clear" w:color="auto" w:fill="auto"/>
            <w:noWrap/>
            <w:vAlign w:val="center"/>
            <w:hideMark/>
          </w:tcPr>
          <w:p w14:paraId="004FB90B"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A24A1</w:t>
            </w:r>
          </w:p>
        </w:tc>
        <w:tc>
          <w:tcPr>
            <w:tcW w:w="3474" w:type="dxa"/>
            <w:tcBorders>
              <w:left w:val="nil"/>
            </w:tcBorders>
            <w:shd w:val="clear" w:color="auto" w:fill="auto"/>
            <w:noWrap/>
            <w:vAlign w:val="center"/>
            <w:hideMark/>
          </w:tcPr>
          <w:p w14:paraId="0D7A8901" w14:textId="77777777" w:rsidR="003D725B" w:rsidRPr="003D725B" w:rsidRDefault="003D725B" w:rsidP="003D725B">
            <w:pPr>
              <w:spacing w:before="120" w:after="120"/>
              <w:rPr>
                <w:rFonts w:eastAsia="Times New Roman" w:cs="Arial"/>
                <w:color w:val="000000"/>
                <w:sz w:val="18"/>
                <w:szCs w:val="18"/>
                <w:lang w:val="en-AU" w:eastAsia="en-AU"/>
              </w:rPr>
            </w:pPr>
            <w:proofErr w:type="spellStart"/>
            <w:r w:rsidRPr="003D725B">
              <w:rPr>
                <w:rFonts w:eastAsia="Times New Roman" w:cs="Arial"/>
                <w:color w:val="000000"/>
                <w:sz w:val="18"/>
                <w:szCs w:val="18"/>
                <w:lang w:val="en-AU" w:eastAsia="en-AU"/>
              </w:rPr>
              <w:t>Caecostomy</w:t>
            </w:r>
            <w:proofErr w:type="spellEnd"/>
            <w:r w:rsidRPr="003D725B">
              <w:rPr>
                <w:rFonts w:eastAsia="Times New Roman" w:cs="Arial"/>
                <w:color w:val="000000"/>
                <w:sz w:val="18"/>
                <w:szCs w:val="18"/>
                <w:lang w:val="en-AU" w:eastAsia="en-AU"/>
              </w:rPr>
              <w:t xml:space="preserve"> Tubes</w:t>
            </w:r>
          </w:p>
        </w:tc>
        <w:tc>
          <w:tcPr>
            <w:tcW w:w="1701" w:type="dxa"/>
            <w:shd w:val="clear" w:color="auto" w:fill="auto"/>
            <w:noWrap/>
            <w:vAlign w:val="center"/>
            <w:hideMark/>
          </w:tcPr>
          <w:p w14:paraId="30E6B313"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$336.55</w:t>
            </w:r>
          </w:p>
        </w:tc>
      </w:tr>
      <w:tr w:rsidR="003D725B" w:rsidRPr="003D725B" w14:paraId="393DB819" w14:textId="77777777" w:rsidTr="003D725B">
        <w:trPr>
          <w:cantSplit/>
          <w:trHeight w:val="240"/>
        </w:trPr>
        <w:tc>
          <w:tcPr>
            <w:tcW w:w="1860" w:type="dxa"/>
            <w:shd w:val="clear" w:color="auto" w:fill="auto"/>
            <w:noWrap/>
            <w:vAlign w:val="center"/>
            <w:hideMark/>
          </w:tcPr>
          <w:p w14:paraId="03FFDC63" w14:textId="77777777" w:rsidR="003D725B" w:rsidRPr="003D725B" w:rsidRDefault="003D725B" w:rsidP="003D725B">
            <w:pPr>
              <w:spacing w:before="120" w:after="120"/>
              <w:jc w:val="center"/>
              <w:rPr>
                <w:rFonts w:eastAsia="Times New Roman" w:cs="Arial"/>
                <w:color w:val="000000"/>
                <w:sz w:val="18"/>
                <w:szCs w:val="18"/>
                <w:lang w:val="en-AU" w:eastAsia="en-AU"/>
              </w:rPr>
            </w:pPr>
            <w:r w:rsidRPr="003D725B">
              <w:rPr>
                <w:rFonts w:eastAsia="Times New Roman" w:cs="Arial"/>
                <w:color w:val="000000"/>
                <w:sz w:val="18"/>
                <w:szCs w:val="18"/>
                <w:lang w:val="en-AU" w:eastAsia="en-AU"/>
              </w:rPr>
              <w:t>A3 Vascular Access</w:t>
            </w:r>
          </w:p>
        </w:tc>
        <w:tc>
          <w:tcPr>
            <w:tcW w:w="757" w:type="dxa"/>
            <w:tcBorders>
              <w:right w:val="nil"/>
            </w:tcBorders>
            <w:shd w:val="clear" w:color="auto" w:fill="auto"/>
            <w:noWrap/>
            <w:vAlign w:val="center"/>
            <w:hideMark/>
          </w:tcPr>
          <w:p w14:paraId="09B66D0D"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A31A1</w:t>
            </w:r>
          </w:p>
        </w:tc>
        <w:tc>
          <w:tcPr>
            <w:tcW w:w="3474" w:type="dxa"/>
            <w:tcBorders>
              <w:left w:val="nil"/>
            </w:tcBorders>
            <w:shd w:val="clear" w:color="auto" w:fill="auto"/>
            <w:noWrap/>
            <w:vAlign w:val="center"/>
            <w:hideMark/>
          </w:tcPr>
          <w:p w14:paraId="36825035"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Percutaneous Catheters</w:t>
            </w:r>
          </w:p>
        </w:tc>
        <w:tc>
          <w:tcPr>
            <w:tcW w:w="1701" w:type="dxa"/>
            <w:shd w:val="clear" w:color="auto" w:fill="auto"/>
            <w:noWrap/>
            <w:vAlign w:val="center"/>
            <w:hideMark/>
          </w:tcPr>
          <w:p w14:paraId="404BDBD8"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$143.99</w:t>
            </w:r>
          </w:p>
        </w:tc>
      </w:tr>
      <w:tr w:rsidR="003D725B" w:rsidRPr="003D725B" w14:paraId="57866F22" w14:textId="77777777" w:rsidTr="003D725B">
        <w:trPr>
          <w:cantSplit/>
          <w:trHeight w:val="240"/>
        </w:trPr>
        <w:tc>
          <w:tcPr>
            <w:tcW w:w="1860" w:type="dxa"/>
            <w:vMerge w:val="restart"/>
            <w:shd w:val="clear" w:color="auto" w:fill="auto"/>
            <w:noWrap/>
            <w:vAlign w:val="center"/>
            <w:hideMark/>
          </w:tcPr>
          <w:p w14:paraId="0FCC6DA1" w14:textId="77777777" w:rsidR="003D725B" w:rsidRPr="003D725B" w:rsidRDefault="003D725B" w:rsidP="003D725B">
            <w:pPr>
              <w:spacing w:before="120" w:after="120"/>
              <w:jc w:val="center"/>
              <w:rPr>
                <w:rFonts w:eastAsia="Times New Roman" w:cs="Arial"/>
                <w:color w:val="000000"/>
                <w:sz w:val="18"/>
                <w:szCs w:val="18"/>
                <w:lang w:val="en-AU" w:eastAsia="en-AU"/>
              </w:rPr>
            </w:pPr>
            <w:r w:rsidRPr="003D725B">
              <w:rPr>
                <w:rFonts w:eastAsia="Times New Roman" w:cs="Arial"/>
                <w:color w:val="000000"/>
                <w:sz w:val="18"/>
                <w:szCs w:val="18"/>
                <w:lang w:val="en-AU" w:eastAsia="en-AU"/>
              </w:rPr>
              <w:t>A4 Haemostatic</w:t>
            </w:r>
          </w:p>
        </w:tc>
        <w:tc>
          <w:tcPr>
            <w:tcW w:w="757" w:type="dxa"/>
            <w:tcBorders>
              <w:right w:val="nil"/>
            </w:tcBorders>
            <w:shd w:val="clear" w:color="auto" w:fill="auto"/>
            <w:noWrap/>
            <w:vAlign w:val="center"/>
            <w:hideMark/>
          </w:tcPr>
          <w:p w14:paraId="30966519"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A41A1</w:t>
            </w:r>
          </w:p>
        </w:tc>
        <w:tc>
          <w:tcPr>
            <w:tcW w:w="3474" w:type="dxa"/>
            <w:tcBorders>
              <w:left w:val="nil"/>
            </w:tcBorders>
            <w:shd w:val="clear" w:color="auto" w:fill="auto"/>
            <w:noWrap/>
            <w:vAlign w:val="center"/>
            <w:hideMark/>
          </w:tcPr>
          <w:p w14:paraId="14B13EFC" w14:textId="77777777" w:rsidR="003D725B" w:rsidRPr="003D725B" w:rsidRDefault="003D725B" w:rsidP="003D725B">
            <w:pPr>
              <w:spacing w:before="120" w:after="120"/>
              <w:rPr>
                <w:rFonts w:eastAsia="Times New Roman" w:cs="Arial"/>
                <w:color w:val="000000"/>
                <w:sz w:val="18"/>
                <w:szCs w:val="18"/>
                <w:lang w:val="en-AU" w:eastAsia="en-AU"/>
              </w:rPr>
            </w:pPr>
            <w:proofErr w:type="spellStart"/>
            <w:r w:rsidRPr="003D725B">
              <w:rPr>
                <w:rFonts w:eastAsia="Times New Roman" w:cs="Arial"/>
                <w:color w:val="000000"/>
                <w:sz w:val="18"/>
                <w:szCs w:val="18"/>
                <w:lang w:val="en-AU" w:eastAsia="en-AU"/>
              </w:rPr>
              <w:t>Occluder</w:t>
            </w:r>
            <w:proofErr w:type="spellEnd"/>
            <w:r w:rsidRPr="003D725B">
              <w:rPr>
                <w:rFonts w:eastAsia="Times New Roman" w:cs="Arial"/>
                <w:color w:val="000000"/>
                <w:sz w:val="18"/>
                <w:szCs w:val="18"/>
                <w:lang w:val="en-AU" w:eastAsia="en-AU"/>
              </w:rPr>
              <w:t xml:space="preserve"> Pins</w:t>
            </w:r>
          </w:p>
        </w:tc>
        <w:tc>
          <w:tcPr>
            <w:tcW w:w="1701" w:type="dxa"/>
            <w:shd w:val="clear" w:color="auto" w:fill="auto"/>
            <w:noWrap/>
            <w:vAlign w:val="center"/>
            <w:hideMark/>
          </w:tcPr>
          <w:p w14:paraId="6ECA0749"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$286.00</w:t>
            </w:r>
          </w:p>
        </w:tc>
      </w:tr>
      <w:tr w:rsidR="003D725B" w:rsidRPr="003D725B" w14:paraId="3BFB4A5D" w14:textId="77777777" w:rsidTr="003D725B">
        <w:trPr>
          <w:cantSplit/>
          <w:trHeight w:val="240"/>
        </w:trPr>
        <w:tc>
          <w:tcPr>
            <w:tcW w:w="1860" w:type="dxa"/>
            <w:vMerge/>
            <w:vAlign w:val="center"/>
            <w:hideMark/>
          </w:tcPr>
          <w:p w14:paraId="5B624FAE" w14:textId="77777777" w:rsidR="003D725B" w:rsidRPr="003D725B" w:rsidRDefault="003D725B" w:rsidP="003D725B">
            <w:pPr>
              <w:spacing w:before="120" w:after="120"/>
              <w:jc w:val="center"/>
              <w:rPr>
                <w:rFonts w:eastAsia="Times New Roman" w:cs="Arial"/>
                <w:color w:val="000000"/>
                <w:sz w:val="18"/>
                <w:szCs w:val="18"/>
                <w:lang w:val="en-AU" w:eastAsia="en-AU"/>
              </w:rPr>
            </w:pPr>
          </w:p>
        </w:tc>
        <w:tc>
          <w:tcPr>
            <w:tcW w:w="757" w:type="dxa"/>
            <w:tcBorders>
              <w:right w:val="nil"/>
            </w:tcBorders>
            <w:shd w:val="clear" w:color="auto" w:fill="auto"/>
            <w:noWrap/>
            <w:vAlign w:val="center"/>
            <w:hideMark/>
          </w:tcPr>
          <w:p w14:paraId="6597A85D"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A42A1</w:t>
            </w:r>
          </w:p>
        </w:tc>
        <w:tc>
          <w:tcPr>
            <w:tcW w:w="3474" w:type="dxa"/>
            <w:tcBorders>
              <w:left w:val="nil"/>
            </w:tcBorders>
            <w:shd w:val="clear" w:color="auto" w:fill="auto"/>
            <w:noWrap/>
            <w:vAlign w:val="center"/>
            <w:hideMark/>
          </w:tcPr>
          <w:p w14:paraId="0622F60B"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Powder</w:t>
            </w:r>
          </w:p>
        </w:tc>
        <w:tc>
          <w:tcPr>
            <w:tcW w:w="1701" w:type="dxa"/>
            <w:shd w:val="clear" w:color="auto" w:fill="auto"/>
            <w:noWrap/>
            <w:vAlign w:val="center"/>
            <w:hideMark/>
          </w:tcPr>
          <w:p w14:paraId="0645B9F3"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$118.44</w:t>
            </w:r>
          </w:p>
        </w:tc>
      </w:tr>
      <w:tr w:rsidR="003D725B" w:rsidRPr="003D725B" w14:paraId="093E082A" w14:textId="77777777" w:rsidTr="003D725B">
        <w:trPr>
          <w:cantSplit/>
          <w:trHeight w:val="240"/>
        </w:trPr>
        <w:tc>
          <w:tcPr>
            <w:tcW w:w="1860" w:type="dxa"/>
            <w:vMerge/>
            <w:vAlign w:val="center"/>
            <w:hideMark/>
          </w:tcPr>
          <w:p w14:paraId="32609645" w14:textId="77777777" w:rsidR="003D725B" w:rsidRPr="003D725B" w:rsidRDefault="003D725B" w:rsidP="003D725B">
            <w:pPr>
              <w:spacing w:before="120" w:after="120"/>
              <w:jc w:val="center"/>
              <w:rPr>
                <w:rFonts w:eastAsia="Times New Roman" w:cs="Arial"/>
                <w:color w:val="000000"/>
                <w:sz w:val="18"/>
                <w:szCs w:val="18"/>
                <w:lang w:val="en-AU" w:eastAsia="en-AU"/>
              </w:rPr>
            </w:pPr>
          </w:p>
        </w:tc>
        <w:tc>
          <w:tcPr>
            <w:tcW w:w="757" w:type="dxa"/>
            <w:tcBorders>
              <w:right w:val="nil"/>
            </w:tcBorders>
            <w:shd w:val="clear" w:color="auto" w:fill="auto"/>
            <w:noWrap/>
            <w:vAlign w:val="center"/>
            <w:hideMark/>
          </w:tcPr>
          <w:p w14:paraId="3E71AFA8"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A43A1</w:t>
            </w:r>
          </w:p>
        </w:tc>
        <w:tc>
          <w:tcPr>
            <w:tcW w:w="3474" w:type="dxa"/>
            <w:tcBorders>
              <w:left w:val="nil"/>
            </w:tcBorders>
            <w:shd w:val="clear" w:color="auto" w:fill="auto"/>
            <w:noWrap/>
            <w:vAlign w:val="center"/>
            <w:hideMark/>
          </w:tcPr>
          <w:p w14:paraId="2A6C8AA9"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Sponges</w:t>
            </w:r>
          </w:p>
        </w:tc>
        <w:tc>
          <w:tcPr>
            <w:tcW w:w="1701" w:type="dxa"/>
            <w:shd w:val="clear" w:color="auto" w:fill="auto"/>
            <w:noWrap/>
            <w:vAlign w:val="center"/>
            <w:hideMark/>
          </w:tcPr>
          <w:p w14:paraId="21104BF0"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$13.04</w:t>
            </w:r>
          </w:p>
        </w:tc>
      </w:tr>
      <w:tr w:rsidR="003D725B" w:rsidRPr="003D725B" w14:paraId="79667E4E" w14:textId="77777777" w:rsidTr="003D725B">
        <w:trPr>
          <w:cantSplit/>
          <w:trHeight w:val="240"/>
        </w:trPr>
        <w:tc>
          <w:tcPr>
            <w:tcW w:w="1860" w:type="dxa"/>
            <w:vMerge/>
            <w:vAlign w:val="center"/>
            <w:hideMark/>
          </w:tcPr>
          <w:p w14:paraId="2BCBDBCC" w14:textId="77777777" w:rsidR="003D725B" w:rsidRPr="003D725B" w:rsidRDefault="003D725B" w:rsidP="003D725B">
            <w:pPr>
              <w:spacing w:before="120" w:after="120"/>
              <w:jc w:val="center"/>
              <w:rPr>
                <w:rFonts w:eastAsia="Times New Roman" w:cs="Arial"/>
                <w:color w:val="000000"/>
                <w:sz w:val="18"/>
                <w:szCs w:val="18"/>
                <w:lang w:val="en-AU" w:eastAsia="en-AU"/>
              </w:rPr>
            </w:pPr>
          </w:p>
        </w:tc>
        <w:tc>
          <w:tcPr>
            <w:tcW w:w="757" w:type="dxa"/>
            <w:tcBorders>
              <w:right w:val="nil"/>
            </w:tcBorders>
            <w:shd w:val="clear" w:color="auto" w:fill="auto"/>
            <w:noWrap/>
            <w:vAlign w:val="center"/>
            <w:hideMark/>
          </w:tcPr>
          <w:p w14:paraId="46BBDEDA"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A44A1</w:t>
            </w:r>
          </w:p>
        </w:tc>
        <w:tc>
          <w:tcPr>
            <w:tcW w:w="3474" w:type="dxa"/>
            <w:tcBorders>
              <w:left w:val="nil"/>
            </w:tcBorders>
            <w:shd w:val="clear" w:color="auto" w:fill="auto"/>
            <w:noWrap/>
            <w:vAlign w:val="center"/>
            <w:hideMark/>
          </w:tcPr>
          <w:p w14:paraId="30611E73"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Pliable Patches</w:t>
            </w:r>
          </w:p>
        </w:tc>
        <w:tc>
          <w:tcPr>
            <w:tcW w:w="1701" w:type="dxa"/>
            <w:shd w:val="clear" w:color="auto" w:fill="auto"/>
            <w:noWrap/>
            <w:vAlign w:val="center"/>
            <w:hideMark/>
          </w:tcPr>
          <w:p w14:paraId="18D9DFAC"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$61.99</w:t>
            </w:r>
          </w:p>
        </w:tc>
      </w:tr>
      <w:tr w:rsidR="003D725B" w:rsidRPr="003D725B" w14:paraId="6FAD6AF3" w14:textId="77777777" w:rsidTr="003D725B">
        <w:trPr>
          <w:cantSplit/>
          <w:trHeight w:val="240"/>
        </w:trPr>
        <w:tc>
          <w:tcPr>
            <w:tcW w:w="1860" w:type="dxa"/>
            <w:vMerge/>
            <w:vAlign w:val="center"/>
            <w:hideMark/>
          </w:tcPr>
          <w:p w14:paraId="6C0878B5" w14:textId="77777777" w:rsidR="003D725B" w:rsidRPr="003D725B" w:rsidRDefault="003D725B" w:rsidP="003D725B">
            <w:pPr>
              <w:spacing w:before="120" w:after="120"/>
              <w:jc w:val="center"/>
              <w:rPr>
                <w:rFonts w:eastAsia="Times New Roman" w:cs="Arial"/>
                <w:color w:val="000000"/>
                <w:sz w:val="18"/>
                <w:szCs w:val="18"/>
                <w:lang w:val="en-AU" w:eastAsia="en-AU"/>
              </w:rPr>
            </w:pPr>
          </w:p>
        </w:tc>
        <w:tc>
          <w:tcPr>
            <w:tcW w:w="757" w:type="dxa"/>
            <w:tcBorders>
              <w:right w:val="nil"/>
            </w:tcBorders>
            <w:shd w:val="clear" w:color="auto" w:fill="auto"/>
            <w:noWrap/>
            <w:vAlign w:val="center"/>
            <w:hideMark/>
          </w:tcPr>
          <w:p w14:paraId="1C0BBA0F"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A45A1</w:t>
            </w:r>
          </w:p>
        </w:tc>
        <w:tc>
          <w:tcPr>
            <w:tcW w:w="3474" w:type="dxa"/>
            <w:tcBorders>
              <w:left w:val="nil"/>
            </w:tcBorders>
            <w:shd w:val="clear" w:color="auto" w:fill="auto"/>
            <w:noWrap/>
            <w:vAlign w:val="center"/>
            <w:hideMark/>
          </w:tcPr>
          <w:p w14:paraId="08ED8022"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Matrix</w:t>
            </w:r>
          </w:p>
        </w:tc>
        <w:tc>
          <w:tcPr>
            <w:tcW w:w="1701" w:type="dxa"/>
            <w:shd w:val="clear" w:color="auto" w:fill="auto"/>
            <w:noWrap/>
            <w:vAlign w:val="center"/>
            <w:hideMark/>
          </w:tcPr>
          <w:p w14:paraId="1A59520D"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$698.62</w:t>
            </w:r>
          </w:p>
        </w:tc>
      </w:tr>
      <w:tr w:rsidR="003D725B" w:rsidRPr="003D725B" w14:paraId="774C66CE" w14:textId="77777777" w:rsidTr="003D725B">
        <w:trPr>
          <w:cantSplit/>
          <w:trHeight w:val="240"/>
        </w:trPr>
        <w:tc>
          <w:tcPr>
            <w:tcW w:w="1860" w:type="dxa"/>
            <w:vMerge/>
            <w:vAlign w:val="center"/>
            <w:hideMark/>
          </w:tcPr>
          <w:p w14:paraId="6AECEF40" w14:textId="77777777" w:rsidR="003D725B" w:rsidRPr="003D725B" w:rsidRDefault="003D725B" w:rsidP="003D725B">
            <w:pPr>
              <w:spacing w:before="120" w:after="120"/>
              <w:jc w:val="center"/>
              <w:rPr>
                <w:rFonts w:eastAsia="Times New Roman" w:cs="Arial"/>
                <w:color w:val="000000"/>
                <w:sz w:val="18"/>
                <w:szCs w:val="18"/>
                <w:lang w:val="en-AU" w:eastAsia="en-AU"/>
              </w:rPr>
            </w:pPr>
          </w:p>
        </w:tc>
        <w:tc>
          <w:tcPr>
            <w:tcW w:w="757" w:type="dxa"/>
            <w:tcBorders>
              <w:right w:val="nil"/>
            </w:tcBorders>
            <w:shd w:val="clear" w:color="auto" w:fill="auto"/>
            <w:noWrap/>
            <w:vAlign w:val="center"/>
            <w:hideMark/>
          </w:tcPr>
          <w:p w14:paraId="1EA35793"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A46A1</w:t>
            </w:r>
          </w:p>
        </w:tc>
        <w:tc>
          <w:tcPr>
            <w:tcW w:w="3474" w:type="dxa"/>
            <w:tcBorders>
              <w:left w:val="nil"/>
            </w:tcBorders>
            <w:shd w:val="clear" w:color="auto" w:fill="auto"/>
            <w:noWrap/>
            <w:vAlign w:val="center"/>
            <w:hideMark/>
          </w:tcPr>
          <w:p w14:paraId="7B635679"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Foam</w:t>
            </w:r>
          </w:p>
        </w:tc>
        <w:tc>
          <w:tcPr>
            <w:tcW w:w="1701" w:type="dxa"/>
            <w:shd w:val="clear" w:color="auto" w:fill="auto"/>
            <w:noWrap/>
            <w:vAlign w:val="center"/>
            <w:hideMark/>
          </w:tcPr>
          <w:p w14:paraId="2CF96961"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$146.91</w:t>
            </w:r>
          </w:p>
        </w:tc>
      </w:tr>
      <w:tr w:rsidR="003D725B" w:rsidRPr="003D725B" w14:paraId="09F93578" w14:textId="77777777" w:rsidTr="003D725B">
        <w:trPr>
          <w:cantSplit/>
          <w:trHeight w:val="240"/>
        </w:trPr>
        <w:tc>
          <w:tcPr>
            <w:tcW w:w="1860" w:type="dxa"/>
            <w:vMerge/>
            <w:vAlign w:val="center"/>
            <w:hideMark/>
          </w:tcPr>
          <w:p w14:paraId="4910F25C" w14:textId="77777777" w:rsidR="003D725B" w:rsidRPr="003D725B" w:rsidRDefault="003D725B" w:rsidP="003D725B">
            <w:pPr>
              <w:spacing w:before="120" w:after="120"/>
              <w:jc w:val="center"/>
              <w:rPr>
                <w:rFonts w:eastAsia="Times New Roman" w:cs="Arial"/>
                <w:color w:val="000000"/>
                <w:sz w:val="18"/>
                <w:szCs w:val="18"/>
                <w:lang w:val="en-AU" w:eastAsia="en-AU"/>
              </w:rPr>
            </w:pPr>
          </w:p>
        </w:tc>
        <w:tc>
          <w:tcPr>
            <w:tcW w:w="757" w:type="dxa"/>
            <w:tcBorders>
              <w:right w:val="nil"/>
            </w:tcBorders>
            <w:shd w:val="clear" w:color="auto" w:fill="auto"/>
            <w:noWrap/>
            <w:vAlign w:val="center"/>
            <w:hideMark/>
          </w:tcPr>
          <w:p w14:paraId="2A2E8146"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A49A1</w:t>
            </w:r>
          </w:p>
        </w:tc>
        <w:tc>
          <w:tcPr>
            <w:tcW w:w="3474" w:type="dxa"/>
            <w:tcBorders>
              <w:left w:val="nil"/>
            </w:tcBorders>
            <w:shd w:val="clear" w:color="auto" w:fill="auto"/>
            <w:noWrap/>
            <w:vAlign w:val="center"/>
            <w:hideMark/>
          </w:tcPr>
          <w:p w14:paraId="552229B4"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Haemostatic Accessories</w:t>
            </w:r>
          </w:p>
        </w:tc>
        <w:tc>
          <w:tcPr>
            <w:tcW w:w="1701" w:type="dxa"/>
            <w:shd w:val="clear" w:color="auto" w:fill="auto"/>
            <w:noWrap/>
            <w:vAlign w:val="center"/>
            <w:hideMark/>
          </w:tcPr>
          <w:p w14:paraId="1AA6BEFA"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$29.05</w:t>
            </w:r>
          </w:p>
        </w:tc>
      </w:tr>
      <w:tr w:rsidR="003D725B" w:rsidRPr="003D725B" w14:paraId="3BBD83E9" w14:textId="77777777" w:rsidTr="003D725B">
        <w:trPr>
          <w:cantSplit/>
          <w:trHeight w:val="240"/>
        </w:trPr>
        <w:tc>
          <w:tcPr>
            <w:tcW w:w="1860" w:type="dxa"/>
            <w:vMerge w:val="restart"/>
            <w:shd w:val="clear" w:color="auto" w:fill="auto"/>
            <w:noWrap/>
            <w:vAlign w:val="center"/>
            <w:hideMark/>
          </w:tcPr>
          <w:p w14:paraId="3884FC5C" w14:textId="77777777" w:rsidR="003D725B" w:rsidRPr="003D725B" w:rsidRDefault="003D725B" w:rsidP="003D725B">
            <w:pPr>
              <w:spacing w:before="120" w:after="120"/>
              <w:jc w:val="center"/>
              <w:rPr>
                <w:rFonts w:eastAsia="Times New Roman" w:cs="Arial"/>
                <w:color w:val="000000"/>
                <w:sz w:val="18"/>
                <w:szCs w:val="18"/>
                <w:lang w:val="en-AU" w:eastAsia="en-AU"/>
              </w:rPr>
            </w:pPr>
            <w:r w:rsidRPr="003D725B">
              <w:rPr>
                <w:rFonts w:eastAsia="Times New Roman" w:cs="Arial"/>
                <w:color w:val="000000"/>
                <w:sz w:val="18"/>
                <w:szCs w:val="18"/>
                <w:lang w:val="en-AU" w:eastAsia="en-AU"/>
              </w:rPr>
              <w:t>A5 Closure</w:t>
            </w:r>
          </w:p>
        </w:tc>
        <w:tc>
          <w:tcPr>
            <w:tcW w:w="757" w:type="dxa"/>
            <w:tcBorders>
              <w:right w:val="nil"/>
            </w:tcBorders>
            <w:shd w:val="clear" w:color="auto" w:fill="auto"/>
            <w:noWrap/>
            <w:vAlign w:val="center"/>
            <w:hideMark/>
          </w:tcPr>
          <w:p w14:paraId="60D21F00"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A51A1</w:t>
            </w:r>
          </w:p>
        </w:tc>
        <w:tc>
          <w:tcPr>
            <w:tcW w:w="3474" w:type="dxa"/>
            <w:tcBorders>
              <w:left w:val="nil"/>
            </w:tcBorders>
            <w:shd w:val="clear" w:color="auto" w:fill="auto"/>
            <w:noWrap/>
            <w:vAlign w:val="center"/>
            <w:hideMark/>
          </w:tcPr>
          <w:p w14:paraId="77FC2B13"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Adhesion Barriers</w:t>
            </w:r>
          </w:p>
        </w:tc>
        <w:tc>
          <w:tcPr>
            <w:tcW w:w="1701" w:type="dxa"/>
            <w:shd w:val="clear" w:color="auto" w:fill="auto"/>
            <w:noWrap/>
            <w:vAlign w:val="center"/>
            <w:hideMark/>
          </w:tcPr>
          <w:p w14:paraId="200D5D35"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$462.10</w:t>
            </w:r>
          </w:p>
        </w:tc>
      </w:tr>
      <w:tr w:rsidR="003D725B" w:rsidRPr="003D725B" w14:paraId="7CEDA552" w14:textId="77777777" w:rsidTr="003D725B">
        <w:trPr>
          <w:cantSplit/>
          <w:trHeight w:val="240"/>
        </w:trPr>
        <w:tc>
          <w:tcPr>
            <w:tcW w:w="1860" w:type="dxa"/>
            <w:vMerge/>
            <w:vAlign w:val="center"/>
            <w:hideMark/>
          </w:tcPr>
          <w:p w14:paraId="707A4A53" w14:textId="77777777" w:rsidR="003D725B" w:rsidRPr="003D725B" w:rsidRDefault="003D725B" w:rsidP="003D725B">
            <w:pPr>
              <w:spacing w:before="120" w:after="120"/>
              <w:jc w:val="center"/>
              <w:rPr>
                <w:rFonts w:eastAsia="Times New Roman" w:cs="Arial"/>
                <w:color w:val="000000"/>
                <w:sz w:val="18"/>
                <w:szCs w:val="18"/>
                <w:lang w:val="en-AU" w:eastAsia="en-AU"/>
              </w:rPr>
            </w:pPr>
          </w:p>
        </w:tc>
        <w:tc>
          <w:tcPr>
            <w:tcW w:w="757" w:type="dxa"/>
            <w:tcBorders>
              <w:right w:val="nil"/>
            </w:tcBorders>
            <w:shd w:val="clear" w:color="auto" w:fill="auto"/>
            <w:noWrap/>
            <w:vAlign w:val="center"/>
            <w:hideMark/>
          </w:tcPr>
          <w:p w14:paraId="1E823356"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A52A1</w:t>
            </w:r>
          </w:p>
        </w:tc>
        <w:tc>
          <w:tcPr>
            <w:tcW w:w="3474" w:type="dxa"/>
            <w:tcBorders>
              <w:left w:val="nil"/>
            </w:tcBorders>
            <w:shd w:val="clear" w:color="auto" w:fill="auto"/>
            <w:noWrap/>
            <w:vAlign w:val="center"/>
            <w:hideMark/>
          </w:tcPr>
          <w:p w14:paraId="03F8345A"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Internal Adhesives</w:t>
            </w:r>
          </w:p>
        </w:tc>
        <w:tc>
          <w:tcPr>
            <w:tcW w:w="1701" w:type="dxa"/>
            <w:shd w:val="clear" w:color="auto" w:fill="auto"/>
            <w:noWrap/>
            <w:vAlign w:val="center"/>
            <w:hideMark/>
          </w:tcPr>
          <w:p w14:paraId="63FD0675"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$280.39</w:t>
            </w:r>
          </w:p>
        </w:tc>
      </w:tr>
      <w:tr w:rsidR="003D725B" w:rsidRPr="003D725B" w14:paraId="258D04AF" w14:textId="77777777" w:rsidTr="003D725B">
        <w:trPr>
          <w:cantSplit/>
          <w:trHeight w:val="240"/>
        </w:trPr>
        <w:tc>
          <w:tcPr>
            <w:tcW w:w="1860" w:type="dxa"/>
            <w:vMerge/>
            <w:vAlign w:val="center"/>
            <w:hideMark/>
          </w:tcPr>
          <w:p w14:paraId="43EC2D6E" w14:textId="77777777" w:rsidR="003D725B" w:rsidRPr="003D725B" w:rsidRDefault="003D725B" w:rsidP="003D725B">
            <w:pPr>
              <w:spacing w:before="120" w:after="120"/>
              <w:jc w:val="center"/>
              <w:rPr>
                <w:rFonts w:eastAsia="Times New Roman" w:cs="Arial"/>
                <w:color w:val="000000"/>
                <w:sz w:val="18"/>
                <w:szCs w:val="18"/>
                <w:lang w:val="en-AU" w:eastAsia="en-AU"/>
              </w:rPr>
            </w:pPr>
          </w:p>
        </w:tc>
        <w:tc>
          <w:tcPr>
            <w:tcW w:w="757" w:type="dxa"/>
            <w:tcBorders>
              <w:right w:val="nil"/>
            </w:tcBorders>
            <w:shd w:val="clear" w:color="auto" w:fill="auto"/>
            <w:noWrap/>
            <w:vAlign w:val="center"/>
            <w:hideMark/>
          </w:tcPr>
          <w:p w14:paraId="5697AB81"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A53A1</w:t>
            </w:r>
          </w:p>
        </w:tc>
        <w:tc>
          <w:tcPr>
            <w:tcW w:w="3474" w:type="dxa"/>
            <w:tcBorders>
              <w:left w:val="nil"/>
            </w:tcBorders>
            <w:shd w:val="clear" w:color="auto" w:fill="auto"/>
            <w:noWrap/>
            <w:vAlign w:val="center"/>
            <w:hideMark/>
          </w:tcPr>
          <w:p w14:paraId="139B45D6"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Ligating Items</w:t>
            </w:r>
          </w:p>
        </w:tc>
        <w:tc>
          <w:tcPr>
            <w:tcW w:w="1701" w:type="dxa"/>
            <w:shd w:val="clear" w:color="auto" w:fill="auto"/>
            <w:noWrap/>
            <w:vAlign w:val="center"/>
            <w:hideMark/>
          </w:tcPr>
          <w:p w14:paraId="46D2F1A4"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$155.59</w:t>
            </w:r>
          </w:p>
        </w:tc>
      </w:tr>
      <w:tr w:rsidR="003D725B" w:rsidRPr="003D725B" w14:paraId="473A2C3F" w14:textId="77777777" w:rsidTr="003D725B">
        <w:trPr>
          <w:cantSplit/>
          <w:trHeight w:val="240"/>
        </w:trPr>
        <w:tc>
          <w:tcPr>
            <w:tcW w:w="1860" w:type="dxa"/>
            <w:vMerge/>
            <w:vAlign w:val="center"/>
            <w:hideMark/>
          </w:tcPr>
          <w:p w14:paraId="2DF97AD4" w14:textId="77777777" w:rsidR="003D725B" w:rsidRPr="003D725B" w:rsidRDefault="003D725B" w:rsidP="003D725B">
            <w:pPr>
              <w:spacing w:before="120" w:after="120"/>
              <w:jc w:val="center"/>
              <w:rPr>
                <w:rFonts w:eastAsia="Times New Roman" w:cs="Arial"/>
                <w:color w:val="000000"/>
                <w:sz w:val="18"/>
                <w:szCs w:val="18"/>
                <w:lang w:val="en-AU" w:eastAsia="en-AU"/>
              </w:rPr>
            </w:pPr>
          </w:p>
        </w:tc>
        <w:tc>
          <w:tcPr>
            <w:tcW w:w="757" w:type="dxa"/>
            <w:tcBorders>
              <w:right w:val="nil"/>
            </w:tcBorders>
            <w:shd w:val="clear" w:color="auto" w:fill="auto"/>
            <w:noWrap/>
            <w:vAlign w:val="center"/>
            <w:hideMark/>
          </w:tcPr>
          <w:p w14:paraId="56E9D4E8"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A54A1</w:t>
            </w:r>
          </w:p>
        </w:tc>
        <w:tc>
          <w:tcPr>
            <w:tcW w:w="3474" w:type="dxa"/>
            <w:tcBorders>
              <w:left w:val="nil"/>
            </w:tcBorders>
            <w:shd w:val="clear" w:color="auto" w:fill="auto"/>
            <w:noWrap/>
            <w:vAlign w:val="center"/>
            <w:hideMark/>
          </w:tcPr>
          <w:p w14:paraId="6399A378"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Staples and Tackers</w:t>
            </w:r>
          </w:p>
        </w:tc>
        <w:tc>
          <w:tcPr>
            <w:tcW w:w="1701" w:type="dxa"/>
            <w:shd w:val="clear" w:color="auto" w:fill="auto"/>
            <w:noWrap/>
            <w:vAlign w:val="center"/>
            <w:hideMark/>
          </w:tcPr>
          <w:p w14:paraId="18210E9C"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$1,597.61</w:t>
            </w:r>
          </w:p>
        </w:tc>
      </w:tr>
      <w:tr w:rsidR="003D725B" w:rsidRPr="003D725B" w14:paraId="3C2C3391" w14:textId="77777777" w:rsidTr="003D725B">
        <w:trPr>
          <w:cantSplit/>
          <w:trHeight w:val="240"/>
        </w:trPr>
        <w:tc>
          <w:tcPr>
            <w:tcW w:w="1860" w:type="dxa"/>
            <w:vMerge/>
            <w:vAlign w:val="center"/>
            <w:hideMark/>
          </w:tcPr>
          <w:p w14:paraId="1DC041DC" w14:textId="77777777" w:rsidR="003D725B" w:rsidRPr="003D725B" w:rsidRDefault="003D725B" w:rsidP="003D725B">
            <w:pPr>
              <w:spacing w:before="120" w:after="120"/>
              <w:jc w:val="center"/>
              <w:rPr>
                <w:rFonts w:eastAsia="Times New Roman" w:cs="Arial"/>
                <w:color w:val="000000"/>
                <w:sz w:val="18"/>
                <w:szCs w:val="18"/>
                <w:lang w:val="en-AU" w:eastAsia="en-AU"/>
              </w:rPr>
            </w:pPr>
          </w:p>
        </w:tc>
        <w:tc>
          <w:tcPr>
            <w:tcW w:w="757" w:type="dxa"/>
            <w:tcBorders>
              <w:right w:val="nil"/>
            </w:tcBorders>
            <w:shd w:val="clear" w:color="auto" w:fill="auto"/>
            <w:noWrap/>
            <w:vAlign w:val="center"/>
            <w:hideMark/>
          </w:tcPr>
          <w:p w14:paraId="73AB47A5"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A55A1</w:t>
            </w:r>
          </w:p>
        </w:tc>
        <w:tc>
          <w:tcPr>
            <w:tcW w:w="3474" w:type="dxa"/>
            <w:tcBorders>
              <w:left w:val="nil"/>
            </w:tcBorders>
            <w:shd w:val="clear" w:color="auto" w:fill="auto"/>
            <w:noWrap/>
            <w:vAlign w:val="center"/>
            <w:hideMark/>
          </w:tcPr>
          <w:p w14:paraId="0CE88406"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Dura Repair, Liquid Sealants</w:t>
            </w:r>
          </w:p>
        </w:tc>
        <w:tc>
          <w:tcPr>
            <w:tcW w:w="1701" w:type="dxa"/>
            <w:shd w:val="clear" w:color="auto" w:fill="auto"/>
            <w:noWrap/>
            <w:vAlign w:val="center"/>
            <w:hideMark/>
          </w:tcPr>
          <w:p w14:paraId="4F1D900D"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$682.18</w:t>
            </w:r>
          </w:p>
        </w:tc>
      </w:tr>
      <w:tr w:rsidR="003D725B" w:rsidRPr="003D725B" w14:paraId="43AE6298" w14:textId="77777777" w:rsidTr="003D725B">
        <w:trPr>
          <w:cantSplit/>
          <w:trHeight w:val="240"/>
        </w:trPr>
        <w:tc>
          <w:tcPr>
            <w:tcW w:w="1860" w:type="dxa"/>
            <w:vMerge/>
            <w:vAlign w:val="center"/>
            <w:hideMark/>
          </w:tcPr>
          <w:p w14:paraId="06C30A49" w14:textId="77777777" w:rsidR="003D725B" w:rsidRPr="003D725B" w:rsidRDefault="003D725B" w:rsidP="003D725B">
            <w:pPr>
              <w:spacing w:before="120" w:after="120"/>
              <w:jc w:val="center"/>
              <w:rPr>
                <w:rFonts w:eastAsia="Times New Roman" w:cs="Arial"/>
                <w:color w:val="000000"/>
                <w:sz w:val="18"/>
                <w:szCs w:val="18"/>
                <w:lang w:val="en-AU" w:eastAsia="en-AU"/>
              </w:rPr>
            </w:pPr>
          </w:p>
        </w:tc>
        <w:tc>
          <w:tcPr>
            <w:tcW w:w="757" w:type="dxa"/>
            <w:tcBorders>
              <w:right w:val="nil"/>
            </w:tcBorders>
            <w:shd w:val="clear" w:color="auto" w:fill="auto"/>
            <w:noWrap/>
            <w:vAlign w:val="center"/>
            <w:hideMark/>
          </w:tcPr>
          <w:p w14:paraId="036E4660"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A56A1</w:t>
            </w:r>
          </w:p>
        </w:tc>
        <w:tc>
          <w:tcPr>
            <w:tcW w:w="3474" w:type="dxa"/>
            <w:tcBorders>
              <w:left w:val="nil"/>
            </w:tcBorders>
            <w:shd w:val="clear" w:color="auto" w:fill="auto"/>
            <w:noWrap/>
            <w:vAlign w:val="center"/>
            <w:hideMark/>
          </w:tcPr>
          <w:p w14:paraId="388E78AA"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Dura Repair, Membrane Sealants</w:t>
            </w:r>
          </w:p>
        </w:tc>
        <w:tc>
          <w:tcPr>
            <w:tcW w:w="1701" w:type="dxa"/>
            <w:shd w:val="clear" w:color="auto" w:fill="auto"/>
            <w:noWrap/>
            <w:vAlign w:val="center"/>
            <w:hideMark/>
          </w:tcPr>
          <w:p w14:paraId="4CB7D68B"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$378.50</w:t>
            </w:r>
          </w:p>
        </w:tc>
      </w:tr>
      <w:tr w:rsidR="003D725B" w:rsidRPr="003D725B" w14:paraId="51EB6EC9" w14:textId="77777777" w:rsidTr="003D725B">
        <w:trPr>
          <w:cantSplit/>
          <w:trHeight w:val="240"/>
        </w:trPr>
        <w:tc>
          <w:tcPr>
            <w:tcW w:w="1860" w:type="dxa"/>
            <w:vMerge/>
            <w:vAlign w:val="center"/>
            <w:hideMark/>
          </w:tcPr>
          <w:p w14:paraId="140941BB" w14:textId="77777777" w:rsidR="003D725B" w:rsidRPr="003D725B" w:rsidRDefault="003D725B" w:rsidP="003D725B">
            <w:pPr>
              <w:spacing w:before="120" w:after="120"/>
              <w:jc w:val="center"/>
              <w:rPr>
                <w:rFonts w:eastAsia="Times New Roman" w:cs="Arial"/>
                <w:color w:val="000000"/>
                <w:sz w:val="18"/>
                <w:szCs w:val="18"/>
                <w:lang w:val="en-AU" w:eastAsia="en-AU"/>
              </w:rPr>
            </w:pPr>
          </w:p>
        </w:tc>
        <w:tc>
          <w:tcPr>
            <w:tcW w:w="757" w:type="dxa"/>
            <w:tcBorders>
              <w:right w:val="nil"/>
            </w:tcBorders>
            <w:shd w:val="clear" w:color="auto" w:fill="auto"/>
            <w:noWrap/>
            <w:vAlign w:val="center"/>
            <w:hideMark/>
          </w:tcPr>
          <w:p w14:paraId="422B549C"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A57A1</w:t>
            </w:r>
          </w:p>
        </w:tc>
        <w:tc>
          <w:tcPr>
            <w:tcW w:w="3474" w:type="dxa"/>
            <w:tcBorders>
              <w:left w:val="nil"/>
            </w:tcBorders>
            <w:shd w:val="clear" w:color="auto" w:fill="auto"/>
            <w:noWrap/>
            <w:vAlign w:val="center"/>
            <w:hideMark/>
          </w:tcPr>
          <w:p w14:paraId="1359CEEC"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Arterial Closure Items</w:t>
            </w:r>
          </w:p>
        </w:tc>
        <w:tc>
          <w:tcPr>
            <w:tcW w:w="1701" w:type="dxa"/>
            <w:shd w:val="clear" w:color="auto" w:fill="auto"/>
            <w:noWrap/>
            <w:vAlign w:val="center"/>
            <w:hideMark/>
          </w:tcPr>
          <w:p w14:paraId="7763FCF0"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$412.09</w:t>
            </w:r>
          </w:p>
        </w:tc>
      </w:tr>
      <w:tr w:rsidR="003D725B" w:rsidRPr="003D725B" w14:paraId="15002951" w14:textId="77777777" w:rsidTr="003D725B">
        <w:trPr>
          <w:cantSplit/>
          <w:trHeight w:val="240"/>
        </w:trPr>
        <w:tc>
          <w:tcPr>
            <w:tcW w:w="1860" w:type="dxa"/>
            <w:vMerge/>
            <w:vAlign w:val="center"/>
            <w:hideMark/>
          </w:tcPr>
          <w:p w14:paraId="5005E890" w14:textId="77777777" w:rsidR="003D725B" w:rsidRPr="003D725B" w:rsidRDefault="003D725B" w:rsidP="003D725B">
            <w:pPr>
              <w:spacing w:before="120" w:after="120"/>
              <w:jc w:val="center"/>
              <w:rPr>
                <w:rFonts w:eastAsia="Times New Roman" w:cs="Arial"/>
                <w:color w:val="000000"/>
                <w:sz w:val="18"/>
                <w:szCs w:val="18"/>
                <w:lang w:val="en-AU" w:eastAsia="en-AU"/>
              </w:rPr>
            </w:pPr>
          </w:p>
        </w:tc>
        <w:tc>
          <w:tcPr>
            <w:tcW w:w="757" w:type="dxa"/>
            <w:tcBorders>
              <w:right w:val="nil"/>
            </w:tcBorders>
            <w:shd w:val="clear" w:color="auto" w:fill="auto"/>
            <w:noWrap/>
            <w:vAlign w:val="center"/>
            <w:hideMark/>
          </w:tcPr>
          <w:p w14:paraId="0DB7CA76"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A59A1</w:t>
            </w:r>
          </w:p>
        </w:tc>
        <w:tc>
          <w:tcPr>
            <w:tcW w:w="3474" w:type="dxa"/>
            <w:tcBorders>
              <w:left w:val="nil"/>
            </w:tcBorders>
            <w:shd w:val="clear" w:color="auto" w:fill="auto"/>
            <w:noWrap/>
            <w:vAlign w:val="center"/>
            <w:hideMark/>
          </w:tcPr>
          <w:p w14:paraId="5EDEC4CA" w14:textId="77777777" w:rsidR="003D725B" w:rsidRPr="003D725B" w:rsidRDefault="003D725B" w:rsidP="003D725B">
            <w:pPr>
              <w:spacing w:before="120" w:after="120"/>
              <w:rPr>
                <w:rFonts w:eastAsia="Times New Roman" w:cs="Arial"/>
                <w:color w:val="000000"/>
                <w:sz w:val="18"/>
                <w:szCs w:val="18"/>
                <w:lang w:val="en-AU" w:eastAsia="en-AU"/>
              </w:rPr>
            </w:pPr>
            <w:r w:rsidRPr="003D725B">
              <w:rPr>
                <w:rFonts w:eastAsia="Times New Roman" w:cs="Arial"/>
                <w:color w:val="000000"/>
                <w:sz w:val="18"/>
                <w:szCs w:val="18"/>
                <w:lang w:val="en-AU" w:eastAsia="en-AU"/>
              </w:rPr>
              <w:t>Closure Accessories</w:t>
            </w:r>
          </w:p>
        </w:tc>
        <w:tc>
          <w:tcPr>
            <w:tcW w:w="1701" w:type="dxa"/>
            <w:shd w:val="clear" w:color="auto" w:fill="auto"/>
            <w:noWrap/>
            <w:vAlign w:val="center"/>
            <w:hideMark/>
          </w:tcPr>
          <w:p w14:paraId="233074DE" w14:textId="77777777" w:rsidR="003D725B" w:rsidRPr="003D725B" w:rsidRDefault="003D725B" w:rsidP="003D725B">
            <w:pPr>
              <w:spacing w:before="120" w:after="120"/>
              <w:jc w:val="right"/>
              <w:rPr>
                <w:rFonts w:eastAsia="Times New Roman" w:cs="Arial"/>
                <w:color w:val="000000"/>
                <w:sz w:val="18"/>
                <w:szCs w:val="18"/>
                <w:lang w:val="en-AU" w:eastAsia="en-AU"/>
              </w:rPr>
            </w:pPr>
            <w:r w:rsidRPr="003D725B">
              <w:rPr>
                <w:rFonts w:eastAsia="Times New Roman" w:cs="Arial"/>
                <w:color w:val="000000"/>
                <w:sz w:val="18"/>
                <w:szCs w:val="18"/>
                <w:lang w:val="en-AU" w:eastAsia="en-AU"/>
              </w:rPr>
              <w:t>$68.49</w:t>
            </w:r>
          </w:p>
        </w:tc>
      </w:tr>
    </w:tbl>
    <w:p w14:paraId="381669F2" w14:textId="6E237A4D" w:rsidR="008A5E4F" w:rsidRDefault="008A5E4F" w:rsidP="008A5E4F"/>
    <w:p w14:paraId="6217DEDF" w14:textId="77777777" w:rsidR="003D725B" w:rsidRDefault="003D725B" w:rsidP="008A5E4F"/>
    <w:p w14:paraId="2B6AD02E" w14:textId="77777777" w:rsidR="003D725B" w:rsidRDefault="003D725B">
      <w:pPr>
        <w:spacing w:line="259" w:lineRule="auto"/>
      </w:pPr>
      <w:r>
        <w:br w:type="page"/>
      </w:r>
    </w:p>
    <w:p w14:paraId="33C88823" w14:textId="3BC12D6F" w:rsidR="008A5E4F" w:rsidRDefault="008A5E4F" w:rsidP="000C535A">
      <w:pPr>
        <w:pStyle w:val="TableFigureheading"/>
      </w:pPr>
      <w:r>
        <w:t>Table A3: General Use Item Bundles – Facility Type Variants</w:t>
      </w:r>
    </w:p>
    <w:tbl>
      <w:tblPr>
        <w:tblW w:w="9728" w:type="dxa"/>
        <w:tbl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insideH w:val="single" w:sz="4" w:space="0" w:color="808080" w:themeColor="background2" w:themeShade="80"/>
          <w:insideV w:val="single" w:sz="4" w:space="0" w:color="808080" w:themeColor="background2" w:themeShade="80"/>
        </w:tblBorders>
        <w:tblLook w:val="04A0" w:firstRow="1" w:lastRow="0" w:firstColumn="1" w:lastColumn="0" w:noHBand="0" w:noVBand="1"/>
        <w:tblDescription w:val="Table A3 shows the General Use Item Facility Type Variants through a table with three columns: Product Class, Bundle Variant and Bundle Benefit. "/>
      </w:tblPr>
      <w:tblGrid>
        <w:gridCol w:w="2091"/>
        <w:gridCol w:w="895"/>
        <w:gridCol w:w="5274"/>
        <w:gridCol w:w="1468"/>
      </w:tblGrid>
      <w:tr w:rsidR="000C535A" w:rsidRPr="000C535A" w14:paraId="4F2C2734" w14:textId="77777777" w:rsidTr="000C535A">
        <w:trPr>
          <w:cantSplit/>
          <w:trHeight w:val="240"/>
          <w:tblHeader/>
        </w:trPr>
        <w:tc>
          <w:tcPr>
            <w:tcW w:w="2091" w:type="dxa"/>
            <w:tcBorders>
              <w:right w:val="single" w:sz="4" w:space="0" w:color="FFFFFF" w:themeColor="background2"/>
            </w:tcBorders>
            <w:shd w:val="clear" w:color="auto" w:fill="104F99" w:themeFill="accent2"/>
            <w:vAlign w:val="center"/>
            <w:hideMark/>
          </w:tcPr>
          <w:p w14:paraId="3E1A3E37" w14:textId="77777777" w:rsidR="000C535A" w:rsidRPr="000C535A" w:rsidRDefault="000C535A" w:rsidP="000C535A">
            <w:pPr>
              <w:spacing w:before="120" w:after="120"/>
              <w:jc w:val="center"/>
              <w:rPr>
                <w:rFonts w:eastAsia="Times New Roman" w:cs="Arial"/>
                <w:b/>
                <w:bCs/>
                <w:color w:val="FFFFFF" w:themeColor="background2"/>
                <w:sz w:val="18"/>
                <w:szCs w:val="18"/>
                <w:lang w:val="en-AU" w:eastAsia="en-AU"/>
              </w:rPr>
            </w:pPr>
            <w:r w:rsidRPr="000C535A">
              <w:rPr>
                <w:rFonts w:eastAsia="Times New Roman" w:cs="Arial"/>
                <w:b/>
                <w:bCs/>
                <w:color w:val="FFFFFF" w:themeColor="background2"/>
                <w:sz w:val="18"/>
                <w:szCs w:val="18"/>
                <w:lang w:val="en-AU" w:eastAsia="en-AU"/>
              </w:rPr>
              <w:t>Product class</w:t>
            </w:r>
          </w:p>
        </w:tc>
        <w:tc>
          <w:tcPr>
            <w:tcW w:w="6169" w:type="dxa"/>
            <w:gridSpan w:val="2"/>
            <w:tcBorders>
              <w:left w:val="single" w:sz="4" w:space="0" w:color="FFFFFF" w:themeColor="background2"/>
              <w:right w:val="single" w:sz="4" w:space="0" w:color="FFFFFF" w:themeColor="background2"/>
            </w:tcBorders>
            <w:shd w:val="clear" w:color="auto" w:fill="104F99" w:themeFill="accent2"/>
            <w:noWrap/>
            <w:vAlign w:val="center"/>
            <w:hideMark/>
          </w:tcPr>
          <w:p w14:paraId="0FD18FD0" w14:textId="77777777" w:rsidR="000C535A" w:rsidRPr="000C535A" w:rsidRDefault="000C535A" w:rsidP="000C535A">
            <w:pPr>
              <w:spacing w:before="120" w:after="120"/>
              <w:jc w:val="center"/>
              <w:rPr>
                <w:rFonts w:eastAsia="Times New Roman" w:cs="Arial"/>
                <w:b/>
                <w:bCs/>
                <w:color w:val="FFFFFF" w:themeColor="background2"/>
                <w:sz w:val="18"/>
                <w:szCs w:val="18"/>
                <w:lang w:val="en-AU" w:eastAsia="en-AU"/>
              </w:rPr>
            </w:pPr>
            <w:r w:rsidRPr="000C535A">
              <w:rPr>
                <w:rFonts w:eastAsia="Times New Roman" w:cs="Arial"/>
                <w:b/>
                <w:bCs/>
                <w:color w:val="FFFFFF" w:themeColor="background2"/>
                <w:sz w:val="18"/>
                <w:szCs w:val="18"/>
                <w:lang w:val="en-AU" w:eastAsia="en-AU"/>
              </w:rPr>
              <w:t>Bundle Variant</w:t>
            </w:r>
          </w:p>
        </w:tc>
        <w:tc>
          <w:tcPr>
            <w:tcW w:w="1468" w:type="dxa"/>
            <w:tcBorders>
              <w:left w:val="single" w:sz="4" w:space="0" w:color="FFFFFF" w:themeColor="background2"/>
            </w:tcBorders>
            <w:shd w:val="clear" w:color="auto" w:fill="104F99" w:themeFill="accent2"/>
            <w:noWrap/>
            <w:vAlign w:val="center"/>
            <w:hideMark/>
          </w:tcPr>
          <w:p w14:paraId="7586CB24" w14:textId="77777777" w:rsidR="000C535A" w:rsidRPr="000C535A" w:rsidRDefault="000C535A" w:rsidP="000C535A">
            <w:pPr>
              <w:spacing w:before="120" w:after="120"/>
              <w:jc w:val="center"/>
              <w:rPr>
                <w:rFonts w:eastAsia="Times New Roman" w:cs="Arial"/>
                <w:b/>
                <w:bCs/>
                <w:color w:val="FFFFFF" w:themeColor="background2"/>
                <w:sz w:val="18"/>
                <w:szCs w:val="18"/>
                <w:lang w:val="en-AU" w:eastAsia="en-AU"/>
              </w:rPr>
            </w:pPr>
            <w:r w:rsidRPr="000C535A">
              <w:rPr>
                <w:rFonts w:eastAsia="Times New Roman" w:cs="Arial"/>
                <w:b/>
                <w:bCs/>
                <w:color w:val="FFFFFF" w:themeColor="background2"/>
                <w:sz w:val="18"/>
                <w:szCs w:val="18"/>
                <w:lang w:val="en-AU" w:eastAsia="en-AU"/>
              </w:rPr>
              <w:t>Bundle benefit</w:t>
            </w:r>
          </w:p>
        </w:tc>
      </w:tr>
      <w:tr w:rsidR="000C535A" w:rsidRPr="000C535A" w14:paraId="76311F88" w14:textId="77777777" w:rsidTr="000C535A">
        <w:trPr>
          <w:cantSplit/>
          <w:trHeight w:val="240"/>
        </w:trPr>
        <w:tc>
          <w:tcPr>
            <w:tcW w:w="2091" w:type="dxa"/>
            <w:vMerge w:val="restart"/>
            <w:shd w:val="clear" w:color="auto" w:fill="auto"/>
            <w:vAlign w:val="center"/>
            <w:hideMark/>
          </w:tcPr>
          <w:p w14:paraId="3D4137BC"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A11</w:t>
            </w:r>
          </w:p>
          <w:p w14:paraId="6BE8CAEF" w14:textId="53BAB867"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Infusion Pumps, Balloon Based</w:t>
            </w:r>
          </w:p>
        </w:tc>
        <w:tc>
          <w:tcPr>
            <w:tcW w:w="895" w:type="dxa"/>
            <w:tcBorders>
              <w:right w:val="nil"/>
            </w:tcBorders>
            <w:shd w:val="clear" w:color="auto" w:fill="auto"/>
            <w:noWrap/>
            <w:vAlign w:val="center"/>
            <w:hideMark/>
          </w:tcPr>
          <w:p w14:paraId="5CBE12E2"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A11B1</w:t>
            </w:r>
          </w:p>
        </w:tc>
        <w:tc>
          <w:tcPr>
            <w:tcW w:w="5274" w:type="dxa"/>
            <w:tcBorders>
              <w:left w:val="nil"/>
            </w:tcBorders>
            <w:shd w:val="clear" w:color="auto" w:fill="auto"/>
            <w:vAlign w:val="center"/>
            <w:hideMark/>
          </w:tcPr>
          <w:p w14:paraId="02E73CD9"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Infusion Pumps, Balloon Based - Private Overnight Facilities</w:t>
            </w:r>
          </w:p>
        </w:tc>
        <w:tc>
          <w:tcPr>
            <w:tcW w:w="1468" w:type="dxa"/>
            <w:shd w:val="clear" w:color="auto" w:fill="auto"/>
            <w:noWrap/>
            <w:vAlign w:val="center"/>
            <w:hideMark/>
          </w:tcPr>
          <w:p w14:paraId="7C161503"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$147.78</w:t>
            </w:r>
          </w:p>
        </w:tc>
      </w:tr>
      <w:tr w:rsidR="000C535A" w:rsidRPr="000C535A" w14:paraId="0BC69CE4" w14:textId="77777777" w:rsidTr="000C535A">
        <w:trPr>
          <w:cantSplit/>
          <w:trHeight w:val="240"/>
        </w:trPr>
        <w:tc>
          <w:tcPr>
            <w:tcW w:w="2091" w:type="dxa"/>
            <w:vMerge/>
            <w:vAlign w:val="center"/>
            <w:hideMark/>
          </w:tcPr>
          <w:p w14:paraId="55939685"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1A025EBC"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A11B2</w:t>
            </w:r>
          </w:p>
        </w:tc>
        <w:tc>
          <w:tcPr>
            <w:tcW w:w="5274" w:type="dxa"/>
            <w:tcBorders>
              <w:left w:val="nil"/>
            </w:tcBorders>
            <w:shd w:val="clear" w:color="auto" w:fill="auto"/>
            <w:vAlign w:val="center"/>
            <w:hideMark/>
          </w:tcPr>
          <w:p w14:paraId="67F913C8"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Infusion Pumps, Balloon Based - Private Day Facilities</w:t>
            </w:r>
          </w:p>
        </w:tc>
        <w:tc>
          <w:tcPr>
            <w:tcW w:w="1468" w:type="dxa"/>
            <w:shd w:val="clear" w:color="auto" w:fill="auto"/>
            <w:noWrap/>
            <w:vAlign w:val="center"/>
            <w:hideMark/>
          </w:tcPr>
          <w:p w14:paraId="5978D66B"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$52.62</w:t>
            </w:r>
          </w:p>
        </w:tc>
      </w:tr>
      <w:tr w:rsidR="000C535A" w:rsidRPr="000C535A" w14:paraId="27991145" w14:textId="77777777" w:rsidTr="000C535A">
        <w:trPr>
          <w:cantSplit/>
          <w:trHeight w:val="240"/>
        </w:trPr>
        <w:tc>
          <w:tcPr>
            <w:tcW w:w="2091" w:type="dxa"/>
            <w:vMerge/>
            <w:vAlign w:val="center"/>
            <w:hideMark/>
          </w:tcPr>
          <w:p w14:paraId="5D7D9E62"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37320159"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A11B3</w:t>
            </w:r>
          </w:p>
        </w:tc>
        <w:tc>
          <w:tcPr>
            <w:tcW w:w="5274" w:type="dxa"/>
            <w:tcBorders>
              <w:left w:val="nil"/>
            </w:tcBorders>
            <w:shd w:val="clear" w:color="auto" w:fill="auto"/>
            <w:vAlign w:val="center"/>
            <w:hideMark/>
          </w:tcPr>
          <w:p w14:paraId="146A94D1"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Infusion Pumps, Balloon Based - Public Facilities</w:t>
            </w:r>
          </w:p>
        </w:tc>
        <w:tc>
          <w:tcPr>
            <w:tcW w:w="1468" w:type="dxa"/>
            <w:shd w:val="clear" w:color="auto" w:fill="auto"/>
            <w:noWrap/>
            <w:vAlign w:val="center"/>
            <w:hideMark/>
          </w:tcPr>
          <w:p w14:paraId="57DBD577"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$201.49</w:t>
            </w:r>
          </w:p>
        </w:tc>
      </w:tr>
      <w:tr w:rsidR="000C535A" w:rsidRPr="000C535A" w14:paraId="727D3C3E" w14:textId="77777777" w:rsidTr="000C535A">
        <w:trPr>
          <w:cantSplit/>
          <w:trHeight w:val="240"/>
        </w:trPr>
        <w:tc>
          <w:tcPr>
            <w:tcW w:w="2091" w:type="dxa"/>
            <w:vMerge w:val="restart"/>
            <w:shd w:val="clear" w:color="auto" w:fill="auto"/>
            <w:vAlign w:val="center"/>
            <w:hideMark/>
          </w:tcPr>
          <w:p w14:paraId="49426EB8"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A12</w:t>
            </w:r>
          </w:p>
          <w:p w14:paraId="36385225" w14:textId="58477AE4"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Infusion Pumps, Battery Powered</w:t>
            </w:r>
          </w:p>
        </w:tc>
        <w:tc>
          <w:tcPr>
            <w:tcW w:w="895" w:type="dxa"/>
            <w:tcBorders>
              <w:right w:val="nil"/>
            </w:tcBorders>
            <w:shd w:val="clear" w:color="auto" w:fill="auto"/>
            <w:noWrap/>
            <w:vAlign w:val="center"/>
            <w:hideMark/>
          </w:tcPr>
          <w:p w14:paraId="29B41342"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A12B1</w:t>
            </w:r>
          </w:p>
        </w:tc>
        <w:tc>
          <w:tcPr>
            <w:tcW w:w="5274" w:type="dxa"/>
            <w:tcBorders>
              <w:left w:val="nil"/>
            </w:tcBorders>
            <w:shd w:val="clear" w:color="auto" w:fill="auto"/>
            <w:vAlign w:val="center"/>
            <w:hideMark/>
          </w:tcPr>
          <w:p w14:paraId="7C539F31"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Infusion Pumps, Battery Powered - Private Overnight Facilities</w:t>
            </w:r>
          </w:p>
        </w:tc>
        <w:tc>
          <w:tcPr>
            <w:tcW w:w="1468" w:type="dxa"/>
            <w:shd w:val="clear" w:color="auto" w:fill="auto"/>
            <w:noWrap/>
            <w:vAlign w:val="center"/>
            <w:hideMark/>
          </w:tcPr>
          <w:p w14:paraId="2F0F214C"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$513.65</w:t>
            </w:r>
          </w:p>
        </w:tc>
      </w:tr>
      <w:tr w:rsidR="000C535A" w:rsidRPr="000C535A" w14:paraId="0F906BA2" w14:textId="77777777" w:rsidTr="000C535A">
        <w:trPr>
          <w:cantSplit/>
          <w:trHeight w:val="240"/>
        </w:trPr>
        <w:tc>
          <w:tcPr>
            <w:tcW w:w="2091" w:type="dxa"/>
            <w:vMerge/>
            <w:vAlign w:val="center"/>
            <w:hideMark/>
          </w:tcPr>
          <w:p w14:paraId="497D1C58"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5FB545B1"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A12B2</w:t>
            </w:r>
          </w:p>
        </w:tc>
        <w:tc>
          <w:tcPr>
            <w:tcW w:w="5274" w:type="dxa"/>
            <w:tcBorders>
              <w:left w:val="nil"/>
            </w:tcBorders>
            <w:shd w:val="clear" w:color="auto" w:fill="auto"/>
            <w:vAlign w:val="center"/>
            <w:hideMark/>
          </w:tcPr>
          <w:p w14:paraId="483F7C74"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Infusion Pumps, Battery Powered - Private Day Facilities</w:t>
            </w:r>
          </w:p>
        </w:tc>
        <w:tc>
          <w:tcPr>
            <w:tcW w:w="1468" w:type="dxa"/>
            <w:shd w:val="clear" w:color="auto" w:fill="auto"/>
            <w:noWrap/>
            <w:vAlign w:val="center"/>
            <w:hideMark/>
          </w:tcPr>
          <w:p w14:paraId="46965039"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$513.65</w:t>
            </w:r>
          </w:p>
        </w:tc>
      </w:tr>
      <w:tr w:rsidR="000C535A" w:rsidRPr="000C535A" w14:paraId="774D90BF" w14:textId="77777777" w:rsidTr="000C535A">
        <w:trPr>
          <w:cantSplit/>
          <w:trHeight w:val="240"/>
        </w:trPr>
        <w:tc>
          <w:tcPr>
            <w:tcW w:w="2091" w:type="dxa"/>
            <w:vMerge/>
            <w:vAlign w:val="center"/>
            <w:hideMark/>
          </w:tcPr>
          <w:p w14:paraId="327DDFEC"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220431CF"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A12B3</w:t>
            </w:r>
          </w:p>
        </w:tc>
        <w:tc>
          <w:tcPr>
            <w:tcW w:w="5274" w:type="dxa"/>
            <w:tcBorders>
              <w:left w:val="nil"/>
            </w:tcBorders>
            <w:shd w:val="clear" w:color="auto" w:fill="auto"/>
            <w:vAlign w:val="center"/>
            <w:hideMark/>
          </w:tcPr>
          <w:p w14:paraId="15F79A35"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Infusion Pumps, Battery Powered - Public Facilities</w:t>
            </w:r>
          </w:p>
        </w:tc>
        <w:tc>
          <w:tcPr>
            <w:tcW w:w="1468" w:type="dxa"/>
            <w:shd w:val="clear" w:color="auto" w:fill="auto"/>
            <w:noWrap/>
            <w:vAlign w:val="center"/>
            <w:hideMark/>
          </w:tcPr>
          <w:p w14:paraId="56E3AC15"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$513.65</w:t>
            </w:r>
          </w:p>
        </w:tc>
      </w:tr>
      <w:tr w:rsidR="000C535A" w:rsidRPr="000C535A" w14:paraId="60A4BDD3" w14:textId="77777777" w:rsidTr="000C535A">
        <w:trPr>
          <w:cantSplit/>
          <w:trHeight w:val="240"/>
        </w:trPr>
        <w:tc>
          <w:tcPr>
            <w:tcW w:w="2091" w:type="dxa"/>
            <w:vMerge w:val="restart"/>
            <w:shd w:val="clear" w:color="auto" w:fill="auto"/>
            <w:vAlign w:val="center"/>
            <w:hideMark/>
          </w:tcPr>
          <w:p w14:paraId="2DD01608"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A13</w:t>
            </w:r>
          </w:p>
          <w:p w14:paraId="75B6D789" w14:textId="1BC69F0A"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Infusion Pumps, Spring Powered</w:t>
            </w:r>
          </w:p>
        </w:tc>
        <w:tc>
          <w:tcPr>
            <w:tcW w:w="895" w:type="dxa"/>
            <w:tcBorders>
              <w:right w:val="nil"/>
            </w:tcBorders>
            <w:shd w:val="clear" w:color="auto" w:fill="auto"/>
            <w:noWrap/>
            <w:vAlign w:val="center"/>
            <w:hideMark/>
          </w:tcPr>
          <w:p w14:paraId="02778F32"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A13B1</w:t>
            </w:r>
          </w:p>
        </w:tc>
        <w:tc>
          <w:tcPr>
            <w:tcW w:w="5274" w:type="dxa"/>
            <w:tcBorders>
              <w:left w:val="nil"/>
            </w:tcBorders>
            <w:shd w:val="clear" w:color="auto" w:fill="auto"/>
            <w:vAlign w:val="center"/>
            <w:hideMark/>
          </w:tcPr>
          <w:p w14:paraId="3FBD1E59"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Infusion Pumps, Spring Powered - Private Overnight Facilities</w:t>
            </w:r>
          </w:p>
        </w:tc>
        <w:tc>
          <w:tcPr>
            <w:tcW w:w="1468" w:type="dxa"/>
            <w:shd w:val="clear" w:color="auto" w:fill="auto"/>
            <w:noWrap/>
            <w:vAlign w:val="center"/>
            <w:hideMark/>
          </w:tcPr>
          <w:p w14:paraId="5542041D"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$127.54</w:t>
            </w:r>
          </w:p>
        </w:tc>
      </w:tr>
      <w:tr w:rsidR="000C535A" w:rsidRPr="000C535A" w14:paraId="3A404999" w14:textId="77777777" w:rsidTr="000C535A">
        <w:trPr>
          <w:cantSplit/>
          <w:trHeight w:val="240"/>
        </w:trPr>
        <w:tc>
          <w:tcPr>
            <w:tcW w:w="2091" w:type="dxa"/>
            <w:vMerge/>
            <w:vAlign w:val="center"/>
            <w:hideMark/>
          </w:tcPr>
          <w:p w14:paraId="2B133A12"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1BA78607"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A13B2</w:t>
            </w:r>
          </w:p>
        </w:tc>
        <w:tc>
          <w:tcPr>
            <w:tcW w:w="5274" w:type="dxa"/>
            <w:tcBorders>
              <w:left w:val="nil"/>
            </w:tcBorders>
            <w:shd w:val="clear" w:color="auto" w:fill="auto"/>
            <w:vAlign w:val="center"/>
            <w:hideMark/>
          </w:tcPr>
          <w:p w14:paraId="04CD8AF2"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Infusion Pumps, Spring Powered - Private Day Facilities</w:t>
            </w:r>
          </w:p>
        </w:tc>
        <w:tc>
          <w:tcPr>
            <w:tcW w:w="1468" w:type="dxa"/>
            <w:shd w:val="clear" w:color="auto" w:fill="auto"/>
            <w:noWrap/>
            <w:vAlign w:val="center"/>
            <w:hideMark/>
          </w:tcPr>
          <w:p w14:paraId="5C581591"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$127.54</w:t>
            </w:r>
          </w:p>
        </w:tc>
      </w:tr>
      <w:tr w:rsidR="000C535A" w:rsidRPr="000C535A" w14:paraId="20E07B23" w14:textId="77777777" w:rsidTr="000C535A">
        <w:trPr>
          <w:cantSplit/>
          <w:trHeight w:val="240"/>
        </w:trPr>
        <w:tc>
          <w:tcPr>
            <w:tcW w:w="2091" w:type="dxa"/>
            <w:vMerge/>
            <w:vAlign w:val="center"/>
            <w:hideMark/>
          </w:tcPr>
          <w:p w14:paraId="4F5437F7"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6CF3E036"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A13B3</w:t>
            </w:r>
          </w:p>
        </w:tc>
        <w:tc>
          <w:tcPr>
            <w:tcW w:w="5274" w:type="dxa"/>
            <w:tcBorders>
              <w:left w:val="nil"/>
            </w:tcBorders>
            <w:shd w:val="clear" w:color="auto" w:fill="auto"/>
            <w:vAlign w:val="center"/>
            <w:hideMark/>
          </w:tcPr>
          <w:p w14:paraId="62ED5D85"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Infusion Pumps, Spring Powered - Public Facilities</w:t>
            </w:r>
          </w:p>
        </w:tc>
        <w:tc>
          <w:tcPr>
            <w:tcW w:w="1468" w:type="dxa"/>
            <w:shd w:val="clear" w:color="auto" w:fill="auto"/>
            <w:noWrap/>
            <w:vAlign w:val="center"/>
            <w:hideMark/>
          </w:tcPr>
          <w:p w14:paraId="4729925B"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$127.54</w:t>
            </w:r>
          </w:p>
        </w:tc>
      </w:tr>
      <w:tr w:rsidR="000C535A" w:rsidRPr="000C535A" w14:paraId="5FE9977E" w14:textId="77777777" w:rsidTr="000C535A">
        <w:trPr>
          <w:cantSplit/>
          <w:trHeight w:val="240"/>
        </w:trPr>
        <w:tc>
          <w:tcPr>
            <w:tcW w:w="2091" w:type="dxa"/>
            <w:vMerge w:val="restart"/>
            <w:shd w:val="clear" w:color="auto" w:fill="auto"/>
            <w:vAlign w:val="center"/>
            <w:hideMark/>
          </w:tcPr>
          <w:p w14:paraId="59946086"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A19</w:t>
            </w:r>
          </w:p>
          <w:p w14:paraId="5EE0AB87" w14:textId="02DFAA49"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Drug Delivery Accessories</w:t>
            </w:r>
          </w:p>
        </w:tc>
        <w:tc>
          <w:tcPr>
            <w:tcW w:w="895" w:type="dxa"/>
            <w:tcBorders>
              <w:right w:val="nil"/>
            </w:tcBorders>
            <w:shd w:val="clear" w:color="auto" w:fill="auto"/>
            <w:noWrap/>
            <w:vAlign w:val="center"/>
            <w:hideMark/>
          </w:tcPr>
          <w:p w14:paraId="6C2154A0"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A19B1</w:t>
            </w:r>
          </w:p>
        </w:tc>
        <w:tc>
          <w:tcPr>
            <w:tcW w:w="5274" w:type="dxa"/>
            <w:tcBorders>
              <w:left w:val="nil"/>
            </w:tcBorders>
            <w:shd w:val="clear" w:color="auto" w:fill="auto"/>
            <w:vAlign w:val="center"/>
            <w:hideMark/>
          </w:tcPr>
          <w:p w14:paraId="55B85E42"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Drug Delivery Accessories - Private Overnight Facilities</w:t>
            </w:r>
          </w:p>
        </w:tc>
        <w:tc>
          <w:tcPr>
            <w:tcW w:w="1468" w:type="dxa"/>
            <w:shd w:val="clear" w:color="auto" w:fill="auto"/>
            <w:noWrap/>
            <w:vAlign w:val="center"/>
            <w:hideMark/>
          </w:tcPr>
          <w:p w14:paraId="1D04E59E"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$40.45</w:t>
            </w:r>
          </w:p>
        </w:tc>
      </w:tr>
      <w:tr w:rsidR="000C535A" w:rsidRPr="000C535A" w14:paraId="6BEE1B5C" w14:textId="77777777" w:rsidTr="000C535A">
        <w:trPr>
          <w:cantSplit/>
          <w:trHeight w:val="240"/>
        </w:trPr>
        <w:tc>
          <w:tcPr>
            <w:tcW w:w="2091" w:type="dxa"/>
            <w:vMerge/>
            <w:vAlign w:val="center"/>
            <w:hideMark/>
          </w:tcPr>
          <w:p w14:paraId="1F65A65A"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19AB7B8D"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A19B2</w:t>
            </w:r>
          </w:p>
        </w:tc>
        <w:tc>
          <w:tcPr>
            <w:tcW w:w="5274" w:type="dxa"/>
            <w:tcBorders>
              <w:left w:val="nil"/>
            </w:tcBorders>
            <w:shd w:val="clear" w:color="auto" w:fill="auto"/>
            <w:vAlign w:val="center"/>
            <w:hideMark/>
          </w:tcPr>
          <w:p w14:paraId="62AF942E"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Drug Delivery Accessories - Private Day Facilities</w:t>
            </w:r>
          </w:p>
        </w:tc>
        <w:tc>
          <w:tcPr>
            <w:tcW w:w="1468" w:type="dxa"/>
            <w:shd w:val="clear" w:color="auto" w:fill="auto"/>
            <w:noWrap/>
            <w:vAlign w:val="center"/>
            <w:hideMark/>
          </w:tcPr>
          <w:p w14:paraId="04D49F40"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$20.23</w:t>
            </w:r>
          </w:p>
        </w:tc>
      </w:tr>
      <w:tr w:rsidR="000C535A" w:rsidRPr="000C535A" w14:paraId="21F2D32D" w14:textId="77777777" w:rsidTr="000C535A">
        <w:trPr>
          <w:cantSplit/>
          <w:trHeight w:val="240"/>
        </w:trPr>
        <w:tc>
          <w:tcPr>
            <w:tcW w:w="2091" w:type="dxa"/>
            <w:vMerge/>
            <w:vAlign w:val="center"/>
            <w:hideMark/>
          </w:tcPr>
          <w:p w14:paraId="289C92B5"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19B4EE04"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A19B3</w:t>
            </w:r>
          </w:p>
        </w:tc>
        <w:tc>
          <w:tcPr>
            <w:tcW w:w="5274" w:type="dxa"/>
            <w:tcBorders>
              <w:left w:val="nil"/>
            </w:tcBorders>
            <w:shd w:val="clear" w:color="auto" w:fill="auto"/>
            <w:vAlign w:val="center"/>
            <w:hideMark/>
          </w:tcPr>
          <w:p w14:paraId="4D1BD523"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Drug Delivery Accessories - Public Facilities</w:t>
            </w:r>
          </w:p>
        </w:tc>
        <w:tc>
          <w:tcPr>
            <w:tcW w:w="1468" w:type="dxa"/>
            <w:shd w:val="clear" w:color="auto" w:fill="auto"/>
            <w:noWrap/>
            <w:vAlign w:val="center"/>
            <w:hideMark/>
          </w:tcPr>
          <w:p w14:paraId="3FCC76B5"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$61.63</w:t>
            </w:r>
          </w:p>
        </w:tc>
      </w:tr>
      <w:tr w:rsidR="000C535A" w:rsidRPr="000C535A" w14:paraId="6FCC9506" w14:textId="77777777" w:rsidTr="000C535A">
        <w:trPr>
          <w:cantSplit/>
          <w:trHeight w:val="240"/>
        </w:trPr>
        <w:tc>
          <w:tcPr>
            <w:tcW w:w="2091" w:type="dxa"/>
            <w:vMerge w:val="restart"/>
            <w:shd w:val="clear" w:color="auto" w:fill="auto"/>
            <w:vAlign w:val="center"/>
            <w:hideMark/>
          </w:tcPr>
          <w:p w14:paraId="1D9F0B14"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A21</w:t>
            </w:r>
          </w:p>
          <w:p w14:paraId="7B9C1B84" w14:textId="5CD2CA12"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Feeding Tubes</w:t>
            </w:r>
          </w:p>
        </w:tc>
        <w:tc>
          <w:tcPr>
            <w:tcW w:w="895" w:type="dxa"/>
            <w:tcBorders>
              <w:right w:val="nil"/>
            </w:tcBorders>
            <w:shd w:val="clear" w:color="auto" w:fill="auto"/>
            <w:noWrap/>
            <w:vAlign w:val="center"/>
            <w:hideMark/>
          </w:tcPr>
          <w:p w14:paraId="2ED8A3AB"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A21B1</w:t>
            </w:r>
          </w:p>
        </w:tc>
        <w:tc>
          <w:tcPr>
            <w:tcW w:w="5274" w:type="dxa"/>
            <w:tcBorders>
              <w:left w:val="nil"/>
            </w:tcBorders>
            <w:shd w:val="clear" w:color="auto" w:fill="auto"/>
            <w:vAlign w:val="center"/>
            <w:hideMark/>
          </w:tcPr>
          <w:p w14:paraId="480BB5C1"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Feeding Tubes - Private Overnight Facilities</w:t>
            </w:r>
          </w:p>
        </w:tc>
        <w:tc>
          <w:tcPr>
            <w:tcW w:w="1468" w:type="dxa"/>
            <w:shd w:val="clear" w:color="auto" w:fill="auto"/>
            <w:noWrap/>
            <w:vAlign w:val="center"/>
            <w:hideMark/>
          </w:tcPr>
          <w:p w14:paraId="044896C4"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$161.00</w:t>
            </w:r>
          </w:p>
        </w:tc>
      </w:tr>
      <w:tr w:rsidR="000C535A" w:rsidRPr="000C535A" w14:paraId="0372967C" w14:textId="77777777" w:rsidTr="000C535A">
        <w:trPr>
          <w:cantSplit/>
          <w:trHeight w:val="240"/>
        </w:trPr>
        <w:tc>
          <w:tcPr>
            <w:tcW w:w="2091" w:type="dxa"/>
            <w:vMerge/>
            <w:vAlign w:val="center"/>
            <w:hideMark/>
          </w:tcPr>
          <w:p w14:paraId="167DED62"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78089925"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A21B2</w:t>
            </w:r>
          </w:p>
        </w:tc>
        <w:tc>
          <w:tcPr>
            <w:tcW w:w="5274" w:type="dxa"/>
            <w:tcBorders>
              <w:left w:val="nil"/>
            </w:tcBorders>
            <w:shd w:val="clear" w:color="auto" w:fill="auto"/>
            <w:vAlign w:val="center"/>
            <w:hideMark/>
          </w:tcPr>
          <w:p w14:paraId="7CE82AC1"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Feeding Tubes - Private Day Facilities</w:t>
            </w:r>
          </w:p>
        </w:tc>
        <w:tc>
          <w:tcPr>
            <w:tcW w:w="1468" w:type="dxa"/>
            <w:shd w:val="clear" w:color="auto" w:fill="auto"/>
            <w:noWrap/>
            <w:vAlign w:val="center"/>
            <w:hideMark/>
          </w:tcPr>
          <w:p w14:paraId="71BD3A4D"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$161.00</w:t>
            </w:r>
          </w:p>
        </w:tc>
      </w:tr>
      <w:tr w:rsidR="000C535A" w:rsidRPr="000C535A" w14:paraId="55029125" w14:textId="77777777" w:rsidTr="000C535A">
        <w:trPr>
          <w:cantSplit/>
          <w:trHeight w:val="240"/>
        </w:trPr>
        <w:tc>
          <w:tcPr>
            <w:tcW w:w="2091" w:type="dxa"/>
            <w:vMerge/>
            <w:vAlign w:val="center"/>
            <w:hideMark/>
          </w:tcPr>
          <w:p w14:paraId="5E03C5EC"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51CCD563"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A21B3</w:t>
            </w:r>
          </w:p>
        </w:tc>
        <w:tc>
          <w:tcPr>
            <w:tcW w:w="5274" w:type="dxa"/>
            <w:tcBorders>
              <w:left w:val="nil"/>
            </w:tcBorders>
            <w:shd w:val="clear" w:color="auto" w:fill="auto"/>
            <w:vAlign w:val="center"/>
            <w:hideMark/>
          </w:tcPr>
          <w:p w14:paraId="3A230AF6"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Feeding Tubes - Public Facilities</w:t>
            </w:r>
          </w:p>
        </w:tc>
        <w:tc>
          <w:tcPr>
            <w:tcW w:w="1468" w:type="dxa"/>
            <w:shd w:val="clear" w:color="auto" w:fill="auto"/>
            <w:noWrap/>
            <w:vAlign w:val="center"/>
            <w:hideMark/>
          </w:tcPr>
          <w:p w14:paraId="6D684A98"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$161.00</w:t>
            </w:r>
          </w:p>
        </w:tc>
      </w:tr>
      <w:tr w:rsidR="000C535A" w:rsidRPr="000C535A" w14:paraId="7DDD278A" w14:textId="77777777" w:rsidTr="000C535A">
        <w:trPr>
          <w:cantSplit/>
          <w:trHeight w:val="240"/>
        </w:trPr>
        <w:tc>
          <w:tcPr>
            <w:tcW w:w="2091" w:type="dxa"/>
            <w:vMerge w:val="restart"/>
            <w:shd w:val="clear" w:color="auto" w:fill="auto"/>
            <w:vAlign w:val="center"/>
            <w:hideMark/>
          </w:tcPr>
          <w:p w14:paraId="09A2A928"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A22</w:t>
            </w:r>
          </w:p>
          <w:p w14:paraId="5E870FE2" w14:textId="2852C029"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Gastrostomy Tubes</w:t>
            </w:r>
          </w:p>
        </w:tc>
        <w:tc>
          <w:tcPr>
            <w:tcW w:w="895" w:type="dxa"/>
            <w:tcBorders>
              <w:right w:val="nil"/>
            </w:tcBorders>
            <w:shd w:val="clear" w:color="auto" w:fill="auto"/>
            <w:noWrap/>
            <w:vAlign w:val="center"/>
            <w:hideMark/>
          </w:tcPr>
          <w:p w14:paraId="7E7929F7"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A22B1</w:t>
            </w:r>
          </w:p>
        </w:tc>
        <w:tc>
          <w:tcPr>
            <w:tcW w:w="5274" w:type="dxa"/>
            <w:tcBorders>
              <w:left w:val="nil"/>
            </w:tcBorders>
            <w:shd w:val="clear" w:color="auto" w:fill="auto"/>
            <w:vAlign w:val="center"/>
            <w:hideMark/>
          </w:tcPr>
          <w:p w14:paraId="094BD2E8"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Gastrostomy Tubes - Private Overnight Facilities</w:t>
            </w:r>
          </w:p>
        </w:tc>
        <w:tc>
          <w:tcPr>
            <w:tcW w:w="1468" w:type="dxa"/>
            <w:shd w:val="clear" w:color="auto" w:fill="auto"/>
            <w:noWrap/>
            <w:vAlign w:val="center"/>
            <w:hideMark/>
          </w:tcPr>
          <w:p w14:paraId="3CE6D098"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$172.15</w:t>
            </w:r>
          </w:p>
        </w:tc>
      </w:tr>
      <w:tr w:rsidR="000C535A" w:rsidRPr="000C535A" w14:paraId="12EC82FB" w14:textId="77777777" w:rsidTr="000C535A">
        <w:trPr>
          <w:cantSplit/>
          <w:trHeight w:val="240"/>
        </w:trPr>
        <w:tc>
          <w:tcPr>
            <w:tcW w:w="2091" w:type="dxa"/>
            <w:vMerge/>
            <w:vAlign w:val="center"/>
            <w:hideMark/>
          </w:tcPr>
          <w:p w14:paraId="2842CE8C"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25FA9C9D"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A22B2</w:t>
            </w:r>
          </w:p>
        </w:tc>
        <w:tc>
          <w:tcPr>
            <w:tcW w:w="5274" w:type="dxa"/>
            <w:tcBorders>
              <w:left w:val="nil"/>
            </w:tcBorders>
            <w:shd w:val="clear" w:color="auto" w:fill="auto"/>
            <w:vAlign w:val="center"/>
            <w:hideMark/>
          </w:tcPr>
          <w:p w14:paraId="1A56FF04"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Gastrostomy Tubes - Private Day Facilities</w:t>
            </w:r>
          </w:p>
        </w:tc>
        <w:tc>
          <w:tcPr>
            <w:tcW w:w="1468" w:type="dxa"/>
            <w:shd w:val="clear" w:color="auto" w:fill="auto"/>
            <w:noWrap/>
            <w:vAlign w:val="center"/>
            <w:hideMark/>
          </w:tcPr>
          <w:p w14:paraId="1681F6FA"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$172.15</w:t>
            </w:r>
          </w:p>
        </w:tc>
      </w:tr>
      <w:tr w:rsidR="000C535A" w:rsidRPr="000C535A" w14:paraId="71B96501" w14:textId="77777777" w:rsidTr="000C535A">
        <w:trPr>
          <w:cantSplit/>
          <w:trHeight w:val="240"/>
        </w:trPr>
        <w:tc>
          <w:tcPr>
            <w:tcW w:w="2091" w:type="dxa"/>
            <w:vMerge/>
            <w:vAlign w:val="center"/>
            <w:hideMark/>
          </w:tcPr>
          <w:p w14:paraId="16698677"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69584E4E"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A22B3</w:t>
            </w:r>
          </w:p>
        </w:tc>
        <w:tc>
          <w:tcPr>
            <w:tcW w:w="5274" w:type="dxa"/>
            <w:tcBorders>
              <w:left w:val="nil"/>
            </w:tcBorders>
            <w:shd w:val="clear" w:color="auto" w:fill="auto"/>
            <w:vAlign w:val="center"/>
            <w:hideMark/>
          </w:tcPr>
          <w:p w14:paraId="7BC106AF"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Gastrostomy Tubes - Public Facilities</w:t>
            </w:r>
          </w:p>
        </w:tc>
        <w:tc>
          <w:tcPr>
            <w:tcW w:w="1468" w:type="dxa"/>
            <w:shd w:val="clear" w:color="auto" w:fill="auto"/>
            <w:noWrap/>
            <w:vAlign w:val="center"/>
            <w:hideMark/>
          </w:tcPr>
          <w:p w14:paraId="372A6D8C"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$162.45</w:t>
            </w:r>
          </w:p>
        </w:tc>
      </w:tr>
      <w:tr w:rsidR="000C535A" w:rsidRPr="000C535A" w14:paraId="7BC8B0DD" w14:textId="77777777" w:rsidTr="000C535A">
        <w:trPr>
          <w:cantSplit/>
          <w:trHeight w:val="240"/>
        </w:trPr>
        <w:tc>
          <w:tcPr>
            <w:tcW w:w="2091" w:type="dxa"/>
            <w:vMerge w:val="restart"/>
            <w:shd w:val="clear" w:color="auto" w:fill="auto"/>
            <w:vAlign w:val="center"/>
            <w:hideMark/>
          </w:tcPr>
          <w:p w14:paraId="7A779ADF"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A23</w:t>
            </w:r>
          </w:p>
          <w:p w14:paraId="7064CCB3" w14:textId="7879F9F8"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Jejunostomy Tubes</w:t>
            </w:r>
          </w:p>
        </w:tc>
        <w:tc>
          <w:tcPr>
            <w:tcW w:w="895" w:type="dxa"/>
            <w:tcBorders>
              <w:right w:val="nil"/>
            </w:tcBorders>
            <w:shd w:val="clear" w:color="auto" w:fill="auto"/>
            <w:noWrap/>
            <w:vAlign w:val="center"/>
            <w:hideMark/>
          </w:tcPr>
          <w:p w14:paraId="660DDA3F"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A23B1</w:t>
            </w:r>
          </w:p>
        </w:tc>
        <w:tc>
          <w:tcPr>
            <w:tcW w:w="5274" w:type="dxa"/>
            <w:tcBorders>
              <w:left w:val="nil"/>
            </w:tcBorders>
            <w:shd w:val="clear" w:color="auto" w:fill="auto"/>
            <w:vAlign w:val="center"/>
            <w:hideMark/>
          </w:tcPr>
          <w:p w14:paraId="3C7AA064"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Jejunostomy Tubes - Private Overnight Facilities</w:t>
            </w:r>
          </w:p>
        </w:tc>
        <w:tc>
          <w:tcPr>
            <w:tcW w:w="1468" w:type="dxa"/>
            <w:shd w:val="clear" w:color="auto" w:fill="auto"/>
            <w:noWrap/>
            <w:vAlign w:val="center"/>
            <w:hideMark/>
          </w:tcPr>
          <w:p w14:paraId="4767FFAF"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$448.05</w:t>
            </w:r>
          </w:p>
        </w:tc>
      </w:tr>
      <w:tr w:rsidR="000C535A" w:rsidRPr="000C535A" w14:paraId="54A515E0" w14:textId="77777777" w:rsidTr="000C535A">
        <w:trPr>
          <w:cantSplit/>
          <w:trHeight w:val="240"/>
        </w:trPr>
        <w:tc>
          <w:tcPr>
            <w:tcW w:w="2091" w:type="dxa"/>
            <w:vMerge/>
            <w:vAlign w:val="center"/>
            <w:hideMark/>
          </w:tcPr>
          <w:p w14:paraId="5D361BC0"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7FD36C30"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A23B2</w:t>
            </w:r>
          </w:p>
        </w:tc>
        <w:tc>
          <w:tcPr>
            <w:tcW w:w="5274" w:type="dxa"/>
            <w:tcBorders>
              <w:left w:val="nil"/>
            </w:tcBorders>
            <w:shd w:val="clear" w:color="auto" w:fill="auto"/>
            <w:vAlign w:val="center"/>
            <w:hideMark/>
          </w:tcPr>
          <w:p w14:paraId="6CEA6CAA"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Jejunostomy Tubes - Private Day Facilities</w:t>
            </w:r>
          </w:p>
        </w:tc>
        <w:tc>
          <w:tcPr>
            <w:tcW w:w="1468" w:type="dxa"/>
            <w:shd w:val="clear" w:color="auto" w:fill="auto"/>
            <w:noWrap/>
            <w:vAlign w:val="center"/>
            <w:hideMark/>
          </w:tcPr>
          <w:p w14:paraId="7857A014"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$448.05</w:t>
            </w:r>
          </w:p>
        </w:tc>
      </w:tr>
      <w:tr w:rsidR="000C535A" w:rsidRPr="000C535A" w14:paraId="2C659A72" w14:textId="77777777" w:rsidTr="000C535A">
        <w:trPr>
          <w:cantSplit/>
          <w:trHeight w:val="240"/>
        </w:trPr>
        <w:tc>
          <w:tcPr>
            <w:tcW w:w="2091" w:type="dxa"/>
            <w:vMerge/>
            <w:vAlign w:val="center"/>
            <w:hideMark/>
          </w:tcPr>
          <w:p w14:paraId="5C4520E5"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630BC7F5"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A23B3</w:t>
            </w:r>
          </w:p>
        </w:tc>
        <w:tc>
          <w:tcPr>
            <w:tcW w:w="5274" w:type="dxa"/>
            <w:tcBorders>
              <w:left w:val="nil"/>
            </w:tcBorders>
            <w:shd w:val="clear" w:color="auto" w:fill="auto"/>
            <w:vAlign w:val="center"/>
            <w:hideMark/>
          </w:tcPr>
          <w:p w14:paraId="5602E8E1"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Jejunostomy Tubes - Public Facilities</w:t>
            </w:r>
          </w:p>
        </w:tc>
        <w:tc>
          <w:tcPr>
            <w:tcW w:w="1468" w:type="dxa"/>
            <w:shd w:val="clear" w:color="auto" w:fill="auto"/>
            <w:noWrap/>
            <w:vAlign w:val="center"/>
            <w:hideMark/>
          </w:tcPr>
          <w:p w14:paraId="48ACE8A3"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$448.05</w:t>
            </w:r>
          </w:p>
        </w:tc>
      </w:tr>
      <w:tr w:rsidR="000C535A" w:rsidRPr="000C535A" w14:paraId="52AB66BE" w14:textId="77777777" w:rsidTr="000C535A">
        <w:trPr>
          <w:cantSplit/>
          <w:trHeight w:val="240"/>
        </w:trPr>
        <w:tc>
          <w:tcPr>
            <w:tcW w:w="2091" w:type="dxa"/>
            <w:vMerge w:val="restart"/>
            <w:shd w:val="clear" w:color="auto" w:fill="auto"/>
            <w:vAlign w:val="center"/>
            <w:hideMark/>
          </w:tcPr>
          <w:p w14:paraId="48071BFE"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A24</w:t>
            </w:r>
          </w:p>
          <w:p w14:paraId="50E2CA19" w14:textId="39D55412" w:rsidR="000C535A" w:rsidRPr="000C535A" w:rsidRDefault="000C535A" w:rsidP="000C535A">
            <w:pPr>
              <w:spacing w:before="120" w:after="120"/>
              <w:jc w:val="center"/>
              <w:rPr>
                <w:rFonts w:eastAsia="Times New Roman" w:cs="Arial"/>
                <w:color w:val="000000"/>
                <w:sz w:val="18"/>
                <w:szCs w:val="18"/>
                <w:lang w:val="en-AU" w:eastAsia="en-AU"/>
              </w:rPr>
            </w:pPr>
            <w:proofErr w:type="spellStart"/>
            <w:r w:rsidRPr="000C535A">
              <w:rPr>
                <w:rFonts w:eastAsia="Times New Roman" w:cs="Arial"/>
                <w:color w:val="000000"/>
                <w:sz w:val="18"/>
                <w:szCs w:val="18"/>
                <w:lang w:val="en-AU" w:eastAsia="en-AU"/>
              </w:rPr>
              <w:t>Caecostomy</w:t>
            </w:r>
            <w:proofErr w:type="spellEnd"/>
            <w:r w:rsidRPr="000C535A">
              <w:rPr>
                <w:rFonts w:eastAsia="Times New Roman" w:cs="Arial"/>
                <w:color w:val="000000"/>
                <w:sz w:val="18"/>
                <w:szCs w:val="18"/>
                <w:lang w:val="en-AU" w:eastAsia="en-AU"/>
              </w:rPr>
              <w:t xml:space="preserve"> Tubes</w:t>
            </w:r>
          </w:p>
        </w:tc>
        <w:tc>
          <w:tcPr>
            <w:tcW w:w="895" w:type="dxa"/>
            <w:tcBorders>
              <w:right w:val="nil"/>
            </w:tcBorders>
            <w:shd w:val="clear" w:color="auto" w:fill="auto"/>
            <w:noWrap/>
            <w:vAlign w:val="center"/>
            <w:hideMark/>
          </w:tcPr>
          <w:p w14:paraId="27701440"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A24B1</w:t>
            </w:r>
          </w:p>
        </w:tc>
        <w:tc>
          <w:tcPr>
            <w:tcW w:w="5274" w:type="dxa"/>
            <w:tcBorders>
              <w:left w:val="nil"/>
            </w:tcBorders>
            <w:shd w:val="clear" w:color="auto" w:fill="auto"/>
            <w:vAlign w:val="center"/>
            <w:hideMark/>
          </w:tcPr>
          <w:p w14:paraId="11C595B2" w14:textId="77777777" w:rsidR="000C535A" w:rsidRPr="000C535A" w:rsidRDefault="000C535A" w:rsidP="000C535A">
            <w:pPr>
              <w:spacing w:before="120" w:after="120"/>
              <w:rPr>
                <w:rFonts w:eastAsia="Times New Roman" w:cs="Arial"/>
                <w:color w:val="000000"/>
                <w:sz w:val="18"/>
                <w:szCs w:val="18"/>
                <w:lang w:val="en-AU" w:eastAsia="en-AU"/>
              </w:rPr>
            </w:pPr>
            <w:proofErr w:type="spellStart"/>
            <w:r w:rsidRPr="000C535A">
              <w:rPr>
                <w:rFonts w:eastAsia="Times New Roman" w:cs="Arial"/>
                <w:color w:val="000000"/>
                <w:sz w:val="18"/>
                <w:szCs w:val="18"/>
                <w:lang w:val="en-AU" w:eastAsia="en-AU"/>
              </w:rPr>
              <w:t>Caecostomy</w:t>
            </w:r>
            <w:proofErr w:type="spellEnd"/>
            <w:r w:rsidRPr="000C535A">
              <w:rPr>
                <w:rFonts w:eastAsia="Times New Roman" w:cs="Arial"/>
                <w:color w:val="000000"/>
                <w:sz w:val="18"/>
                <w:szCs w:val="18"/>
                <w:lang w:val="en-AU" w:eastAsia="en-AU"/>
              </w:rPr>
              <w:t xml:space="preserve"> Tubes - Private Overnight Facilities</w:t>
            </w:r>
          </w:p>
        </w:tc>
        <w:tc>
          <w:tcPr>
            <w:tcW w:w="1468" w:type="dxa"/>
            <w:shd w:val="clear" w:color="auto" w:fill="auto"/>
            <w:noWrap/>
            <w:vAlign w:val="center"/>
            <w:hideMark/>
          </w:tcPr>
          <w:p w14:paraId="640C9B37"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$336.55</w:t>
            </w:r>
          </w:p>
        </w:tc>
      </w:tr>
      <w:tr w:rsidR="000C535A" w:rsidRPr="000C535A" w14:paraId="31E21AAA" w14:textId="77777777" w:rsidTr="000C535A">
        <w:trPr>
          <w:cantSplit/>
          <w:trHeight w:val="240"/>
        </w:trPr>
        <w:tc>
          <w:tcPr>
            <w:tcW w:w="2091" w:type="dxa"/>
            <w:vMerge/>
            <w:vAlign w:val="center"/>
            <w:hideMark/>
          </w:tcPr>
          <w:p w14:paraId="14917818"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2BB8E7DE"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A24B2</w:t>
            </w:r>
          </w:p>
        </w:tc>
        <w:tc>
          <w:tcPr>
            <w:tcW w:w="5274" w:type="dxa"/>
            <w:tcBorders>
              <w:left w:val="nil"/>
            </w:tcBorders>
            <w:shd w:val="clear" w:color="auto" w:fill="auto"/>
            <w:vAlign w:val="center"/>
            <w:hideMark/>
          </w:tcPr>
          <w:p w14:paraId="6FA3FD7F" w14:textId="77777777" w:rsidR="000C535A" w:rsidRPr="000C535A" w:rsidRDefault="000C535A" w:rsidP="000C535A">
            <w:pPr>
              <w:spacing w:before="120" w:after="120"/>
              <w:rPr>
                <w:rFonts w:eastAsia="Times New Roman" w:cs="Arial"/>
                <w:color w:val="000000"/>
                <w:sz w:val="18"/>
                <w:szCs w:val="18"/>
                <w:lang w:val="en-AU" w:eastAsia="en-AU"/>
              </w:rPr>
            </w:pPr>
            <w:proofErr w:type="spellStart"/>
            <w:r w:rsidRPr="000C535A">
              <w:rPr>
                <w:rFonts w:eastAsia="Times New Roman" w:cs="Arial"/>
                <w:color w:val="000000"/>
                <w:sz w:val="18"/>
                <w:szCs w:val="18"/>
                <w:lang w:val="en-AU" w:eastAsia="en-AU"/>
              </w:rPr>
              <w:t>Caecostomy</w:t>
            </w:r>
            <w:proofErr w:type="spellEnd"/>
            <w:r w:rsidRPr="000C535A">
              <w:rPr>
                <w:rFonts w:eastAsia="Times New Roman" w:cs="Arial"/>
                <w:color w:val="000000"/>
                <w:sz w:val="18"/>
                <w:szCs w:val="18"/>
                <w:lang w:val="en-AU" w:eastAsia="en-AU"/>
              </w:rPr>
              <w:t xml:space="preserve"> Tubes - Private Day Facilities</w:t>
            </w:r>
          </w:p>
        </w:tc>
        <w:tc>
          <w:tcPr>
            <w:tcW w:w="1468" w:type="dxa"/>
            <w:shd w:val="clear" w:color="auto" w:fill="auto"/>
            <w:noWrap/>
            <w:vAlign w:val="center"/>
            <w:hideMark/>
          </w:tcPr>
          <w:p w14:paraId="0140E6C7"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$336.55</w:t>
            </w:r>
          </w:p>
        </w:tc>
      </w:tr>
      <w:tr w:rsidR="000C535A" w:rsidRPr="000C535A" w14:paraId="7D3845D8" w14:textId="77777777" w:rsidTr="000C535A">
        <w:trPr>
          <w:cantSplit/>
          <w:trHeight w:val="240"/>
        </w:trPr>
        <w:tc>
          <w:tcPr>
            <w:tcW w:w="2091" w:type="dxa"/>
            <w:vMerge/>
            <w:vAlign w:val="center"/>
            <w:hideMark/>
          </w:tcPr>
          <w:p w14:paraId="4A25B257"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23379CFF"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A24B3</w:t>
            </w:r>
          </w:p>
        </w:tc>
        <w:tc>
          <w:tcPr>
            <w:tcW w:w="5274" w:type="dxa"/>
            <w:tcBorders>
              <w:left w:val="nil"/>
            </w:tcBorders>
            <w:shd w:val="clear" w:color="auto" w:fill="auto"/>
            <w:vAlign w:val="center"/>
            <w:hideMark/>
          </w:tcPr>
          <w:p w14:paraId="278E954A" w14:textId="77777777" w:rsidR="000C535A" w:rsidRPr="000C535A" w:rsidRDefault="000C535A" w:rsidP="000C535A">
            <w:pPr>
              <w:spacing w:before="120" w:after="120"/>
              <w:rPr>
                <w:rFonts w:eastAsia="Times New Roman" w:cs="Arial"/>
                <w:color w:val="000000"/>
                <w:sz w:val="18"/>
                <w:szCs w:val="18"/>
                <w:lang w:val="en-AU" w:eastAsia="en-AU"/>
              </w:rPr>
            </w:pPr>
            <w:proofErr w:type="spellStart"/>
            <w:r w:rsidRPr="000C535A">
              <w:rPr>
                <w:rFonts w:eastAsia="Times New Roman" w:cs="Arial"/>
                <w:color w:val="000000"/>
                <w:sz w:val="18"/>
                <w:szCs w:val="18"/>
                <w:lang w:val="en-AU" w:eastAsia="en-AU"/>
              </w:rPr>
              <w:t>Caecostomy</w:t>
            </w:r>
            <w:proofErr w:type="spellEnd"/>
            <w:r w:rsidRPr="000C535A">
              <w:rPr>
                <w:rFonts w:eastAsia="Times New Roman" w:cs="Arial"/>
                <w:color w:val="000000"/>
                <w:sz w:val="18"/>
                <w:szCs w:val="18"/>
                <w:lang w:val="en-AU" w:eastAsia="en-AU"/>
              </w:rPr>
              <w:t xml:space="preserve"> Tubes - Public Facilities</w:t>
            </w:r>
          </w:p>
        </w:tc>
        <w:tc>
          <w:tcPr>
            <w:tcW w:w="1468" w:type="dxa"/>
            <w:shd w:val="clear" w:color="auto" w:fill="auto"/>
            <w:noWrap/>
            <w:vAlign w:val="center"/>
            <w:hideMark/>
          </w:tcPr>
          <w:p w14:paraId="240209A2"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$336.55</w:t>
            </w:r>
          </w:p>
        </w:tc>
      </w:tr>
      <w:tr w:rsidR="000C535A" w:rsidRPr="000C535A" w14:paraId="045BBCBA" w14:textId="77777777" w:rsidTr="000C535A">
        <w:trPr>
          <w:cantSplit/>
          <w:trHeight w:val="240"/>
        </w:trPr>
        <w:tc>
          <w:tcPr>
            <w:tcW w:w="2091" w:type="dxa"/>
            <w:vMerge w:val="restart"/>
            <w:shd w:val="clear" w:color="auto" w:fill="auto"/>
            <w:vAlign w:val="center"/>
            <w:hideMark/>
          </w:tcPr>
          <w:p w14:paraId="4E43E4EC"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A31</w:t>
            </w:r>
          </w:p>
          <w:p w14:paraId="72DC5FEF" w14:textId="7C792315"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Percutaneous Catheters</w:t>
            </w:r>
          </w:p>
        </w:tc>
        <w:tc>
          <w:tcPr>
            <w:tcW w:w="895" w:type="dxa"/>
            <w:tcBorders>
              <w:right w:val="nil"/>
            </w:tcBorders>
            <w:shd w:val="clear" w:color="auto" w:fill="auto"/>
            <w:noWrap/>
            <w:vAlign w:val="center"/>
            <w:hideMark/>
          </w:tcPr>
          <w:p w14:paraId="0B594665"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A31B1</w:t>
            </w:r>
          </w:p>
        </w:tc>
        <w:tc>
          <w:tcPr>
            <w:tcW w:w="5274" w:type="dxa"/>
            <w:tcBorders>
              <w:left w:val="nil"/>
            </w:tcBorders>
            <w:shd w:val="clear" w:color="auto" w:fill="auto"/>
            <w:vAlign w:val="center"/>
            <w:hideMark/>
          </w:tcPr>
          <w:p w14:paraId="7AEE39D3"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Percutaneous Catheters - Private Overnight Facilities</w:t>
            </w:r>
          </w:p>
        </w:tc>
        <w:tc>
          <w:tcPr>
            <w:tcW w:w="1468" w:type="dxa"/>
            <w:shd w:val="clear" w:color="auto" w:fill="auto"/>
            <w:noWrap/>
            <w:vAlign w:val="center"/>
            <w:hideMark/>
          </w:tcPr>
          <w:p w14:paraId="202D4924"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$142.69</w:t>
            </w:r>
          </w:p>
        </w:tc>
      </w:tr>
      <w:tr w:rsidR="000C535A" w:rsidRPr="000C535A" w14:paraId="7891D28B" w14:textId="77777777" w:rsidTr="000C535A">
        <w:trPr>
          <w:cantSplit/>
          <w:trHeight w:val="240"/>
        </w:trPr>
        <w:tc>
          <w:tcPr>
            <w:tcW w:w="2091" w:type="dxa"/>
            <w:vMerge/>
            <w:vAlign w:val="center"/>
            <w:hideMark/>
          </w:tcPr>
          <w:p w14:paraId="4E63EC75"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6A7329E1"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A31B2</w:t>
            </w:r>
          </w:p>
        </w:tc>
        <w:tc>
          <w:tcPr>
            <w:tcW w:w="5274" w:type="dxa"/>
            <w:tcBorders>
              <w:left w:val="nil"/>
            </w:tcBorders>
            <w:shd w:val="clear" w:color="auto" w:fill="auto"/>
            <w:vAlign w:val="center"/>
            <w:hideMark/>
          </w:tcPr>
          <w:p w14:paraId="5F1A93B9"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Percutaneous Catheters - Private Day Facilities</w:t>
            </w:r>
          </w:p>
        </w:tc>
        <w:tc>
          <w:tcPr>
            <w:tcW w:w="1468" w:type="dxa"/>
            <w:shd w:val="clear" w:color="auto" w:fill="auto"/>
            <w:noWrap/>
            <w:vAlign w:val="center"/>
            <w:hideMark/>
          </w:tcPr>
          <w:p w14:paraId="19A20B22"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$129.97</w:t>
            </w:r>
          </w:p>
        </w:tc>
      </w:tr>
      <w:tr w:rsidR="000C535A" w:rsidRPr="000C535A" w14:paraId="61D1A6D6" w14:textId="77777777" w:rsidTr="000C535A">
        <w:trPr>
          <w:cantSplit/>
          <w:trHeight w:val="240"/>
        </w:trPr>
        <w:tc>
          <w:tcPr>
            <w:tcW w:w="2091" w:type="dxa"/>
            <w:vMerge/>
            <w:vAlign w:val="center"/>
            <w:hideMark/>
          </w:tcPr>
          <w:p w14:paraId="0D470B5F"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798BEC23"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A31B3</w:t>
            </w:r>
          </w:p>
        </w:tc>
        <w:tc>
          <w:tcPr>
            <w:tcW w:w="5274" w:type="dxa"/>
            <w:tcBorders>
              <w:left w:val="nil"/>
            </w:tcBorders>
            <w:shd w:val="clear" w:color="auto" w:fill="auto"/>
            <w:vAlign w:val="center"/>
            <w:hideMark/>
          </w:tcPr>
          <w:p w14:paraId="07EEF680"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Percutaneous Catheters - Public Facilities</w:t>
            </w:r>
          </w:p>
        </w:tc>
        <w:tc>
          <w:tcPr>
            <w:tcW w:w="1468" w:type="dxa"/>
            <w:shd w:val="clear" w:color="auto" w:fill="auto"/>
            <w:noWrap/>
            <w:vAlign w:val="center"/>
            <w:hideMark/>
          </w:tcPr>
          <w:p w14:paraId="757342AC"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$161.34</w:t>
            </w:r>
          </w:p>
        </w:tc>
      </w:tr>
      <w:tr w:rsidR="000C535A" w:rsidRPr="000C535A" w14:paraId="191E1BF6" w14:textId="77777777" w:rsidTr="000C535A">
        <w:trPr>
          <w:cantSplit/>
          <w:trHeight w:val="240"/>
        </w:trPr>
        <w:tc>
          <w:tcPr>
            <w:tcW w:w="2091" w:type="dxa"/>
            <w:vMerge w:val="restart"/>
            <w:shd w:val="clear" w:color="auto" w:fill="auto"/>
            <w:vAlign w:val="center"/>
            <w:hideMark/>
          </w:tcPr>
          <w:p w14:paraId="340E338D"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A41</w:t>
            </w:r>
          </w:p>
          <w:p w14:paraId="42FA3E60" w14:textId="54C8BD2C" w:rsidR="000C535A" w:rsidRPr="000C535A" w:rsidRDefault="000C535A" w:rsidP="000C535A">
            <w:pPr>
              <w:spacing w:before="120" w:after="120"/>
              <w:jc w:val="center"/>
              <w:rPr>
                <w:rFonts w:eastAsia="Times New Roman" w:cs="Arial"/>
                <w:color w:val="000000"/>
                <w:sz w:val="18"/>
                <w:szCs w:val="18"/>
                <w:lang w:val="en-AU" w:eastAsia="en-AU"/>
              </w:rPr>
            </w:pPr>
            <w:proofErr w:type="spellStart"/>
            <w:r w:rsidRPr="000C535A">
              <w:rPr>
                <w:rFonts w:eastAsia="Times New Roman" w:cs="Arial"/>
                <w:color w:val="000000"/>
                <w:sz w:val="18"/>
                <w:szCs w:val="18"/>
                <w:lang w:val="en-AU" w:eastAsia="en-AU"/>
              </w:rPr>
              <w:t>Occluder</w:t>
            </w:r>
            <w:proofErr w:type="spellEnd"/>
            <w:r w:rsidRPr="000C535A">
              <w:rPr>
                <w:rFonts w:eastAsia="Times New Roman" w:cs="Arial"/>
                <w:color w:val="000000"/>
                <w:sz w:val="18"/>
                <w:szCs w:val="18"/>
                <w:lang w:val="en-AU" w:eastAsia="en-AU"/>
              </w:rPr>
              <w:t xml:space="preserve"> Pins</w:t>
            </w:r>
          </w:p>
        </w:tc>
        <w:tc>
          <w:tcPr>
            <w:tcW w:w="895" w:type="dxa"/>
            <w:tcBorders>
              <w:right w:val="nil"/>
            </w:tcBorders>
            <w:shd w:val="clear" w:color="auto" w:fill="auto"/>
            <w:noWrap/>
            <w:vAlign w:val="center"/>
            <w:hideMark/>
          </w:tcPr>
          <w:p w14:paraId="1537D287"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A41B1</w:t>
            </w:r>
          </w:p>
        </w:tc>
        <w:tc>
          <w:tcPr>
            <w:tcW w:w="5274" w:type="dxa"/>
            <w:tcBorders>
              <w:left w:val="nil"/>
            </w:tcBorders>
            <w:shd w:val="clear" w:color="auto" w:fill="auto"/>
            <w:vAlign w:val="center"/>
            <w:hideMark/>
          </w:tcPr>
          <w:p w14:paraId="19943CDE" w14:textId="77777777" w:rsidR="000C535A" w:rsidRPr="000C535A" w:rsidRDefault="000C535A" w:rsidP="000C535A">
            <w:pPr>
              <w:spacing w:before="120" w:after="120"/>
              <w:rPr>
                <w:rFonts w:eastAsia="Times New Roman" w:cs="Arial"/>
                <w:color w:val="000000"/>
                <w:sz w:val="18"/>
                <w:szCs w:val="18"/>
                <w:lang w:val="en-AU" w:eastAsia="en-AU"/>
              </w:rPr>
            </w:pPr>
            <w:proofErr w:type="spellStart"/>
            <w:r w:rsidRPr="000C535A">
              <w:rPr>
                <w:rFonts w:eastAsia="Times New Roman" w:cs="Arial"/>
                <w:color w:val="000000"/>
                <w:sz w:val="18"/>
                <w:szCs w:val="18"/>
                <w:lang w:val="en-AU" w:eastAsia="en-AU"/>
              </w:rPr>
              <w:t>Occluder</w:t>
            </w:r>
            <w:proofErr w:type="spellEnd"/>
            <w:r w:rsidRPr="000C535A">
              <w:rPr>
                <w:rFonts w:eastAsia="Times New Roman" w:cs="Arial"/>
                <w:color w:val="000000"/>
                <w:sz w:val="18"/>
                <w:szCs w:val="18"/>
                <w:lang w:val="en-AU" w:eastAsia="en-AU"/>
              </w:rPr>
              <w:t xml:space="preserve"> Pins - Private Overnight Facilities</w:t>
            </w:r>
          </w:p>
        </w:tc>
        <w:tc>
          <w:tcPr>
            <w:tcW w:w="1468" w:type="dxa"/>
            <w:shd w:val="clear" w:color="auto" w:fill="auto"/>
            <w:noWrap/>
            <w:vAlign w:val="center"/>
            <w:hideMark/>
          </w:tcPr>
          <w:p w14:paraId="66EFD07C"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$286.00</w:t>
            </w:r>
          </w:p>
        </w:tc>
      </w:tr>
      <w:tr w:rsidR="000C535A" w:rsidRPr="000C535A" w14:paraId="419708EE" w14:textId="77777777" w:rsidTr="000C535A">
        <w:trPr>
          <w:cantSplit/>
          <w:trHeight w:val="240"/>
        </w:trPr>
        <w:tc>
          <w:tcPr>
            <w:tcW w:w="2091" w:type="dxa"/>
            <w:vMerge/>
            <w:vAlign w:val="center"/>
            <w:hideMark/>
          </w:tcPr>
          <w:p w14:paraId="332369F6"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70A4C1AE"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A41B2</w:t>
            </w:r>
          </w:p>
        </w:tc>
        <w:tc>
          <w:tcPr>
            <w:tcW w:w="5274" w:type="dxa"/>
            <w:tcBorders>
              <w:left w:val="nil"/>
            </w:tcBorders>
            <w:shd w:val="clear" w:color="auto" w:fill="auto"/>
            <w:vAlign w:val="center"/>
            <w:hideMark/>
          </w:tcPr>
          <w:p w14:paraId="7BA71CB4" w14:textId="77777777" w:rsidR="000C535A" w:rsidRPr="000C535A" w:rsidRDefault="000C535A" w:rsidP="000C535A">
            <w:pPr>
              <w:spacing w:before="120" w:after="120"/>
              <w:rPr>
                <w:rFonts w:eastAsia="Times New Roman" w:cs="Arial"/>
                <w:color w:val="000000"/>
                <w:sz w:val="18"/>
                <w:szCs w:val="18"/>
                <w:lang w:val="en-AU" w:eastAsia="en-AU"/>
              </w:rPr>
            </w:pPr>
            <w:proofErr w:type="spellStart"/>
            <w:r w:rsidRPr="000C535A">
              <w:rPr>
                <w:rFonts w:eastAsia="Times New Roman" w:cs="Arial"/>
                <w:color w:val="000000"/>
                <w:sz w:val="18"/>
                <w:szCs w:val="18"/>
                <w:lang w:val="en-AU" w:eastAsia="en-AU"/>
              </w:rPr>
              <w:t>Occluder</w:t>
            </w:r>
            <w:proofErr w:type="spellEnd"/>
            <w:r w:rsidRPr="000C535A">
              <w:rPr>
                <w:rFonts w:eastAsia="Times New Roman" w:cs="Arial"/>
                <w:color w:val="000000"/>
                <w:sz w:val="18"/>
                <w:szCs w:val="18"/>
                <w:lang w:val="en-AU" w:eastAsia="en-AU"/>
              </w:rPr>
              <w:t xml:space="preserve"> Pins - Private Day Facilities</w:t>
            </w:r>
          </w:p>
        </w:tc>
        <w:tc>
          <w:tcPr>
            <w:tcW w:w="1468" w:type="dxa"/>
            <w:shd w:val="clear" w:color="auto" w:fill="auto"/>
            <w:noWrap/>
            <w:vAlign w:val="center"/>
            <w:hideMark/>
          </w:tcPr>
          <w:p w14:paraId="55052631"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$286.00</w:t>
            </w:r>
          </w:p>
        </w:tc>
      </w:tr>
      <w:tr w:rsidR="000C535A" w:rsidRPr="000C535A" w14:paraId="70E3783B" w14:textId="77777777" w:rsidTr="000C535A">
        <w:trPr>
          <w:cantSplit/>
          <w:trHeight w:val="240"/>
        </w:trPr>
        <w:tc>
          <w:tcPr>
            <w:tcW w:w="2091" w:type="dxa"/>
            <w:vMerge/>
            <w:vAlign w:val="center"/>
            <w:hideMark/>
          </w:tcPr>
          <w:p w14:paraId="5A3E7836"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2996A315"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A41B3</w:t>
            </w:r>
          </w:p>
        </w:tc>
        <w:tc>
          <w:tcPr>
            <w:tcW w:w="5274" w:type="dxa"/>
            <w:tcBorders>
              <w:left w:val="nil"/>
            </w:tcBorders>
            <w:shd w:val="clear" w:color="auto" w:fill="auto"/>
            <w:vAlign w:val="center"/>
            <w:hideMark/>
          </w:tcPr>
          <w:p w14:paraId="12FB32F3" w14:textId="77777777" w:rsidR="000C535A" w:rsidRPr="000C535A" w:rsidRDefault="000C535A" w:rsidP="000C535A">
            <w:pPr>
              <w:spacing w:before="120" w:after="120"/>
              <w:rPr>
                <w:rFonts w:eastAsia="Times New Roman" w:cs="Arial"/>
                <w:color w:val="000000"/>
                <w:sz w:val="18"/>
                <w:szCs w:val="18"/>
                <w:lang w:val="en-AU" w:eastAsia="en-AU"/>
              </w:rPr>
            </w:pPr>
            <w:proofErr w:type="spellStart"/>
            <w:r w:rsidRPr="000C535A">
              <w:rPr>
                <w:rFonts w:eastAsia="Times New Roman" w:cs="Arial"/>
                <w:color w:val="000000"/>
                <w:sz w:val="18"/>
                <w:szCs w:val="18"/>
                <w:lang w:val="en-AU" w:eastAsia="en-AU"/>
              </w:rPr>
              <w:t>Occluder</w:t>
            </w:r>
            <w:proofErr w:type="spellEnd"/>
            <w:r w:rsidRPr="000C535A">
              <w:rPr>
                <w:rFonts w:eastAsia="Times New Roman" w:cs="Arial"/>
                <w:color w:val="000000"/>
                <w:sz w:val="18"/>
                <w:szCs w:val="18"/>
                <w:lang w:val="en-AU" w:eastAsia="en-AU"/>
              </w:rPr>
              <w:t xml:space="preserve"> Pins - Public Facilities</w:t>
            </w:r>
          </w:p>
        </w:tc>
        <w:tc>
          <w:tcPr>
            <w:tcW w:w="1468" w:type="dxa"/>
            <w:shd w:val="clear" w:color="auto" w:fill="auto"/>
            <w:noWrap/>
            <w:vAlign w:val="center"/>
            <w:hideMark/>
          </w:tcPr>
          <w:p w14:paraId="49DE5158"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$286.00</w:t>
            </w:r>
          </w:p>
        </w:tc>
      </w:tr>
      <w:tr w:rsidR="000C535A" w:rsidRPr="000C535A" w14:paraId="1DC63E12" w14:textId="77777777" w:rsidTr="000C535A">
        <w:trPr>
          <w:cantSplit/>
          <w:trHeight w:val="240"/>
        </w:trPr>
        <w:tc>
          <w:tcPr>
            <w:tcW w:w="2091" w:type="dxa"/>
            <w:vMerge w:val="restart"/>
            <w:shd w:val="clear" w:color="auto" w:fill="auto"/>
            <w:vAlign w:val="center"/>
            <w:hideMark/>
          </w:tcPr>
          <w:p w14:paraId="1FB0FCA3"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A42</w:t>
            </w:r>
          </w:p>
          <w:p w14:paraId="6188526A" w14:textId="67E6E375"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Powder</w:t>
            </w:r>
          </w:p>
        </w:tc>
        <w:tc>
          <w:tcPr>
            <w:tcW w:w="895" w:type="dxa"/>
            <w:tcBorders>
              <w:right w:val="nil"/>
            </w:tcBorders>
            <w:shd w:val="clear" w:color="auto" w:fill="auto"/>
            <w:noWrap/>
            <w:vAlign w:val="center"/>
            <w:hideMark/>
          </w:tcPr>
          <w:p w14:paraId="45CE8466"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A42B1</w:t>
            </w:r>
          </w:p>
        </w:tc>
        <w:tc>
          <w:tcPr>
            <w:tcW w:w="5274" w:type="dxa"/>
            <w:tcBorders>
              <w:left w:val="nil"/>
            </w:tcBorders>
            <w:shd w:val="clear" w:color="auto" w:fill="auto"/>
            <w:vAlign w:val="center"/>
            <w:hideMark/>
          </w:tcPr>
          <w:p w14:paraId="1EBA195E"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Powder - Private Overnight Facilities</w:t>
            </w:r>
          </w:p>
        </w:tc>
        <w:tc>
          <w:tcPr>
            <w:tcW w:w="1468" w:type="dxa"/>
            <w:shd w:val="clear" w:color="auto" w:fill="auto"/>
            <w:noWrap/>
            <w:vAlign w:val="center"/>
            <w:hideMark/>
          </w:tcPr>
          <w:p w14:paraId="646BFC98"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$118.94</w:t>
            </w:r>
          </w:p>
        </w:tc>
      </w:tr>
      <w:tr w:rsidR="000C535A" w:rsidRPr="000C535A" w14:paraId="18CA03A9" w14:textId="77777777" w:rsidTr="000C535A">
        <w:trPr>
          <w:cantSplit/>
          <w:trHeight w:val="240"/>
        </w:trPr>
        <w:tc>
          <w:tcPr>
            <w:tcW w:w="2091" w:type="dxa"/>
            <w:vMerge/>
            <w:vAlign w:val="center"/>
            <w:hideMark/>
          </w:tcPr>
          <w:p w14:paraId="5947ECC3"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3752E5D5"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A42B2</w:t>
            </w:r>
          </w:p>
        </w:tc>
        <w:tc>
          <w:tcPr>
            <w:tcW w:w="5274" w:type="dxa"/>
            <w:tcBorders>
              <w:left w:val="nil"/>
            </w:tcBorders>
            <w:shd w:val="clear" w:color="auto" w:fill="auto"/>
            <w:vAlign w:val="center"/>
            <w:hideMark/>
          </w:tcPr>
          <w:p w14:paraId="0247F2ED"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Powder - Private Day Facilities</w:t>
            </w:r>
          </w:p>
        </w:tc>
        <w:tc>
          <w:tcPr>
            <w:tcW w:w="1468" w:type="dxa"/>
            <w:shd w:val="clear" w:color="auto" w:fill="auto"/>
            <w:noWrap/>
            <w:vAlign w:val="center"/>
            <w:hideMark/>
          </w:tcPr>
          <w:p w14:paraId="1D3F19B5"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$118.94</w:t>
            </w:r>
          </w:p>
        </w:tc>
      </w:tr>
      <w:tr w:rsidR="000C535A" w:rsidRPr="000C535A" w14:paraId="5F061589" w14:textId="77777777" w:rsidTr="000C535A">
        <w:trPr>
          <w:cantSplit/>
          <w:trHeight w:val="240"/>
        </w:trPr>
        <w:tc>
          <w:tcPr>
            <w:tcW w:w="2091" w:type="dxa"/>
            <w:vMerge/>
            <w:vAlign w:val="center"/>
            <w:hideMark/>
          </w:tcPr>
          <w:p w14:paraId="18FB18C7"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73F24E7A"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A42B3</w:t>
            </w:r>
          </w:p>
        </w:tc>
        <w:tc>
          <w:tcPr>
            <w:tcW w:w="5274" w:type="dxa"/>
            <w:tcBorders>
              <w:left w:val="nil"/>
            </w:tcBorders>
            <w:shd w:val="clear" w:color="auto" w:fill="auto"/>
            <w:vAlign w:val="center"/>
            <w:hideMark/>
          </w:tcPr>
          <w:p w14:paraId="31B98366"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Powder - Public Facilities</w:t>
            </w:r>
          </w:p>
        </w:tc>
        <w:tc>
          <w:tcPr>
            <w:tcW w:w="1468" w:type="dxa"/>
            <w:shd w:val="clear" w:color="auto" w:fill="auto"/>
            <w:noWrap/>
            <w:vAlign w:val="center"/>
            <w:hideMark/>
          </w:tcPr>
          <w:p w14:paraId="34F2BB3E"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$97.73</w:t>
            </w:r>
          </w:p>
        </w:tc>
      </w:tr>
      <w:tr w:rsidR="000C535A" w:rsidRPr="000C535A" w14:paraId="45FFC264" w14:textId="77777777" w:rsidTr="000C535A">
        <w:trPr>
          <w:cantSplit/>
          <w:trHeight w:val="240"/>
        </w:trPr>
        <w:tc>
          <w:tcPr>
            <w:tcW w:w="2091" w:type="dxa"/>
            <w:vMerge w:val="restart"/>
            <w:shd w:val="clear" w:color="auto" w:fill="auto"/>
            <w:vAlign w:val="center"/>
            <w:hideMark/>
          </w:tcPr>
          <w:p w14:paraId="735DC9D2"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A43</w:t>
            </w:r>
          </w:p>
          <w:p w14:paraId="077504B6" w14:textId="0C59FD79"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Sponges</w:t>
            </w:r>
          </w:p>
        </w:tc>
        <w:tc>
          <w:tcPr>
            <w:tcW w:w="895" w:type="dxa"/>
            <w:tcBorders>
              <w:right w:val="nil"/>
            </w:tcBorders>
            <w:shd w:val="clear" w:color="auto" w:fill="auto"/>
            <w:noWrap/>
            <w:vAlign w:val="center"/>
            <w:hideMark/>
          </w:tcPr>
          <w:p w14:paraId="2F4268B9"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A43B1</w:t>
            </w:r>
          </w:p>
        </w:tc>
        <w:tc>
          <w:tcPr>
            <w:tcW w:w="5274" w:type="dxa"/>
            <w:tcBorders>
              <w:left w:val="nil"/>
            </w:tcBorders>
            <w:shd w:val="clear" w:color="auto" w:fill="auto"/>
            <w:vAlign w:val="center"/>
            <w:hideMark/>
          </w:tcPr>
          <w:p w14:paraId="21B85A4D"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Sponges - Private Overnight Facilities</w:t>
            </w:r>
          </w:p>
        </w:tc>
        <w:tc>
          <w:tcPr>
            <w:tcW w:w="1468" w:type="dxa"/>
            <w:shd w:val="clear" w:color="auto" w:fill="auto"/>
            <w:noWrap/>
            <w:vAlign w:val="center"/>
            <w:hideMark/>
          </w:tcPr>
          <w:p w14:paraId="386CEE53"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$12.88</w:t>
            </w:r>
          </w:p>
        </w:tc>
      </w:tr>
      <w:tr w:rsidR="000C535A" w:rsidRPr="000C535A" w14:paraId="73D2020C" w14:textId="77777777" w:rsidTr="000C535A">
        <w:trPr>
          <w:cantSplit/>
          <w:trHeight w:val="240"/>
        </w:trPr>
        <w:tc>
          <w:tcPr>
            <w:tcW w:w="2091" w:type="dxa"/>
            <w:vMerge/>
            <w:vAlign w:val="center"/>
            <w:hideMark/>
          </w:tcPr>
          <w:p w14:paraId="7FD140CE"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19B00DCF"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A43B2</w:t>
            </w:r>
          </w:p>
        </w:tc>
        <w:tc>
          <w:tcPr>
            <w:tcW w:w="5274" w:type="dxa"/>
            <w:tcBorders>
              <w:left w:val="nil"/>
            </w:tcBorders>
            <w:shd w:val="clear" w:color="auto" w:fill="auto"/>
            <w:vAlign w:val="center"/>
            <w:hideMark/>
          </w:tcPr>
          <w:p w14:paraId="120E7221"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Sponges - Private Day Facilities</w:t>
            </w:r>
          </w:p>
        </w:tc>
        <w:tc>
          <w:tcPr>
            <w:tcW w:w="1468" w:type="dxa"/>
            <w:shd w:val="clear" w:color="auto" w:fill="auto"/>
            <w:noWrap/>
            <w:vAlign w:val="center"/>
            <w:hideMark/>
          </w:tcPr>
          <w:p w14:paraId="4F3D0ABE"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$14.05</w:t>
            </w:r>
          </w:p>
        </w:tc>
      </w:tr>
      <w:tr w:rsidR="000C535A" w:rsidRPr="000C535A" w14:paraId="1EAA918B" w14:textId="77777777" w:rsidTr="000C535A">
        <w:trPr>
          <w:cantSplit/>
          <w:trHeight w:val="240"/>
        </w:trPr>
        <w:tc>
          <w:tcPr>
            <w:tcW w:w="2091" w:type="dxa"/>
            <w:vMerge/>
            <w:vAlign w:val="center"/>
            <w:hideMark/>
          </w:tcPr>
          <w:p w14:paraId="5AA57D32"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19C0C44D"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A43B3</w:t>
            </w:r>
          </w:p>
        </w:tc>
        <w:tc>
          <w:tcPr>
            <w:tcW w:w="5274" w:type="dxa"/>
            <w:tcBorders>
              <w:left w:val="nil"/>
            </w:tcBorders>
            <w:shd w:val="clear" w:color="auto" w:fill="auto"/>
            <w:vAlign w:val="center"/>
            <w:hideMark/>
          </w:tcPr>
          <w:p w14:paraId="13378F59"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Sponges - Public Facilities</w:t>
            </w:r>
          </w:p>
        </w:tc>
        <w:tc>
          <w:tcPr>
            <w:tcW w:w="1468" w:type="dxa"/>
            <w:shd w:val="clear" w:color="auto" w:fill="auto"/>
            <w:noWrap/>
            <w:vAlign w:val="center"/>
            <w:hideMark/>
          </w:tcPr>
          <w:p w14:paraId="558306D9"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$18.87</w:t>
            </w:r>
          </w:p>
        </w:tc>
      </w:tr>
      <w:tr w:rsidR="000C535A" w:rsidRPr="000C535A" w14:paraId="2B6D7D29" w14:textId="77777777" w:rsidTr="000C535A">
        <w:trPr>
          <w:cantSplit/>
          <w:trHeight w:val="240"/>
        </w:trPr>
        <w:tc>
          <w:tcPr>
            <w:tcW w:w="2091" w:type="dxa"/>
            <w:vMerge w:val="restart"/>
            <w:shd w:val="clear" w:color="auto" w:fill="auto"/>
            <w:vAlign w:val="center"/>
            <w:hideMark/>
          </w:tcPr>
          <w:p w14:paraId="729B0A67"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A44</w:t>
            </w:r>
          </w:p>
          <w:p w14:paraId="109E4BC1" w14:textId="59A6E48E"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Pliable Patches</w:t>
            </w:r>
          </w:p>
        </w:tc>
        <w:tc>
          <w:tcPr>
            <w:tcW w:w="895" w:type="dxa"/>
            <w:tcBorders>
              <w:right w:val="nil"/>
            </w:tcBorders>
            <w:shd w:val="clear" w:color="auto" w:fill="auto"/>
            <w:noWrap/>
            <w:vAlign w:val="center"/>
            <w:hideMark/>
          </w:tcPr>
          <w:p w14:paraId="23CCDED1"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A44B1</w:t>
            </w:r>
          </w:p>
        </w:tc>
        <w:tc>
          <w:tcPr>
            <w:tcW w:w="5274" w:type="dxa"/>
            <w:tcBorders>
              <w:left w:val="nil"/>
            </w:tcBorders>
            <w:shd w:val="clear" w:color="auto" w:fill="auto"/>
            <w:vAlign w:val="center"/>
            <w:hideMark/>
          </w:tcPr>
          <w:p w14:paraId="058CB825"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Pliable Patches - Private Overnight Facilities</w:t>
            </w:r>
          </w:p>
        </w:tc>
        <w:tc>
          <w:tcPr>
            <w:tcW w:w="1468" w:type="dxa"/>
            <w:shd w:val="clear" w:color="auto" w:fill="auto"/>
            <w:noWrap/>
            <w:vAlign w:val="center"/>
            <w:hideMark/>
          </w:tcPr>
          <w:p w14:paraId="02810A1C"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$62.47</w:t>
            </w:r>
          </w:p>
        </w:tc>
      </w:tr>
      <w:tr w:rsidR="000C535A" w:rsidRPr="000C535A" w14:paraId="36CEE8E7" w14:textId="77777777" w:rsidTr="000C535A">
        <w:trPr>
          <w:cantSplit/>
          <w:trHeight w:val="240"/>
        </w:trPr>
        <w:tc>
          <w:tcPr>
            <w:tcW w:w="2091" w:type="dxa"/>
            <w:vMerge/>
            <w:vAlign w:val="center"/>
            <w:hideMark/>
          </w:tcPr>
          <w:p w14:paraId="22674F16"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7051CA84"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A44B2</w:t>
            </w:r>
          </w:p>
        </w:tc>
        <w:tc>
          <w:tcPr>
            <w:tcW w:w="5274" w:type="dxa"/>
            <w:tcBorders>
              <w:left w:val="nil"/>
            </w:tcBorders>
            <w:shd w:val="clear" w:color="auto" w:fill="auto"/>
            <w:vAlign w:val="center"/>
            <w:hideMark/>
          </w:tcPr>
          <w:p w14:paraId="0CD32DC1"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Pliable Patches - Private Day Facilities</w:t>
            </w:r>
          </w:p>
        </w:tc>
        <w:tc>
          <w:tcPr>
            <w:tcW w:w="1468" w:type="dxa"/>
            <w:shd w:val="clear" w:color="auto" w:fill="auto"/>
            <w:noWrap/>
            <w:vAlign w:val="center"/>
            <w:hideMark/>
          </w:tcPr>
          <w:p w14:paraId="1C8F0C13"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$36.24</w:t>
            </w:r>
          </w:p>
        </w:tc>
      </w:tr>
      <w:tr w:rsidR="000C535A" w:rsidRPr="000C535A" w14:paraId="1B4A2727" w14:textId="77777777" w:rsidTr="000C535A">
        <w:trPr>
          <w:cantSplit/>
          <w:trHeight w:val="240"/>
        </w:trPr>
        <w:tc>
          <w:tcPr>
            <w:tcW w:w="2091" w:type="dxa"/>
            <w:vMerge/>
            <w:vAlign w:val="center"/>
            <w:hideMark/>
          </w:tcPr>
          <w:p w14:paraId="3AC9C201"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69248344"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A44B3</w:t>
            </w:r>
          </w:p>
        </w:tc>
        <w:tc>
          <w:tcPr>
            <w:tcW w:w="5274" w:type="dxa"/>
            <w:tcBorders>
              <w:left w:val="nil"/>
            </w:tcBorders>
            <w:shd w:val="clear" w:color="auto" w:fill="auto"/>
            <w:vAlign w:val="center"/>
            <w:hideMark/>
          </w:tcPr>
          <w:p w14:paraId="38CCBEEA"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Pliable Patches - Public Facilities</w:t>
            </w:r>
          </w:p>
        </w:tc>
        <w:tc>
          <w:tcPr>
            <w:tcW w:w="1468" w:type="dxa"/>
            <w:shd w:val="clear" w:color="auto" w:fill="auto"/>
            <w:noWrap/>
            <w:vAlign w:val="center"/>
            <w:hideMark/>
          </w:tcPr>
          <w:p w14:paraId="21C4F079"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$63.56</w:t>
            </w:r>
          </w:p>
        </w:tc>
      </w:tr>
      <w:tr w:rsidR="000C535A" w:rsidRPr="000C535A" w14:paraId="2119DC69" w14:textId="77777777" w:rsidTr="000C535A">
        <w:trPr>
          <w:cantSplit/>
          <w:trHeight w:val="240"/>
        </w:trPr>
        <w:tc>
          <w:tcPr>
            <w:tcW w:w="2091" w:type="dxa"/>
            <w:vMerge w:val="restart"/>
            <w:shd w:val="clear" w:color="auto" w:fill="auto"/>
            <w:vAlign w:val="center"/>
            <w:hideMark/>
          </w:tcPr>
          <w:p w14:paraId="2345A73F"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A45</w:t>
            </w:r>
          </w:p>
          <w:p w14:paraId="06CCCACE" w14:textId="130789FF"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Matrix</w:t>
            </w:r>
          </w:p>
        </w:tc>
        <w:tc>
          <w:tcPr>
            <w:tcW w:w="895" w:type="dxa"/>
            <w:tcBorders>
              <w:right w:val="nil"/>
            </w:tcBorders>
            <w:shd w:val="clear" w:color="auto" w:fill="auto"/>
            <w:noWrap/>
            <w:vAlign w:val="center"/>
            <w:hideMark/>
          </w:tcPr>
          <w:p w14:paraId="798CE6D2"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A45B1</w:t>
            </w:r>
          </w:p>
        </w:tc>
        <w:tc>
          <w:tcPr>
            <w:tcW w:w="5274" w:type="dxa"/>
            <w:tcBorders>
              <w:left w:val="nil"/>
            </w:tcBorders>
            <w:shd w:val="clear" w:color="auto" w:fill="auto"/>
            <w:vAlign w:val="center"/>
            <w:hideMark/>
          </w:tcPr>
          <w:p w14:paraId="2D800A04"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Matrix - Private Overnight Facilities</w:t>
            </w:r>
          </w:p>
        </w:tc>
        <w:tc>
          <w:tcPr>
            <w:tcW w:w="1468" w:type="dxa"/>
            <w:shd w:val="clear" w:color="auto" w:fill="auto"/>
            <w:noWrap/>
            <w:vAlign w:val="center"/>
            <w:hideMark/>
          </w:tcPr>
          <w:p w14:paraId="240CFB85"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$700.89</w:t>
            </w:r>
          </w:p>
        </w:tc>
      </w:tr>
      <w:tr w:rsidR="000C535A" w:rsidRPr="000C535A" w14:paraId="427BD770" w14:textId="77777777" w:rsidTr="000C535A">
        <w:trPr>
          <w:cantSplit/>
          <w:trHeight w:val="240"/>
        </w:trPr>
        <w:tc>
          <w:tcPr>
            <w:tcW w:w="2091" w:type="dxa"/>
            <w:vMerge/>
            <w:vAlign w:val="center"/>
            <w:hideMark/>
          </w:tcPr>
          <w:p w14:paraId="7829595F"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65567850"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A45B2</w:t>
            </w:r>
          </w:p>
        </w:tc>
        <w:tc>
          <w:tcPr>
            <w:tcW w:w="5274" w:type="dxa"/>
            <w:tcBorders>
              <w:left w:val="nil"/>
            </w:tcBorders>
            <w:shd w:val="clear" w:color="auto" w:fill="auto"/>
            <w:vAlign w:val="center"/>
            <w:hideMark/>
          </w:tcPr>
          <w:p w14:paraId="415276FE"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Matrix - Private Day Facilities</w:t>
            </w:r>
          </w:p>
        </w:tc>
        <w:tc>
          <w:tcPr>
            <w:tcW w:w="1468" w:type="dxa"/>
            <w:shd w:val="clear" w:color="auto" w:fill="auto"/>
            <w:noWrap/>
            <w:vAlign w:val="center"/>
            <w:hideMark/>
          </w:tcPr>
          <w:p w14:paraId="13ABD7A0"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$440.11</w:t>
            </w:r>
          </w:p>
        </w:tc>
      </w:tr>
      <w:tr w:rsidR="000C535A" w:rsidRPr="000C535A" w14:paraId="43098320" w14:textId="77777777" w:rsidTr="000C535A">
        <w:trPr>
          <w:cantSplit/>
          <w:trHeight w:val="240"/>
        </w:trPr>
        <w:tc>
          <w:tcPr>
            <w:tcW w:w="2091" w:type="dxa"/>
            <w:vMerge/>
            <w:vAlign w:val="center"/>
            <w:hideMark/>
          </w:tcPr>
          <w:p w14:paraId="2404B403"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637AA623"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A45B3</w:t>
            </w:r>
          </w:p>
        </w:tc>
        <w:tc>
          <w:tcPr>
            <w:tcW w:w="5274" w:type="dxa"/>
            <w:tcBorders>
              <w:left w:val="nil"/>
            </w:tcBorders>
            <w:shd w:val="clear" w:color="auto" w:fill="auto"/>
            <w:vAlign w:val="center"/>
            <w:hideMark/>
          </w:tcPr>
          <w:p w14:paraId="73447EC1"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Matrix - Public Facilities</w:t>
            </w:r>
          </w:p>
        </w:tc>
        <w:tc>
          <w:tcPr>
            <w:tcW w:w="1468" w:type="dxa"/>
            <w:shd w:val="clear" w:color="auto" w:fill="auto"/>
            <w:noWrap/>
            <w:vAlign w:val="center"/>
            <w:hideMark/>
          </w:tcPr>
          <w:p w14:paraId="25BF9D7D"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$634.20</w:t>
            </w:r>
          </w:p>
        </w:tc>
      </w:tr>
      <w:tr w:rsidR="000C535A" w:rsidRPr="000C535A" w14:paraId="6C6599F0" w14:textId="77777777" w:rsidTr="000C535A">
        <w:trPr>
          <w:cantSplit/>
          <w:trHeight w:val="240"/>
        </w:trPr>
        <w:tc>
          <w:tcPr>
            <w:tcW w:w="2091" w:type="dxa"/>
            <w:vMerge w:val="restart"/>
            <w:shd w:val="clear" w:color="auto" w:fill="auto"/>
            <w:vAlign w:val="center"/>
            <w:hideMark/>
          </w:tcPr>
          <w:p w14:paraId="4DF269E0"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A46</w:t>
            </w:r>
          </w:p>
          <w:p w14:paraId="5EF83DBC" w14:textId="7695051F"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Foam</w:t>
            </w:r>
          </w:p>
        </w:tc>
        <w:tc>
          <w:tcPr>
            <w:tcW w:w="895" w:type="dxa"/>
            <w:tcBorders>
              <w:right w:val="nil"/>
            </w:tcBorders>
            <w:shd w:val="clear" w:color="auto" w:fill="auto"/>
            <w:noWrap/>
            <w:vAlign w:val="center"/>
            <w:hideMark/>
          </w:tcPr>
          <w:p w14:paraId="746550B3"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A46B1</w:t>
            </w:r>
          </w:p>
        </w:tc>
        <w:tc>
          <w:tcPr>
            <w:tcW w:w="5274" w:type="dxa"/>
            <w:tcBorders>
              <w:left w:val="nil"/>
            </w:tcBorders>
            <w:shd w:val="clear" w:color="auto" w:fill="auto"/>
            <w:vAlign w:val="center"/>
            <w:hideMark/>
          </w:tcPr>
          <w:p w14:paraId="6DD5E972"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Foam - Private Overnight Facilities</w:t>
            </w:r>
          </w:p>
        </w:tc>
        <w:tc>
          <w:tcPr>
            <w:tcW w:w="1468" w:type="dxa"/>
            <w:shd w:val="clear" w:color="auto" w:fill="auto"/>
            <w:noWrap/>
            <w:vAlign w:val="center"/>
            <w:hideMark/>
          </w:tcPr>
          <w:p w14:paraId="4269B585"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$146.52</w:t>
            </w:r>
          </w:p>
        </w:tc>
      </w:tr>
      <w:tr w:rsidR="000C535A" w:rsidRPr="000C535A" w14:paraId="0958917E" w14:textId="77777777" w:rsidTr="000C535A">
        <w:trPr>
          <w:cantSplit/>
          <w:trHeight w:val="240"/>
        </w:trPr>
        <w:tc>
          <w:tcPr>
            <w:tcW w:w="2091" w:type="dxa"/>
            <w:vMerge/>
            <w:vAlign w:val="center"/>
            <w:hideMark/>
          </w:tcPr>
          <w:p w14:paraId="10CF783D"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02446CF1"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A46B2</w:t>
            </w:r>
          </w:p>
        </w:tc>
        <w:tc>
          <w:tcPr>
            <w:tcW w:w="5274" w:type="dxa"/>
            <w:tcBorders>
              <w:left w:val="nil"/>
            </w:tcBorders>
            <w:shd w:val="clear" w:color="auto" w:fill="auto"/>
            <w:vAlign w:val="center"/>
            <w:hideMark/>
          </w:tcPr>
          <w:p w14:paraId="1614168C"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Foam - Private Day Facilities</w:t>
            </w:r>
          </w:p>
        </w:tc>
        <w:tc>
          <w:tcPr>
            <w:tcW w:w="1468" w:type="dxa"/>
            <w:shd w:val="clear" w:color="auto" w:fill="auto"/>
            <w:noWrap/>
            <w:vAlign w:val="center"/>
            <w:hideMark/>
          </w:tcPr>
          <w:p w14:paraId="1BB1A6CC"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$164.00</w:t>
            </w:r>
          </w:p>
        </w:tc>
      </w:tr>
      <w:tr w:rsidR="000C535A" w:rsidRPr="000C535A" w14:paraId="0B836D7F" w14:textId="77777777" w:rsidTr="000C535A">
        <w:trPr>
          <w:cantSplit/>
          <w:trHeight w:val="240"/>
        </w:trPr>
        <w:tc>
          <w:tcPr>
            <w:tcW w:w="2091" w:type="dxa"/>
            <w:vMerge/>
            <w:vAlign w:val="center"/>
            <w:hideMark/>
          </w:tcPr>
          <w:p w14:paraId="25D236C9"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0C8C96B6"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A46B3</w:t>
            </w:r>
          </w:p>
        </w:tc>
        <w:tc>
          <w:tcPr>
            <w:tcW w:w="5274" w:type="dxa"/>
            <w:tcBorders>
              <w:left w:val="nil"/>
            </w:tcBorders>
            <w:shd w:val="clear" w:color="auto" w:fill="auto"/>
            <w:vAlign w:val="center"/>
            <w:hideMark/>
          </w:tcPr>
          <w:p w14:paraId="087E87DB"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Foam - Public Facilities</w:t>
            </w:r>
          </w:p>
        </w:tc>
        <w:tc>
          <w:tcPr>
            <w:tcW w:w="1468" w:type="dxa"/>
            <w:shd w:val="clear" w:color="auto" w:fill="auto"/>
            <w:noWrap/>
            <w:vAlign w:val="center"/>
            <w:hideMark/>
          </w:tcPr>
          <w:p w14:paraId="792E97D3"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$150.99</w:t>
            </w:r>
          </w:p>
        </w:tc>
      </w:tr>
      <w:tr w:rsidR="000C535A" w:rsidRPr="000C535A" w14:paraId="64C327ED" w14:textId="77777777" w:rsidTr="000C535A">
        <w:trPr>
          <w:cantSplit/>
          <w:trHeight w:val="240"/>
        </w:trPr>
        <w:tc>
          <w:tcPr>
            <w:tcW w:w="2091" w:type="dxa"/>
            <w:vMerge w:val="restart"/>
            <w:shd w:val="clear" w:color="auto" w:fill="auto"/>
            <w:vAlign w:val="center"/>
            <w:hideMark/>
          </w:tcPr>
          <w:p w14:paraId="44BD4BC0"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A49</w:t>
            </w:r>
          </w:p>
          <w:p w14:paraId="4C0C4DB8" w14:textId="623FCD8C"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Haemostatic Accessories</w:t>
            </w:r>
          </w:p>
        </w:tc>
        <w:tc>
          <w:tcPr>
            <w:tcW w:w="895" w:type="dxa"/>
            <w:tcBorders>
              <w:right w:val="nil"/>
            </w:tcBorders>
            <w:shd w:val="clear" w:color="auto" w:fill="auto"/>
            <w:noWrap/>
            <w:vAlign w:val="center"/>
            <w:hideMark/>
          </w:tcPr>
          <w:p w14:paraId="0F0E689C"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A49B1</w:t>
            </w:r>
          </w:p>
        </w:tc>
        <w:tc>
          <w:tcPr>
            <w:tcW w:w="5274" w:type="dxa"/>
            <w:tcBorders>
              <w:left w:val="nil"/>
            </w:tcBorders>
            <w:shd w:val="clear" w:color="auto" w:fill="auto"/>
            <w:vAlign w:val="center"/>
            <w:hideMark/>
          </w:tcPr>
          <w:p w14:paraId="36CFD734"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Haemostatic Accessories - Private Overnight Facilities</w:t>
            </w:r>
          </w:p>
        </w:tc>
        <w:tc>
          <w:tcPr>
            <w:tcW w:w="1468" w:type="dxa"/>
            <w:shd w:val="clear" w:color="auto" w:fill="auto"/>
            <w:noWrap/>
            <w:vAlign w:val="center"/>
            <w:hideMark/>
          </w:tcPr>
          <w:p w14:paraId="5E7FB803"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$29.05</w:t>
            </w:r>
          </w:p>
        </w:tc>
      </w:tr>
      <w:tr w:rsidR="000C535A" w:rsidRPr="000C535A" w14:paraId="4CE26199" w14:textId="77777777" w:rsidTr="000C535A">
        <w:trPr>
          <w:cantSplit/>
          <w:trHeight w:val="240"/>
        </w:trPr>
        <w:tc>
          <w:tcPr>
            <w:tcW w:w="2091" w:type="dxa"/>
            <w:vMerge/>
            <w:vAlign w:val="center"/>
            <w:hideMark/>
          </w:tcPr>
          <w:p w14:paraId="2DDF8AF6"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73E2CD5D"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A49B2</w:t>
            </w:r>
          </w:p>
        </w:tc>
        <w:tc>
          <w:tcPr>
            <w:tcW w:w="5274" w:type="dxa"/>
            <w:tcBorders>
              <w:left w:val="nil"/>
            </w:tcBorders>
            <w:shd w:val="clear" w:color="auto" w:fill="auto"/>
            <w:vAlign w:val="center"/>
            <w:hideMark/>
          </w:tcPr>
          <w:p w14:paraId="5EED6C5C"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Haemostatic Accessories - Private Day Facilities</w:t>
            </w:r>
          </w:p>
        </w:tc>
        <w:tc>
          <w:tcPr>
            <w:tcW w:w="1468" w:type="dxa"/>
            <w:shd w:val="clear" w:color="auto" w:fill="auto"/>
            <w:noWrap/>
            <w:vAlign w:val="center"/>
            <w:hideMark/>
          </w:tcPr>
          <w:p w14:paraId="5562DDC3"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$29.05</w:t>
            </w:r>
          </w:p>
        </w:tc>
      </w:tr>
      <w:tr w:rsidR="000C535A" w:rsidRPr="000C535A" w14:paraId="1C1142DA" w14:textId="77777777" w:rsidTr="000C535A">
        <w:trPr>
          <w:cantSplit/>
          <w:trHeight w:val="240"/>
        </w:trPr>
        <w:tc>
          <w:tcPr>
            <w:tcW w:w="2091" w:type="dxa"/>
            <w:vMerge/>
            <w:vAlign w:val="center"/>
            <w:hideMark/>
          </w:tcPr>
          <w:p w14:paraId="23C709AB"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25CAABDB"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A49B3</w:t>
            </w:r>
          </w:p>
        </w:tc>
        <w:tc>
          <w:tcPr>
            <w:tcW w:w="5274" w:type="dxa"/>
            <w:tcBorders>
              <w:left w:val="nil"/>
            </w:tcBorders>
            <w:shd w:val="clear" w:color="auto" w:fill="auto"/>
            <w:vAlign w:val="center"/>
            <w:hideMark/>
          </w:tcPr>
          <w:p w14:paraId="6B2FB604"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Haemostatic Accessories - Public Facilities</w:t>
            </w:r>
          </w:p>
        </w:tc>
        <w:tc>
          <w:tcPr>
            <w:tcW w:w="1468" w:type="dxa"/>
            <w:shd w:val="clear" w:color="auto" w:fill="auto"/>
            <w:noWrap/>
            <w:vAlign w:val="center"/>
            <w:hideMark/>
          </w:tcPr>
          <w:p w14:paraId="20669FE8"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$29.05</w:t>
            </w:r>
          </w:p>
        </w:tc>
      </w:tr>
      <w:tr w:rsidR="000C535A" w:rsidRPr="000C535A" w14:paraId="3D760C81" w14:textId="77777777" w:rsidTr="000C535A">
        <w:trPr>
          <w:cantSplit/>
          <w:trHeight w:val="240"/>
        </w:trPr>
        <w:tc>
          <w:tcPr>
            <w:tcW w:w="2091" w:type="dxa"/>
            <w:vMerge w:val="restart"/>
            <w:shd w:val="clear" w:color="auto" w:fill="auto"/>
            <w:vAlign w:val="center"/>
            <w:hideMark/>
          </w:tcPr>
          <w:p w14:paraId="2B5C72D3"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A51</w:t>
            </w:r>
          </w:p>
          <w:p w14:paraId="5D3E682E" w14:textId="5539F442"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Adhesion Barriers</w:t>
            </w:r>
          </w:p>
        </w:tc>
        <w:tc>
          <w:tcPr>
            <w:tcW w:w="895" w:type="dxa"/>
            <w:tcBorders>
              <w:right w:val="nil"/>
            </w:tcBorders>
            <w:shd w:val="clear" w:color="auto" w:fill="auto"/>
            <w:noWrap/>
            <w:vAlign w:val="center"/>
            <w:hideMark/>
          </w:tcPr>
          <w:p w14:paraId="3E2F9563"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A51B1</w:t>
            </w:r>
          </w:p>
        </w:tc>
        <w:tc>
          <w:tcPr>
            <w:tcW w:w="5274" w:type="dxa"/>
            <w:tcBorders>
              <w:left w:val="nil"/>
            </w:tcBorders>
            <w:shd w:val="clear" w:color="auto" w:fill="auto"/>
            <w:vAlign w:val="center"/>
            <w:hideMark/>
          </w:tcPr>
          <w:p w14:paraId="4282C74A"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Adhesion Barriers - Private Overnight Facilities</w:t>
            </w:r>
          </w:p>
        </w:tc>
        <w:tc>
          <w:tcPr>
            <w:tcW w:w="1468" w:type="dxa"/>
            <w:shd w:val="clear" w:color="auto" w:fill="auto"/>
            <w:noWrap/>
            <w:vAlign w:val="center"/>
            <w:hideMark/>
          </w:tcPr>
          <w:p w14:paraId="2E2430EF"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$467.76</w:t>
            </w:r>
          </w:p>
        </w:tc>
      </w:tr>
      <w:tr w:rsidR="000C535A" w:rsidRPr="000C535A" w14:paraId="55541712" w14:textId="77777777" w:rsidTr="000C535A">
        <w:trPr>
          <w:cantSplit/>
          <w:trHeight w:val="240"/>
        </w:trPr>
        <w:tc>
          <w:tcPr>
            <w:tcW w:w="2091" w:type="dxa"/>
            <w:vMerge/>
            <w:vAlign w:val="center"/>
            <w:hideMark/>
          </w:tcPr>
          <w:p w14:paraId="74CA75DF"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1618D105"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A51B2</w:t>
            </w:r>
          </w:p>
        </w:tc>
        <w:tc>
          <w:tcPr>
            <w:tcW w:w="5274" w:type="dxa"/>
            <w:tcBorders>
              <w:left w:val="nil"/>
            </w:tcBorders>
            <w:shd w:val="clear" w:color="auto" w:fill="auto"/>
            <w:vAlign w:val="center"/>
            <w:hideMark/>
          </w:tcPr>
          <w:p w14:paraId="51175A99"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Adhesion Barriers - Private Day Facilities</w:t>
            </w:r>
          </w:p>
        </w:tc>
        <w:tc>
          <w:tcPr>
            <w:tcW w:w="1468" w:type="dxa"/>
            <w:shd w:val="clear" w:color="auto" w:fill="auto"/>
            <w:noWrap/>
            <w:vAlign w:val="center"/>
            <w:hideMark/>
          </w:tcPr>
          <w:p w14:paraId="07FB78C0"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$223.04</w:t>
            </w:r>
          </w:p>
        </w:tc>
      </w:tr>
      <w:tr w:rsidR="000C535A" w:rsidRPr="000C535A" w14:paraId="1770A225" w14:textId="77777777" w:rsidTr="000C535A">
        <w:trPr>
          <w:cantSplit/>
          <w:trHeight w:val="240"/>
        </w:trPr>
        <w:tc>
          <w:tcPr>
            <w:tcW w:w="2091" w:type="dxa"/>
            <w:vMerge/>
            <w:vAlign w:val="center"/>
            <w:hideMark/>
          </w:tcPr>
          <w:p w14:paraId="1605E5A8"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7B4828E2"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A51B3</w:t>
            </w:r>
          </w:p>
        </w:tc>
        <w:tc>
          <w:tcPr>
            <w:tcW w:w="5274" w:type="dxa"/>
            <w:tcBorders>
              <w:left w:val="nil"/>
            </w:tcBorders>
            <w:shd w:val="clear" w:color="auto" w:fill="auto"/>
            <w:vAlign w:val="center"/>
            <w:hideMark/>
          </w:tcPr>
          <w:p w14:paraId="1A55518D"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Adhesion Barriers - Public Facilities</w:t>
            </w:r>
          </w:p>
        </w:tc>
        <w:tc>
          <w:tcPr>
            <w:tcW w:w="1468" w:type="dxa"/>
            <w:shd w:val="clear" w:color="auto" w:fill="auto"/>
            <w:noWrap/>
            <w:vAlign w:val="center"/>
            <w:hideMark/>
          </w:tcPr>
          <w:p w14:paraId="562653FB"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$467.76</w:t>
            </w:r>
          </w:p>
        </w:tc>
      </w:tr>
      <w:tr w:rsidR="000C535A" w:rsidRPr="000C535A" w14:paraId="40B7086B" w14:textId="77777777" w:rsidTr="000C535A">
        <w:trPr>
          <w:cantSplit/>
          <w:trHeight w:val="240"/>
        </w:trPr>
        <w:tc>
          <w:tcPr>
            <w:tcW w:w="2091" w:type="dxa"/>
            <w:vMerge w:val="restart"/>
            <w:shd w:val="clear" w:color="auto" w:fill="auto"/>
            <w:vAlign w:val="center"/>
            <w:hideMark/>
          </w:tcPr>
          <w:p w14:paraId="33548AB6"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A52</w:t>
            </w:r>
          </w:p>
          <w:p w14:paraId="570936BD" w14:textId="6DF38C26"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Internal Adhesives</w:t>
            </w:r>
          </w:p>
        </w:tc>
        <w:tc>
          <w:tcPr>
            <w:tcW w:w="895" w:type="dxa"/>
            <w:tcBorders>
              <w:right w:val="nil"/>
            </w:tcBorders>
            <w:shd w:val="clear" w:color="auto" w:fill="auto"/>
            <w:noWrap/>
            <w:vAlign w:val="center"/>
            <w:hideMark/>
          </w:tcPr>
          <w:p w14:paraId="1785CD93"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A52B1</w:t>
            </w:r>
          </w:p>
        </w:tc>
        <w:tc>
          <w:tcPr>
            <w:tcW w:w="5274" w:type="dxa"/>
            <w:tcBorders>
              <w:left w:val="nil"/>
            </w:tcBorders>
            <w:shd w:val="clear" w:color="auto" w:fill="auto"/>
            <w:vAlign w:val="center"/>
            <w:hideMark/>
          </w:tcPr>
          <w:p w14:paraId="032C3CE0"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Internal Adhesives - Private Overnight Facilities</w:t>
            </w:r>
          </w:p>
        </w:tc>
        <w:tc>
          <w:tcPr>
            <w:tcW w:w="1468" w:type="dxa"/>
            <w:shd w:val="clear" w:color="auto" w:fill="auto"/>
            <w:noWrap/>
            <w:vAlign w:val="center"/>
            <w:hideMark/>
          </w:tcPr>
          <w:p w14:paraId="532800E4"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$280.63</w:t>
            </w:r>
          </w:p>
        </w:tc>
      </w:tr>
      <w:tr w:rsidR="000C535A" w:rsidRPr="000C535A" w14:paraId="5C4E32EA" w14:textId="77777777" w:rsidTr="000C535A">
        <w:trPr>
          <w:cantSplit/>
          <w:trHeight w:val="240"/>
        </w:trPr>
        <w:tc>
          <w:tcPr>
            <w:tcW w:w="2091" w:type="dxa"/>
            <w:vMerge/>
            <w:vAlign w:val="center"/>
            <w:hideMark/>
          </w:tcPr>
          <w:p w14:paraId="48CAB654"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23C19CF8"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A52B2</w:t>
            </w:r>
          </w:p>
        </w:tc>
        <w:tc>
          <w:tcPr>
            <w:tcW w:w="5274" w:type="dxa"/>
            <w:tcBorders>
              <w:left w:val="nil"/>
            </w:tcBorders>
            <w:shd w:val="clear" w:color="auto" w:fill="auto"/>
            <w:vAlign w:val="center"/>
            <w:hideMark/>
          </w:tcPr>
          <w:p w14:paraId="55AF9183"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Internal Adhesives - Private Day Facilities</w:t>
            </w:r>
          </w:p>
        </w:tc>
        <w:tc>
          <w:tcPr>
            <w:tcW w:w="1468" w:type="dxa"/>
            <w:shd w:val="clear" w:color="auto" w:fill="auto"/>
            <w:noWrap/>
            <w:vAlign w:val="center"/>
            <w:hideMark/>
          </w:tcPr>
          <w:p w14:paraId="4B6E2A01"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$245.63</w:t>
            </w:r>
          </w:p>
        </w:tc>
      </w:tr>
      <w:tr w:rsidR="000C535A" w:rsidRPr="000C535A" w14:paraId="4C481E3B" w14:textId="77777777" w:rsidTr="000C535A">
        <w:trPr>
          <w:cantSplit/>
          <w:trHeight w:val="240"/>
        </w:trPr>
        <w:tc>
          <w:tcPr>
            <w:tcW w:w="2091" w:type="dxa"/>
            <w:vMerge/>
            <w:vAlign w:val="center"/>
            <w:hideMark/>
          </w:tcPr>
          <w:p w14:paraId="3F0430F2"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1ED68A02"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A52B3</w:t>
            </w:r>
          </w:p>
        </w:tc>
        <w:tc>
          <w:tcPr>
            <w:tcW w:w="5274" w:type="dxa"/>
            <w:tcBorders>
              <w:left w:val="nil"/>
            </w:tcBorders>
            <w:shd w:val="clear" w:color="auto" w:fill="auto"/>
            <w:vAlign w:val="center"/>
            <w:hideMark/>
          </w:tcPr>
          <w:p w14:paraId="27793D41"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Internal Adhesives - Public Facilities</w:t>
            </w:r>
          </w:p>
        </w:tc>
        <w:tc>
          <w:tcPr>
            <w:tcW w:w="1468" w:type="dxa"/>
            <w:shd w:val="clear" w:color="auto" w:fill="auto"/>
            <w:noWrap/>
            <w:vAlign w:val="center"/>
            <w:hideMark/>
          </w:tcPr>
          <w:p w14:paraId="712FA7E0"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$318.39</w:t>
            </w:r>
          </w:p>
        </w:tc>
      </w:tr>
      <w:tr w:rsidR="000C535A" w:rsidRPr="000C535A" w14:paraId="4CCA8FA6" w14:textId="77777777" w:rsidTr="000C535A">
        <w:trPr>
          <w:cantSplit/>
          <w:trHeight w:val="240"/>
        </w:trPr>
        <w:tc>
          <w:tcPr>
            <w:tcW w:w="2091" w:type="dxa"/>
            <w:vMerge w:val="restart"/>
            <w:shd w:val="clear" w:color="auto" w:fill="auto"/>
            <w:vAlign w:val="center"/>
            <w:hideMark/>
          </w:tcPr>
          <w:p w14:paraId="6694329B"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A53</w:t>
            </w:r>
          </w:p>
          <w:p w14:paraId="05BC9FF8" w14:textId="19763321"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Ligating Items</w:t>
            </w:r>
          </w:p>
        </w:tc>
        <w:tc>
          <w:tcPr>
            <w:tcW w:w="895" w:type="dxa"/>
            <w:tcBorders>
              <w:right w:val="nil"/>
            </w:tcBorders>
            <w:shd w:val="clear" w:color="auto" w:fill="auto"/>
            <w:noWrap/>
            <w:vAlign w:val="center"/>
            <w:hideMark/>
          </w:tcPr>
          <w:p w14:paraId="30519B1A"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A53B1</w:t>
            </w:r>
          </w:p>
        </w:tc>
        <w:tc>
          <w:tcPr>
            <w:tcW w:w="5274" w:type="dxa"/>
            <w:tcBorders>
              <w:left w:val="nil"/>
            </w:tcBorders>
            <w:shd w:val="clear" w:color="auto" w:fill="auto"/>
            <w:vAlign w:val="center"/>
            <w:hideMark/>
          </w:tcPr>
          <w:p w14:paraId="45B7FC27"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Ligating Items - Private Overnight Facilities</w:t>
            </w:r>
          </w:p>
        </w:tc>
        <w:tc>
          <w:tcPr>
            <w:tcW w:w="1468" w:type="dxa"/>
            <w:shd w:val="clear" w:color="auto" w:fill="auto"/>
            <w:noWrap/>
            <w:vAlign w:val="center"/>
            <w:hideMark/>
          </w:tcPr>
          <w:p w14:paraId="3E51377D"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$155.05</w:t>
            </w:r>
          </w:p>
        </w:tc>
      </w:tr>
      <w:tr w:rsidR="000C535A" w:rsidRPr="000C535A" w14:paraId="3F206901" w14:textId="77777777" w:rsidTr="000C535A">
        <w:trPr>
          <w:cantSplit/>
          <w:trHeight w:val="240"/>
        </w:trPr>
        <w:tc>
          <w:tcPr>
            <w:tcW w:w="2091" w:type="dxa"/>
            <w:vMerge/>
            <w:vAlign w:val="center"/>
            <w:hideMark/>
          </w:tcPr>
          <w:p w14:paraId="11F5B9F6"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1AEBC000"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A53B2</w:t>
            </w:r>
          </w:p>
        </w:tc>
        <w:tc>
          <w:tcPr>
            <w:tcW w:w="5274" w:type="dxa"/>
            <w:tcBorders>
              <w:left w:val="nil"/>
            </w:tcBorders>
            <w:shd w:val="clear" w:color="auto" w:fill="auto"/>
            <w:vAlign w:val="center"/>
            <w:hideMark/>
          </w:tcPr>
          <w:p w14:paraId="61318B3A"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Ligating Items - Private Day Facilities</w:t>
            </w:r>
          </w:p>
        </w:tc>
        <w:tc>
          <w:tcPr>
            <w:tcW w:w="1468" w:type="dxa"/>
            <w:shd w:val="clear" w:color="auto" w:fill="auto"/>
            <w:noWrap/>
            <w:vAlign w:val="center"/>
            <w:hideMark/>
          </w:tcPr>
          <w:p w14:paraId="44B717FF"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$182.70</w:t>
            </w:r>
          </w:p>
        </w:tc>
      </w:tr>
      <w:tr w:rsidR="000C535A" w:rsidRPr="000C535A" w14:paraId="4F0A6D09" w14:textId="77777777" w:rsidTr="000C535A">
        <w:trPr>
          <w:cantSplit/>
          <w:trHeight w:val="240"/>
        </w:trPr>
        <w:tc>
          <w:tcPr>
            <w:tcW w:w="2091" w:type="dxa"/>
            <w:vMerge/>
            <w:vAlign w:val="center"/>
            <w:hideMark/>
          </w:tcPr>
          <w:p w14:paraId="59691D42"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30945B46"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A53B3</w:t>
            </w:r>
          </w:p>
        </w:tc>
        <w:tc>
          <w:tcPr>
            <w:tcW w:w="5274" w:type="dxa"/>
            <w:tcBorders>
              <w:left w:val="nil"/>
            </w:tcBorders>
            <w:shd w:val="clear" w:color="auto" w:fill="auto"/>
            <w:vAlign w:val="center"/>
            <w:hideMark/>
          </w:tcPr>
          <w:p w14:paraId="467E4E4B"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Ligating Items - Public Facilities</w:t>
            </w:r>
          </w:p>
        </w:tc>
        <w:tc>
          <w:tcPr>
            <w:tcW w:w="1468" w:type="dxa"/>
            <w:shd w:val="clear" w:color="auto" w:fill="auto"/>
            <w:noWrap/>
            <w:vAlign w:val="center"/>
            <w:hideMark/>
          </w:tcPr>
          <w:p w14:paraId="768E601F"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$166.01</w:t>
            </w:r>
          </w:p>
        </w:tc>
      </w:tr>
      <w:tr w:rsidR="000C535A" w:rsidRPr="000C535A" w14:paraId="06668C0C" w14:textId="77777777" w:rsidTr="000C535A">
        <w:trPr>
          <w:cantSplit/>
          <w:trHeight w:val="240"/>
        </w:trPr>
        <w:tc>
          <w:tcPr>
            <w:tcW w:w="2091" w:type="dxa"/>
            <w:vMerge w:val="restart"/>
            <w:shd w:val="clear" w:color="auto" w:fill="auto"/>
            <w:vAlign w:val="center"/>
            <w:hideMark/>
          </w:tcPr>
          <w:p w14:paraId="6255C28D"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A54</w:t>
            </w:r>
          </w:p>
          <w:p w14:paraId="5E05E223" w14:textId="17563C58"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Staples and Tackers</w:t>
            </w:r>
          </w:p>
        </w:tc>
        <w:tc>
          <w:tcPr>
            <w:tcW w:w="895" w:type="dxa"/>
            <w:tcBorders>
              <w:right w:val="nil"/>
            </w:tcBorders>
            <w:shd w:val="clear" w:color="auto" w:fill="auto"/>
            <w:noWrap/>
            <w:vAlign w:val="center"/>
            <w:hideMark/>
          </w:tcPr>
          <w:p w14:paraId="22C139D3"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A54B1</w:t>
            </w:r>
          </w:p>
        </w:tc>
        <w:tc>
          <w:tcPr>
            <w:tcW w:w="5274" w:type="dxa"/>
            <w:tcBorders>
              <w:left w:val="nil"/>
            </w:tcBorders>
            <w:shd w:val="clear" w:color="auto" w:fill="auto"/>
            <w:vAlign w:val="center"/>
            <w:hideMark/>
          </w:tcPr>
          <w:p w14:paraId="69D416B6"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Staples and Tackers - Private Overnight Facilities</w:t>
            </w:r>
          </w:p>
        </w:tc>
        <w:tc>
          <w:tcPr>
            <w:tcW w:w="1468" w:type="dxa"/>
            <w:shd w:val="clear" w:color="auto" w:fill="auto"/>
            <w:noWrap/>
            <w:vAlign w:val="center"/>
            <w:hideMark/>
          </w:tcPr>
          <w:p w14:paraId="087833C4"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$1,614.97</w:t>
            </w:r>
          </w:p>
        </w:tc>
      </w:tr>
      <w:tr w:rsidR="000C535A" w:rsidRPr="000C535A" w14:paraId="4CC4721E" w14:textId="77777777" w:rsidTr="000C535A">
        <w:trPr>
          <w:cantSplit/>
          <w:trHeight w:val="240"/>
        </w:trPr>
        <w:tc>
          <w:tcPr>
            <w:tcW w:w="2091" w:type="dxa"/>
            <w:vMerge/>
            <w:vAlign w:val="center"/>
            <w:hideMark/>
          </w:tcPr>
          <w:p w14:paraId="2717516C"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449B6464"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A54B2</w:t>
            </w:r>
          </w:p>
        </w:tc>
        <w:tc>
          <w:tcPr>
            <w:tcW w:w="5274" w:type="dxa"/>
            <w:tcBorders>
              <w:left w:val="nil"/>
            </w:tcBorders>
            <w:shd w:val="clear" w:color="auto" w:fill="auto"/>
            <w:vAlign w:val="center"/>
            <w:hideMark/>
          </w:tcPr>
          <w:p w14:paraId="18672719"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Staples and Tackers - Private Day Facilities</w:t>
            </w:r>
          </w:p>
        </w:tc>
        <w:tc>
          <w:tcPr>
            <w:tcW w:w="1468" w:type="dxa"/>
            <w:shd w:val="clear" w:color="auto" w:fill="auto"/>
            <w:noWrap/>
            <w:vAlign w:val="center"/>
            <w:hideMark/>
          </w:tcPr>
          <w:p w14:paraId="4853AA98"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$579.47</w:t>
            </w:r>
          </w:p>
        </w:tc>
      </w:tr>
      <w:tr w:rsidR="000C535A" w:rsidRPr="000C535A" w14:paraId="23673617" w14:textId="77777777" w:rsidTr="000C535A">
        <w:trPr>
          <w:cantSplit/>
          <w:trHeight w:val="240"/>
        </w:trPr>
        <w:tc>
          <w:tcPr>
            <w:tcW w:w="2091" w:type="dxa"/>
            <w:vMerge/>
            <w:vAlign w:val="center"/>
            <w:hideMark/>
          </w:tcPr>
          <w:p w14:paraId="275ACE21"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61A28AAC"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A54B3</w:t>
            </w:r>
          </w:p>
        </w:tc>
        <w:tc>
          <w:tcPr>
            <w:tcW w:w="5274" w:type="dxa"/>
            <w:tcBorders>
              <w:left w:val="nil"/>
            </w:tcBorders>
            <w:shd w:val="clear" w:color="auto" w:fill="auto"/>
            <w:vAlign w:val="center"/>
            <w:hideMark/>
          </w:tcPr>
          <w:p w14:paraId="33AEDBA6"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Staples and Tackers - Public Facilities</w:t>
            </w:r>
          </w:p>
        </w:tc>
        <w:tc>
          <w:tcPr>
            <w:tcW w:w="1468" w:type="dxa"/>
            <w:shd w:val="clear" w:color="auto" w:fill="auto"/>
            <w:noWrap/>
            <w:vAlign w:val="center"/>
            <w:hideMark/>
          </w:tcPr>
          <w:p w14:paraId="562D501C"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$1,079.65</w:t>
            </w:r>
          </w:p>
        </w:tc>
      </w:tr>
      <w:tr w:rsidR="000C535A" w:rsidRPr="000C535A" w14:paraId="14700B3A" w14:textId="77777777" w:rsidTr="000C535A">
        <w:trPr>
          <w:cantSplit/>
          <w:trHeight w:val="240"/>
        </w:trPr>
        <w:tc>
          <w:tcPr>
            <w:tcW w:w="2091" w:type="dxa"/>
            <w:vMerge w:val="restart"/>
            <w:shd w:val="clear" w:color="auto" w:fill="auto"/>
            <w:vAlign w:val="center"/>
            <w:hideMark/>
          </w:tcPr>
          <w:p w14:paraId="6EE49C88"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A55</w:t>
            </w:r>
          </w:p>
          <w:p w14:paraId="4992C3C2" w14:textId="45D3F180"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Dura Repair, Liquid Sealants</w:t>
            </w:r>
          </w:p>
        </w:tc>
        <w:tc>
          <w:tcPr>
            <w:tcW w:w="895" w:type="dxa"/>
            <w:tcBorders>
              <w:right w:val="nil"/>
            </w:tcBorders>
            <w:shd w:val="clear" w:color="auto" w:fill="auto"/>
            <w:noWrap/>
            <w:vAlign w:val="center"/>
            <w:hideMark/>
          </w:tcPr>
          <w:p w14:paraId="1E6CB42F"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A55B1</w:t>
            </w:r>
          </w:p>
        </w:tc>
        <w:tc>
          <w:tcPr>
            <w:tcW w:w="5274" w:type="dxa"/>
            <w:tcBorders>
              <w:left w:val="nil"/>
            </w:tcBorders>
            <w:shd w:val="clear" w:color="auto" w:fill="auto"/>
            <w:vAlign w:val="center"/>
            <w:hideMark/>
          </w:tcPr>
          <w:p w14:paraId="4B492639"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Dura Repair, Liquid Sealants - Private Overnight Facilities</w:t>
            </w:r>
          </w:p>
        </w:tc>
        <w:tc>
          <w:tcPr>
            <w:tcW w:w="1468" w:type="dxa"/>
            <w:shd w:val="clear" w:color="auto" w:fill="auto"/>
            <w:noWrap/>
            <w:vAlign w:val="center"/>
            <w:hideMark/>
          </w:tcPr>
          <w:p w14:paraId="504C268F"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$683.61</w:t>
            </w:r>
          </w:p>
        </w:tc>
      </w:tr>
      <w:tr w:rsidR="000C535A" w:rsidRPr="000C535A" w14:paraId="52199F34" w14:textId="77777777" w:rsidTr="000C535A">
        <w:trPr>
          <w:cantSplit/>
          <w:trHeight w:val="240"/>
        </w:trPr>
        <w:tc>
          <w:tcPr>
            <w:tcW w:w="2091" w:type="dxa"/>
            <w:vMerge/>
            <w:vAlign w:val="center"/>
            <w:hideMark/>
          </w:tcPr>
          <w:p w14:paraId="296B6A4B"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18D977E5"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A55B2</w:t>
            </w:r>
          </w:p>
        </w:tc>
        <w:tc>
          <w:tcPr>
            <w:tcW w:w="5274" w:type="dxa"/>
            <w:tcBorders>
              <w:left w:val="nil"/>
            </w:tcBorders>
            <w:shd w:val="clear" w:color="auto" w:fill="auto"/>
            <w:vAlign w:val="center"/>
            <w:hideMark/>
          </w:tcPr>
          <w:p w14:paraId="69D94BF4"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Dura Repair, Liquid Sealants - Private Day Facilities</w:t>
            </w:r>
          </w:p>
        </w:tc>
        <w:tc>
          <w:tcPr>
            <w:tcW w:w="1468" w:type="dxa"/>
            <w:shd w:val="clear" w:color="auto" w:fill="auto"/>
            <w:noWrap/>
            <w:vAlign w:val="center"/>
            <w:hideMark/>
          </w:tcPr>
          <w:p w14:paraId="5043BF95"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$625.54</w:t>
            </w:r>
          </w:p>
        </w:tc>
      </w:tr>
      <w:tr w:rsidR="000C535A" w:rsidRPr="000C535A" w14:paraId="61F2F2E5" w14:textId="77777777" w:rsidTr="000C535A">
        <w:trPr>
          <w:cantSplit/>
          <w:trHeight w:val="240"/>
        </w:trPr>
        <w:tc>
          <w:tcPr>
            <w:tcW w:w="2091" w:type="dxa"/>
            <w:vMerge/>
            <w:vAlign w:val="center"/>
            <w:hideMark/>
          </w:tcPr>
          <w:p w14:paraId="3BFD7332"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05390ED3"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A55B3</w:t>
            </w:r>
          </w:p>
        </w:tc>
        <w:tc>
          <w:tcPr>
            <w:tcW w:w="5274" w:type="dxa"/>
            <w:tcBorders>
              <w:left w:val="nil"/>
            </w:tcBorders>
            <w:shd w:val="clear" w:color="auto" w:fill="auto"/>
            <w:vAlign w:val="center"/>
            <w:hideMark/>
          </w:tcPr>
          <w:p w14:paraId="78FA56F7"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Dura Repair, Liquid Sealants - Public Facilities</w:t>
            </w:r>
          </w:p>
        </w:tc>
        <w:tc>
          <w:tcPr>
            <w:tcW w:w="1468" w:type="dxa"/>
            <w:shd w:val="clear" w:color="auto" w:fill="auto"/>
            <w:noWrap/>
            <w:vAlign w:val="center"/>
            <w:hideMark/>
          </w:tcPr>
          <w:p w14:paraId="36E74947"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$683.61</w:t>
            </w:r>
          </w:p>
        </w:tc>
      </w:tr>
      <w:tr w:rsidR="000C535A" w:rsidRPr="000C535A" w14:paraId="097D7AA2" w14:textId="77777777" w:rsidTr="000C535A">
        <w:trPr>
          <w:cantSplit/>
          <w:trHeight w:val="240"/>
        </w:trPr>
        <w:tc>
          <w:tcPr>
            <w:tcW w:w="2091" w:type="dxa"/>
            <w:vMerge w:val="restart"/>
            <w:shd w:val="clear" w:color="auto" w:fill="auto"/>
            <w:vAlign w:val="center"/>
            <w:hideMark/>
          </w:tcPr>
          <w:p w14:paraId="7CA8F181"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A56</w:t>
            </w:r>
          </w:p>
          <w:p w14:paraId="405D2DAF" w14:textId="22DFBED7"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Dura Repair, Membrane Sealants</w:t>
            </w:r>
          </w:p>
        </w:tc>
        <w:tc>
          <w:tcPr>
            <w:tcW w:w="895" w:type="dxa"/>
            <w:tcBorders>
              <w:right w:val="nil"/>
            </w:tcBorders>
            <w:shd w:val="clear" w:color="auto" w:fill="auto"/>
            <w:noWrap/>
            <w:vAlign w:val="center"/>
            <w:hideMark/>
          </w:tcPr>
          <w:p w14:paraId="51AE5B07"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A56B1</w:t>
            </w:r>
          </w:p>
        </w:tc>
        <w:tc>
          <w:tcPr>
            <w:tcW w:w="5274" w:type="dxa"/>
            <w:tcBorders>
              <w:left w:val="nil"/>
            </w:tcBorders>
            <w:shd w:val="clear" w:color="auto" w:fill="auto"/>
            <w:vAlign w:val="center"/>
            <w:hideMark/>
          </w:tcPr>
          <w:p w14:paraId="28E70E2F"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Dura Repair, Membrane Sealants - Private Overnight Facilities</w:t>
            </w:r>
          </w:p>
        </w:tc>
        <w:tc>
          <w:tcPr>
            <w:tcW w:w="1468" w:type="dxa"/>
            <w:shd w:val="clear" w:color="auto" w:fill="auto"/>
            <w:noWrap/>
            <w:vAlign w:val="center"/>
            <w:hideMark/>
          </w:tcPr>
          <w:p w14:paraId="4317F777"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$378.50</w:t>
            </w:r>
          </w:p>
        </w:tc>
      </w:tr>
      <w:tr w:rsidR="000C535A" w:rsidRPr="000C535A" w14:paraId="6AE021FD" w14:textId="77777777" w:rsidTr="000C535A">
        <w:trPr>
          <w:cantSplit/>
          <w:trHeight w:val="240"/>
        </w:trPr>
        <w:tc>
          <w:tcPr>
            <w:tcW w:w="2091" w:type="dxa"/>
            <w:vMerge/>
            <w:vAlign w:val="center"/>
            <w:hideMark/>
          </w:tcPr>
          <w:p w14:paraId="2DD649A2"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10D388D9"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A56B2</w:t>
            </w:r>
          </w:p>
        </w:tc>
        <w:tc>
          <w:tcPr>
            <w:tcW w:w="5274" w:type="dxa"/>
            <w:tcBorders>
              <w:left w:val="nil"/>
            </w:tcBorders>
            <w:shd w:val="clear" w:color="auto" w:fill="auto"/>
            <w:vAlign w:val="center"/>
            <w:hideMark/>
          </w:tcPr>
          <w:p w14:paraId="1E359AC4"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Dura Repair, Membrane Sealants - Private Day Facilities</w:t>
            </w:r>
          </w:p>
        </w:tc>
        <w:tc>
          <w:tcPr>
            <w:tcW w:w="1468" w:type="dxa"/>
            <w:shd w:val="clear" w:color="auto" w:fill="auto"/>
            <w:noWrap/>
            <w:vAlign w:val="center"/>
            <w:hideMark/>
          </w:tcPr>
          <w:p w14:paraId="097F11F2"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$378.50</w:t>
            </w:r>
          </w:p>
        </w:tc>
      </w:tr>
      <w:tr w:rsidR="000C535A" w:rsidRPr="000C535A" w14:paraId="035F58FC" w14:textId="77777777" w:rsidTr="000C535A">
        <w:trPr>
          <w:cantSplit/>
          <w:trHeight w:val="240"/>
        </w:trPr>
        <w:tc>
          <w:tcPr>
            <w:tcW w:w="2091" w:type="dxa"/>
            <w:vMerge/>
            <w:vAlign w:val="center"/>
            <w:hideMark/>
          </w:tcPr>
          <w:p w14:paraId="3384E624"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0C7DB70B"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A56B3</w:t>
            </w:r>
          </w:p>
        </w:tc>
        <w:tc>
          <w:tcPr>
            <w:tcW w:w="5274" w:type="dxa"/>
            <w:tcBorders>
              <w:left w:val="nil"/>
            </w:tcBorders>
            <w:shd w:val="clear" w:color="auto" w:fill="auto"/>
            <w:vAlign w:val="center"/>
            <w:hideMark/>
          </w:tcPr>
          <w:p w14:paraId="4DE3CACE"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Dura Repair, Membrane Sealants - Public Facilities</w:t>
            </w:r>
          </w:p>
        </w:tc>
        <w:tc>
          <w:tcPr>
            <w:tcW w:w="1468" w:type="dxa"/>
            <w:shd w:val="clear" w:color="auto" w:fill="auto"/>
            <w:noWrap/>
            <w:vAlign w:val="center"/>
            <w:hideMark/>
          </w:tcPr>
          <w:p w14:paraId="36E82850"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$378.50</w:t>
            </w:r>
          </w:p>
        </w:tc>
      </w:tr>
      <w:tr w:rsidR="000C535A" w:rsidRPr="000C535A" w14:paraId="3358A32F" w14:textId="77777777" w:rsidTr="000C535A">
        <w:trPr>
          <w:cantSplit/>
          <w:trHeight w:val="240"/>
        </w:trPr>
        <w:tc>
          <w:tcPr>
            <w:tcW w:w="2091" w:type="dxa"/>
            <w:vMerge w:val="restart"/>
            <w:shd w:val="clear" w:color="auto" w:fill="auto"/>
            <w:vAlign w:val="center"/>
            <w:hideMark/>
          </w:tcPr>
          <w:p w14:paraId="58BBEB40"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A57</w:t>
            </w:r>
          </w:p>
          <w:p w14:paraId="7BE57FCE" w14:textId="29B9D20C"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Arterial Closure Items</w:t>
            </w:r>
          </w:p>
        </w:tc>
        <w:tc>
          <w:tcPr>
            <w:tcW w:w="895" w:type="dxa"/>
            <w:tcBorders>
              <w:right w:val="nil"/>
            </w:tcBorders>
            <w:shd w:val="clear" w:color="auto" w:fill="auto"/>
            <w:noWrap/>
            <w:vAlign w:val="center"/>
            <w:hideMark/>
          </w:tcPr>
          <w:p w14:paraId="2E64EDE2"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A57B1</w:t>
            </w:r>
          </w:p>
        </w:tc>
        <w:tc>
          <w:tcPr>
            <w:tcW w:w="5274" w:type="dxa"/>
            <w:tcBorders>
              <w:left w:val="nil"/>
            </w:tcBorders>
            <w:shd w:val="clear" w:color="auto" w:fill="auto"/>
            <w:vAlign w:val="center"/>
            <w:hideMark/>
          </w:tcPr>
          <w:p w14:paraId="7106CE3E"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Arterial Closure Items - Private Overnight Facilities</w:t>
            </w:r>
          </w:p>
        </w:tc>
        <w:tc>
          <w:tcPr>
            <w:tcW w:w="1468" w:type="dxa"/>
            <w:shd w:val="clear" w:color="auto" w:fill="auto"/>
            <w:noWrap/>
            <w:vAlign w:val="center"/>
            <w:hideMark/>
          </w:tcPr>
          <w:p w14:paraId="2D2303E1"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$414.66</w:t>
            </w:r>
          </w:p>
        </w:tc>
      </w:tr>
      <w:tr w:rsidR="000C535A" w:rsidRPr="000C535A" w14:paraId="4E11E4C2" w14:textId="77777777" w:rsidTr="000C535A">
        <w:trPr>
          <w:cantSplit/>
          <w:trHeight w:val="240"/>
        </w:trPr>
        <w:tc>
          <w:tcPr>
            <w:tcW w:w="2091" w:type="dxa"/>
            <w:vMerge/>
            <w:vAlign w:val="center"/>
            <w:hideMark/>
          </w:tcPr>
          <w:p w14:paraId="6A7910BF"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418464F3"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A57B2</w:t>
            </w:r>
          </w:p>
        </w:tc>
        <w:tc>
          <w:tcPr>
            <w:tcW w:w="5274" w:type="dxa"/>
            <w:tcBorders>
              <w:left w:val="nil"/>
            </w:tcBorders>
            <w:shd w:val="clear" w:color="auto" w:fill="auto"/>
            <w:vAlign w:val="center"/>
            <w:hideMark/>
          </w:tcPr>
          <w:p w14:paraId="0F2197E5"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Arterial Closure Items - Private Day Facilities</w:t>
            </w:r>
          </w:p>
        </w:tc>
        <w:tc>
          <w:tcPr>
            <w:tcW w:w="1468" w:type="dxa"/>
            <w:shd w:val="clear" w:color="auto" w:fill="auto"/>
            <w:noWrap/>
            <w:vAlign w:val="center"/>
            <w:hideMark/>
          </w:tcPr>
          <w:p w14:paraId="16CCE8F6"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$370.87</w:t>
            </w:r>
          </w:p>
        </w:tc>
      </w:tr>
      <w:tr w:rsidR="000C535A" w:rsidRPr="000C535A" w14:paraId="7173E318" w14:textId="77777777" w:rsidTr="000C535A">
        <w:trPr>
          <w:cantSplit/>
          <w:trHeight w:val="240"/>
        </w:trPr>
        <w:tc>
          <w:tcPr>
            <w:tcW w:w="2091" w:type="dxa"/>
            <w:vMerge/>
            <w:vAlign w:val="center"/>
            <w:hideMark/>
          </w:tcPr>
          <w:p w14:paraId="1F81B395"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4DD30B15"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A57B3</w:t>
            </w:r>
          </w:p>
        </w:tc>
        <w:tc>
          <w:tcPr>
            <w:tcW w:w="5274" w:type="dxa"/>
            <w:tcBorders>
              <w:left w:val="nil"/>
            </w:tcBorders>
            <w:shd w:val="clear" w:color="auto" w:fill="auto"/>
            <w:vAlign w:val="center"/>
            <w:hideMark/>
          </w:tcPr>
          <w:p w14:paraId="345D080F"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Arterial Closure Items - Public Facilities</w:t>
            </w:r>
          </w:p>
        </w:tc>
        <w:tc>
          <w:tcPr>
            <w:tcW w:w="1468" w:type="dxa"/>
            <w:shd w:val="clear" w:color="auto" w:fill="auto"/>
            <w:noWrap/>
            <w:vAlign w:val="center"/>
            <w:hideMark/>
          </w:tcPr>
          <w:p w14:paraId="700B02B6"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$371.44</w:t>
            </w:r>
          </w:p>
        </w:tc>
      </w:tr>
      <w:tr w:rsidR="000C535A" w:rsidRPr="000C535A" w14:paraId="5DDBB2FA" w14:textId="77777777" w:rsidTr="000C535A">
        <w:trPr>
          <w:cantSplit/>
          <w:trHeight w:val="240"/>
        </w:trPr>
        <w:tc>
          <w:tcPr>
            <w:tcW w:w="2091" w:type="dxa"/>
            <w:vMerge w:val="restart"/>
            <w:shd w:val="clear" w:color="auto" w:fill="auto"/>
            <w:vAlign w:val="center"/>
            <w:hideMark/>
          </w:tcPr>
          <w:p w14:paraId="69DD1736" w14:textId="77777777" w:rsid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A59</w:t>
            </w:r>
          </w:p>
          <w:p w14:paraId="05DC0DFA" w14:textId="089F7F23" w:rsidR="000C535A" w:rsidRPr="000C535A" w:rsidRDefault="000C535A" w:rsidP="000C535A">
            <w:pPr>
              <w:spacing w:before="120" w:after="120"/>
              <w:jc w:val="center"/>
              <w:rPr>
                <w:rFonts w:eastAsia="Times New Roman" w:cs="Arial"/>
                <w:color w:val="000000"/>
                <w:sz w:val="18"/>
                <w:szCs w:val="18"/>
                <w:lang w:val="en-AU" w:eastAsia="en-AU"/>
              </w:rPr>
            </w:pPr>
            <w:r w:rsidRPr="000C535A">
              <w:rPr>
                <w:rFonts w:eastAsia="Times New Roman" w:cs="Arial"/>
                <w:color w:val="000000"/>
                <w:sz w:val="18"/>
                <w:szCs w:val="18"/>
                <w:lang w:val="en-AU" w:eastAsia="en-AU"/>
              </w:rPr>
              <w:t>Closure Accessories</w:t>
            </w:r>
          </w:p>
        </w:tc>
        <w:tc>
          <w:tcPr>
            <w:tcW w:w="895" w:type="dxa"/>
            <w:tcBorders>
              <w:right w:val="nil"/>
            </w:tcBorders>
            <w:shd w:val="clear" w:color="auto" w:fill="auto"/>
            <w:noWrap/>
            <w:vAlign w:val="center"/>
            <w:hideMark/>
          </w:tcPr>
          <w:p w14:paraId="6610E5D7"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A59B1</w:t>
            </w:r>
          </w:p>
        </w:tc>
        <w:tc>
          <w:tcPr>
            <w:tcW w:w="5274" w:type="dxa"/>
            <w:tcBorders>
              <w:left w:val="nil"/>
            </w:tcBorders>
            <w:shd w:val="clear" w:color="auto" w:fill="auto"/>
            <w:vAlign w:val="center"/>
            <w:hideMark/>
          </w:tcPr>
          <w:p w14:paraId="314E67E3"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Closure Accessories - Private Overnight Facilities</w:t>
            </w:r>
          </w:p>
        </w:tc>
        <w:tc>
          <w:tcPr>
            <w:tcW w:w="1468" w:type="dxa"/>
            <w:shd w:val="clear" w:color="auto" w:fill="auto"/>
            <w:noWrap/>
            <w:vAlign w:val="center"/>
            <w:hideMark/>
          </w:tcPr>
          <w:p w14:paraId="27F42FD4"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$68.51</w:t>
            </w:r>
          </w:p>
        </w:tc>
      </w:tr>
      <w:tr w:rsidR="000C535A" w:rsidRPr="000C535A" w14:paraId="54345C59" w14:textId="77777777" w:rsidTr="000C535A">
        <w:trPr>
          <w:cantSplit/>
          <w:trHeight w:val="240"/>
        </w:trPr>
        <w:tc>
          <w:tcPr>
            <w:tcW w:w="2091" w:type="dxa"/>
            <w:vMerge/>
            <w:vAlign w:val="center"/>
            <w:hideMark/>
          </w:tcPr>
          <w:p w14:paraId="506E0E4A"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2927152F"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A59B2</w:t>
            </w:r>
          </w:p>
        </w:tc>
        <w:tc>
          <w:tcPr>
            <w:tcW w:w="5274" w:type="dxa"/>
            <w:tcBorders>
              <w:left w:val="nil"/>
            </w:tcBorders>
            <w:shd w:val="clear" w:color="auto" w:fill="auto"/>
            <w:vAlign w:val="center"/>
            <w:hideMark/>
          </w:tcPr>
          <w:p w14:paraId="5B647FEB"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Closure Accessories - Private Day Facilities</w:t>
            </w:r>
          </w:p>
        </w:tc>
        <w:tc>
          <w:tcPr>
            <w:tcW w:w="1468" w:type="dxa"/>
            <w:shd w:val="clear" w:color="auto" w:fill="auto"/>
            <w:noWrap/>
            <w:vAlign w:val="center"/>
            <w:hideMark/>
          </w:tcPr>
          <w:p w14:paraId="398C3E07"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$68.51</w:t>
            </w:r>
          </w:p>
        </w:tc>
      </w:tr>
      <w:tr w:rsidR="000C535A" w:rsidRPr="000C535A" w14:paraId="46E2BFA5" w14:textId="77777777" w:rsidTr="000C535A">
        <w:trPr>
          <w:cantSplit/>
          <w:trHeight w:val="240"/>
        </w:trPr>
        <w:tc>
          <w:tcPr>
            <w:tcW w:w="2091" w:type="dxa"/>
            <w:vMerge/>
            <w:vAlign w:val="center"/>
            <w:hideMark/>
          </w:tcPr>
          <w:p w14:paraId="77C798F2" w14:textId="77777777" w:rsidR="000C535A" w:rsidRPr="000C535A" w:rsidRDefault="000C535A" w:rsidP="000C535A">
            <w:pPr>
              <w:spacing w:before="120" w:after="120"/>
              <w:jc w:val="center"/>
              <w:rPr>
                <w:rFonts w:eastAsia="Times New Roman" w:cs="Arial"/>
                <w:color w:val="000000"/>
                <w:sz w:val="18"/>
                <w:szCs w:val="18"/>
                <w:lang w:val="en-AU" w:eastAsia="en-AU"/>
              </w:rPr>
            </w:pPr>
          </w:p>
        </w:tc>
        <w:tc>
          <w:tcPr>
            <w:tcW w:w="895" w:type="dxa"/>
            <w:tcBorders>
              <w:right w:val="nil"/>
            </w:tcBorders>
            <w:shd w:val="clear" w:color="auto" w:fill="auto"/>
            <w:noWrap/>
            <w:vAlign w:val="center"/>
            <w:hideMark/>
          </w:tcPr>
          <w:p w14:paraId="3F437B38"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A59B3</w:t>
            </w:r>
          </w:p>
        </w:tc>
        <w:tc>
          <w:tcPr>
            <w:tcW w:w="5274" w:type="dxa"/>
            <w:tcBorders>
              <w:left w:val="nil"/>
            </w:tcBorders>
            <w:shd w:val="clear" w:color="auto" w:fill="auto"/>
            <w:vAlign w:val="center"/>
            <w:hideMark/>
          </w:tcPr>
          <w:p w14:paraId="1ADADE33" w14:textId="77777777" w:rsidR="000C535A" w:rsidRPr="000C535A" w:rsidRDefault="000C535A" w:rsidP="000C535A">
            <w:pPr>
              <w:spacing w:before="120" w:after="120"/>
              <w:rPr>
                <w:rFonts w:eastAsia="Times New Roman" w:cs="Arial"/>
                <w:color w:val="000000"/>
                <w:sz w:val="18"/>
                <w:szCs w:val="18"/>
                <w:lang w:val="en-AU" w:eastAsia="en-AU"/>
              </w:rPr>
            </w:pPr>
            <w:r w:rsidRPr="000C535A">
              <w:rPr>
                <w:rFonts w:eastAsia="Times New Roman" w:cs="Arial"/>
                <w:color w:val="000000"/>
                <w:sz w:val="18"/>
                <w:szCs w:val="18"/>
                <w:lang w:val="en-AU" w:eastAsia="en-AU"/>
              </w:rPr>
              <w:t>Closure Accessories - Public Facilities</w:t>
            </w:r>
          </w:p>
        </w:tc>
        <w:tc>
          <w:tcPr>
            <w:tcW w:w="1468" w:type="dxa"/>
            <w:shd w:val="clear" w:color="auto" w:fill="auto"/>
            <w:noWrap/>
            <w:vAlign w:val="center"/>
            <w:hideMark/>
          </w:tcPr>
          <w:p w14:paraId="598B0F9C" w14:textId="77777777" w:rsidR="000C535A" w:rsidRPr="000C535A" w:rsidRDefault="000C535A" w:rsidP="000C535A">
            <w:pPr>
              <w:spacing w:before="120" w:after="120"/>
              <w:jc w:val="right"/>
              <w:rPr>
                <w:rFonts w:eastAsia="Times New Roman" w:cs="Arial"/>
                <w:color w:val="000000"/>
                <w:sz w:val="18"/>
                <w:szCs w:val="18"/>
                <w:lang w:val="en-AU" w:eastAsia="en-AU"/>
              </w:rPr>
            </w:pPr>
            <w:r w:rsidRPr="000C535A">
              <w:rPr>
                <w:rFonts w:eastAsia="Times New Roman" w:cs="Arial"/>
                <w:color w:val="000000"/>
                <w:sz w:val="18"/>
                <w:szCs w:val="18"/>
                <w:lang w:val="en-AU" w:eastAsia="en-AU"/>
              </w:rPr>
              <w:t>$64.56</w:t>
            </w:r>
          </w:p>
        </w:tc>
      </w:tr>
    </w:tbl>
    <w:p w14:paraId="7CF8C20E" w14:textId="77777777" w:rsidR="003D725B" w:rsidRDefault="003D725B" w:rsidP="008A5E4F"/>
    <w:p w14:paraId="44605E4D" w14:textId="0D35A97F" w:rsidR="008A5E4F" w:rsidRDefault="008A5E4F" w:rsidP="008A5E4F"/>
    <w:p w14:paraId="5EB42568" w14:textId="77777777" w:rsidR="006832C4" w:rsidRDefault="006832C4" w:rsidP="008A5E4F"/>
    <w:p w14:paraId="109DCED8" w14:textId="77777777" w:rsidR="006832C4" w:rsidRDefault="006832C4">
      <w:pPr>
        <w:spacing w:line="259" w:lineRule="auto"/>
        <w:rPr>
          <w:rFonts w:eastAsiaTheme="majorEastAsia" w:cstheme="majorBidi"/>
          <w:iCs/>
          <w:color w:val="008F55" w:themeColor="accent4"/>
        </w:rPr>
      </w:pPr>
      <w:r>
        <w:br w:type="page"/>
      </w:r>
    </w:p>
    <w:p w14:paraId="5A6127FD" w14:textId="26FB4549" w:rsidR="00B0651F" w:rsidRDefault="00B0651F" w:rsidP="006832C4">
      <w:pPr>
        <w:pStyle w:val="TableFigureheading"/>
      </w:pPr>
      <w:r>
        <w:t>Table A4: Definition of Major Diagnostic Category Grouping</w:t>
      </w:r>
      <w:r w:rsidR="00A8259D">
        <w:t>s</w:t>
      </w:r>
      <w:r>
        <w:t xml:space="preserve"> </w:t>
      </w:r>
      <w:r w:rsidR="00A8259D">
        <w:t xml:space="preserve">for </w:t>
      </w:r>
      <w:r>
        <w:t>General Use Item Bundles</w:t>
      </w:r>
    </w:p>
    <w:tbl>
      <w:tblPr>
        <w:tblW w:w="13462" w:type="dxa"/>
        <w:tbl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insideH w:val="single" w:sz="4" w:space="0" w:color="808080" w:themeColor="background2" w:themeShade="80"/>
          <w:insideV w:val="single" w:sz="4" w:space="0" w:color="808080" w:themeColor="background2" w:themeShade="80"/>
        </w:tblBorders>
        <w:tblLook w:val="04A0" w:firstRow="1" w:lastRow="0" w:firstColumn="1" w:lastColumn="0" w:noHBand="0" w:noVBand="1"/>
        <w:tblDescription w:val="Table A4 shows the Definition of Major Diagnostic Groupings for General Use Item Bundles through a table with four columns: Product Class, Bundle Variant, Grouping of MDCs and Grouping of DRG first characters.  "/>
      </w:tblPr>
      <w:tblGrid>
        <w:gridCol w:w="1684"/>
        <w:gridCol w:w="767"/>
        <w:gridCol w:w="3781"/>
        <w:gridCol w:w="3828"/>
        <w:gridCol w:w="3402"/>
      </w:tblGrid>
      <w:tr w:rsidR="00EE1EF4" w:rsidRPr="006832C4" w14:paraId="1A048A39" w14:textId="77777777" w:rsidTr="00EE1EF4">
        <w:trPr>
          <w:cantSplit/>
          <w:trHeight w:val="240"/>
          <w:tblHeader/>
        </w:trPr>
        <w:tc>
          <w:tcPr>
            <w:tcW w:w="1684" w:type="dxa"/>
            <w:tcBorders>
              <w:right w:val="single" w:sz="4" w:space="0" w:color="FFFFFF" w:themeColor="background2"/>
            </w:tcBorders>
            <w:shd w:val="clear" w:color="auto" w:fill="104F99" w:themeFill="accent2"/>
            <w:vAlign w:val="center"/>
            <w:hideMark/>
          </w:tcPr>
          <w:p w14:paraId="3E8F09F7" w14:textId="77777777" w:rsidR="006832C4" w:rsidRPr="006832C4" w:rsidRDefault="006832C4" w:rsidP="006832C4">
            <w:pPr>
              <w:spacing w:before="120" w:after="120"/>
              <w:jc w:val="center"/>
              <w:rPr>
                <w:rFonts w:eastAsia="Times New Roman" w:cs="Arial"/>
                <w:b/>
                <w:bCs/>
                <w:color w:val="FFFFFF" w:themeColor="background2"/>
                <w:sz w:val="18"/>
                <w:szCs w:val="18"/>
                <w:lang w:val="en-AU" w:eastAsia="en-AU"/>
              </w:rPr>
            </w:pPr>
            <w:r w:rsidRPr="006832C4">
              <w:rPr>
                <w:rFonts w:eastAsia="Times New Roman" w:cs="Arial"/>
                <w:b/>
                <w:bCs/>
                <w:color w:val="FFFFFF" w:themeColor="background2"/>
                <w:sz w:val="18"/>
                <w:szCs w:val="18"/>
                <w:lang w:val="en-AU" w:eastAsia="en-AU"/>
              </w:rPr>
              <w:t>Product class</w:t>
            </w:r>
          </w:p>
        </w:tc>
        <w:tc>
          <w:tcPr>
            <w:tcW w:w="4548" w:type="dxa"/>
            <w:gridSpan w:val="2"/>
            <w:tcBorders>
              <w:left w:val="single" w:sz="4" w:space="0" w:color="FFFFFF" w:themeColor="background2"/>
              <w:right w:val="single" w:sz="4" w:space="0" w:color="FFFFFF" w:themeColor="background2"/>
            </w:tcBorders>
            <w:shd w:val="clear" w:color="auto" w:fill="104F99" w:themeFill="accent2"/>
            <w:noWrap/>
            <w:vAlign w:val="center"/>
            <w:hideMark/>
          </w:tcPr>
          <w:p w14:paraId="107E117D" w14:textId="77777777" w:rsidR="006832C4" w:rsidRPr="006832C4" w:rsidRDefault="006832C4" w:rsidP="006832C4">
            <w:pPr>
              <w:spacing w:before="120" w:after="120"/>
              <w:jc w:val="center"/>
              <w:rPr>
                <w:rFonts w:eastAsia="Times New Roman" w:cs="Arial"/>
                <w:b/>
                <w:bCs/>
                <w:color w:val="FFFFFF" w:themeColor="background2"/>
                <w:sz w:val="18"/>
                <w:szCs w:val="18"/>
                <w:lang w:val="en-AU" w:eastAsia="en-AU"/>
              </w:rPr>
            </w:pPr>
            <w:r w:rsidRPr="006832C4">
              <w:rPr>
                <w:rFonts w:eastAsia="Times New Roman" w:cs="Arial"/>
                <w:b/>
                <w:bCs/>
                <w:color w:val="FFFFFF" w:themeColor="background2"/>
                <w:sz w:val="18"/>
                <w:szCs w:val="18"/>
                <w:lang w:val="en-AU" w:eastAsia="en-AU"/>
              </w:rPr>
              <w:t>Bundle variant</w:t>
            </w:r>
          </w:p>
        </w:tc>
        <w:tc>
          <w:tcPr>
            <w:tcW w:w="3828" w:type="dxa"/>
            <w:tcBorders>
              <w:left w:val="single" w:sz="4" w:space="0" w:color="FFFFFF" w:themeColor="background2"/>
              <w:right w:val="single" w:sz="4" w:space="0" w:color="FFFFFF" w:themeColor="background2"/>
            </w:tcBorders>
            <w:shd w:val="clear" w:color="auto" w:fill="104F99" w:themeFill="accent2"/>
            <w:vAlign w:val="center"/>
            <w:hideMark/>
          </w:tcPr>
          <w:p w14:paraId="4F71AA32" w14:textId="36AC1BF0" w:rsidR="006832C4" w:rsidRPr="006832C4" w:rsidRDefault="00EE1EF4" w:rsidP="006832C4">
            <w:pPr>
              <w:spacing w:before="120" w:after="120"/>
              <w:jc w:val="center"/>
              <w:rPr>
                <w:rFonts w:eastAsia="Times New Roman" w:cs="Arial"/>
                <w:b/>
                <w:bCs/>
                <w:color w:val="FFFFFF" w:themeColor="background2"/>
                <w:sz w:val="18"/>
                <w:szCs w:val="18"/>
                <w:lang w:val="en-AU" w:eastAsia="en-AU"/>
              </w:rPr>
            </w:pPr>
            <w:r>
              <w:rPr>
                <w:rFonts w:eastAsia="Times New Roman" w:cs="Arial"/>
                <w:b/>
                <w:bCs/>
                <w:color w:val="FFFFFF" w:themeColor="background2"/>
                <w:sz w:val="18"/>
                <w:szCs w:val="18"/>
                <w:lang w:val="en-AU" w:eastAsia="en-AU"/>
              </w:rPr>
              <w:t xml:space="preserve">Grouping of </w:t>
            </w:r>
            <w:r w:rsidR="006832C4" w:rsidRPr="006832C4">
              <w:rPr>
                <w:rFonts w:eastAsia="Times New Roman" w:cs="Arial"/>
                <w:b/>
                <w:bCs/>
                <w:color w:val="FFFFFF" w:themeColor="background2"/>
                <w:sz w:val="18"/>
                <w:szCs w:val="18"/>
                <w:lang w:val="en-AU" w:eastAsia="en-AU"/>
              </w:rPr>
              <w:t>MDC</w:t>
            </w:r>
            <w:r>
              <w:rPr>
                <w:rFonts w:eastAsia="Times New Roman" w:cs="Arial"/>
                <w:b/>
                <w:bCs/>
                <w:color w:val="FFFFFF" w:themeColor="background2"/>
                <w:sz w:val="18"/>
                <w:szCs w:val="18"/>
                <w:lang w:val="en-AU" w:eastAsia="en-AU"/>
              </w:rPr>
              <w:t>s</w:t>
            </w:r>
          </w:p>
        </w:tc>
        <w:tc>
          <w:tcPr>
            <w:tcW w:w="3402" w:type="dxa"/>
            <w:tcBorders>
              <w:left w:val="single" w:sz="4" w:space="0" w:color="FFFFFF" w:themeColor="background2"/>
            </w:tcBorders>
            <w:shd w:val="clear" w:color="auto" w:fill="104F99" w:themeFill="accent2"/>
            <w:vAlign w:val="center"/>
            <w:hideMark/>
          </w:tcPr>
          <w:p w14:paraId="569B2C6F" w14:textId="0F04EFA9" w:rsidR="006832C4" w:rsidRPr="006832C4" w:rsidRDefault="006832C4" w:rsidP="006832C4">
            <w:pPr>
              <w:spacing w:before="120" w:after="120"/>
              <w:jc w:val="center"/>
              <w:rPr>
                <w:rFonts w:eastAsia="Times New Roman" w:cs="Arial"/>
                <w:b/>
                <w:bCs/>
                <w:color w:val="FFFFFF" w:themeColor="background2"/>
                <w:sz w:val="18"/>
                <w:szCs w:val="18"/>
                <w:lang w:val="en-AU" w:eastAsia="en-AU"/>
              </w:rPr>
            </w:pPr>
            <w:r>
              <w:rPr>
                <w:rFonts w:eastAsia="Times New Roman" w:cs="Arial"/>
                <w:b/>
                <w:bCs/>
                <w:color w:val="FFFFFF" w:themeColor="background2"/>
                <w:sz w:val="18"/>
                <w:szCs w:val="18"/>
                <w:lang w:val="en-AU" w:eastAsia="en-AU"/>
              </w:rPr>
              <w:t xml:space="preserve">Grouping of </w:t>
            </w:r>
            <w:r w:rsidRPr="006832C4">
              <w:rPr>
                <w:rFonts w:eastAsia="Times New Roman" w:cs="Arial"/>
                <w:b/>
                <w:bCs/>
                <w:color w:val="FFFFFF" w:themeColor="background2"/>
                <w:sz w:val="18"/>
                <w:szCs w:val="18"/>
                <w:lang w:val="en-AU" w:eastAsia="en-AU"/>
              </w:rPr>
              <w:t xml:space="preserve">DRG </w:t>
            </w:r>
            <w:r>
              <w:rPr>
                <w:rFonts w:eastAsia="Times New Roman" w:cs="Arial"/>
                <w:b/>
                <w:bCs/>
                <w:color w:val="FFFFFF" w:themeColor="background2"/>
                <w:sz w:val="18"/>
                <w:szCs w:val="18"/>
                <w:lang w:val="en-AU" w:eastAsia="en-AU"/>
              </w:rPr>
              <w:t>first characters</w:t>
            </w:r>
          </w:p>
        </w:tc>
      </w:tr>
      <w:tr w:rsidR="00EE1EF4" w:rsidRPr="006832C4" w14:paraId="1C3FC9A6" w14:textId="77777777" w:rsidTr="00EE1EF4">
        <w:trPr>
          <w:cantSplit/>
          <w:trHeight w:val="240"/>
        </w:trPr>
        <w:tc>
          <w:tcPr>
            <w:tcW w:w="1684" w:type="dxa"/>
            <w:vMerge w:val="restart"/>
            <w:shd w:val="clear" w:color="auto" w:fill="auto"/>
            <w:vAlign w:val="center"/>
            <w:hideMark/>
          </w:tcPr>
          <w:p w14:paraId="5D4A5F77"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A11</w:t>
            </w:r>
          </w:p>
          <w:p w14:paraId="3B3775C3" w14:textId="213A8699"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Infusion Pumps, Balloon Based</w:t>
            </w:r>
          </w:p>
        </w:tc>
        <w:tc>
          <w:tcPr>
            <w:tcW w:w="767" w:type="dxa"/>
            <w:tcBorders>
              <w:right w:val="nil"/>
            </w:tcBorders>
            <w:shd w:val="clear" w:color="auto" w:fill="auto"/>
            <w:noWrap/>
            <w:vAlign w:val="center"/>
            <w:hideMark/>
          </w:tcPr>
          <w:p w14:paraId="59AD9780"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A11C1</w:t>
            </w:r>
          </w:p>
        </w:tc>
        <w:tc>
          <w:tcPr>
            <w:tcW w:w="3781" w:type="dxa"/>
            <w:tcBorders>
              <w:left w:val="nil"/>
            </w:tcBorders>
            <w:shd w:val="clear" w:color="auto" w:fill="auto"/>
            <w:noWrap/>
            <w:vAlign w:val="center"/>
            <w:hideMark/>
          </w:tcPr>
          <w:p w14:paraId="7399E549" w14:textId="68F9489B"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Infusion Pumps, Balloon Based - Very High </w:t>
            </w:r>
            <w:r>
              <w:rPr>
                <w:rFonts w:eastAsia="Times New Roman" w:cs="Arial"/>
                <w:color w:val="000000"/>
                <w:sz w:val="18"/>
                <w:szCs w:val="18"/>
                <w:lang w:val="en-AU" w:eastAsia="en-AU"/>
              </w:rPr>
              <w:t>MDC Grouping</w:t>
            </w:r>
          </w:p>
        </w:tc>
        <w:tc>
          <w:tcPr>
            <w:tcW w:w="3828" w:type="dxa"/>
            <w:shd w:val="clear" w:color="auto" w:fill="auto"/>
            <w:vAlign w:val="center"/>
            <w:hideMark/>
          </w:tcPr>
          <w:p w14:paraId="71FE0EEA"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05 18 21A 21B</w:t>
            </w:r>
          </w:p>
        </w:tc>
        <w:tc>
          <w:tcPr>
            <w:tcW w:w="3402" w:type="dxa"/>
            <w:shd w:val="clear" w:color="auto" w:fill="auto"/>
            <w:vAlign w:val="center"/>
            <w:hideMark/>
          </w:tcPr>
          <w:p w14:paraId="3A8F0857"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F T W X</w:t>
            </w:r>
          </w:p>
        </w:tc>
      </w:tr>
      <w:tr w:rsidR="00EE1EF4" w:rsidRPr="006832C4" w14:paraId="43A5628B" w14:textId="77777777" w:rsidTr="00EE1EF4">
        <w:trPr>
          <w:cantSplit/>
          <w:trHeight w:val="240"/>
        </w:trPr>
        <w:tc>
          <w:tcPr>
            <w:tcW w:w="1684" w:type="dxa"/>
            <w:vMerge/>
            <w:vAlign w:val="center"/>
            <w:hideMark/>
          </w:tcPr>
          <w:p w14:paraId="5627A930"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4A928601"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A11C2</w:t>
            </w:r>
          </w:p>
        </w:tc>
        <w:tc>
          <w:tcPr>
            <w:tcW w:w="3781" w:type="dxa"/>
            <w:tcBorders>
              <w:left w:val="nil"/>
            </w:tcBorders>
            <w:shd w:val="clear" w:color="auto" w:fill="auto"/>
            <w:noWrap/>
            <w:vAlign w:val="center"/>
            <w:hideMark/>
          </w:tcPr>
          <w:p w14:paraId="722BBFF5" w14:textId="056B116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Infusion Pumps, Balloon Based - High </w:t>
            </w:r>
            <w:r>
              <w:rPr>
                <w:rFonts w:eastAsia="Times New Roman" w:cs="Arial"/>
                <w:color w:val="000000"/>
                <w:sz w:val="18"/>
                <w:szCs w:val="18"/>
                <w:lang w:val="en-AU" w:eastAsia="en-AU"/>
              </w:rPr>
              <w:t>MDC Grouping</w:t>
            </w:r>
          </w:p>
        </w:tc>
        <w:tc>
          <w:tcPr>
            <w:tcW w:w="3828" w:type="dxa"/>
            <w:shd w:val="clear" w:color="auto" w:fill="auto"/>
            <w:vAlign w:val="center"/>
            <w:hideMark/>
          </w:tcPr>
          <w:p w14:paraId="137013EA"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00 01 09 10 11 12</w:t>
            </w:r>
          </w:p>
        </w:tc>
        <w:tc>
          <w:tcPr>
            <w:tcW w:w="3402" w:type="dxa"/>
            <w:shd w:val="clear" w:color="auto" w:fill="auto"/>
            <w:vAlign w:val="center"/>
            <w:hideMark/>
          </w:tcPr>
          <w:p w14:paraId="4DB8BFDD"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B J K L M</w:t>
            </w:r>
          </w:p>
        </w:tc>
      </w:tr>
      <w:tr w:rsidR="00EE1EF4" w:rsidRPr="006832C4" w14:paraId="11A93DAA" w14:textId="77777777" w:rsidTr="00EE1EF4">
        <w:trPr>
          <w:cantSplit/>
          <w:trHeight w:val="240"/>
        </w:trPr>
        <w:tc>
          <w:tcPr>
            <w:tcW w:w="1684" w:type="dxa"/>
            <w:vMerge/>
            <w:vAlign w:val="center"/>
            <w:hideMark/>
          </w:tcPr>
          <w:p w14:paraId="3AC23F7F"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490AAC2D"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A11C3</w:t>
            </w:r>
          </w:p>
        </w:tc>
        <w:tc>
          <w:tcPr>
            <w:tcW w:w="3781" w:type="dxa"/>
            <w:tcBorders>
              <w:left w:val="nil"/>
            </w:tcBorders>
            <w:shd w:val="clear" w:color="auto" w:fill="auto"/>
            <w:noWrap/>
            <w:vAlign w:val="center"/>
            <w:hideMark/>
          </w:tcPr>
          <w:p w14:paraId="397C074D" w14:textId="1F8379AC"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Infusion Pumps, Balloon Based - Moderate </w:t>
            </w:r>
            <w:r>
              <w:rPr>
                <w:rFonts w:eastAsia="Times New Roman" w:cs="Arial"/>
                <w:color w:val="000000"/>
                <w:sz w:val="18"/>
                <w:szCs w:val="18"/>
                <w:lang w:val="en-AU" w:eastAsia="en-AU"/>
              </w:rPr>
              <w:t>MDC Grouping</w:t>
            </w:r>
          </w:p>
        </w:tc>
        <w:tc>
          <w:tcPr>
            <w:tcW w:w="3828" w:type="dxa"/>
            <w:shd w:val="clear" w:color="auto" w:fill="auto"/>
            <w:vAlign w:val="center"/>
            <w:hideMark/>
          </w:tcPr>
          <w:p w14:paraId="6630DD5A"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03 04 06 07 08 13 14 16 98</w:t>
            </w:r>
          </w:p>
        </w:tc>
        <w:tc>
          <w:tcPr>
            <w:tcW w:w="3402" w:type="dxa"/>
            <w:shd w:val="clear" w:color="auto" w:fill="auto"/>
            <w:vAlign w:val="center"/>
            <w:hideMark/>
          </w:tcPr>
          <w:p w14:paraId="7BA8B15D"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D E G H I N O Q 8</w:t>
            </w:r>
          </w:p>
        </w:tc>
      </w:tr>
      <w:tr w:rsidR="00EE1EF4" w:rsidRPr="006832C4" w14:paraId="7459B83B" w14:textId="77777777" w:rsidTr="00EE1EF4">
        <w:trPr>
          <w:cantSplit/>
          <w:trHeight w:val="240"/>
        </w:trPr>
        <w:tc>
          <w:tcPr>
            <w:tcW w:w="1684" w:type="dxa"/>
            <w:vMerge/>
            <w:vAlign w:val="center"/>
            <w:hideMark/>
          </w:tcPr>
          <w:p w14:paraId="24AF666C"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77F8F188"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A11C4</w:t>
            </w:r>
          </w:p>
        </w:tc>
        <w:tc>
          <w:tcPr>
            <w:tcW w:w="3781" w:type="dxa"/>
            <w:tcBorders>
              <w:left w:val="nil"/>
            </w:tcBorders>
            <w:shd w:val="clear" w:color="auto" w:fill="auto"/>
            <w:noWrap/>
            <w:vAlign w:val="center"/>
            <w:hideMark/>
          </w:tcPr>
          <w:p w14:paraId="2456E65E" w14:textId="46F7FF4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Infusion Pumps, Balloon Based - Low </w:t>
            </w:r>
            <w:r>
              <w:rPr>
                <w:rFonts w:eastAsia="Times New Roman" w:cs="Arial"/>
                <w:color w:val="000000"/>
                <w:sz w:val="18"/>
                <w:szCs w:val="18"/>
                <w:lang w:val="en-AU" w:eastAsia="en-AU"/>
              </w:rPr>
              <w:t>MDC Grouping</w:t>
            </w:r>
          </w:p>
        </w:tc>
        <w:tc>
          <w:tcPr>
            <w:tcW w:w="3828" w:type="dxa"/>
            <w:shd w:val="clear" w:color="auto" w:fill="auto"/>
            <w:vAlign w:val="center"/>
            <w:hideMark/>
          </w:tcPr>
          <w:p w14:paraId="34D076A5"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02 15 17 19 20 22 23 99</w:t>
            </w:r>
          </w:p>
        </w:tc>
        <w:tc>
          <w:tcPr>
            <w:tcW w:w="3402" w:type="dxa"/>
            <w:shd w:val="clear" w:color="auto" w:fill="auto"/>
            <w:vAlign w:val="center"/>
            <w:hideMark/>
          </w:tcPr>
          <w:p w14:paraId="3C647142"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C P R U V Y Z 9</w:t>
            </w:r>
          </w:p>
        </w:tc>
      </w:tr>
      <w:tr w:rsidR="00EE1EF4" w:rsidRPr="006832C4" w14:paraId="391E2F17" w14:textId="77777777" w:rsidTr="00EE1EF4">
        <w:trPr>
          <w:cantSplit/>
          <w:trHeight w:val="240"/>
        </w:trPr>
        <w:tc>
          <w:tcPr>
            <w:tcW w:w="1684" w:type="dxa"/>
            <w:vMerge w:val="restart"/>
            <w:shd w:val="clear" w:color="auto" w:fill="auto"/>
            <w:vAlign w:val="center"/>
            <w:hideMark/>
          </w:tcPr>
          <w:p w14:paraId="660A1B4C"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A12</w:t>
            </w:r>
          </w:p>
          <w:p w14:paraId="30FDA5AC" w14:textId="0EF848B6"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Infusion Pumps, Battery Powered</w:t>
            </w:r>
          </w:p>
        </w:tc>
        <w:tc>
          <w:tcPr>
            <w:tcW w:w="767" w:type="dxa"/>
            <w:tcBorders>
              <w:right w:val="nil"/>
            </w:tcBorders>
            <w:shd w:val="clear" w:color="auto" w:fill="auto"/>
            <w:noWrap/>
            <w:vAlign w:val="center"/>
            <w:hideMark/>
          </w:tcPr>
          <w:p w14:paraId="0DC9833E"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A12C1</w:t>
            </w:r>
          </w:p>
        </w:tc>
        <w:tc>
          <w:tcPr>
            <w:tcW w:w="3781" w:type="dxa"/>
            <w:tcBorders>
              <w:left w:val="nil"/>
            </w:tcBorders>
            <w:shd w:val="clear" w:color="auto" w:fill="auto"/>
            <w:noWrap/>
            <w:vAlign w:val="center"/>
            <w:hideMark/>
          </w:tcPr>
          <w:p w14:paraId="06BC8724" w14:textId="7E08119C"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Infusion Pumps, Battery Powered - Very High </w:t>
            </w:r>
            <w:r>
              <w:rPr>
                <w:rFonts w:eastAsia="Times New Roman" w:cs="Arial"/>
                <w:color w:val="000000"/>
                <w:sz w:val="18"/>
                <w:szCs w:val="18"/>
                <w:lang w:val="en-AU" w:eastAsia="en-AU"/>
              </w:rPr>
              <w:t>MDC Grouping</w:t>
            </w:r>
          </w:p>
        </w:tc>
        <w:tc>
          <w:tcPr>
            <w:tcW w:w="3828" w:type="dxa"/>
            <w:shd w:val="clear" w:color="auto" w:fill="auto"/>
            <w:vAlign w:val="center"/>
            <w:hideMark/>
          </w:tcPr>
          <w:p w14:paraId="09992A9A"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01 05 16 17</w:t>
            </w:r>
          </w:p>
        </w:tc>
        <w:tc>
          <w:tcPr>
            <w:tcW w:w="3402" w:type="dxa"/>
            <w:shd w:val="clear" w:color="auto" w:fill="auto"/>
            <w:vAlign w:val="center"/>
            <w:hideMark/>
          </w:tcPr>
          <w:p w14:paraId="5404041A"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B F Q R</w:t>
            </w:r>
          </w:p>
        </w:tc>
      </w:tr>
      <w:tr w:rsidR="00EE1EF4" w:rsidRPr="006832C4" w14:paraId="2DD451BA" w14:textId="77777777" w:rsidTr="00EE1EF4">
        <w:trPr>
          <w:cantSplit/>
          <w:trHeight w:val="240"/>
        </w:trPr>
        <w:tc>
          <w:tcPr>
            <w:tcW w:w="1684" w:type="dxa"/>
            <w:vMerge/>
            <w:vAlign w:val="center"/>
            <w:hideMark/>
          </w:tcPr>
          <w:p w14:paraId="5601506F"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0B778C51"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A12C2</w:t>
            </w:r>
          </w:p>
        </w:tc>
        <w:tc>
          <w:tcPr>
            <w:tcW w:w="3781" w:type="dxa"/>
            <w:tcBorders>
              <w:left w:val="nil"/>
            </w:tcBorders>
            <w:shd w:val="clear" w:color="auto" w:fill="auto"/>
            <w:noWrap/>
            <w:vAlign w:val="center"/>
            <w:hideMark/>
          </w:tcPr>
          <w:p w14:paraId="044EB8AD" w14:textId="748AA780"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Infusion Pumps, Battery Powered - High </w:t>
            </w:r>
            <w:r>
              <w:rPr>
                <w:rFonts w:eastAsia="Times New Roman" w:cs="Arial"/>
                <w:color w:val="000000"/>
                <w:sz w:val="18"/>
                <w:szCs w:val="18"/>
                <w:lang w:val="en-AU" w:eastAsia="en-AU"/>
              </w:rPr>
              <w:t>MDC Grouping</w:t>
            </w:r>
          </w:p>
        </w:tc>
        <w:tc>
          <w:tcPr>
            <w:tcW w:w="3828" w:type="dxa"/>
            <w:shd w:val="clear" w:color="auto" w:fill="auto"/>
            <w:vAlign w:val="center"/>
            <w:hideMark/>
          </w:tcPr>
          <w:p w14:paraId="5B0F6FA1"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04 18</w:t>
            </w:r>
          </w:p>
        </w:tc>
        <w:tc>
          <w:tcPr>
            <w:tcW w:w="3402" w:type="dxa"/>
            <w:shd w:val="clear" w:color="auto" w:fill="auto"/>
            <w:vAlign w:val="center"/>
            <w:hideMark/>
          </w:tcPr>
          <w:p w14:paraId="7A3A68D3"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E T</w:t>
            </w:r>
          </w:p>
        </w:tc>
      </w:tr>
      <w:tr w:rsidR="00EE1EF4" w:rsidRPr="006832C4" w14:paraId="6074B1F9" w14:textId="77777777" w:rsidTr="00EE1EF4">
        <w:trPr>
          <w:cantSplit/>
          <w:trHeight w:val="240"/>
        </w:trPr>
        <w:tc>
          <w:tcPr>
            <w:tcW w:w="1684" w:type="dxa"/>
            <w:vMerge/>
            <w:vAlign w:val="center"/>
            <w:hideMark/>
          </w:tcPr>
          <w:p w14:paraId="455015C6"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2C603887"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A12C3</w:t>
            </w:r>
          </w:p>
        </w:tc>
        <w:tc>
          <w:tcPr>
            <w:tcW w:w="3781" w:type="dxa"/>
            <w:tcBorders>
              <w:left w:val="nil"/>
            </w:tcBorders>
            <w:shd w:val="clear" w:color="auto" w:fill="auto"/>
            <w:noWrap/>
            <w:vAlign w:val="center"/>
            <w:hideMark/>
          </w:tcPr>
          <w:p w14:paraId="02656698" w14:textId="31A9D92C"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Infusion Pumps, Battery Powered - Moderate </w:t>
            </w:r>
            <w:r>
              <w:rPr>
                <w:rFonts w:eastAsia="Times New Roman" w:cs="Arial"/>
                <w:color w:val="000000"/>
                <w:sz w:val="18"/>
                <w:szCs w:val="18"/>
                <w:lang w:val="en-AU" w:eastAsia="en-AU"/>
              </w:rPr>
              <w:t>MDC Grouping</w:t>
            </w:r>
          </w:p>
        </w:tc>
        <w:tc>
          <w:tcPr>
            <w:tcW w:w="3828" w:type="dxa"/>
            <w:shd w:val="clear" w:color="auto" w:fill="auto"/>
            <w:vAlign w:val="center"/>
            <w:hideMark/>
          </w:tcPr>
          <w:p w14:paraId="071D76A4"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03 06 07 09 11 13</w:t>
            </w:r>
          </w:p>
        </w:tc>
        <w:tc>
          <w:tcPr>
            <w:tcW w:w="3402" w:type="dxa"/>
            <w:shd w:val="clear" w:color="auto" w:fill="auto"/>
            <w:vAlign w:val="center"/>
            <w:hideMark/>
          </w:tcPr>
          <w:p w14:paraId="105D2582"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D G H J L N</w:t>
            </w:r>
          </w:p>
        </w:tc>
      </w:tr>
      <w:tr w:rsidR="00EE1EF4" w:rsidRPr="006832C4" w14:paraId="6E3EA29D" w14:textId="77777777" w:rsidTr="00EE1EF4">
        <w:trPr>
          <w:cantSplit/>
          <w:trHeight w:val="480"/>
        </w:trPr>
        <w:tc>
          <w:tcPr>
            <w:tcW w:w="1684" w:type="dxa"/>
            <w:vMerge/>
            <w:vAlign w:val="center"/>
            <w:hideMark/>
          </w:tcPr>
          <w:p w14:paraId="77DC9288"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63EE514F"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A12C4</w:t>
            </w:r>
          </w:p>
        </w:tc>
        <w:tc>
          <w:tcPr>
            <w:tcW w:w="3781" w:type="dxa"/>
            <w:tcBorders>
              <w:left w:val="nil"/>
            </w:tcBorders>
            <w:shd w:val="clear" w:color="auto" w:fill="auto"/>
            <w:noWrap/>
            <w:vAlign w:val="center"/>
            <w:hideMark/>
          </w:tcPr>
          <w:p w14:paraId="48B21EBD" w14:textId="1F0E78C4"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Infusion Pumps, Battery Powered - Low </w:t>
            </w:r>
            <w:r>
              <w:rPr>
                <w:rFonts w:eastAsia="Times New Roman" w:cs="Arial"/>
                <w:color w:val="000000"/>
                <w:sz w:val="18"/>
                <w:szCs w:val="18"/>
                <w:lang w:val="en-AU" w:eastAsia="en-AU"/>
              </w:rPr>
              <w:t>MDC Grouping</w:t>
            </w:r>
          </w:p>
        </w:tc>
        <w:tc>
          <w:tcPr>
            <w:tcW w:w="3828" w:type="dxa"/>
            <w:shd w:val="clear" w:color="auto" w:fill="auto"/>
            <w:vAlign w:val="center"/>
            <w:hideMark/>
          </w:tcPr>
          <w:p w14:paraId="745206BC"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02 08 10 12 14 15 19 20 21A 21B 22 23 98 99</w:t>
            </w:r>
          </w:p>
        </w:tc>
        <w:tc>
          <w:tcPr>
            <w:tcW w:w="3402" w:type="dxa"/>
            <w:shd w:val="clear" w:color="auto" w:fill="auto"/>
            <w:vAlign w:val="center"/>
            <w:hideMark/>
          </w:tcPr>
          <w:p w14:paraId="09D93E7B"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C I K M O P U V W X Y Z 8 9</w:t>
            </w:r>
          </w:p>
        </w:tc>
      </w:tr>
      <w:tr w:rsidR="00EE1EF4" w:rsidRPr="006832C4" w14:paraId="512CA006" w14:textId="77777777" w:rsidTr="00EE1EF4">
        <w:trPr>
          <w:cantSplit/>
          <w:trHeight w:val="720"/>
        </w:trPr>
        <w:tc>
          <w:tcPr>
            <w:tcW w:w="1684" w:type="dxa"/>
            <w:shd w:val="clear" w:color="auto" w:fill="auto"/>
            <w:vAlign w:val="center"/>
            <w:hideMark/>
          </w:tcPr>
          <w:p w14:paraId="79DC5289"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A13</w:t>
            </w:r>
          </w:p>
          <w:p w14:paraId="73F14822" w14:textId="47E36667"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Infusion Pumps, Spring Powered</w:t>
            </w:r>
          </w:p>
        </w:tc>
        <w:tc>
          <w:tcPr>
            <w:tcW w:w="767" w:type="dxa"/>
            <w:tcBorders>
              <w:right w:val="nil"/>
            </w:tcBorders>
            <w:shd w:val="clear" w:color="auto" w:fill="auto"/>
            <w:noWrap/>
            <w:vAlign w:val="center"/>
            <w:hideMark/>
          </w:tcPr>
          <w:p w14:paraId="0A693E29"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A13C1</w:t>
            </w:r>
          </w:p>
        </w:tc>
        <w:tc>
          <w:tcPr>
            <w:tcW w:w="3781" w:type="dxa"/>
            <w:tcBorders>
              <w:left w:val="nil"/>
            </w:tcBorders>
            <w:shd w:val="clear" w:color="auto" w:fill="auto"/>
            <w:noWrap/>
            <w:vAlign w:val="center"/>
            <w:hideMark/>
          </w:tcPr>
          <w:p w14:paraId="02825D7A" w14:textId="532EEE70"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Infusion Pumps, Spring Powered - No </w:t>
            </w:r>
            <w:r>
              <w:rPr>
                <w:rFonts w:eastAsia="Times New Roman" w:cs="Arial"/>
                <w:color w:val="000000"/>
                <w:sz w:val="18"/>
                <w:szCs w:val="18"/>
                <w:lang w:val="en-AU" w:eastAsia="en-AU"/>
              </w:rPr>
              <w:t>MDC Grouping</w:t>
            </w:r>
          </w:p>
        </w:tc>
        <w:tc>
          <w:tcPr>
            <w:tcW w:w="3828" w:type="dxa"/>
            <w:shd w:val="clear" w:color="auto" w:fill="auto"/>
            <w:vAlign w:val="center"/>
            <w:hideMark/>
          </w:tcPr>
          <w:p w14:paraId="5E48B5BC"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01 02 03 04 05 06 07 08 09 10 11 12 13 14 15 16 17 18 19 20 21A 21B 22 23 98 99</w:t>
            </w:r>
          </w:p>
        </w:tc>
        <w:tc>
          <w:tcPr>
            <w:tcW w:w="3402" w:type="dxa"/>
            <w:shd w:val="clear" w:color="auto" w:fill="auto"/>
            <w:vAlign w:val="center"/>
            <w:hideMark/>
          </w:tcPr>
          <w:p w14:paraId="2670D1C8"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B C D E F G H I J K L M N O P Q R T U V W X Y Z 8 9</w:t>
            </w:r>
          </w:p>
        </w:tc>
      </w:tr>
      <w:tr w:rsidR="00EE1EF4" w:rsidRPr="006832C4" w14:paraId="37B8AAC7" w14:textId="77777777" w:rsidTr="00EE1EF4">
        <w:trPr>
          <w:cantSplit/>
          <w:trHeight w:val="720"/>
        </w:trPr>
        <w:tc>
          <w:tcPr>
            <w:tcW w:w="1684" w:type="dxa"/>
            <w:shd w:val="clear" w:color="auto" w:fill="auto"/>
            <w:vAlign w:val="center"/>
            <w:hideMark/>
          </w:tcPr>
          <w:p w14:paraId="0F47A2FD"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A19</w:t>
            </w:r>
          </w:p>
          <w:p w14:paraId="3803F320" w14:textId="712ABAA8"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Drug Delivery Accessories</w:t>
            </w:r>
          </w:p>
        </w:tc>
        <w:tc>
          <w:tcPr>
            <w:tcW w:w="767" w:type="dxa"/>
            <w:tcBorders>
              <w:right w:val="nil"/>
            </w:tcBorders>
            <w:shd w:val="clear" w:color="auto" w:fill="auto"/>
            <w:noWrap/>
            <w:vAlign w:val="center"/>
            <w:hideMark/>
          </w:tcPr>
          <w:p w14:paraId="0A92F084"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A19C1</w:t>
            </w:r>
          </w:p>
        </w:tc>
        <w:tc>
          <w:tcPr>
            <w:tcW w:w="3781" w:type="dxa"/>
            <w:tcBorders>
              <w:left w:val="nil"/>
            </w:tcBorders>
            <w:shd w:val="clear" w:color="auto" w:fill="auto"/>
            <w:noWrap/>
            <w:vAlign w:val="center"/>
            <w:hideMark/>
          </w:tcPr>
          <w:p w14:paraId="42219BEB" w14:textId="6670B752"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Drug Delivery Accessories - No </w:t>
            </w:r>
            <w:r>
              <w:rPr>
                <w:rFonts w:eastAsia="Times New Roman" w:cs="Arial"/>
                <w:color w:val="000000"/>
                <w:sz w:val="18"/>
                <w:szCs w:val="18"/>
                <w:lang w:val="en-AU" w:eastAsia="en-AU"/>
              </w:rPr>
              <w:t>MDC Grouping</w:t>
            </w:r>
          </w:p>
        </w:tc>
        <w:tc>
          <w:tcPr>
            <w:tcW w:w="3828" w:type="dxa"/>
            <w:shd w:val="clear" w:color="auto" w:fill="auto"/>
            <w:vAlign w:val="center"/>
            <w:hideMark/>
          </w:tcPr>
          <w:p w14:paraId="1E676768"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01 02 03 04 05 06 07 08 09 10 11 12 13 14 15 16 17 18 19 20 21A 21B 22 23 98 99</w:t>
            </w:r>
          </w:p>
        </w:tc>
        <w:tc>
          <w:tcPr>
            <w:tcW w:w="3402" w:type="dxa"/>
            <w:shd w:val="clear" w:color="auto" w:fill="auto"/>
            <w:vAlign w:val="center"/>
            <w:hideMark/>
          </w:tcPr>
          <w:p w14:paraId="7FF6BCDF"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B C D E F G H I J K L M N O P Q R T U V W X Y Z 8 9</w:t>
            </w:r>
          </w:p>
        </w:tc>
      </w:tr>
      <w:tr w:rsidR="00EE1EF4" w:rsidRPr="006832C4" w14:paraId="2E3E45E2" w14:textId="77777777" w:rsidTr="00EE1EF4">
        <w:trPr>
          <w:cantSplit/>
          <w:trHeight w:val="720"/>
        </w:trPr>
        <w:tc>
          <w:tcPr>
            <w:tcW w:w="1684" w:type="dxa"/>
            <w:shd w:val="clear" w:color="auto" w:fill="auto"/>
            <w:vAlign w:val="center"/>
            <w:hideMark/>
          </w:tcPr>
          <w:p w14:paraId="1F998F1D"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A21</w:t>
            </w:r>
          </w:p>
          <w:p w14:paraId="427C6032" w14:textId="4170CDF2"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Feeding Tubes</w:t>
            </w:r>
          </w:p>
        </w:tc>
        <w:tc>
          <w:tcPr>
            <w:tcW w:w="767" w:type="dxa"/>
            <w:tcBorders>
              <w:right w:val="nil"/>
            </w:tcBorders>
            <w:shd w:val="clear" w:color="auto" w:fill="auto"/>
            <w:noWrap/>
            <w:vAlign w:val="center"/>
            <w:hideMark/>
          </w:tcPr>
          <w:p w14:paraId="38833814"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A21C1</w:t>
            </w:r>
          </w:p>
        </w:tc>
        <w:tc>
          <w:tcPr>
            <w:tcW w:w="3781" w:type="dxa"/>
            <w:tcBorders>
              <w:left w:val="nil"/>
            </w:tcBorders>
            <w:shd w:val="clear" w:color="auto" w:fill="auto"/>
            <w:noWrap/>
            <w:vAlign w:val="center"/>
            <w:hideMark/>
          </w:tcPr>
          <w:p w14:paraId="1D0B2FE9" w14:textId="6A3E1EA5"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Feeding Tubes - No </w:t>
            </w:r>
            <w:r>
              <w:rPr>
                <w:rFonts w:eastAsia="Times New Roman" w:cs="Arial"/>
                <w:color w:val="000000"/>
                <w:sz w:val="18"/>
                <w:szCs w:val="18"/>
                <w:lang w:val="en-AU" w:eastAsia="en-AU"/>
              </w:rPr>
              <w:t>MDC Grouping</w:t>
            </w:r>
          </w:p>
        </w:tc>
        <w:tc>
          <w:tcPr>
            <w:tcW w:w="3828" w:type="dxa"/>
            <w:shd w:val="clear" w:color="auto" w:fill="auto"/>
            <w:vAlign w:val="center"/>
            <w:hideMark/>
          </w:tcPr>
          <w:p w14:paraId="5139AC8D"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01 02 03 04 05 06 07 08 09 10 11 12 13 14 15 16 17 18 19 20 21A 21B 22 23 98 99</w:t>
            </w:r>
          </w:p>
        </w:tc>
        <w:tc>
          <w:tcPr>
            <w:tcW w:w="3402" w:type="dxa"/>
            <w:shd w:val="clear" w:color="auto" w:fill="auto"/>
            <w:vAlign w:val="center"/>
            <w:hideMark/>
          </w:tcPr>
          <w:p w14:paraId="2C9D6BD3"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B C D E F G H I J K L M N O P Q R T U V W X Y Z 8 9</w:t>
            </w:r>
          </w:p>
        </w:tc>
      </w:tr>
      <w:tr w:rsidR="00EE1EF4" w:rsidRPr="006832C4" w14:paraId="37698F41" w14:textId="77777777" w:rsidTr="00EE1EF4">
        <w:trPr>
          <w:cantSplit/>
          <w:trHeight w:val="720"/>
        </w:trPr>
        <w:tc>
          <w:tcPr>
            <w:tcW w:w="1684" w:type="dxa"/>
            <w:shd w:val="clear" w:color="auto" w:fill="auto"/>
            <w:vAlign w:val="center"/>
            <w:hideMark/>
          </w:tcPr>
          <w:p w14:paraId="6E9F00AF"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A22</w:t>
            </w:r>
          </w:p>
          <w:p w14:paraId="260BCCD7" w14:textId="58A9368F"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Gastrostomy Tubes</w:t>
            </w:r>
          </w:p>
        </w:tc>
        <w:tc>
          <w:tcPr>
            <w:tcW w:w="767" w:type="dxa"/>
            <w:tcBorders>
              <w:right w:val="nil"/>
            </w:tcBorders>
            <w:shd w:val="clear" w:color="auto" w:fill="auto"/>
            <w:noWrap/>
            <w:vAlign w:val="center"/>
            <w:hideMark/>
          </w:tcPr>
          <w:p w14:paraId="2DBE1080"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A22C1</w:t>
            </w:r>
          </w:p>
        </w:tc>
        <w:tc>
          <w:tcPr>
            <w:tcW w:w="3781" w:type="dxa"/>
            <w:tcBorders>
              <w:left w:val="nil"/>
            </w:tcBorders>
            <w:shd w:val="clear" w:color="auto" w:fill="auto"/>
            <w:noWrap/>
            <w:vAlign w:val="center"/>
            <w:hideMark/>
          </w:tcPr>
          <w:p w14:paraId="6F8BC169" w14:textId="36B9865E"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Gastrostomy Tubes - No </w:t>
            </w:r>
            <w:r>
              <w:rPr>
                <w:rFonts w:eastAsia="Times New Roman" w:cs="Arial"/>
                <w:color w:val="000000"/>
                <w:sz w:val="18"/>
                <w:szCs w:val="18"/>
                <w:lang w:val="en-AU" w:eastAsia="en-AU"/>
              </w:rPr>
              <w:t>MDC Grouping</w:t>
            </w:r>
          </w:p>
        </w:tc>
        <w:tc>
          <w:tcPr>
            <w:tcW w:w="3828" w:type="dxa"/>
            <w:shd w:val="clear" w:color="auto" w:fill="auto"/>
            <w:vAlign w:val="center"/>
            <w:hideMark/>
          </w:tcPr>
          <w:p w14:paraId="5F87BAD9"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01 02 03 04 05 06 07 08 09 10 11 12 13 14 15 16 17 18 19 20 21A 21B 22 23 98 99</w:t>
            </w:r>
          </w:p>
        </w:tc>
        <w:tc>
          <w:tcPr>
            <w:tcW w:w="3402" w:type="dxa"/>
            <w:shd w:val="clear" w:color="auto" w:fill="auto"/>
            <w:vAlign w:val="center"/>
            <w:hideMark/>
          </w:tcPr>
          <w:p w14:paraId="751811A3"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B C D E F G H I J K L M N O P Q R T U V W X Y Z 8 9</w:t>
            </w:r>
          </w:p>
        </w:tc>
      </w:tr>
      <w:tr w:rsidR="00EE1EF4" w:rsidRPr="006832C4" w14:paraId="3C302563" w14:textId="77777777" w:rsidTr="00EE1EF4">
        <w:trPr>
          <w:cantSplit/>
          <w:trHeight w:val="720"/>
        </w:trPr>
        <w:tc>
          <w:tcPr>
            <w:tcW w:w="1684" w:type="dxa"/>
            <w:shd w:val="clear" w:color="auto" w:fill="auto"/>
            <w:vAlign w:val="center"/>
            <w:hideMark/>
          </w:tcPr>
          <w:p w14:paraId="2052E136"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A23</w:t>
            </w:r>
          </w:p>
          <w:p w14:paraId="67A97FF6" w14:textId="08B1994D"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Jejunostomy Tubes</w:t>
            </w:r>
          </w:p>
        </w:tc>
        <w:tc>
          <w:tcPr>
            <w:tcW w:w="767" w:type="dxa"/>
            <w:tcBorders>
              <w:right w:val="nil"/>
            </w:tcBorders>
            <w:shd w:val="clear" w:color="auto" w:fill="auto"/>
            <w:noWrap/>
            <w:vAlign w:val="center"/>
            <w:hideMark/>
          </w:tcPr>
          <w:p w14:paraId="6C9EE7EA"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A23C1</w:t>
            </w:r>
          </w:p>
        </w:tc>
        <w:tc>
          <w:tcPr>
            <w:tcW w:w="3781" w:type="dxa"/>
            <w:tcBorders>
              <w:left w:val="nil"/>
            </w:tcBorders>
            <w:shd w:val="clear" w:color="auto" w:fill="auto"/>
            <w:noWrap/>
            <w:vAlign w:val="center"/>
            <w:hideMark/>
          </w:tcPr>
          <w:p w14:paraId="2733FD43" w14:textId="5E893382"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Jejunostomy Tubes - No </w:t>
            </w:r>
            <w:r>
              <w:rPr>
                <w:rFonts w:eastAsia="Times New Roman" w:cs="Arial"/>
                <w:color w:val="000000"/>
                <w:sz w:val="18"/>
                <w:szCs w:val="18"/>
                <w:lang w:val="en-AU" w:eastAsia="en-AU"/>
              </w:rPr>
              <w:t>MDC Grouping</w:t>
            </w:r>
          </w:p>
        </w:tc>
        <w:tc>
          <w:tcPr>
            <w:tcW w:w="3828" w:type="dxa"/>
            <w:shd w:val="clear" w:color="auto" w:fill="auto"/>
            <w:vAlign w:val="center"/>
            <w:hideMark/>
          </w:tcPr>
          <w:p w14:paraId="1087B38E"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01 02 03 04 05 06 07 08 09 10 11 12 13 14 15 16 17 18 19 20 21A 21B 22 23 98 99</w:t>
            </w:r>
          </w:p>
        </w:tc>
        <w:tc>
          <w:tcPr>
            <w:tcW w:w="3402" w:type="dxa"/>
            <w:shd w:val="clear" w:color="auto" w:fill="auto"/>
            <w:vAlign w:val="center"/>
            <w:hideMark/>
          </w:tcPr>
          <w:p w14:paraId="41001B9D"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B C D E F G H I J K L M N O P Q R T U V W X Y Z 8 9</w:t>
            </w:r>
          </w:p>
        </w:tc>
      </w:tr>
      <w:tr w:rsidR="00EE1EF4" w:rsidRPr="006832C4" w14:paraId="43749FA6" w14:textId="77777777" w:rsidTr="00EE1EF4">
        <w:trPr>
          <w:cantSplit/>
          <w:trHeight w:val="720"/>
        </w:trPr>
        <w:tc>
          <w:tcPr>
            <w:tcW w:w="1684" w:type="dxa"/>
            <w:shd w:val="clear" w:color="auto" w:fill="auto"/>
            <w:vAlign w:val="center"/>
            <w:hideMark/>
          </w:tcPr>
          <w:p w14:paraId="3F77FB4F"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A24</w:t>
            </w:r>
          </w:p>
          <w:p w14:paraId="1E170828" w14:textId="47E536E6" w:rsidR="006832C4" w:rsidRPr="006832C4" w:rsidRDefault="006832C4" w:rsidP="006832C4">
            <w:pPr>
              <w:spacing w:before="120" w:after="120"/>
              <w:jc w:val="center"/>
              <w:rPr>
                <w:rFonts w:eastAsia="Times New Roman" w:cs="Arial"/>
                <w:color w:val="000000"/>
                <w:sz w:val="18"/>
                <w:szCs w:val="18"/>
                <w:lang w:val="en-AU" w:eastAsia="en-AU"/>
              </w:rPr>
            </w:pPr>
            <w:proofErr w:type="spellStart"/>
            <w:r w:rsidRPr="006832C4">
              <w:rPr>
                <w:rFonts w:eastAsia="Times New Roman" w:cs="Arial"/>
                <w:color w:val="000000"/>
                <w:sz w:val="18"/>
                <w:szCs w:val="18"/>
                <w:lang w:val="en-AU" w:eastAsia="en-AU"/>
              </w:rPr>
              <w:t>Caecostomy</w:t>
            </w:r>
            <w:proofErr w:type="spellEnd"/>
            <w:r w:rsidRPr="006832C4">
              <w:rPr>
                <w:rFonts w:eastAsia="Times New Roman" w:cs="Arial"/>
                <w:color w:val="000000"/>
                <w:sz w:val="18"/>
                <w:szCs w:val="18"/>
                <w:lang w:val="en-AU" w:eastAsia="en-AU"/>
              </w:rPr>
              <w:t xml:space="preserve"> Tubes</w:t>
            </w:r>
          </w:p>
        </w:tc>
        <w:tc>
          <w:tcPr>
            <w:tcW w:w="767" w:type="dxa"/>
            <w:tcBorders>
              <w:right w:val="nil"/>
            </w:tcBorders>
            <w:shd w:val="clear" w:color="auto" w:fill="auto"/>
            <w:noWrap/>
            <w:vAlign w:val="center"/>
            <w:hideMark/>
          </w:tcPr>
          <w:p w14:paraId="74A09B0E"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A24C1</w:t>
            </w:r>
          </w:p>
        </w:tc>
        <w:tc>
          <w:tcPr>
            <w:tcW w:w="3781" w:type="dxa"/>
            <w:tcBorders>
              <w:left w:val="nil"/>
            </w:tcBorders>
            <w:shd w:val="clear" w:color="auto" w:fill="auto"/>
            <w:noWrap/>
            <w:vAlign w:val="center"/>
            <w:hideMark/>
          </w:tcPr>
          <w:p w14:paraId="50694E96" w14:textId="5872544E" w:rsidR="006832C4" w:rsidRPr="006832C4" w:rsidRDefault="006832C4" w:rsidP="006832C4">
            <w:pPr>
              <w:spacing w:before="120" w:after="120"/>
              <w:rPr>
                <w:rFonts w:eastAsia="Times New Roman" w:cs="Arial"/>
                <w:color w:val="000000"/>
                <w:sz w:val="18"/>
                <w:szCs w:val="18"/>
                <w:lang w:val="en-AU" w:eastAsia="en-AU"/>
              </w:rPr>
            </w:pPr>
            <w:proofErr w:type="spellStart"/>
            <w:r w:rsidRPr="006832C4">
              <w:rPr>
                <w:rFonts w:eastAsia="Times New Roman" w:cs="Arial"/>
                <w:color w:val="000000"/>
                <w:sz w:val="18"/>
                <w:szCs w:val="18"/>
                <w:lang w:val="en-AU" w:eastAsia="en-AU"/>
              </w:rPr>
              <w:t>Caecostomy</w:t>
            </w:r>
            <w:proofErr w:type="spellEnd"/>
            <w:r w:rsidRPr="006832C4">
              <w:rPr>
                <w:rFonts w:eastAsia="Times New Roman" w:cs="Arial"/>
                <w:color w:val="000000"/>
                <w:sz w:val="18"/>
                <w:szCs w:val="18"/>
                <w:lang w:val="en-AU" w:eastAsia="en-AU"/>
              </w:rPr>
              <w:t xml:space="preserve"> Tubes - No </w:t>
            </w:r>
            <w:r>
              <w:rPr>
                <w:rFonts w:eastAsia="Times New Roman" w:cs="Arial"/>
                <w:color w:val="000000"/>
                <w:sz w:val="18"/>
                <w:szCs w:val="18"/>
                <w:lang w:val="en-AU" w:eastAsia="en-AU"/>
              </w:rPr>
              <w:t>MDC Grouping</w:t>
            </w:r>
          </w:p>
        </w:tc>
        <w:tc>
          <w:tcPr>
            <w:tcW w:w="3828" w:type="dxa"/>
            <w:shd w:val="clear" w:color="auto" w:fill="auto"/>
            <w:vAlign w:val="center"/>
            <w:hideMark/>
          </w:tcPr>
          <w:p w14:paraId="72F8BCE9"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01 02 03 04 05 06 07 08 09 10 11 12 13 14 15 16 17 18 19 20 21A 21B 22 23 98 99</w:t>
            </w:r>
          </w:p>
        </w:tc>
        <w:tc>
          <w:tcPr>
            <w:tcW w:w="3402" w:type="dxa"/>
            <w:shd w:val="clear" w:color="auto" w:fill="auto"/>
            <w:vAlign w:val="center"/>
            <w:hideMark/>
          </w:tcPr>
          <w:p w14:paraId="4B74307A"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B C D E F G H I J K L M N O P Q R T U V W X Y Z 8 9</w:t>
            </w:r>
          </w:p>
        </w:tc>
      </w:tr>
      <w:tr w:rsidR="00EE1EF4" w:rsidRPr="006832C4" w14:paraId="22270A55" w14:textId="77777777" w:rsidTr="00EE1EF4">
        <w:trPr>
          <w:cantSplit/>
          <w:trHeight w:val="240"/>
        </w:trPr>
        <w:tc>
          <w:tcPr>
            <w:tcW w:w="1684" w:type="dxa"/>
            <w:vMerge w:val="restart"/>
            <w:shd w:val="clear" w:color="auto" w:fill="auto"/>
            <w:vAlign w:val="center"/>
            <w:hideMark/>
          </w:tcPr>
          <w:p w14:paraId="5F30A0D0"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A31</w:t>
            </w:r>
          </w:p>
          <w:p w14:paraId="6C1D6949" w14:textId="49D3D8CA"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Percutaneous Catheters</w:t>
            </w:r>
          </w:p>
        </w:tc>
        <w:tc>
          <w:tcPr>
            <w:tcW w:w="767" w:type="dxa"/>
            <w:tcBorders>
              <w:right w:val="nil"/>
            </w:tcBorders>
            <w:shd w:val="clear" w:color="auto" w:fill="auto"/>
            <w:noWrap/>
            <w:vAlign w:val="center"/>
            <w:hideMark/>
          </w:tcPr>
          <w:p w14:paraId="3F5D0863"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A31C1</w:t>
            </w:r>
          </w:p>
        </w:tc>
        <w:tc>
          <w:tcPr>
            <w:tcW w:w="3781" w:type="dxa"/>
            <w:tcBorders>
              <w:left w:val="nil"/>
            </w:tcBorders>
            <w:shd w:val="clear" w:color="auto" w:fill="auto"/>
            <w:noWrap/>
            <w:vAlign w:val="center"/>
            <w:hideMark/>
          </w:tcPr>
          <w:p w14:paraId="6F1782F9" w14:textId="203883E1"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Percutaneous Catheters - High </w:t>
            </w:r>
            <w:r>
              <w:rPr>
                <w:rFonts w:eastAsia="Times New Roman" w:cs="Arial"/>
                <w:color w:val="000000"/>
                <w:sz w:val="18"/>
                <w:szCs w:val="18"/>
                <w:lang w:val="en-AU" w:eastAsia="en-AU"/>
              </w:rPr>
              <w:t>MDC Grouping</w:t>
            </w:r>
          </w:p>
        </w:tc>
        <w:tc>
          <w:tcPr>
            <w:tcW w:w="3828" w:type="dxa"/>
            <w:shd w:val="clear" w:color="auto" w:fill="auto"/>
            <w:vAlign w:val="center"/>
            <w:hideMark/>
          </w:tcPr>
          <w:p w14:paraId="74086F75"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00 17</w:t>
            </w:r>
          </w:p>
        </w:tc>
        <w:tc>
          <w:tcPr>
            <w:tcW w:w="3402" w:type="dxa"/>
            <w:shd w:val="clear" w:color="auto" w:fill="auto"/>
            <w:vAlign w:val="center"/>
            <w:hideMark/>
          </w:tcPr>
          <w:p w14:paraId="02A8D604"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R</w:t>
            </w:r>
          </w:p>
        </w:tc>
      </w:tr>
      <w:tr w:rsidR="00EE1EF4" w:rsidRPr="006832C4" w14:paraId="2A66BE89" w14:textId="77777777" w:rsidTr="00EE1EF4">
        <w:trPr>
          <w:cantSplit/>
          <w:trHeight w:val="720"/>
        </w:trPr>
        <w:tc>
          <w:tcPr>
            <w:tcW w:w="1684" w:type="dxa"/>
            <w:vMerge/>
            <w:vAlign w:val="center"/>
            <w:hideMark/>
          </w:tcPr>
          <w:p w14:paraId="4EC41F2B"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54EC9F9E"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A31C2</w:t>
            </w:r>
          </w:p>
        </w:tc>
        <w:tc>
          <w:tcPr>
            <w:tcW w:w="3781" w:type="dxa"/>
            <w:tcBorders>
              <w:left w:val="nil"/>
            </w:tcBorders>
            <w:shd w:val="clear" w:color="auto" w:fill="auto"/>
            <w:noWrap/>
            <w:vAlign w:val="center"/>
            <w:hideMark/>
          </w:tcPr>
          <w:p w14:paraId="14B458ED" w14:textId="24876003"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Percutaneous Catheters - Low </w:t>
            </w:r>
            <w:r>
              <w:rPr>
                <w:rFonts w:eastAsia="Times New Roman" w:cs="Arial"/>
                <w:color w:val="000000"/>
                <w:sz w:val="18"/>
                <w:szCs w:val="18"/>
                <w:lang w:val="en-AU" w:eastAsia="en-AU"/>
              </w:rPr>
              <w:t>MDC Grouping</w:t>
            </w:r>
          </w:p>
        </w:tc>
        <w:tc>
          <w:tcPr>
            <w:tcW w:w="3828" w:type="dxa"/>
            <w:shd w:val="clear" w:color="auto" w:fill="auto"/>
            <w:vAlign w:val="center"/>
            <w:hideMark/>
          </w:tcPr>
          <w:p w14:paraId="65C43E7B"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01 02 03 04 05 06 07 08 09 10 11 12 13 14 15 16 18 19 20 21A 21B 22 23 98 99</w:t>
            </w:r>
          </w:p>
        </w:tc>
        <w:tc>
          <w:tcPr>
            <w:tcW w:w="3402" w:type="dxa"/>
            <w:shd w:val="clear" w:color="auto" w:fill="auto"/>
            <w:vAlign w:val="center"/>
            <w:hideMark/>
          </w:tcPr>
          <w:p w14:paraId="349DF257"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B C D E F G H I J K L M N O P Q T U V W X Y Z 8 9</w:t>
            </w:r>
          </w:p>
        </w:tc>
      </w:tr>
      <w:tr w:rsidR="00EE1EF4" w:rsidRPr="006832C4" w14:paraId="3DE259A4" w14:textId="77777777" w:rsidTr="00EE1EF4">
        <w:trPr>
          <w:cantSplit/>
          <w:trHeight w:val="720"/>
        </w:trPr>
        <w:tc>
          <w:tcPr>
            <w:tcW w:w="1684" w:type="dxa"/>
            <w:shd w:val="clear" w:color="auto" w:fill="auto"/>
            <w:vAlign w:val="center"/>
            <w:hideMark/>
          </w:tcPr>
          <w:p w14:paraId="1E67D1AB"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A41</w:t>
            </w:r>
          </w:p>
          <w:p w14:paraId="42A859D2" w14:textId="065C4FA3" w:rsidR="006832C4" w:rsidRPr="006832C4" w:rsidRDefault="006832C4" w:rsidP="006832C4">
            <w:pPr>
              <w:spacing w:before="120" w:after="120"/>
              <w:jc w:val="center"/>
              <w:rPr>
                <w:rFonts w:eastAsia="Times New Roman" w:cs="Arial"/>
                <w:color w:val="000000"/>
                <w:sz w:val="18"/>
                <w:szCs w:val="18"/>
                <w:lang w:val="en-AU" w:eastAsia="en-AU"/>
              </w:rPr>
            </w:pPr>
            <w:proofErr w:type="spellStart"/>
            <w:r w:rsidRPr="006832C4">
              <w:rPr>
                <w:rFonts w:eastAsia="Times New Roman" w:cs="Arial"/>
                <w:color w:val="000000"/>
                <w:sz w:val="18"/>
                <w:szCs w:val="18"/>
                <w:lang w:val="en-AU" w:eastAsia="en-AU"/>
              </w:rPr>
              <w:t>Occluder</w:t>
            </w:r>
            <w:proofErr w:type="spellEnd"/>
            <w:r w:rsidRPr="006832C4">
              <w:rPr>
                <w:rFonts w:eastAsia="Times New Roman" w:cs="Arial"/>
                <w:color w:val="000000"/>
                <w:sz w:val="18"/>
                <w:szCs w:val="18"/>
                <w:lang w:val="en-AU" w:eastAsia="en-AU"/>
              </w:rPr>
              <w:t xml:space="preserve"> Pins</w:t>
            </w:r>
          </w:p>
        </w:tc>
        <w:tc>
          <w:tcPr>
            <w:tcW w:w="767" w:type="dxa"/>
            <w:tcBorders>
              <w:right w:val="nil"/>
            </w:tcBorders>
            <w:shd w:val="clear" w:color="auto" w:fill="auto"/>
            <w:noWrap/>
            <w:vAlign w:val="center"/>
            <w:hideMark/>
          </w:tcPr>
          <w:p w14:paraId="4F8AB524"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A41C1</w:t>
            </w:r>
          </w:p>
        </w:tc>
        <w:tc>
          <w:tcPr>
            <w:tcW w:w="3781" w:type="dxa"/>
            <w:tcBorders>
              <w:left w:val="nil"/>
            </w:tcBorders>
            <w:shd w:val="clear" w:color="auto" w:fill="auto"/>
            <w:noWrap/>
            <w:vAlign w:val="center"/>
            <w:hideMark/>
          </w:tcPr>
          <w:p w14:paraId="1753F67B" w14:textId="25021FF8" w:rsidR="006832C4" w:rsidRPr="006832C4" w:rsidRDefault="006832C4" w:rsidP="006832C4">
            <w:pPr>
              <w:spacing w:before="120" w:after="120"/>
              <w:rPr>
                <w:rFonts w:eastAsia="Times New Roman" w:cs="Arial"/>
                <w:color w:val="000000"/>
                <w:sz w:val="18"/>
                <w:szCs w:val="18"/>
                <w:lang w:val="en-AU" w:eastAsia="en-AU"/>
              </w:rPr>
            </w:pPr>
            <w:proofErr w:type="spellStart"/>
            <w:r w:rsidRPr="006832C4">
              <w:rPr>
                <w:rFonts w:eastAsia="Times New Roman" w:cs="Arial"/>
                <w:color w:val="000000"/>
                <w:sz w:val="18"/>
                <w:szCs w:val="18"/>
                <w:lang w:val="en-AU" w:eastAsia="en-AU"/>
              </w:rPr>
              <w:t>Occluder</w:t>
            </w:r>
            <w:proofErr w:type="spellEnd"/>
            <w:r w:rsidRPr="006832C4">
              <w:rPr>
                <w:rFonts w:eastAsia="Times New Roman" w:cs="Arial"/>
                <w:color w:val="000000"/>
                <w:sz w:val="18"/>
                <w:szCs w:val="18"/>
                <w:lang w:val="en-AU" w:eastAsia="en-AU"/>
              </w:rPr>
              <w:t xml:space="preserve"> Pins - No </w:t>
            </w:r>
            <w:r>
              <w:rPr>
                <w:rFonts w:eastAsia="Times New Roman" w:cs="Arial"/>
                <w:color w:val="000000"/>
                <w:sz w:val="18"/>
                <w:szCs w:val="18"/>
                <w:lang w:val="en-AU" w:eastAsia="en-AU"/>
              </w:rPr>
              <w:t>MDC Grouping</w:t>
            </w:r>
          </w:p>
        </w:tc>
        <w:tc>
          <w:tcPr>
            <w:tcW w:w="3828" w:type="dxa"/>
            <w:shd w:val="clear" w:color="auto" w:fill="auto"/>
            <w:vAlign w:val="center"/>
            <w:hideMark/>
          </w:tcPr>
          <w:p w14:paraId="0B237C57"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01 02 03 04 05 06 07 08 09 10 11 12 13 14 15 16 17 18 19 20 21A 21B 22 23 98 99</w:t>
            </w:r>
          </w:p>
        </w:tc>
        <w:tc>
          <w:tcPr>
            <w:tcW w:w="3402" w:type="dxa"/>
            <w:shd w:val="clear" w:color="auto" w:fill="auto"/>
            <w:vAlign w:val="center"/>
            <w:hideMark/>
          </w:tcPr>
          <w:p w14:paraId="6B65DD29"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B C D E F G H I J K L M N O P Q R T U V W X Y Z 8 9</w:t>
            </w:r>
          </w:p>
        </w:tc>
      </w:tr>
      <w:tr w:rsidR="00EE1EF4" w:rsidRPr="006832C4" w14:paraId="1F0CB456" w14:textId="77777777" w:rsidTr="00EE1EF4">
        <w:trPr>
          <w:cantSplit/>
          <w:trHeight w:val="240"/>
        </w:trPr>
        <w:tc>
          <w:tcPr>
            <w:tcW w:w="1684" w:type="dxa"/>
            <w:vMerge w:val="restart"/>
            <w:shd w:val="clear" w:color="auto" w:fill="auto"/>
            <w:vAlign w:val="center"/>
            <w:hideMark/>
          </w:tcPr>
          <w:p w14:paraId="796D3094"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A42</w:t>
            </w:r>
          </w:p>
          <w:p w14:paraId="2F95CA36" w14:textId="214544CD"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Powder</w:t>
            </w:r>
          </w:p>
        </w:tc>
        <w:tc>
          <w:tcPr>
            <w:tcW w:w="767" w:type="dxa"/>
            <w:tcBorders>
              <w:right w:val="nil"/>
            </w:tcBorders>
            <w:shd w:val="clear" w:color="auto" w:fill="auto"/>
            <w:noWrap/>
            <w:vAlign w:val="center"/>
            <w:hideMark/>
          </w:tcPr>
          <w:p w14:paraId="207B4718"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A42C1</w:t>
            </w:r>
          </w:p>
        </w:tc>
        <w:tc>
          <w:tcPr>
            <w:tcW w:w="3781" w:type="dxa"/>
            <w:tcBorders>
              <w:left w:val="nil"/>
            </w:tcBorders>
            <w:shd w:val="clear" w:color="auto" w:fill="auto"/>
            <w:noWrap/>
            <w:vAlign w:val="center"/>
            <w:hideMark/>
          </w:tcPr>
          <w:p w14:paraId="34633684" w14:textId="240E4D8A"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Powder - High </w:t>
            </w:r>
            <w:r>
              <w:rPr>
                <w:rFonts w:eastAsia="Times New Roman" w:cs="Arial"/>
                <w:color w:val="000000"/>
                <w:sz w:val="18"/>
                <w:szCs w:val="18"/>
                <w:lang w:val="en-AU" w:eastAsia="en-AU"/>
              </w:rPr>
              <w:t>MDC Grouping</w:t>
            </w:r>
          </w:p>
        </w:tc>
        <w:tc>
          <w:tcPr>
            <w:tcW w:w="3828" w:type="dxa"/>
            <w:shd w:val="clear" w:color="auto" w:fill="auto"/>
            <w:vAlign w:val="center"/>
            <w:hideMark/>
          </w:tcPr>
          <w:p w14:paraId="5D2F34C7"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06 07 13 16 21A 21B</w:t>
            </w:r>
          </w:p>
        </w:tc>
        <w:tc>
          <w:tcPr>
            <w:tcW w:w="3402" w:type="dxa"/>
            <w:shd w:val="clear" w:color="auto" w:fill="auto"/>
            <w:vAlign w:val="center"/>
            <w:hideMark/>
          </w:tcPr>
          <w:p w14:paraId="7708936D"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G H N Q W X</w:t>
            </w:r>
          </w:p>
        </w:tc>
      </w:tr>
      <w:tr w:rsidR="00EE1EF4" w:rsidRPr="006832C4" w14:paraId="3C9CBCB3" w14:textId="77777777" w:rsidTr="00EE1EF4">
        <w:trPr>
          <w:cantSplit/>
          <w:trHeight w:val="240"/>
        </w:trPr>
        <w:tc>
          <w:tcPr>
            <w:tcW w:w="1684" w:type="dxa"/>
            <w:vMerge/>
            <w:vAlign w:val="center"/>
            <w:hideMark/>
          </w:tcPr>
          <w:p w14:paraId="456F04E8"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4F1C24ED"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A42C2</w:t>
            </w:r>
          </w:p>
        </w:tc>
        <w:tc>
          <w:tcPr>
            <w:tcW w:w="3781" w:type="dxa"/>
            <w:tcBorders>
              <w:left w:val="nil"/>
            </w:tcBorders>
            <w:shd w:val="clear" w:color="auto" w:fill="auto"/>
            <w:noWrap/>
            <w:vAlign w:val="center"/>
            <w:hideMark/>
          </w:tcPr>
          <w:p w14:paraId="05C1807A" w14:textId="3FB77690"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Powder - Moderate </w:t>
            </w:r>
            <w:r>
              <w:rPr>
                <w:rFonts w:eastAsia="Times New Roman" w:cs="Arial"/>
                <w:color w:val="000000"/>
                <w:sz w:val="18"/>
                <w:szCs w:val="18"/>
                <w:lang w:val="en-AU" w:eastAsia="en-AU"/>
              </w:rPr>
              <w:t>MDC Grouping</w:t>
            </w:r>
          </w:p>
        </w:tc>
        <w:tc>
          <w:tcPr>
            <w:tcW w:w="3828" w:type="dxa"/>
            <w:shd w:val="clear" w:color="auto" w:fill="auto"/>
            <w:vAlign w:val="center"/>
            <w:hideMark/>
          </w:tcPr>
          <w:p w14:paraId="6B6A7CC5"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04 09 11 12 14 15 17 23 98</w:t>
            </w:r>
          </w:p>
        </w:tc>
        <w:tc>
          <w:tcPr>
            <w:tcW w:w="3402" w:type="dxa"/>
            <w:shd w:val="clear" w:color="auto" w:fill="auto"/>
            <w:vAlign w:val="center"/>
            <w:hideMark/>
          </w:tcPr>
          <w:p w14:paraId="6F417119"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E J L M O P R Z 8</w:t>
            </w:r>
          </w:p>
        </w:tc>
      </w:tr>
      <w:tr w:rsidR="00EE1EF4" w:rsidRPr="006832C4" w14:paraId="00DBD80C" w14:textId="77777777" w:rsidTr="00EE1EF4">
        <w:trPr>
          <w:cantSplit/>
          <w:trHeight w:val="480"/>
        </w:trPr>
        <w:tc>
          <w:tcPr>
            <w:tcW w:w="1684" w:type="dxa"/>
            <w:vMerge/>
            <w:vAlign w:val="center"/>
            <w:hideMark/>
          </w:tcPr>
          <w:p w14:paraId="63FFF92A"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6E06ADCD"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A42C3</w:t>
            </w:r>
          </w:p>
        </w:tc>
        <w:tc>
          <w:tcPr>
            <w:tcW w:w="3781" w:type="dxa"/>
            <w:tcBorders>
              <w:left w:val="nil"/>
            </w:tcBorders>
            <w:shd w:val="clear" w:color="auto" w:fill="auto"/>
            <w:noWrap/>
            <w:vAlign w:val="center"/>
            <w:hideMark/>
          </w:tcPr>
          <w:p w14:paraId="114680BF" w14:textId="15D8C86E"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Powder - Low </w:t>
            </w:r>
            <w:r>
              <w:rPr>
                <w:rFonts w:eastAsia="Times New Roman" w:cs="Arial"/>
                <w:color w:val="000000"/>
                <w:sz w:val="18"/>
                <w:szCs w:val="18"/>
                <w:lang w:val="en-AU" w:eastAsia="en-AU"/>
              </w:rPr>
              <w:t>MDC Grouping</w:t>
            </w:r>
          </w:p>
        </w:tc>
        <w:tc>
          <w:tcPr>
            <w:tcW w:w="3828" w:type="dxa"/>
            <w:shd w:val="clear" w:color="auto" w:fill="auto"/>
            <w:vAlign w:val="center"/>
            <w:hideMark/>
          </w:tcPr>
          <w:p w14:paraId="58C5C8D2"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00 01 02 03 05 08 10 18 19 20 22 99</w:t>
            </w:r>
          </w:p>
        </w:tc>
        <w:tc>
          <w:tcPr>
            <w:tcW w:w="3402" w:type="dxa"/>
            <w:shd w:val="clear" w:color="auto" w:fill="auto"/>
            <w:vAlign w:val="center"/>
            <w:hideMark/>
          </w:tcPr>
          <w:p w14:paraId="36B60B4A"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B C D F I K T U V Y 9</w:t>
            </w:r>
          </w:p>
        </w:tc>
      </w:tr>
      <w:tr w:rsidR="00EE1EF4" w:rsidRPr="006832C4" w14:paraId="00B272B0" w14:textId="77777777" w:rsidTr="00EE1EF4">
        <w:trPr>
          <w:cantSplit/>
          <w:trHeight w:val="720"/>
        </w:trPr>
        <w:tc>
          <w:tcPr>
            <w:tcW w:w="1684" w:type="dxa"/>
            <w:shd w:val="clear" w:color="auto" w:fill="auto"/>
            <w:vAlign w:val="center"/>
            <w:hideMark/>
          </w:tcPr>
          <w:p w14:paraId="0BBB4070"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A43</w:t>
            </w:r>
          </w:p>
          <w:p w14:paraId="0CFC06C0" w14:textId="7375DD64"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Sponges</w:t>
            </w:r>
          </w:p>
        </w:tc>
        <w:tc>
          <w:tcPr>
            <w:tcW w:w="767" w:type="dxa"/>
            <w:tcBorders>
              <w:right w:val="nil"/>
            </w:tcBorders>
            <w:shd w:val="clear" w:color="auto" w:fill="auto"/>
            <w:noWrap/>
            <w:vAlign w:val="center"/>
            <w:hideMark/>
          </w:tcPr>
          <w:p w14:paraId="3B9BA4AE"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A43C1</w:t>
            </w:r>
          </w:p>
        </w:tc>
        <w:tc>
          <w:tcPr>
            <w:tcW w:w="3781" w:type="dxa"/>
            <w:tcBorders>
              <w:left w:val="nil"/>
            </w:tcBorders>
            <w:shd w:val="clear" w:color="auto" w:fill="auto"/>
            <w:noWrap/>
            <w:vAlign w:val="center"/>
            <w:hideMark/>
          </w:tcPr>
          <w:p w14:paraId="5D097DA4" w14:textId="355DAC0D"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Sponges - No </w:t>
            </w:r>
            <w:r>
              <w:rPr>
                <w:rFonts w:eastAsia="Times New Roman" w:cs="Arial"/>
                <w:color w:val="000000"/>
                <w:sz w:val="18"/>
                <w:szCs w:val="18"/>
                <w:lang w:val="en-AU" w:eastAsia="en-AU"/>
              </w:rPr>
              <w:t>MDC Grouping</w:t>
            </w:r>
          </w:p>
        </w:tc>
        <w:tc>
          <w:tcPr>
            <w:tcW w:w="3828" w:type="dxa"/>
            <w:shd w:val="clear" w:color="auto" w:fill="auto"/>
            <w:vAlign w:val="center"/>
            <w:hideMark/>
          </w:tcPr>
          <w:p w14:paraId="5025D73E"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01 02 03 04 05 06 07 08 09 10 11 12 13 14 15 16 17 18 19 20 21A 21B 22 23 98 99</w:t>
            </w:r>
          </w:p>
        </w:tc>
        <w:tc>
          <w:tcPr>
            <w:tcW w:w="3402" w:type="dxa"/>
            <w:shd w:val="clear" w:color="auto" w:fill="auto"/>
            <w:vAlign w:val="center"/>
            <w:hideMark/>
          </w:tcPr>
          <w:p w14:paraId="56BF371F"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B C D E F G H I J K L M N O P Q R T U V W X Y Z 8 9</w:t>
            </w:r>
          </w:p>
        </w:tc>
      </w:tr>
      <w:tr w:rsidR="00EE1EF4" w:rsidRPr="006832C4" w14:paraId="478DB484" w14:textId="77777777" w:rsidTr="00EE1EF4">
        <w:trPr>
          <w:cantSplit/>
          <w:trHeight w:val="480"/>
        </w:trPr>
        <w:tc>
          <w:tcPr>
            <w:tcW w:w="1684" w:type="dxa"/>
            <w:vMerge w:val="restart"/>
            <w:shd w:val="clear" w:color="auto" w:fill="auto"/>
            <w:vAlign w:val="center"/>
            <w:hideMark/>
          </w:tcPr>
          <w:p w14:paraId="1C40F35D"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A44</w:t>
            </w:r>
          </w:p>
          <w:p w14:paraId="58E675EB" w14:textId="0BFA4BF7"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Pliable Patches</w:t>
            </w:r>
          </w:p>
        </w:tc>
        <w:tc>
          <w:tcPr>
            <w:tcW w:w="767" w:type="dxa"/>
            <w:tcBorders>
              <w:right w:val="nil"/>
            </w:tcBorders>
            <w:shd w:val="clear" w:color="auto" w:fill="auto"/>
            <w:noWrap/>
            <w:vAlign w:val="center"/>
            <w:hideMark/>
          </w:tcPr>
          <w:p w14:paraId="1C46AA1E"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A44C1</w:t>
            </w:r>
          </w:p>
        </w:tc>
        <w:tc>
          <w:tcPr>
            <w:tcW w:w="3781" w:type="dxa"/>
            <w:tcBorders>
              <w:left w:val="nil"/>
            </w:tcBorders>
            <w:shd w:val="clear" w:color="auto" w:fill="auto"/>
            <w:noWrap/>
            <w:vAlign w:val="center"/>
            <w:hideMark/>
          </w:tcPr>
          <w:p w14:paraId="5DF8F57F" w14:textId="00087F64"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Pliable Patches - High </w:t>
            </w:r>
            <w:r>
              <w:rPr>
                <w:rFonts w:eastAsia="Times New Roman" w:cs="Arial"/>
                <w:color w:val="000000"/>
                <w:sz w:val="18"/>
                <w:szCs w:val="18"/>
                <w:lang w:val="en-AU" w:eastAsia="en-AU"/>
              </w:rPr>
              <w:t>MDC Grouping</w:t>
            </w:r>
          </w:p>
        </w:tc>
        <w:tc>
          <w:tcPr>
            <w:tcW w:w="3828" w:type="dxa"/>
            <w:shd w:val="clear" w:color="auto" w:fill="auto"/>
            <w:vAlign w:val="center"/>
            <w:hideMark/>
          </w:tcPr>
          <w:p w14:paraId="32EEF69C"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04 05 06 07 08 11 12 13 14 15 19 20 21A 21B 22</w:t>
            </w:r>
          </w:p>
        </w:tc>
        <w:tc>
          <w:tcPr>
            <w:tcW w:w="3402" w:type="dxa"/>
            <w:shd w:val="clear" w:color="auto" w:fill="auto"/>
            <w:vAlign w:val="center"/>
            <w:hideMark/>
          </w:tcPr>
          <w:p w14:paraId="1477809D"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E F G H I L M N O P U V W X Y</w:t>
            </w:r>
          </w:p>
        </w:tc>
      </w:tr>
      <w:tr w:rsidR="00EE1EF4" w:rsidRPr="006832C4" w14:paraId="23C7A2AF" w14:textId="77777777" w:rsidTr="00EE1EF4">
        <w:trPr>
          <w:cantSplit/>
          <w:trHeight w:val="480"/>
        </w:trPr>
        <w:tc>
          <w:tcPr>
            <w:tcW w:w="1684" w:type="dxa"/>
            <w:vMerge/>
            <w:vAlign w:val="center"/>
            <w:hideMark/>
          </w:tcPr>
          <w:p w14:paraId="22530F9C"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678A9D79"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A44C2</w:t>
            </w:r>
          </w:p>
        </w:tc>
        <w:tc>
          <w:tcPr>
            <w:tcW w:w="3781" w:type="dxa"/>
            <w:tcBorders>
              <w:left w:val="nil"/>
            </w:tcBorders>
            <w:shd w:val="clear" w:color="auto" w:fill="auto"/>
            <w:noWrap/>
            <w:vAlign w:val="center"/>
            <w:hideMark/>
          </w:tcPr>
          <w:p w14:paraId="4BC827F0" w14:textId="1DC578F6"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Pliable Patches - Low </w:t>
            </w:r>
            <w:r>
              <w:rPr>
                <w:rFonts w:eastAsia="Times New Roman" w:cs="Arial"/>
                <w:color w:val="000000"/>
                <w:sz w:val="18"/>
                <w:szCs w:val="18"/>
                <w:lang w:val="en-AU" w:eastAsia="en-AU"/>
              </w:rPr>
              <w:t>MDC Grouping</w:t>
            </w:r>
          </w:p>
        </w:tc>
        <w:tc>
          <w:tcPr>
            <w:tcW w:w="3828" w:type="dxa"/>
            <w:shd w:val="clear" w:color="auto" w:fill="auto"/>
            <w:vAlign w:val="center"/>
            <w:hideMark/>
          </w:tcPr>
          <w:p w14:paraId="58B0FB20"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01 02 03 09 10 16 17 18 23 98 99</w:t>
            </w:r>
          </w:p>
        </w:tc>
        <w:tc>
          <w:tcPr>
            <w:tcW w:w="3402" w:type="dxa"/>
            <w:shd w:val="clear" w:color="auto" w:fill="auto"/>
            <w:vAlign w:val="center"/>
            <w:hideMark/>
          </w:tcPr>
          <w:p w14:paraId="189EEBC5"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B C D J K Q R T Z 8 9</w:t>
            </w:r>
          </w:p>
        </w:tc>
      </w:tr>
      <w:tr w:rsidR="00EE1EF4" w:rsidRPr="006832C4" w14:paraId="5D136740" w14:textId="77777777" w:rsidTr="00EE1EF4">
        <w:trPr>
          <w:cantSplit/>
          <w:trHeight w:val="240"/>
        </w:trPr>
        <w:tc>
          <w:tcPr>
            <w:tcW w:w="1684" w:type="dxa"/>
            <w:vMerge w:val="restart"/>
            <w:shd w:val="clear" w:color="auto" w:fill="auto"/>
            <w:vAlign w:val="center"/>
            <w:hideMark/>
          </w:tcPr>
          <w:p w14:paraId="10268AF0"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A45</w:t>
            </w:r>
          </w:p>
          <w:p w14:paraId="3CB8DD4E" w14:textId="56B245A4"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Matrix</w:t>
            </w:r>
          </w:p>
        </w:tc>
        <w:tc>
          <w:tcPr>
            <w:tcW w:w="767" w:type="dxa"/>
            <w:tcBorders>
              <w:right w:val="nil"/>
            </w:tcBorders>
            <w:shd w:val="clear" w:color="auto" w:fill="auto"/>
            <w:noWrap/>
            <w:vAlign w:val="center"/>
            <w:hideMark/>
          </w:tcPr>
          <w:p w14:paraId="1B0EC8FD"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A45C1</w:t>
            </w:r>
          </w:p>
        </w:tc>
        <w:tc>
          <w:tcPr>
            <w:tcW w:w="3781" w:type="dxa"/>
            <w:tcBorders>
              <w:left w:val="nil"/>
            </w:tcBorders>
            <w:shd w:val="clear" w:color="auto" w:fill="auto"/>
            <w:noWrap/>
            <w:vAlign w:val="center"/>
            <w:hideMark/>
          </w:tcPr>
          <w:p w14:paraId="2141489C" w14:textId="09823486"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Matrix - Very High </w:t>
            </w:r>
            <w:r>
              <w:rPr>
                <w:rFonts w:eastAsia="Times New Roman" w:cs="Arial"/>
                <w:color w:val="000000"/>
                <w:sz w:val="18"/>
                <w:szCs w:val="18"/>
                <w:lang w:val="en-AU" w:eastAsia="en-AU"/>
              </w:rPr>
              <w:t>MDC Grouping</w:t>
            </w:r>
          </w:p>
        </w:tc>
        <w:tc>
          <w:tcPr>
            <w:tcW w:w="3828" w:type="dxa"/>
            <w:shd w:val="clear" w:color="auto" w:fill="auto"/>
            <w:vAlign w:val="center"/>
            <w:hideMark/>
          </w:tcPr>
          <w:p w14:paraId="608B5313"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00 10 19 98</w:t>
            </w:r>
          </w:p>
        </w:tc>
        <w:tc>
          <w:tcPr>
            <w:tcW w:w="3402" w:type="dxa"/>
            <w:shd w:val="clear" w:color="auto" w:fill="auto"/>
            <w:vAlign w:val="center"/>
            <w:hideMark/>
          </w:tcPr>
          <w:p w14:paraId="5BFEE7E7"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K U 8</w:t>
            </w:r>
          </w:p>
        </w:tc>
      </w:tr>
      <w:tr w:rsidR="00EE1EF4" w:rsidRPr="006832C4" w14:paraId="429C5675" w14:textId="77777777" w:rsidTr="00EE1EF4">
        <w:trPr>
          <w:cantSplit/>
          <w:trHeight w:val="480"/>
        </w:trPr>
        <w:tc>
          <w:tcPr>
            <w:tcW w:w="1684" w:type="dxa"/>
            <w:vMerge/>
            <w:vAlign w:val="center"/>
            <w:hideMark/>
          </w:tcPr>
          <w:p w14:paraId="4C6CF663"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0B3522A3"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A45C2</w:t>
            </w:r>
          </w:p>
        </w:tc>
        <w:tc>
          <w:tcPr>
            <w:tcW w:w="3781" w:type="dxa"/>
            <w:tcBorders>
              <w:left w:val="nil"/>
            </w:tcBorders>
            <w:shd w:val="clear" w:color="auto" w:fill="auto"/>
            <w:noWrap/>
            <w:vAlign w:val="center"/>
            <w:hideMark/>
          </w:tcPr>
          <w:p w14:paraId="107E858F" w14:textId="372D8D7F"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Matrix - High </w:t>
            </w:r>
            <w:r>
              <w:rPr>
                <w:rFonts w:eastAsia="Times New Roman" w:cs="Arial"/>
                <w:color w:val="000000"/>
                <w:sz w:val="18"/>
                <w:szCs w:val="18"/>
                <w:lang w:val="en-AU" w:eastAsia="en-AU"/>
              </w:rPr>
              <w:t>MDC Grouping</w:t>
            </w:r>
          </w:p>
        </w:tc>
        <w:tc>
          <w:tcPr>
            <w:tcW w:w="3828" w:type="dxa"/>
            <w:shd w:val="clear" w:color="auto" w:fill="auto"/>
            <w:vAlign w:val="center"/>
            <w:hideMark/>
          </w:tcPr>
          <w:p w14:paraId="60D67738"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01 05 06 07 08 15 16 17 18 20 22</w:t>
            </w:r>
          </w:p>
        </w:tc>
        <w:tc>
          <w:tcPr>
            <w:tcW w:w="3402" w:type="dxa"/>
            <w:shd w:val="clear" w:color="auto" w:fill="auto"/>
            <w:vAlign w:val="center"/>
            <w:hideMark/>
          </w:tcPr>
          <w:p w14:paraId="1EA888FF"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B F G H I P Q R T V Y</w:t>
            </w:r>
          </w:p>
        </w:tc>
      </w:tr>
      <w:tr w:rsidR="00EE1EF4" w:rsidRPr="006832C4" w14:paraId="1604228C" w14:textId="77777777" w:rsidTr="00EE1EF4">
        <w:trPr>
          <w:cantSplit/>
          <w:trHeight w:val="480"/>
        </w:trPr>
        <w:tc>
          <w:tcPr>
            <w:tcW w:w="1684" w:type="dxa"/>
            <w:vMerge/>
            <w:vAlign w:val="center"/>
            <w:hideMark/>
          </w:tcPr>
          <w:p w14:paraId="02ADACB6"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5BC76C4D"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A45C3</w:t>
            </w:r>
          </w:p>
        </w:tc>
        <w:tc>
          <w:tcPr>
            <w:tcW w:w="3781" w:type="dxa"/>
            <w:tcBorders>
              <w:left w:val="nil"/>
            </w:tcBorders>
            <w:shd w:val="clear" w:color="auto" w:fill="auto"/>
            <w:noWrap/>
            <w:vAlign w:val="center"/>
            <w:hideMark/>
          </w:tcPr>
          <w:p w14:paraId="0C92A9EF" w14:textId="5865B65A"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Matrix - Moderate </w:t>
            </w:r>
            <w:r>
              <w:rPr>
                <w:rFonts w:eastAsia="Times New Roman" w:cs="Arial"/>
                <w:color w:val="000000"/>
                <w:sz w:val="18"/>
                <w:szCs w:val="18"/>
                <w:lang w:val="en-AU" w:eastAsia="en-AU"/>
              </w:rPr>
              <w:t>MDC Grouping</w:t>
            </w:r>
          </w:p>
        </w:tc>
        <w:tc>
          <w:tcPr>
            <w:tcW w:w="3828" w:type="dxa"/>
            <w:shd w:val="clear" w:color="auto" w:fill="auto"/>
            <w:vAlign w:val="center"/>
            <w:hideMark/>
          </w:tcPr>
          <w:p w14:paraId="718DE5C7"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02 04 09 11 12 13 14 21A 21B 23</w:t>
            </w:r>
          </w:p>
        </w:tc>
        <w:tc>
          <w:tcPr>
            <w:tcW w:w="3402" w:type="dxa"/>
            <w:shd w:val="clear" w:color="auto" w:fill="auto"/>
            <w:vAlign w:val="center"/>
            <w:hideMark/>
          </w:tcPr>
          <w:p w14:paraId="6BB4E6B8"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C E J L M N O W X Z</w:t>
            </w:r>
          </w:p>
        </w:tc>
      </w:tr>
      <w:tr w:rsidR="00EE1EF4" w:rsidRPr="006832C4" w14:paraId="4E55486A" w14:textId="77777777" w:rsidTr="00EE1EF4">
        <w:trPr>
          <w:cantSplit/>
          <w:trHeight w:val="240"/>
        </w:trPr>
        <w:tc>
          <w:tcPr>
            <w:tcW w:w="1684" w:type="dxa"/>
            <w:vMerge/>
            <w:vAlign w:val="center"/>
            <w:hideMark/>
          </w:tcPr>
          <w:p w14:paraId="37AE1885"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2CEF80FB"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A45C4</w:t>
            </w:r>
          </w:p>
        </w:tc>
        <w:tc>
          <w:tcPr>
            <w:tcW w:w="3781" w:type="dxa"/>
            <w:tcBorders>
              <w:left w:val="nil"/>
            </w:tcBorders>
            <w:shd w:val="clear" w:color="auto" w:fill="auto"/>
            <w:noWrap/>
            <w:vAlign w:val="center"/>
            <w:hideMark/>
          </w:tcPr>
          <w:p w14:paraId="7B33EEC7" w14:textId="28DB18F9"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Matrix - Low </w:t>
            </w:r>
            <w:r>
              <w:rPr>
                <w:rFonts w:eastAsia="Times New Roman" w:cs="Arial"/>
                <w:color w:val="000000"/>
                <w:sz w:val="18"/>
                <w:szCs w:val="18"/>
                <w:lang w:val="en-AU" w:eastAsia="en-AU"/>
              </w:rPr>
              <w:t>MDC Grouping</w:t>
            </w:r>
          </w:p>
        </w:tc>
        <w:tc>
          <w:tcPr>
            <w:tcW w:w="3828" w:type="dxa"/>
            <w:shd w:val="clear" w:color="auto" w:fill="auto"/>
            <w:vAlign w:val="center"/>
            <w:hideMark/>
          </w:tcPr>
          <w:p w14:paraId="125C4115"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03 99</w:t>
            </w:r>
          </w:p>
        </w:tc>
        <w:tc>
          <w:tcPr>
            <w:tcW w:w="3402" w:type="dxa"/>
            <w:shd w:val="clear" w:color="auto" w:fill="auto"/>
            <w:vAlign w:val="center"/>
            <w:hideMark/>
          </w:tcPr>
          <w:p w14:paraId="78396E9C"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D 9</w:t>
            </w:r>
          </w:p>
        </w:tc>
      </w:tr>
      <w:tr w:rsidR="00EE1EF4" w:rsidRPr="006832C4" w14:paraId="11462C20" w14:textId="77777777" w:rsidTr="00EE1EF4">
        <w:trPr>
          <w:cantSplit/>
          <w:trHeight w:val="720"/>
        </w:trPr>
        <w:tc>
          <w:tcPr>
            <w:tcW w:w="1684" w:type="dxa"/>
            <w:shd w:val="clear" w:color="auto" w:fill="auto"/>
            <w:vAlign w:val="center"/>
            <w:hideMark/>
          </w:tcPr>
          <w:p w14:paraId="77B7CEC2"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A46</w:t>
            </w:r>
          </w:p>
          <w:p w14:paraId="38C7DA28" w14:textId="150EE6C5"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Foam</w:t>
            </w:r>
          </w:p>
        </w:tc>
        <w:tc>
          <w:tcPr>
            <w:tcW w:w="767" w:type="dxa"/>
            <w:tcBorders>
              <w:right w:val="nil"/>
            </w:tcBorders>
            <w:shd w:val="clear" w:color="auto" w:fill="auto"/>
            <w:noWrap/>
            <w:vAlign w:val="center"/>
            <w:hideMark/>
          </w:tcPr>
          <w:p w14:paraId="66090D97"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A46C1</w:t>
            </w:r>
          </w:p>
        </w:tc>
        <w:tc>
          <w:tcPr>
            <w:tcW w:w="3781" w:type="dxa"/>
            <w:tcBorders>
              <w:left w:val="nil"/>
            </w:tcBorders>
            <w:shd w:val="clear" w:color="auto" w:fill="auto"/>
            <w:noWrap/>
            <w:vAlign w:val="center"/>
            <w:hideMark/>
          </w:tcPr>
          <w:p w14:paraId="045B4AA0" w14:textId="298AE375"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Foam - No </w:t>
            </w:r>
            <w:r>
              <w:rPr>
                <w:rFonts w:eastAsia="Times New Roman" w:cs="Arial"/>
                <w:color w:val="000000"/>
                <w:sz w:val="18"/>
                <w:szCs w:val="18"/>
                <w:lang w:val="en-AU" w:eastAsia="en-AU"/>
              </w:rPr>
              <w:t>MDC Grouping</w:t>
            </w:r>
          </w:p>
        </w:tc>
        <w:tc>
          <w:tcPr>
            <w:tcW w:w="3828" w:type="dxa"/>
            <w:shd w:val="clear" w:color="auto" w:fill="auto"/>
            <w:vAlign w:val="center"/>
            <w:hideMark/>
          </w:tcPr>
          <w:p w14:paraId="3D4A9DC3"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01 02 03 04 05 06 07 08 09 10 11 12 13 14 15 16 17 18 19 20 21A 21B 22 23 98 99</w:t>
            </w:r>
          </w:p>
        </w:tc>
        <w:tc>
          <w:tcPr>
            <w:tcW w:w="3402" w:type="dxa"/>
            <w:shd w:val="clear" w:color="auto" w:fill="auto"/>
            <w:vAlign w:val="center"/>
            <w:hideMark/>
          </w:tcPr>
          <w:p w14:paraId="7293202C"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B C D E F G H I J K L M N O P Q R T U V W X Y Z 8 9</w:t>
            </w:r>
          </w:p>
        </w:tc>
      </w:tr>
      <w:tr w:rsidR="00EE1EF4" w:rsidRPr="006832C4" w14:paraId="030531F5" w14:textId="77777777" w:rsidTr="00EE1EF4">
        <w:trPr>
          <w:cantSplit/>
          <w:trHeight w:val="720"/>
        </w:trPr>
        <w:tc>
          <w:tcPr>
            <w:tcW w:w="1684" w:type="dxa"/>
            <w:shd w:val="clear" w:color="auto" w:fill="auto"/>
            <w:vAlign w:val="center"/>
            <w:hideMark/>
          </w:tcPr>
          <w:p w14:paraId="260CDB93"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A49</w:t>
            </w:r>
          </w:p>
          <w:p w14:paraId="4C179015" w14:textId="199C8E54"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Haemostatic Accessories</w:t>
            </w:r>
          </w:p>
        </w:tc>
        <w:tc>
          <w:tcPr>
            <w:tcW w:w="767" w:type="dxa"/>
            <w:tcBorders>
              <w:right w:val="nil"/>
            </w:tcBorders>
            <w:shd w:val="clear" w:color="auto" w:fill="auto"/>
            <w:noWrap/>
            <w:vAlign w:val="center"/>
            <w:hideMark/>
          </w:tcPr>
          <w:p w14:paraId="3EFF41E8"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A49C1</w:t>
            </w:r>
          </w:p>
        </w:tc>
        <w:tc>
          <w:tcPr>
            <w:tcW w:w="3781" w:type="dxa"/>
            <w:tcBorders>
              <w:left w:val="nil"/>
            </w:tcBorders>
            <w:shd w:val="clear" w:color="auto" w:fill="auto"/>
            <w:noWrap/>
            <w:vAlign w:val="center"/>
            <w:hideMark/>
          </w:tcPr>
          <w:p w14:paraId="619037AC" w14:textId="7AE2E731"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Haemostatic Accessories - No </w:t>
            </w:r>
            <w:r>
              <w:rPr>
                <w:rFonts w:eastAsia="Times New Roman" w:cs="Arial"/>
                <w:color w:val="000000"/>
                <w:sz w:val="18"/>
                <w:szCs w:val="18"/>
                <w:lang w:val="en-AU" w:eastAsia="en-AU"/>
              </w:rPr>
              <w:t>MDC Grouping</w:t>
            </w:r>
          </w:p>
        </w:tc>
        <w:tc>
          <w:tcPr>
            <w:tcW w:w="3828" w:type="dxa"/>
            <w:shd w:val="clear" w:color="auto" w:fill="auto"/>
            <w:vAlign w:val="center"/>
            <w:hideMark/>
          </w:tcPr>
          <w:p w14:paraId="74B4ABE1"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01 02 03 04 05 06 07 08 09 10 11 12 13 14 15 16 17 18 19 20 21A 21B 22 23 98 99</w:t>
            </w:r>
          </w:p>
        </w:tc>
        <w:tc>
          <w:tcPr>
            <w:tcW w:w="3402" w:type="dxa"/>
            <w:shd w:val="clear" w:color="auto" w:fill="auto"/>
            <w:vAlign w:val="center"/>
            <w:hideMark/>
          </w:tcPr>
          <w:p w14:paraId="5232D43E"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B C D E F G H I J K L M N O P Q R T U V W X Y Z 8 9</w:t>
            </w:r>
          </w:p>
        </w:tc>
      </w:tr>
      <w:tr w:rsidR="00EE1EF4" w:rsidRPr="006832C4" w14:paraId="3B54CB6C" w14:textId="77777777" w:rsidTr="00EE1EF4">
        <w:trPr>
          <w:cantSplit/>
          <w:trHeight w:val="240"/>
        </w:trPr>
        <w:tc>
          <w:tcPr>
            <w:tcW w:w="1684" w:type="dxa"/>
            <w:vMerge w:val="restart"/>
            <w:shd w:val="clear" w:color="auto" w:fill="auto"/>
            <w:vAlign w:val="center"/>
            <w:hideMark/>
          </w:tcPr>
          <w:p w14:paraId="672F8F99"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A51</w:t>
            </w:r>
          </w:p>
          <w:p w14:paraId="795A38E6" w14:textId="619689C1"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Adhesion Barriers</w:t>
            </w:r>
          </w:p>
        </w:tc>
        <w:tc>
          <w:tcPr>
            <w:tcW w:w="767" w:type="dxa"/>
            <w:tcBorders>
              <w:right w:val="nil"/>
            </w:tcBorders>
            <w:shd w:val="clear" w:color="auto" w:fill="auto"/>
            <w:noWrap/>
            <w:vAlign w:val="center"/>
            <w:hideMark/>
          </w:tcPr>
          <w:p w14:paraId="1545D8E7"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A51C1</w:t>
            </w:r>
          </w:p>
        </w:tc>
        <w:tc>
          <w:tcPr>
            <w:tcW w:w="3781" w:type="dxa"/>
            <w:tcBorders>
              <w:left w:val="nil"/>
            </w:tcBorders>
            <w:shd w:val="clear" w:color="auto" w:fill="auto"/>
            <w:noWrap/>
            <w:vAlign w:val="center"/>
            <w:hideMark/>
          </w:tcPr>
          <w:p w14:paraId="339EDE60" w14:textId="4EB22070"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Adhesion Barriers - Very High </w:t>
            </w:r>
            <w:r>
              <w:rPr>
                <w:rFonts w:eastAsia="Times New Roman" w:cs="Arial"/>
                <w:color w:val="000000"/>
                <w:sz w:val="18"/>
                <w:szCs w:val="18"/>
                <w:lang w:val="en-AU" w:eastAsia="en-AU"/>
              </w:rPr>
              <w:t>MDC Grouping</w:t>
            </w:r>
          </w:p>
        </w:tc>
        <w:tc>
          <w:tcPr>
            <w:tcW w:w="3828" w:type="dxa"/>
            <w:shd w:val="clear" w:color="auto" w:fill="auto"/>
            <w:vAlign w:val="center"/>
            <w:hideMark/>
          </w:tcPr>
          <w:p w14:paraId="70C5D526" w14:textId="1AB1DAB8" w:rsidR="006832C4" w:rsidRPr="006832C4" w:rsidRDefault="0006377E" w:rsidP="006832C4">
            <w:pPr>
              <w:spacing w:before="120" w:after="120"/>
              <w:rPr>
                <w:rFonts w:eastAsia="Times New Roman" w:cs="Arial"/>
                <w:color w:val="000000"/>
                <w:sz w:val="18"/>
                <w:szCs w:val="18"/>
                <w:lang w:val="en-AU" w:eastAsia="en-AU"/>
              </w:rPr>
            </w:pPr>
            <w:r>
              <w:rPr>
                <w:rFonts w:eastAsia="Times New Roman" w:cs="Arial"/>
                <w:color w:val="000000"/>
                <w:sz w:val="18"/>
                <w:szCs w:val="18"/>
                <w:lang w:val="en-AU" w:eastAsia="en-AU"/>
              </w:rPr>
              <w:t>0</w:t>
            </w:r>
            <w:r w:rsidR="006832C4" w:rsidRPr="006832C4">
              <w:rPr>
                <w:rFonts w:eastAsia="Times New Roman" w:cs="Arial"/>
                <w:color w:val="000000"/>
                <w:sz w:val="18"/>
                <w:szCs w:val="18"/>
                <w:lang w:val="en-AU" w:eastAsia="en-AU"/>
              </w:rPr>
              <w:t>8</w:t>
            </w:r>
          </w:p>
        </w:tc>
        <w:tc>
          <w:tcPr>
            <w:tcW w:w="3402" w:type="dxa"/>
            <w:shd w:val="clear" w:color="auto" w:fill="auto"/>
            <w:vAlign w:val="center"/>
            <w:hideMark/>
          </w:tcPr>
          <w:p w14:paraId="708F0F8F"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I</w:t>
            </w:r>
          </w:p>
        </w:tc>
      </w:tr>
      <w:tr w:rsidR="00EE1EF4" w:rsidRPr="006832C4" w14:paraId="56344B2B" w14:textId="77777777" w:rsidTr="00EE1EF4">
        <w:trPr>
          <w:cantSplit/>
          <w:trHeight w:val="240"/>
        </w:trPr>
        <w:tc>
          <w:tcPr>
            <w:tcW w:w="1684" w:type="dxa"/>
            <w:vMerge/>
            <w:vAlign w:val="center"/>
            <w:hideMark/>
          </w:tcPr>
          <w:p w14:paraId="3F0CCC6B"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690B0B12"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A51C2</w:t>
            </w:r>
          </w:p>
        </w:tc>
        <w:tc>
          <w:tcPr>
            <w:tcW w:w="3781" w:type="dxa"/>
            <w:tcBorders>
              <w:left w:val="nil"/>
            </w:tcBorders>
            <w:shd w:val="clear" w:color="auto" w:fill="auto"/>
            <w:noWrap/>
            <w:vAlign w:val="center"/>
            <w:hideMark/>
          </w:tcPr>
          <w:p w14:paraId="67B4A873" w14:textId="09ADA13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Adhesion Barriers - High </w:t>
            </w:r>
            <w:r>
              <w:rPr>
                <w:rFonts w:eastAsia="Times New Roman" w:cs="Arial"/>
                <w:color w:val="000000"/>
                <w:sz w:val="18"/>
                <w:szCs w:val="18"/>
                <w:lang w:val="en-AU" w:eastAsia="en-AU"/>
              </w:rPr>
              <w:t>MDC Grouping</w:t>
            </w:r>
          </w:p>
        </w:tc>
        <w:tc>
          <w:tcPr>
            <w:tcW w:w="3828" w:type="dxa"/>
            <w:shd w:val="clear" w:color="auto" w:fill="auto"/>
            <w:vAlign w:val="center"/>
            <w:hideMark/>
          </w:tcPr>
          <w:p w14:paraId="18AF27BC"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01 07 98</w:t>
            </w:r>
          </w:p>
        </w:tc>
        <w:tc>
          <w:tcPr>
            <w:tcW w:w="3402" w:type="dxa"/>
            <w:shd w:val="clear" w:color="auto" w:fill="auto"/>
            <w:vAlign w:val="center"/>
            <w:hideMark/>
          </w:tcPr>
          <w:p w14:paraId="1294169D"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B H 8</w:t>
            </w:r>
          </w:p>
        </w:tc>
      </w:tr>
      <w:tr w:rsidR="00EE1EF4" w:rsidRPr="006832C4" w14:paraId="7C14E37F" w14:textId="77777777" w:rsidTr="00EE1EF4">
        <w:trPr>
          <w:cantSplit/>
          <w:trHeight w:val="480"/>
        </w:trPr>
        <w:tc>
          <w:tcPr>
            <w:tcW w:w="1684" w:type="dxa"/>
            <w:vMerge/>
            <w:vAlign w:val="center"/>
            <w:hideMark/>
          </w:tcPr>
          <w:p w14:paraId="2F348B10"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0DC7A182"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A51C3</w:t>
            </w:r>
          </w:p>
        </w:tc>
        <w:tc>
          <w:tcPr>
            <w:tcW w:w="3781" w:type="dxa"/>
            <w:tcBorders>
              <w:left w:val="nil"/>
            </w:tcBorders>
            <w:shd w:val="clear" w:color="auto" w:fill="auto"/>
            <w:noWrap/>
            <w:vAlign w:val="center"/>
            <w:hideMark/>
          </w:tcPr>
          <w:p w14:paraId="3E8BB0A6" w14:textId="74BEDB09"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Adhesion Barriers - Moderate </w:t>
            </w:r>
            <w:r>
              <w:rPr>
                <w:rFonts w:eastAsia="Times New Roman" w:cs="Arial"/>
                <w:color w:val="000000"/>
                <w:sz w:val="18"/>
                <w:szCs w:val="18"/>
                <w:lang w:val="en-AU" w:eastAsia="en-AU"/>
              </w:rPr>
              <w:t>MDC Grouping</w:t>
            </w:r>
          </w:p>
        </w:tc>
        <w:tc>
          <w:tcPr>
            <w:tcW w:w="3828" w:type="dxa"/>
            <w:shd w:val="clear" w:color="auto" w:fill="auto"/>
            <w:vAlign w:val="center"/>
            <w:hideMark/>
          </w:tcPr>
          <w:p w14:paraId="1004A188"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06 09 10 11 12 13 16 17 19 20 21A 21B 22 23</w:t>
            </w:r>
          </w:p>
        </w:tc>
        <w:tc>
          <w:tcPr>
            <w:tcW w:w="3402" w:type="dxa"/>
            <w:shd w:val="clear" w:color="auto" w:fill="auto"/>
            <w:vAlign w:val="center"/>
            <w:hideMark/>
          </w:tcPr>
          <w:p w14:paraId="1CB58DFD"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G J K L M N Q R U V W X Y Z</w:t>
            </w:r>
          </w:p>
        </w:tc>
      </w:tr>
      <w:tr w:rsidR="00EE1EF4" w:rsidRPr="006832C4" w14:paraId="274B9A50" w14:textId="77777777" w:rsidTr="00EE1EF4">
        <w:trPr>
          <w:cantSplit/>
          <w:trHeight w:val="240"/>
        </w:trPr>
        <w:tc>
          <w:tcPr>
            <w:tcW w:w="1684" w:type="dxa"/>
            <w:vMerge/>
            <w:vAlign w:val="center"/>
            <w:hideMark/>
          </w:tcPr>
          <w:p w14:paraId="48686F01"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69775A8B"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A51C4</w:t>
            </w:r>
          </w:p>
        </w:tc>
        <w:tc>
          <w:tcPr>
            <w:tcW w:w="3781" w:type="dxa"/>
            <w:tcBorders>
              <w:left w:val="nil"/>
            </w:tcBorders>
            <w:shd w:val="clear" w:color="auto" w:fill="auto"/>
            <w:noWrap/>
            <w:vAlign w:val="center"/>
            <w:hideMark/>
          </w:tcPr>
          <w:p w14:paraId="22D976E4" w14:textId="07257AEE"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Adhesion Barriers - Low </w:t>
            </w:r>
            <w:r>
              <w:rPr>
                <w:rFonts w:eastAsia="Times New Roman" w:cs="Arial"/>
                <w:color w:val="000000"/>
                <w:sz w:val="18"/>
                <w:szCs w:val="18"/>
                <w:lang w:val="en-AU" w:eastAsia="en-AU"/>
              </w:rPr>
              <w:t>MDC Grouping</w:t>
            </w:r>
          </w:p>
        </w:tc>
        <w:tc>
          <w:tcPr>
            <w:tcW w:w="3828" w:type="dxa"/>
            <w:shd w:val="clear" w:color="auto" w:fill="auto"/>
            <w:vAlign w:val="center"/>
            <w:hideMark/>
          </w:tcPr>
          <w:p w14:paraId="0BB2CDFE"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02 03 04 05 14 15 18 99</w:t>
            </w:r>
          </w:p>
        </w:tc>
        <w:tc>
          <w:tcPr>
            <w:tcW w:w="3402" w:type="dxa"/>
            <w:shd w:val="clear" w:color="auto" w:fill="auto"/>
            <w:vAlign w:val="center"/>
            <w:hideMark/>
          </w:tcPr>
          <w:p w14:paraId="65952F7C"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C D E F O P T 9</w:t>
            </w:r>
          </w:p>
        </w:tc>
      </w:tr>
      <w:tr w:rsidR="00EE1EF4" w:rsidRPr="006832C4" w14:paraId="7719B9B6" w14:textId="77777777" w:rsidTr="00EE1EF4">
        <w:trPr>
          <w:cantSplit/>
          <w:trHeight w:val="240"/>
        </w:trPr>
        <w:tc>
          <w:tcPr>
            <w:tcW w:w="1684" w:type="dxa"/>
            <w:vMerge w:val="restart"/>
            <w:shd w:val="clear" w:color="auto" w:fill="auto"/>
            <w:vAlign w:val="center"/>
            <w:hideMark/>
          </w:tcPr>
          <w:p w14:paraId="4240FEF0"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A52</w:t>
            </w:r>
          </w:p>
          <w:p w14:paraId="1A6BC8FB" w14:textId="18D86FAD"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Internal Adhesives</w:t>
            </w:r>
          </w:p>
        </w:tc>
        <w:tc>
          <w:tcPr>
            <w:tcW w:w="767" w:type="dxa"/>
            <w:tcBorders>
              <w:right w:val="nil"/>
            </w:tcBorders>
            <w:shd w:val="clear" w:color="auto" w:fill="auto"/>
            <w:noWrap/>
            <w:vAlign w:val="center"/>
            <w:hideMark/>
          </w:tcPr>
          <w:p w14:paraId="3409F776"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A52C1</w:t>
            </w:r>
          </w:p>
        </w:tc>
        <w:tc>
          <w:tcPr>
            <w:tcW w:w="3781" w:type="dxa"/>
            <w:tcBorders>
              <w:left w:val="nil"/>
            </w:tcBorders>
            <w:shd w:val="clear" w:color="auto" w:fill="auto"/>
            <w:noWrap/>
            <w:vAlign w:val="center"/>
            <w:hideMark/>
          </w:tcPr>
          <w:p w14:paraId="7D673F22" w14:textId="7A149911"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Internal Adhesives - Very High </w:t>
            </w:r>
            <w:r>
              <w:rPr>
                <w:rFonts w:eastAsia="Times New Roman" w:cs="Arial"/>
                <w:color w:val="000000"/>
                <w:sz w:val="18"/>
                <w:szCs w:val="18"/>
                <w:lang w:val="en-AU" w:eastAsia="en-AU"/>
              </w:rPr>
              <w:t>MDC Grouping</w:t>
            </w:r>
          </w:p>
        </w:tc>
        <w:tc>
          <w:tcPr>
            <w:tcW w:w="3828" w:type="dxa"/>
            <w:shd w:val="clear" w:color="auto" w:fill="auto"/>
            <w:vAlign w:val="center"/>
            <w:hideMark/>
          </w:tcPr>
          <w:p w14:paraId="7CEDF050"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00 04 10</w:t>
            </w:r>
          </w:p>
        </w:tc>
        <w:tc>
          <w:tcPr>
            <w:tcW w:w="3402" w:type="dxa"/>
            <w:shd w:val="clear" w:color="auto" w:fill="auto"/>
            <w:vAlign w:val="center"/>
            <w:hideMark/>
          </w:tcPr>
          <w:p w14:paraId="4F291BBB"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E K</w:t>
            </w:r>
          </w:p>
        </w:tc>
      </w:tr>
      <w:tr w:rsidR="00EE1EF4" w:rsidRPr="006832C4" w14:paraId="4E9943C9" w14:textId="77777777" w:rsidTr="00EE1EF4">
        <w:trPr>
          <w:cantSplit/>
          <w:trHeight w:val="240"/>
        </w:trPr>
        <w:tc>
          <w:tcPr>
            <w:tcW w:w="1684" w:type="dxa"/>
            <w:vMerge/>
            <w:vAlign w:val="center"/>
            <w:hideMark/>
          </w:tcPr>
          <w:p w14:paraId="30F660B9"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76E9585E"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A52C2</w:t>
            </w:r>
          </w:p>
        </w:tc>
        <w:tc>
          <w:tcPr>
            <w:tcW w:w="3781" w:type="dxa"/>
            <w:tcBorders>
              <w:left w:val="nil"/>
            </w:tcBorders>
            <w:shd w:val="clear" w:color="auto" w:fill="auto"/>
            <w:noWrap/>
            <w:vAlign w:val="center"/>
            <w:hideMark/>
          </w:tcPr>
          <w:p w14:paraId="70F01312" w14:textId="753171FB"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Internal Adhesives - High </w:t>
            </w:r>
            <w:r>
              <w:rPr>
                <w:rFonts w:eastAsia="Times New Roman" w:cs="Arial"/>
                <w:color w:val="000000"/>
                <w:sz w:val="18"/>
                <w:szCs w:val="18"/>
                <w:lang w:val="en-AU" w:eastAsia="en-AU"/>
              </w:rPr>
              <w:t>MDC Grouping</w:t>
            </w:r>
          </w:p>
        </w:tc>
        <w:tc>
          <w:tcPr>
            <w:tcW w:w="3828" w:type="dxa"/>
            <w:shd w:val="clear" w:color="auto" w:fill="auto"/>
            <w:vAlign w:val="center"/>
            <w:hideMark/>
          </w:tcPr>
          <w:p w14:paraId="45187C5F"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01 02 05 06 07 16 17 98</w:t>
            </w:r>
          </w:p>
        </w:tc>
        <w:tc>
          <w:tcPr>
            <w:tcW w:w="3402" w:type="dxa"/>
            <w:shd w:val="clear" w:color="auto" w:fill="auto"/>
            <w:vAlign w:val="center"/>
            <w:hideMark/>
          </w:tcPr>
          <w:p w14:paraId="57681277"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B C F G H Q R 8</w:t>
            </w:r>
          </w:p>
        </w:tc>
      </w:tr>
      <w:tr w:rsidR="00EE1EF4" w:rsidRPr="006832C4" w14:paraId="16199118" w14:textId="77777777" w:rsidTr="00EE1EF4">
        <w:trPr>
          <w:cantSplit/>
          <w:trHeight w:val="240"/>
        </w:trPr>
        <w:tc>
          <w:tcPr>
            <w:tcW w:w="1684" w:type="dxa"/>
            <w:vMerge/>
            <w:vAlign w:val="center"/>
            <w:hideMark/>
          </w:tcPr>
          <w:p w14:paraId="68CA46B7"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3307CC5F"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A52C3</w:t>
            </w:r>
          </w:p>
        </w:tc>
        <w:tc>
          <w:tcPr>
            <w:tcW w:w="3781" w:type="dxa"/>
            <w:tcBorders>
              <w:left w:val="nil"/>
            </w:tcBorders>
            <w:shd w:val="clear" w:color="auto" w:fill="auto"/>
            <w:noWrap/>
            <w:vAlign w:val="center"/>
            <w:hideMark/>
          </w:tcPr>
          <w:p w14:paraId="4D3835F2" w14:textId="4F094EE2"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Internal Adhesives - Moderate </w:t>
            </w:r>
            <w:r>
              <w:rPr>
                <w:rFonts w:eastAsia="Times New Roman" w:cs="Arial"/>
                <w:color w:val="000000"/>
                <w:sz w:val="18"/>
                <w:szCs w:val="18"/>
                <w:lang w:val="en-AU" w:eastAsia="en-AU"/>
              </w:rPr>
              <w:t>MDC Grouping</w:t>
            </w:r>
          </w:p>
        </w:tc>
        <w:tc>
          <w:tcPr>
            <w:tcW w:w="3828" w:type="dxa"/>
            <w:shd w:val="clear" w:color="auto" w:fill="auto"/>
            <w:vAlign w:val="center"/>
            <w:hideMark/>
          </w:tcPr>
          <w:p w14:paraId="007A722A"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03 11 12 13 18 20 21A 21B</w:t>
            </w:r>
          </w:p>
        </w:tc>
        <w:tc>
          <w:tcPr>
            <w:tcW w:w="3402" w:type="dxa"/>
            <w:shd w:val="clear" w:color="auto" w:fill="auto"/>
            <w:vAlign w:val="center"/>
            <w:hideMark/>
          </w:tcPr>
          <w:p w14:paraId="747A6249"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D L M N T V W X</w:t>
            </w:r>
          </w:p>
        </w:tc>
      </w:tr>
      <w:tr w:rsidR="00EE1EF4" w:rsidRPr="006832C4" w14:paraId="7E8CF107" w14:textId="77777777" w:rsidTr="00EE1EF4">
        <w:trPr>
          <w:cantSplit/>
          <w:trHeight w:val="240"/>
        </w:trPr>
        <w:tc>
          <w:tcPr>
            <w:tcW w:w="1684" w:type="dxa"/>
            <w:vMerge/>
            <w:vAlign w:val="center"/>
            <w:hideMark/>
          </w:tcPr>
          <w:p w14:paraId="6DE00D6C"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476FE1EB"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A52C4</w:t>
            </w:r>
          </w:p>
        </w:tc>
        <w:tc>
          <w:tcPr>
            <w:tcW w:w="3781" w:type="dxa"/>
            <w:tcBorders>
              <w:left w:val="nil"/>
            </w:tcBorders>
            <w:shd w:val="clear" w:color="auto" w:fill="auto"/>
            <w:noWrap/>
            <w:vAlign w:val="center"/>
            <w:hideMark/>
          </w:tcPr>
          <w:p w14:paraId="2A3ACD9D" w14:textId="0AD87579"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Internal Adhesives - Low </w:t>
            </w:r>
            <w:r>
              <w:rPr>
                <w:rFonts w:eastAsia="Times New Roman" w:cs="Arial"/>
                <w:color w:val="000000"/>
                <w:sz w:val="18"/>
                <w:szCs w:val="18"/>
                <w:lang w:val="en-AU" w:eastAsia="en-AU"/>
              </w:rPr>
              <w:t>MDC Grouping</w:t>
            </w:r>
          </w:p>
        </w:tc>
        <w:tc>
          <w:tcPr>
            <w:tcW w:w="3828" w:type="dxa"/>
            <w:shd w:val="clear" w:color="auto" w:fill="auto"/>
            <w:vAlign w:val="center"/>
            <w:hideMark/>
          </w:tcPr>
          <w:p w14:paraId="2CEEC053"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08 09 14 15 19 22 23 99</w:t>
            </w:r>
          </w:p>
        </w:tc>
        <w:tc>
          <w:tcPr>
            <w:tcW w:w="3402" w:type="dxa"/>
            <w:shd w:val="clear" w:color="auto" w:fill="auto"/>
            <w:vAlign w:val="center"/>
            <w:hideMark/>
          </w:tcPr>
          <w:p w14:paraId="5E550425"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I J O P U Y Z 9</w:t>
            </w:r>
          </w:p>
        </w:tc>
      </w:tr>
      <w:tr w:rsidR="00EE1EF4" w:rsidRPr="006832C4" w14:paraId="0FE8D0B6" w14:textId="77777777" w:rsidTr="00EE1EF4">
        <w:trPr>
          <w:cantSplit/>
          <w:trHeight w:val="240"/>
        </w:trPr>
        <w:tc>
          <w:tcPr>
            <w:tcW w:w="1684" w:type="dxa"/>
            <w:vMerge w:val="restart"/>
            <w:shd w:val="clear" w:color="auto" w:fill="auto"/>
            <w:vAlign w:val="center"/>
            <w:hideMark/>
          </w:tcPr>
          <w:p w14:paraId="502863A6"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A53</w:t>
            </w:r>
          </w:p>
          <w:p w14:paraId="0007A7D6" w14:textId="3D06FD18"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Ligating Items</w:t>
            </w:r>
          </w:p>
        </w:tc>
        <w:tc>
          <w:tcPr>
            <w:tcW w:w="767" w:type="dxa"/>
            <w:tcBorders>
              <w:right w:val="nil"/>
            </w:tcBorders>
            <w:shd w:val="clear" w:color="auto" w:fill="auto"/>
            <w:noWrap/>
            <w:vAlign w:val="center"/>
            <w:hideMark/>
          </w:tcPr>
          <w:p w14:paraId="40BE6DD2"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A53C1</w:t>
            </w:r>
          </w:p>
        </w:tc>
        <w:tc>
          <w:tcPr>
            <w:tcW w:w="3781" w:type="dxa"/>
            <w:tcBorders>
              <w:left w:val="nil"/>
            </w:tcBorders>
            <w:shd w:val="clear" w:color="auto" w:fill="auto"/>
            <w:noWrap/>
            <w:vAlign w:val="center"/>
            <w:hideMark/>
          </w:tcPr>
          <w:p w14:paraId="6487EA27" w14:textId="28A236B6"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Ligating Items - Very High </w:t>
            </w:r>
            <w:r>
              <w:rPr>
                <w:rFonts w:eastAsia="Times New Roman" w:cs="Arial"/>
                <w:color w:val="000000"/>
                <w:sz w:val="18"/>
                <w:szCs w:val="18"/>
                <w:lang w:val="en-AU" w:eastAsia="en-AU"/>
              </w:rPr>
              <w:t>MDC Grouping</w:t>
            </w:r>
          </w:p>
        </w:tc>
        <w:tc>
          <w:tcPr>
            <w:tcW w:w="3828" w:type="dxa"/>
            <w:shd w:val="clear" w:color="auto" w:fill="auto"/>
            <w:vAlign w:val="center"/>
            <w:hideMark/>
          </w:tcPr>
          <w:p w14:paraId="4D2ED1FA"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00 12 19</w:t>
            </w:r>
          </w:p>
        </w:tc>
        <w:tc>
          <w:tcPr>
            <w:tcW w:w="3402" w:type="dxa"/>
            <w:shd w:val="clear" w:color="auto" w:fill="auto"/>
            <w:vAlign w:val="center"/>
            <w:hideMark/>
          </w:tcPr>
          <w:p w14:paraId="183A4EAC"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M U</w:t>
            </w:r>
          </w:p>
        </w:tc>
      </w:tr>
      <w:tr w:rsidR="00EE1EF4" w:rsidRPr="006832C4" w14:paraId="35B772E8" w14:textId="77777777" w:rsidTr="00EE1EF4">
        <w:trPr>
          <w:cantSplit/>
          <w:trHeight w:val="240"/>
        </w:trPr>
        <w:tc>
          <w:tcPr>
            <w:tcW w:w="1684" w:type="dxa"/>
            <w:vMerge/>
            <w:vAlign w:val="center"/>
            <w:hideMark/>
          </w:tcPr>
          <w:p w14:paraId="719BA0BE"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7A7295ED"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A53C2</w:t>
            </w:r>
          </w:p>
        </w:tc>
        <w:tc>
          <w:tcPr>
            <w:tcW w:w="3781" w:type="dxa"/>
            <w:tcBorders>
              <w:left w:val="nil"/>
            </w:tcBorders>
            <w:shd w:val="clear" w:color="auto" w:fill="auto"/>
            <w:noWrap/>
            <w:vAlign w:val="center"/>
            <w:hideMark/>
          </w:tcPr>
          <w:p w14:paraId="18EE9D83" w14:textId="5CB3BE8D"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Ligating Items - High </w:t>
            </w:r>
            <w:r>
              <w:rPr>
                <w:rFonts w:eastAsia="Times New Roman" w:cs="Arial"/>
                <w:color w:val="000000"/>
                <w:sz w:val="18"/>
                <w:szCs w:val="18"/>
                <w:lang w:val="en-AU" w:eastAsia="en-AU"/>
              </w:rPr>
              <w:t>MDC Grouping</w:t>
            </w:r>
          </w:p>
        </w:tc>
        <w:tc>
          <w:tcPr>
            <w:tcW w:w="3828" w:type="dxa"/>
            <w:shd w:val="clear" w:color="auto" w:fill="auto"/>
            <w:vAlign w:val="center"/>
            <w:hideMark/>
          </w:tcPr>
          <w:p w14:paraId="151D5A2C"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05 06 07 11 17 18 21A 21B</w:t>
            </w:r>
          </w:p>
        </w:tc>
        <w:tc>
          <w:tcPr>
            <w:tcW w:w="3402" w:type="dxa"/>
            <w:shd w:val="clear" w:color="auto" w:fill="auto"/>
            <w:vAlign w:val="center"/>
            <w:hideMark/>
          </w:tcPr>
          <w:p w14:paraId="22190A93"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F G H L R T W X</w:t>
            </w:r>
          </w:p>
        </w:tc>
      </w:tr>
      <w:tr w:rsidR="00EE1EF4" w:rsidRPr="006832C4" w14:paraId="4CEB97A1" w14:textId="77777777" w:rsidTr="00EE1EF4">
        <w:trPr>
          <w:cantSplit/>
          <w:trHeight w:val="240"/>
        </w:trPr>
        <w:tc>
          <w:tcPr>
            <w:tcW w:w="1684" w:type="dxa"/>
            <w:vMerge/>
            <w:vAlign w:val="center"/>
            <w:hideMark/>
          </w:tcPr>
          <w:p w14:paraId="59C00F63"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381B3264"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A53C3</w:t>
            </w:r>
          </w:p>
        </w:tc>
        <w:tc>
          <w:tcPr>
            <w:tcW w:w="3781" w:type="dxa"/>
            <w:tcBorders>
              <w:left w:val="nil"/>
            </w:tcBorders>
            <w:shd w:val="clear" w:color="auto" w:fill="auto"/>
            <w:noWrap/>
            <w:vAlign w:val="center"/>
            <w:hideMark/>
          </w:tcPr>
          <w:p w14:paraId="0668EF9D" w14:textId="419682E5"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Ligating Items - Moderate </w:t>
            </w:r>
            <w:r>
              <w:rPr>
                <w:rFonts w:eastAsia="Times New Roman" w:cs="Arial"/>
                <w:color w:val="000000"/>
                <w:sz w:val="18"/>
                <w:szCs w:val="18"/>
                <w:lang w:val="en-AU" w:eastAsia="en-AU"/>
              </w:rPr>
              <w:t>MDC Grouping</w:t>
            </w:r>
          </w:p>
        </w:tc>
        <w:tc>
          <w:tcPr>
            <w:tcW w:w="3828" w:type="dxa"/>
            <w:shd w:val="clear" w:color="auto" w:fill="auto"/>
            <w:vAlign w:val="center"/>
            <w:hideMark/>
          </w:tcPr>
          <w:p w14:paraId="02BCFFE1"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03 09 10 13 14 20 22 98</w:t>
            </w:r>
          </w:p>
        </w:tc>
        <w:tc>
          <w:tcPr>
            <w:tcW w:w="3402" w:type="dxa"/>
            <w:shd w:val="clear" w:color="auto" w:fill="auto"/>
            <w:vAlign w:val="center"/>
            <w:hideMark/>
          </w:tcPr>
          <w:p w14:paraId="27B103CD"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D J K N O V Y 8</w:t>
            </w:r>
          </w:p>
        </w:tc>
      </w:tr>
      <w:tr w:rsidR="00EE1EF4" w:rsidRPr="006832C4" w14:paraId="28C1F2A6" w14:textId="77777777" w:rsidTr="00EE1EF4">
        <w:trPr>
          <w:cantSplit/>
          <w:trHeight w:val="240"/>
        </w:trPr>
        <w:tc>
          <w:tcPr>
            <w:tcW w:w="1684" w:type="dxa"/>
            <w:vMerge/>
            <w:vAlign w:val="center"/>
            <w:hideMark/>
          </w:tcPr>
          <w:p w14:paraId="0524E943"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741566C9"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A53C4</w:t>
            </w:r>
          </w:p>
        </w:tc>
        <w:tc>
          <w:tcPr>
            <w:tcW w:w="3781" w:type="dxa"/>
            <w:tcBorders>
              <w:left w:val="nil"/>
            </w:tcBorders>
            <w:shd w:val="clear" w:color="auto" w:fill="auto"/>
            <w:noWrap/>
            <w:vAlign w:val="center"/>
            <w:hideMark/>
          </w:tcPr>
          <w:p w14:paraId="741516BE" w14:textId="18EC1C3C"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Ligating Items - Low </w:t>
            </w:r>
            <w:r>
              <w:rPr>
                <w:rFonts w:eastAsia="Times New Roman" w:cs="Arial"/>
                <w:color w:val="000000"/>
                <w:sz w:val="18"/>
                <w:szCs w:val="18"/>
                <w:lang w:val="en-AU" w:eastAsia="en-AU"/>
              </w:rPr>
              <w:t>MDC Grouping</w:t>
            </w:r>
          </w:p>
        </w:tc>
        <w:tc>
          <w:tcPr>
            <w:tcW w:w="3828" w:type="dxa"/>
            <w:shd w:val="clear" w:color="auto" w:fill="auto"/>
            <w:vAlign w:val="center"/>
            <w:hideMark/>
          </w:tcPr>
          <w:p w14:paraId="68165C40"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01 02 04 08 15 16 23 99</w:t>
            </w:r>
          </w:p>
        </w:tc>
        <w:tc>
          <w:tcPr>
            <w:tcW w:w="3402" w:type="dxa"/>
            <w:shd w:val="clear" w:color="auto" w:fill="auto"/>
            <w:vAlign w:val="center"/>
            <w:hideMark/>
          </w:tcPr>
          <w:p w14:paraId="3CDDEC60"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B C E I P Q Z 9</w:t>
            </w:r>
          </w:p>
        </w:tc>
      </w:tr>
      <w:tr w:rsidR="00EE1EF4" w:rsidRPr="006832C4" w14:paraId="5A5B35AE" w14:textId="77777777" w:rsidTr="00EE1EF4">
        <w:trPr>
          <w:cantSplit/>
          <w:trHeight w:val="240"/>
        </w:trPr>
        <w:tc>
          <w:tcPr>
            <w:tcW w:w="1684" w:type="dxa"/>
            <w:vMerge w:val="restart"/>
            <w:shd w:val="clear" w:color="auto" w:fill="auto"/>
            <w:vAlign w:val="center"/>
            <w:hideMark/>
          </w:tcPr>
          <w:p w14:paraId="7D8D934A"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A54</w:t>
            </w:r>
          </w:p>
          <w:p w14:paraId="338680A1" w14:textId="3182AF58"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Staples and Tackers</w:t>
            </w:r>
          </w:p>
        </w:tc>
        <w:tc>
          <w:tcPr>
            <w:tcW w:w="767" w:type="dxa"/>
            <w:tcBorders>
              <w:right w:val="nil"/>
            </w:tcBorders>
            <w:shd w:val="clear" w:color="auto" w:fill="auto"/>
            <w:noWrap/>
            <w:vAlign w:val="center"/>
            <w:hideMark/>
          </w:tcPr>
          <w:p w14:paraId="4A016E6A"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A54C1</w:t>
            </w:r>
          </w:p>
        </w:tc>
        <w:tc>
          <w:tcPr>
            <w:tcW w:w="3781" w:type="dxa"/>
            <w:tcBorders>
              <w:left w:val="nil"/>
            </w:tcBorders>
            <w:shd w:val="clear" w:color="auto" w:fill="auto"/>
            <w:noWrap/>
            <w:vAlign w:val="center"/>
            <w:hideMark/>
          </w:tcPr>
          <w:p w14:paraId="33F5AEC0" w14:textId="6FEADC7F"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Staples and Tackers - Very High </w:t>
            </w:r>
            <w:r>
              <w:rPr>
                <w:rFonts w:eastAsia="Times New Roman" w:cs="Arial"/>
                <w:color w:val="000000"/>
                <w:sz w:val="18"/>
                <w:szCs w:val="18"/>
                <w:lang w:val="en-AU" w:eastAsia="en-AU"/>
              </w:rPr>
              <w:t>MDC Grouping</w:t>
            </w:r>
          </w:p>
        </w:tc>
        <w:tc>
          <w:tcPr>
            <w:tcW w:w="3828" w:type="dxa"/>
            <w:shd w:val="clear" w:color="auto" w:fill="auto"/>
            <w:vAlign w:val="center"/>
            <w:hideMark/>
          </w:tcPr>
          <w:p w14:paraId="733DD835"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10</w:t>
            </w:r>
          </w:p>
        </w:tc>
        <w:tc>
          <w:tcPr>
            <w:tcW w:w="3402" w:type="dxa"/>
            <w:shd w:val="clear" w:color="auto" w:fill="auto"/>
            <w:vAlign w:val="center"/>
            <w:hideMark/>
          </w:tcPr>
          <w:p w14:paraId="269C6F01"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K</w:t>
            </w:r>
          </w:p>
        </w:tc>
      </w:tr>
      <w:tr w:rsidR="00EE1EF4" w:rsidRPr="006832C4" w14:paraId="71B8FBAB" w14:textId="77777777" w:rsidTr="00EE1EF4">
        <w:trPr>
          <w:cantSplit/>
          <w:trHeight w:val="240"/>
        </w:trPr>
        <w:tc>
          <w:tcPr>
            <w:tcW w:w="1684" w:type="dxa"/>
            <w:vMerge/>
            <w:vAlign w:val="center"/>
            <w:hideMark/>
          </w:tcPr>
          <w:p w14:paraId="78273684"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13634BC9"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A54C2</w:t>
            </w:r>
          </w:p>
        </w:tc>
        <w:tc>
          <w:tcPr>
            <w:tcW w:w="3781" w:type="dxa"/>
            <w:tcBorders>
              <w:left w:val="nil"/>
            </w:tcBorders>
            <w:shd w:val="clear" w:color="auto" w:fill="auto"/>
            <w:noWrap/>
            <w:vAlign w:val="center"/>
            <w:hideMark/>
          </w:tcPr>
          <w:p w14:paraId="635F0BCD" w14:textId="1CAE972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Staples and Tackers - High </w:t>
            </w:r>
            <w:r>
              <w:rPr>
                <w:rFonts w:eastAsia="Times New Roman" w:cs="Arial"/>
                <w:color w:val="000000"/>
                <w:sz w:val="18"/>
                <w:szCs w:val="18"/>
                <w:lang w:val="en-AU" w:eastAsia="en-AU"/>
              </w:rPr>
              <w:t>MDC Grouping</w:t>
            </w:r>
          </w:p>
        </w:tc>
        <w:tc>
          <w:tcPr>
            <w:tcW w:w="3828" w:type="dxa"/>
            <w:shd w:val="clear" w:color="auto" w:fill="auto"/>
            <w:vAlign w:val="center"/>
            <w:hideMark/>
          </w:tcPr>
          <w:p w14:paraId="505490A3"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04 07</w:t>
            </w:r>
          </w:p>
        </w:tc>
        <w:tc>
          <w:tcPr>
            <w:tcW w:w="3402" w:type="dxa"/>
            <w:shd w:val="clear" w:color="auto" w:fill="auto"/>
            <w:vAlign w:val="center"/>
            <w:hideMark/>
          </w:tcPr>
          <w:p w14:paraId="573D9CE6"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E H</w:t>
            </w:r>
          </w:p>
        </w:tc>
      </w:tr>
      <w:tr w:rsidR="00EE1EF4" w:rsidRPr="006832C4" w14:paraId="2E026AED" w14:textId="77777777" w:rsidTr="00EE1EF4">
        <w:trPr>
          <w:cantSplit/>
          <w:trHeight w:val="480"/>
        </w:trPr>
        <w:tc>
          <w:tcPr>
            <w:tcW w:w="1684" w:type="dxa"/>
            <w:vMerge/>
            <w:vAlign w:val="center"/>
            <w:hideMark/>
          </w:tcPr>
          <w:p w14:paraId="609BC056"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522E8EC3"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A54C3</w:t>
            </w:r>
          </w:p>
        </w:tc>
        <w:tc>
          <w:tcPr>
            <w:tcW w:w="3781" w:type="dxa"/>
            <w:tcBorders>
              <w:left w:val="nil"/>
            </w:tcBorders>
            <w:shd w:val="clear" w:color="auto" w:fill="auto"/>
            <w:noWrap/>
            <w:vAlign w:val="center"/>
            <w:hideMark/>
          </w:tcPr>
          <w:p w14:paraId="5F27C1C7" w14:textId="44B4BDE2"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Staples and Tackers - Moderate </w:t>
            </w:r>
            <w:r>
              <w:rPr>
                <w:rFonts w:eastAsia="Times New Roman" w:cs="Arial"/>
                <w:color w:val="000000"/>
                <w:sz w:val="18"/>
                <w:szCs w:val="18"/>
                <w:lang w:val="en-AU" w:eastAsia="en-AU"/>
              </w:rPr>
              <w:t>MDC Grouping</w:t>
            </w:r>
          </w:p>
        </w:tc>
        <w:tc>
          <w:tcPr>
            <w:tcW w:w="3828" w:type="dxa"/>
            <w:shd w:val="clear" w:color="auto" w:fill="auto"/>
            <w:vAlign w:val="center"/>
            <w:hideMark/>
          </w:tcPr>
          <w:p w14:paraId="1341E190"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02 11 16 17 18 19 20 21A 21B 22 23 98</w:t>
            </w:r>
          </w:p>
        </w:tc>
        <w:tc>
          <w:tcPr>
            <w:tcW w:w="3402" w:type="dxa"/>
            <w:shd w:val="clear" w:color="auto" w:fill="auto"/>
            <w:vAlign w:val="center"/>
            <w:hideMark/>
          </w:tcPr>
          <w:p w14:paraId="617704DD"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C L Q R T U V W X Y Z 8</w:t>
            </w:r>
          </w:p>
        </w:tc>
      </w:tr>
      <w:tr w:rsidR="00EE1EF4" w:rsidRPr="006832C4" w14:paraId="1D3D94E7" w14:textId="77777777" w:rsidTr="00EE1EF4">
        <w:trPr>
          <w:cantSplit/>
          <w:trHeight w:val="240"/>
        </w:trPr>
        <w:tc>
          <w:tcPr>
            <w:tcW w:w="1684" w:type="dxa"/>
            <w:vMerge/>
            <w:vAlign w:val="center"/>
            <w:hideMark/>
          </w:tcPr>
          <w:p w14:paraId="2DCCDB5E"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270873C0"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A54C4</w:t>
            </w:r>
          </w:p>
        </w:tc>
        <w:tc>
          <w:tcPr>
            <w:tcW w:w="3781" w:type="dxa"/>
            <w:tcBorders>
              <w:left w:val="nil"/>
            </w:tcBorders>
            <w:shd w:val="clear" w:color="auto" w:fill="auto"/>
            <w:noWrap/>
            <w:vAlign w:val="center"/>
            <w:hideMark/>
          </w:tcPr>
          <w:p w14:paraId="0A4D54FC" w14:textId="68ADD5B6"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Staples and Tackers - Low </w:t>
            </w:r>
            <w:r>
              <w:rPr>
                <w:rFonts w:eastAsia="Times New Roman" w:cs="Arial"/>
                <w:color w:val="000000"/>
                <w:sz w:val="18"/>
                <w:szCs w:val="18"/>
                <w:lang w:val="en-AU" w:eastAsia="en-AU"/>
              </w:rPr>
              <w:t>MDC Grouping</w:t>
            </w:r>
          </w:p>
        </w:tc>
        <w:tc>
          <w:tcPr>
            <w:tcW w:w="3828" w:type="dxa"/>
            <w:shd w:val="clear" w:color="auto" w:fill="auto"/>
            <w:vAlign w:val="center"/>
            <w:hideMark/>
          </w:tcPr>
          <w:p w14:paraId="53C1FEEB"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03 05 06 08 13</w:t>
            </w:r>
          </w:p>
        </w:tc>
        <w:tc>
          <w:tcPr>
            <w:tcW w:w="3402" w:type="dxa"/>
            <w:shd w:val="clear" w:color="auto" w:fill="auto"/>
            <w:vAlign w:val="center"/>
            <w:hideMark/>
          </w:tcPr>
          <w:p w14:paraId="545D6020"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D F G I N</w:t>
            </w:r>
          </w:p>
        </w:tc>
      </w:tr>
      <w:tr w:rsidR="00EE1EF4" w:rsidRPr="006832C4" w14:paraId="38CB60B0" w14:textId="77777777" w:rsidTr="00EE1EF4">
        <w:trPr>
          <w:cantSplit/>
          <w:trHeight w:val="240"/>
        </w:trPr>
        <w:tc>
          <w:tcPr>
            <w:tcW w:w="1684" w:type="dxa"/>
            <w:vMerge/>
            <w:vAlign w:val="center"/>
            <w:hideMark/>
          </w:tcPr>
          <w:p w14:paraId="5E861D42"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5A1D67C8"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A54C5</w:t>
            </w:r>
          </w:p>
        </w:tc>
        <w:tc>
          <w:tcPr>
            <w:tcW w:w="3781" w:type="dxa"/>
            <w:tcBorders>
              <w:left w:val="nil"/>
            </w:tcBorders>
            <w:shd w:val="clear" w:color="auto" w:fill="auto"/>
            <w:noWrap/>
            <w:vAlign w:val="center"/>
            <w:hideMark/>
          </w:tcPr>
          <w:p w14:paraId="352358B2" w14:textId="2414D80D"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Staples and Tackers - Very Low </w:t>
            </w:r>
            <w:r>
              <w:rPr>
                <w:rFonts w:eastAsia="Times New Roman" w:cs="Arial"/>
                <w:color w:val="000000"/>
                <w:sz w:val="18"/>
                <w:szCs w:val="18"/>
                <w:lang w:val="en-AU" w:eastAsia="en-AU"/>
              </w:rPr>
              <w:t>MDC Grouping</w:t>
            </w:r>
          </w:p>
        </w:tc>
        <w:tc>
          <w:tcPr>
            <w:tcW w:w="3828" w:type="dxa"/>
            <w:shd w:val="clear" w:color="auto" w:fill="auto"/>
            <w:vAlign w:val="center"/>
            <w:hideMark/>
          </w:tcPr>
          <w:p w14:paraId="280E73DD"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01 09 12 14 15 99</w:t>
            </w:r>
          </w:p>
        </w:tc>
        <w:tc>
          <w:tcPr>
            <w:tcW w:w="3402" w:type="dxa"/>
            <w:shd w:val="clear" w:color="auto" w:fill="auto"/>
            <w:vAlign w:val="center"/>
            <w:hideMark/>
          </w:tcPr>
          <w:p w14:paraId="4D7FBEE6"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B J M O P 9</w:t>
            </w:r>
          </w:p>
        </w:tc>
      </w:tr>
      <w:tr w:rsidR="00EE1EF4" w:rsidRPr="006832C4" w14:paraId="73830476" w14:textId="77777777" w:rsidTr="00EE1EF4">
        <w:trPr>
          <w:cantSplit/>
          <w:trHeight w:val="240"/>
        </w:trPr>
        <w:tc>
          <w:tcPr>
            <w:tcW w:w="1684" w:type="dxa"/>
            <w:vMerge w:val="restart"/>
            <w:shd w:val="clear" w:color="auto" w:fill="auto"/>
            <w:vAlign w:val="center"/>
            <w:hideMark/>
          </w:tcPr>
          <w:p w14:paraId="3C3719C3"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A55</w:t>
            </w:r>
          </w:p>
          <w:p w14:paraId="6D48FF53" w14:textId="4B4BF65D"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Dura Repair, Liquid Sealants</w:t>
            </w:r>
          </w:p>
        </w:tc>
        <w:tc>
          <w:tcPr>
            <w:tcW w:w="767" w:type="dxa"/>
            <w:tcBorders>
              <w:right w:val="nil"/>
            </w:tcBorders>
            <w:shd w:val="clear" w:color="auto" w:fill="auto"/>
            <w:noWrap/>
            <w:vAlign w:val="center"/>
            <w:hideMark/>
          </w:tcPr>
          <w:p w14:paraId="2478069E"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A55C1</w:t>
            </w:r>
          </w:p>
        </w:tc>
        <w:tc>
          <w:tcPr>
            <w:tcW w:w="3781" w:type="dxa"/>
            <w:tcBorders>
              <w:left w:val="nil"/>
            </w:tcBorders>
            <w:shd w:val="clear" w:color="auto" w:fill="auto"/>
            <w:noWrap/>
            <w:vAlign w:val="center"/>
            <w:hideMark/>
          </w:tcPr>
          <w:p w14:paraId="2BA2B1CB" w14:textId="7EA37C62"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Dura Repair, Liquid Sealants - High </w:t>
            </w:r>
            <w:r>
              <w:rPr>
                <w:rFonts w:eastAsia="Times New Roman" w:cs="Arial"/>
                <w:color w:val="000000"/>
                <w:sz w:val="18"/>
                <w:szCs w:val="18"/>
                <w:lang w:val="en-AU" w:eastAsia="en-AU"/>
              </w:rPr>
              <w:t>MDC Grouping</w:t>
            </w:r>
          </w:p>
        </w:tc>
        <w:tc>
          <w:tcPr>
            <w:tcW w:w="3828" w:type="dxa"/>
            <w:shd w:val="clear" w:color="auto" w:fill="auto"/>
            <w:vAlign w:val="center"/>
            <w:hideMark/>
          </w:tcPr>
          <w:p w14:paraId="1B8B7CC9"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10</w:t>
            </w:r>
          </w:p>
        </w:tc>
        <w:tc>
          <w:tcPr>
            <w:tcW w:w="3402" w:type="dxa"/>
            <w:shd w:val="clear" w:color="auto" w:fill="auto"/>
            <w:vAlign w:val="center"/>
            <w:hideMark/>
          </w:tcPr>
          <w:p w14:paraId="513EDBCC"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K</w:t>
            </w:r>
          </w:p>
        </w:tc>
      </w:tr>
      <w:tr w:rsidR="00EE1EF4" w:rsidRPr="006832C4" w14:paraId="79AE251C" w14:textId="77777777" w:rsidTr="00EE1EF4">
        <w:trPr>
          <w:cantSplit/>
          <w:trHeight w:val="480"/>
        </w:trPr>
        <w:tc>
          <w:tcPr>
            <w:tcW w:w="1684" w:type="dxa"/>
            <w:vMerge/>
            <w:vAlign w:val="center"/>
            <w:hideMark/>
          </w:tcPr>
          <w:p w14:paraId="044F1D87"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6A2C84DB"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A55C2</w:t>
            </w:r>
          </w:p>
        </w:tc>
        <w:tc>
          <w:tcPr>
            <w:tcW w:w="3781" w:type="dxa"/>
            <w:tcBorders>
              <w:left w:val="nil"/>
            </w:tcBorders>
            <w:shd w:val="clear" w:color="auto" w:fill="auto"/>
            <w:noWrap/>
            <w:vAlign w:val="center"/>
            <w:hideMark/>
          </w:tcPr>
          <w:p w14:paraId="48F1A3F8" w14:textId="3298BC8E"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Dura Repair, Liquid Sealants - Moderate </w:t>
            </w:r>
            <w:r>
              <w:rPr>
                <w:rFonts w:eastAsia="Times New Roman" w:cs="Arial"/>
                <w:color w:val="000000"/>
                <w:sz w:val="18"/>
                <w:szCs w:val="18"/>
                <w:lang w:val="en-AU" w:eastAsia="en-AU"/>
              </w:rPr>
              <w:t>MDC Grouping</w:t>
            </w:r>
          </w:p>
        </w:tc>
        <w:tc>
          <w:tcPr>
            <w:tcW w:w="3828" w:type="dxa"/>
            <w:shd w:val="clear" w:color="auto" w:fill="auto"/>
            <w:vAlign w:val="center"/>
            <w:hideMark/>
          </w:tcPr>
          <w:p w14:paraId="792C35D6"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06 07 09 11 12 14 15 16 18 19 20 21A 21B 22 23 98</w:t>
            </w:r>
          </w:p>
        </w:tc>
        <w:tc>
          <w:tcPr>
            <w:tcW w:w="3402" w:type="dxa"/>
            <w:shd w:val="clear" w:color="auto" w:fill="auto"/>
            <w:vAlign w:val="center"/>
            <w:hideMark/>
          </w:tcPr>
          <w:p w14:paraId="301A3D4B"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G H J L M O P Q T U V W X Y Z 8</w:t>
            </w:r>
          </w:p>
        </w:tc>
      </w:tr>
      <w:tr w:rsidR="00EE1EF4" w:rsidRPr="006832C4" w14:paraId="6D6AA186" w14:textId="77777777" w:rsidTr="00EE1EF4">
        <w:trPr>
          <w:cantSplit/>
          <w:trHeight w:val="240"/>
        </w:trPr>
        <w:tc>
          <w:tcPr>
            <w:tcW w:w="1684" w:type="dxa"/>
            <w:vMerge/>
            <w:vAlign w:val="center"/>
            <w:hideMark/>
          </w:tcPr>
          <w:p w14:paraId="28D28C39"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305A33A9"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A55C3</w:t>
            </w:r>
          </w:p>
        </w:tc>
        <w:tc>
          <w:tcPr>
            <w:tcW w:w="3781" w:type="dxa"/>
            <w:tcBorders>
              <w:left w:val="nil"/>
            </w:tcBorders>
            <w:shd w:val="clear" w:color="auto" w:fill="auto"/>
            <w:noWrap/>
            <w:vAlign w:val="center"/>
            <w:hideMark/>
          </w:tcPr>
          <w:p w14:paraId="0F7CA2C7" w14:textId="43B71318"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Dura Repair, Liquid Sealants - Low </w:t>
            </w:r>
            <w:r>
              <w:rPr>
                <w:rFonts w:eastAsia="Times New Roman" w:cs="Arial"/>
                <w:color w:val="000000"/>
                <w:sz w:val="18"/>
                <w:szCs w:val="18"/>
                <w:lang w:val="en-AU" w:eastAsia="en-AU"/>
              </w:rPr>
              <w:t>MDC Grouping</w:t>
            </w:r>
          </w:p>
        </w:tc>
        <w:tc>
          <w:tcPr>
            <w:tcW w:w="3828" w:type="dxa"/>
            <w:shd w:val="clear" w:color="auto" w:fill="auto"/>
            <w:vAlign w:val="center"/>
            <w:hideMark/>
          </w:tcPr>
          <w:p w14:paraId="3B7D719A"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01 02 03 04 05 08 13 17 99</w:t>
            </w:r>
          </w:p>
        </w:tc>
        <w:tc>
          <w:tcPr>
            <w:tcW w:w="3402" w:type="dxa"/>
            <w:shd w:val="clear" w:color="auto" w:fill="auto"/>
            <w:vAlign w:val="center"/>
            <w:hideMark/>
          </w:tcPr>
          <w:p w14:paraId="567BFB75"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B C D E F I N R 9</w:t>
            </w:r>
          </w:p>
        </w:tc>
      </w:tr>
      <w:tr w:rsidR="00EE1EF4" w:rsidRPr="006832C4" w14:paraId="7AD169CF" w14:textId="77777777" w:rsidTr="00EE1EF4">
        <w:trPr>
          <w:cantSplit/>
          <w:trHeight w:val="720"/>
        </w:trPr>
        <w:tc>
          <w:tcPr>
            <w:tcW w:w="1684" w:type="dxa"/>
            <w:shd w:val="clear" w:color="auto" w:fill="auto"/>
            <w:vAlign w:val="center"/>
            <w:hideMark/>
          </w:tcPr>
          <w:p w14:paraId="60F00C36"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A56</w:t>
            </w:r>
          </w:p>
          <w:p w14:paraId="2EC392B5" w14:textId="54E143BA"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Dura Repair, Membrane Sealants</w:t>
            </w:r>
          </w:p>
        </w:tc>
        <w:tc>
          <w:tcPr>
            <w:tcW w:w="767" w:type="dxa"/>
            <w:tcBorders>
              <w:right w:val="nil"/>
            </w:tcBorders>
            <w:shd w:val="clear" w:color="auto" w:fill="auto"/>
            <w:noWrap/>
            <w:vAlign w:val="center"/>
            <w:hideMark/>
          </w:tcPr>
          <w:p w14:paraId="1FDFFB81"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A56C1</w:t>
            </w:r>
          </w:p>
        </w:tc>
        <w:tc>
          <w:tcPr>
            <w:tcW w:w="3781" w:type="dxa"/>
            <w:tcBorders>
              <w:left w:val="nil"/>
            </w:tcBorders>
            <w:shd w:val="clear" w:color="auto" w:fill="auto"/>
            <w:noWrap/>
            <w:vAlign w:val="center"/>
            <w:hideMark/>
          </w:tcPr>
          <w:p w14:paraId="6EC03DDB" w14:textId="62FA670A"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Dura Repair, Membrane Sealants - No </w:t>
            </w:r>
            <w:r>
              <w:rPr>
                <w:rFonts w:eastAsia="Times New Roman" w:cs="Arial"/>
                <w:color w:val="000000"/>
                <w:sz w:val="18"/>
                <w:szCs w:val="18"/>
                <w:lang w:val="en-AU" w:eastAsia="en-AU"/>
              </w:rPr>
              <w:t>MDC Grouping</w:t>
            </w:r>
          </w:p>
        </w:tc>
        <w:tc>
          <w:tcPr>
            <w:tcW w:w="3828" w:type="dxa"/>
            <w:shd w:val="clear" w:color="auto" w:fill="auto"/>
            <w:vAlign w:val="center"/>
            <w:hideMark/>
          </w:tcPr>
          <w:p w14:paraId="6011EB06"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01 02 03 04 05 06 07 08 09 10 11 12 13 14 15 16 17 18 19 20 21A 21B 22 23 98 99</w:t>
            </w:r>
          </w:p>
        </w:tc>
        <w:tc>
          <w:tcPr>
            <w:tcW w:w="3402" w:type="dxa"/>
            <w:shd w:val="clear" w:color="auto" w:fill="auto"/>
            <w:vAlign w:val="center"/>
            <w:hideMark/>
          </w:tcPr>
          <w:p w14:paraId="2A7237BF"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B C D E F G H I J K L M N O P Q R T U V W X Y Z 8 9</w:t>
            </w:r>
          </w:p>
        </w:tc>
      </w:tr>
      <w:tr w:rsidR="00EE1EF4" w:rsidRPr="006832C4" w14:paraId="253503D0" w14:textId="77777777" w:rsidTr="00EE1EF4">
        <w:trPr>
          <w:cantSplit/>
          <w:trHeight w:val="240"/>
        </w:trPr>
        <w:tc>
          <w:tcPr>
            <w:tcW w:w="1684" w:type="dxa"/>
            <w:vMerge w:val="restart"/>
            <w:shd w:val="clear" w:color="auto" w:fill="auto"/>
            <w:vAlign w:val="center"/>
            <w:hideMark/>
          </w:tcPr>
          <w:p w14:paraId="01890A60"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A57</w:t>
            </w:r>
          </w:p>
          <w:p w14:paraId="4ED518B8" w14:textId="5A5ECA70"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Arterial Closure Items</w:t>
            </w:r>
          </w:p>
        </w:tc>
        <w:tc>
          <w:tcPr>
            <w:tcW w:w="767" w:type="dxa"/>
            <w:tcBorders>
              <w:right w:val="nil"/>
            </w:tcBorders>
            <w:shd w:val="clear" w:color="auto" w:fill="auto"/>
            <w:noWrap/>
            <w:vAlign w:val="center"/>
            <w:hideMark/>
          </w:tcPr>
          <w:p w14:paraId="602221AF"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A57C1</w:t>
            </w:r>
          </w:p>
        </w:tc>
        <w:tc>
          <w:tcPr>
            <w:tcW w:w="3781" w:type="dxa"/>
            <w:tcBorders>
              <w:left w:val="nil"/>
            </w:tcBorders>
            <w:shd w:val="clear" w:color="auto" w:fill="auto"/>
            <w:noWrap/>
            <w:vAlign w:val="center"/>
            <w:hideMark/>
          </w:tcPr>
          <w:p w14:paraId="1873246C" w14:textId="024498B0"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Arterial Closure Items - High </w:t>
            </w:r>
            <w:r>
              <w:rPr>
                <w:rFonts w:eastAsia="Times New Roman" w:cs="Arial"/>
                <w:color w:val="000000"/>
                <w:sz w:val="18"/>
                <w:szCs w:val="18"/>
                <w:lang w:val="en-AU" w:eastAsia="en-AU"/>
              </w:rPr>
              <w:t>MDC Grouping</w:t>
            </w:r>
          </w:p>
        </w:tc>
        <w:tc>
          <w:tcPr>
            <w:tcW w:w="3828" w:type="dxa"/>
            <w:shd w:val="clear" w:color="auto" w:fill="auto"/>
            <w:vAlign w:val="center"/>
            <w:hideMark/>
          </w:tcPr>
          <w:p w14:paraId="144901A7"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00 02 05 14 15 19 20 22 98</w:t>
            </w:r>
          </w:p>
        </w:tc>
        <w:tc>
          <w:tcPr>
            <w:tcW w:w="3402" w:type="dxa"/>
            <w:shd w:val="clear" w:color="auto" w:fill="auto"/>
            <w:vAlign w:val="center"/>
            <w:hideMark/>
          </w:tcPr>
          <w:p w14:paraId="4FD122E8"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C F O P U V Y 8</w:t>
            </w:r>
          </w:p>
        </w:tc>
      </w:tr>
      <w:tr w:rsidR="00EE1EF4" w:rsidRPr="006832C4" w14:paraId="77A4DB91" w14:textId="77777777" w:rsidTr="00EE1EF4">
        <w:trPr>
          <w:cantSplit/>
          <w:trHeight w:val="480"/>
        </w:trPr>
        <w:tc>
          <w:tcPr>
            <w:tcW w:w="1684" w:type="dxa"/>
            <w:vMerge/>
            <w:vAlign w:val="center"/>
            <w:hideMark/>
          </w:tcPr>
          <w:p w14:paraId="7DDFFAC1"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14A3C729"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A57C2</w:t>
            </w:r>
          </w:p>
        </w:tc>
        <w:tc>
          <w:tcPr>
            <w:tcW w:w="3781" w:type="dxa"/>
            <w:tcBorders>
              <w:left w:val="nil"/>
            </w:tcBorders>
            <w:shd w:val="clear" w:color="auto" w:fill="auto"/>
            <w:noWrap/>
            <w:vAlign w:val="center"/>
            <w:hideMark/>
          </w:tcPr>
          <w:p w14:paraId="6A1C2BE9" w14:textId="192B5393"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Arterial Closure Items - Moderate </w:t>
            </w:r>
            <w:r>
              <w:rPr>
                <w:rFonts w:eastAsia="Times New Roman" w:cs="Arial"/>
                <w:color w:val="000000"/>
                <w:sz w:val="18"/>
                <w:szCs w:val="18"/>
                <w:lang w:val="en-AU" w:eastAsia="en-AU"/>
              </w:rPr>
              <w:t>MDC Grouping</w:t>
            </w:r>
          </w:p>
        </w:tc>
        <w:tc>
          <w:tcPr>
            <w:tcW w:w="3828" w:type="dxa"/>
            <w:shd w:val="clear" w:color="auto" w:fill="auto"/>
            <w:vAlign w:val="center"/>
            <w:hideMark/>
          </w:tcPr>
          <w:p w14:paraId="55CD7670"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01 03 06 08 09 10 16 17 18 21A 21B</w:t>
            </w:r>
          </w:p>
        </w:tc>
        <w:tc>
          <w:tcPr>
            <w:tcW w:w="3402" w:type="dxa"/>
            <w:shd w:val="clear" w:color="auto" w:fill="auto"/>
            <w:vAlign w:val="center"/>
            <w:hideMark/>
          </w:tcPr>
          <w:p w14:paraId="46459D00"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B D G I J K Q R T W X</w:t>
            </w:r>
          </w:p>
        </w:tc>
      </w:tr>
      <w:tr w:rsidR="00EE1EF4" w:rsidRPr="006832C4" w14:paraId="64B2E7C7" w14:textId="77777777" w:rsidTr="00EE1EF4">
        <w:trPr>
          <w:cantSplit/>
          <w:trHeight w:val="240"/>
        </w:trPr>
        <w:tc>
          <w:tcPr>
            <w:tcW w:w="1684" w:type="dxa"/>
            <w:vMerge/>
            <w:vAlign w:val="center"/>
            <w:hideMark/>
          </w:tcPr>
          <w:p w14:paraId="0A885053" w14:textId="77777777" w:rsidR="006832C4" w:rsidRPr="006832C4" w:rsidRDefault="006832C4" w:rsidP="006832C4">
            <w:pPr>
              <w:spacing w:before="120" w:after="120"/>
              <w:jc w:val="center"/>
              <w:rPr>
                <w:rFonts w:eastAsia="Times New Roman" w:cs="Arial"/>
                <w:color w:val="000000"/>
                <w:sz w:val="18"/>
                <w:szCs w:val="18"/>
                <w:lang w:val="en-AU" w:eastAsia="en-AU"/>
              </w:rPr>
            </w:pPr>
          </w:p>
        </w:tc>
        <w:tc>
          <w:tcPr>
            <w:tcW w:w="767" w:type="dxa"/>
            <w:tcBorders>
              <w:right w:val="nil"/>
            </w:tcBorders>
            <w:shd w:val="clear" w:color="auto" w:fill="auto"/>
            <w:noWrap/>
            <w:vAlign w:val="center"/>
            <w:hideMark/>
          </w:tcPr>
          <w:p w14:paraId="2A7E435D"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A57C3</w:t>
            </w:r>
          </w:p>
        </w:tc>
        <w:tc>
          <w:tcPr>
            <w:tcW w:w="3781" w:type="dxa"/>
            <w:tcBorders>
              <w:left w:val="nil"/>
            </w:tcBorders>
            <w:shd w:val="clear" w:color="auto" w:fill="auto"/>
            <w:noWrap/>
            <w:vAlign w:val="center"/>
            <w:hideMark/>
          </w:tcPr>
          <w:p w14:paraId="48EB1E00" w14:textId="4A2F0C5C"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Arterial Closure Items - Low </w:t>
            </w:r>
            <w:r>
              <w:rPr>
                <w:rFonts w:eastAsia="Times New Roman" w:cs="Arial"/>
                <w:color w:val="000000"/>
                <w:sz w:val="18"/>
                <w:szCs w:val="18"/>
                <w:lang w:val="en-AU" w:eastAsia="en-AU"/>
              </w:rPr>
              <w:t>MDC Grouping</w:t>
            </w:r>
          </w:p>
        </w:tc>
        <w:tc>
          <w:tcPr>
            <w:tcW w:w="3828" w:type="dxa"/>
            <w:shd w:val="clear" w:color="auto" w:fill="auto"/>
            <w:vAlign w:val="center"/>
            <w:hideMark/>
          </w:tcPr>
          <w:p w14:paraId="7EEAD052"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04 07 11 12 13 23 99</w:t>
            </w:r>
          </w:p>
        </w:tc>
        <w:tc>
          <w:tcPr>
            <w:tcW w:w="3402" w:type="dxa"/>
            <w:shd w:val="clear" w:color="auto" w:fill="auto"/>
            <w:vAlign w:val="center"/>
            <w:hideMark/>
          </w:tcPr>
          <w:p w14:paraId="1146D054"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E H L M N Z 9</w:t>
            </w:r>
          </w:p>
        </w:tc>
      </w:tr>
      <w:tr w:rsidR="00EE1EF4" w:rsidRPr="006832C4" w14:paraId="724BAE57" w14:textId="77777777" w:rsidTr="00EE1EF4">
        <w:trPr>
          <w:cantSplit/>
          <w:trHeight w:val="720"/>
        </w:trPr>
        <w:tc>
          <w:tcPr>
            <w:tcW w:w="1684" w:type="dxa"/>
            <w:shd w:val="clear" w:color="auto" w:fill="auto"/>
            <w:vAlign w:val="center"/>
            <w:hideMark/>
          </w:tcPr>
          <w:p w14:paraId="79E9458C" w14:textId="77777777" w:rsidR="00EE1EF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A59</w:t>
            </w:r>
          </w:p>
          <w:p w14:paraId="3E729F26" w14:textId="4FEE0958" w:rsidR="006832C4" w:rsidRPr="006832C4" w:rsidRDefault="006832C4" w:rsidP="006832C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Closure Accessories</w:t>
            </w:r>
          </w:p>
        </w:tc>
        <w:tc>
          <w:tcPr>
            <w:tcW w:w="767" w:type="dxa"/>
            <w:tcBorders>
              <w:right w:val="nil"/>
            </w:tcBorders>
            <w:shd w:val="clear" w:color="auto" w:fill="auto"/>
            <w:noWrap/>
            <w:vAlign w:val="center"/>
            <w:hideMark/>
          </w:tcPr>
          <w:p w14:paraId="4E50572F"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A59C1</w:t>
            </w:r>
          </w:p>
        </w:tc>
        <w:tc>
          <w:tcPr>
            <w:tcW w:w="3781" w:type="dxa"/>
            <w:tcBorders>
              <w:left w:val="nil"/>
            </w:tcBorders>
            <w:shd w:val="clear" w:color="auto" w:fill="auto"/>
            <w:noWrap/>
            <w:vAlign w:val="center"/>
            <w:hideMark/>
          </w:tcPr>
          <w:p w14:paraId="7B2D92DE" w14:textId="565B03AB"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Closure Accessories - No </w:t>
            </w:r>
            <w:r>
              <w:rPr>
                <w:rFonts w:eastAsia="Times New Roman" w:cs="Arial"/>
                <w:color w:val="000000"/>
                <w:sz w:val="18"/>
                <w:szCs w:val="18"/>
                <w:lang w:val="en-AU" w:eastAsia="en-AU"/>
              </w:rPr>
              <w:t>MDC Grouping</w:t>
            </w:r>
          </w:p>
        </w:tc>
        <w:tc>
          <w:tcPr>
            <w:tcW w:w="3828" w:type="dxa"/>
            <w:shd w:val="clear" w:color="auto" w:fill="auto"/>
            <w:vAlign w:val="center"/>
            <w:hideMark/>
          </w:tcPr>
          <w:p w14:paraId="1E6844F6"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00 01 02 03 04 05 06 07 08 09 10 11 12 13 14 15 16 17 18 19 20 21A 21B 22 23 98 99</w:t>
            </w:r>
          </w:p>
        </w:tc>
        <w:tc>
          <w:tcPr>
            <w:tcW w:w="3402" w:type="dxa"/>
            <w:shd w:val="clear" w:color="auto" w:fill="auto"/>
            <w:vAlign w:val="center"/>
            <w:hideMark/>
          </w:tcPr>
          <w:p w14:paraId="212A6404" w14:textId="77777777" w:rsidR="006832C4" w:rsidRPr="006832C4" w:rsidRDefault="006832C4" w:rsidP="006832C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 B C D E F G H I J K L M N O P Q R T U V W X Y Z 8 9</w:t>
            </w:r>
          </w:p>
        </w:tc>
      </w:tr>
    </w:tbl>
    <w:p w14:paraId="4BE4AFB3" w14:textId="77777777" w:rsidR="00B0651F" w:rsidRDefault="00B0651F" w:rsidP="008A5E4F"/>
    <w:p w14:paraId="13716B71" w14:textId="77777777" w:rsidR="00070754" w:rsidRDefault="00070754">
      <w:pPr>
        <w:spacing w:line="259" w:lineRule="auto"/>
      </w:pPr>
      <w:r>
        <w:br w:type="page"/>
      </w:r>
    </w:p>
    <w:p w14:paraId="3B0231BD" w14:textId="0133965C" w:rsidR="008A5E4F" w:rsidRDefault="008A5E4F" w:rsidP="008A5E4F">
      <w:r>
        <w:t>Table A</w:t>
      </w:r>
      <w:r w:rsidR="00B0651F">
        <w:t>5</w:t>
      </w:r>
      <w:r>
        <w:t xml:space="preserve">: General Use Item Bundles – </w:t>
      </w:r>
      <w:r w:rsidR="00B0651F">
        <w:t xml:space="preserve">Major Diagnostic Category Grouping </w:t>
      </w:r>
      <w:r>
        <w:t>Variants</w:t>
      </w:r>
    </w:p>
    <w:tbl>
      <w:tblPr>
        <w:tblW w:w="9036" w:type="dxa"/>
        <w:tbl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insideH w:val="single" w:sz="4" w:space="0" w:color="808080" w:themeColor="background2" w:themeShade="80"/>
          <w:insideV w:val="single" w:sz="4" w:space="0" w:color="808080" w:themeColor="background2" w:themeShade="80"/>
        </w:tblBorders>
        <w:tblLook w:val="04A0" w:firstRow="1" w:lastRow="0" w:firstColumn="1" w:lastColumn="0" w:noHBand="0" w:noVBand="1"/>
        <w:tblDescription w:val="Table A5 shows the General Use Item Bundles Major Diagnostic Category Grouping Variants through a table with three columns: Product Class, Bundle Variant, Bundle Benefit.  "/>
      </w:tblPr>
      <w:tblGrid>
        <w:gridCol w:w="1801"/>
        <w:gridCol w:w="767"/>
        <w:gridCol w:w="5189"/>
        <w:gridCol w:w="1279"/>
      </w:tblGrid>
      <w:tr w:rsidR="00EE1EF4" w:rsidRPr="006832C4" w14:paraId="3D6ABD60" w14:textId="77777777" w:rsidTr="00EE1EF4">
        <w:trPr>
          <w:cantSplit/>
          <w:trHeight w:val="240"/>
          <w:tblHeader/>
        </w:trPr>
        <w:tc>
          <w:tcPr>
            <w:tcW w:w="2122" w:type="dxa"/>
            <w:tcBorders>
              <w:right w:val="single" w:sz="4" w:space="0" w:color="FFFFFF" w:themeColor="background2"/>
            </w:tcBorders>
            <w:shd w:val="clear" w:color="auto" w:fill="104F99" w:themeFill="accent2"/>
            <w:vAlign w:val="center"/>
            <w:hideMark/>
          </w:tcPr>
          <w:p w14:paraId="723D992E" w14:textId="77777777" w:rsidR="00EE1EF4" w:rsidRPr="006832C4" w:rsidRDefault="00EE1EF4" w:rsidP="00DF031E">
            <w:pPr>
              <w:spacing w:before="120" w:after="120"/>
              <w:jc w:val="center"/>
              <w:rPr>
                <w:rFonts w:eastAsia="Times New Roman" w:cs="Arial"/>
                <w:b/>
                <w:bCs/>
                <w:color w:val="FFFFFF" w:themeColor="background2"/>
                <w:sz w:val="18"/>
                <w:szCs w:val="18"/>
                <w:lang w:val="en-AU" w:eastAsia="en-AU"/>
              </w:rPr>
            </w:pPr>
            <w:r w:rsidRPr="006832C4">
              <w:rPr>
                <w:rFonts w:eastAsia="Times New Roman" w:cs="Arial"/>
                <w:b/>
                <w:bCs/>
                <w:color w:val="FFFFFF" w:themeColor="background2"/>
                <w:sz w:val="18"/>
                <w:szCs w:val="18"/>
                <w:lang w:val="en-AU" w:eastAsia="en-AU"/>
              </w:rPr>
              <w:t>Product class</w:t>
            </w:r>
          </w:p>
        </w:tc>
        <w:tc>
          <w:tcPr>
            <w:tcW w:w="5457" w:type="dxa"/>
            <w:gridSpan w:val="2"/>
            <w:tcBorders>
              <w:left w:val="single" w:sz="4" w:space="0" w:color="FFFFFF" w:themeColor="background2"/>
              <w:right w:val="single" w:sz="4" w:space="0" w:color="FFFFFF" w:themeColor="background2"/>
            </w:tcBorders>
            <w:shd w:val="clear" w:color="auto" w:fill="104F99" w:themeFill="accent2"/>
            <w:noWrap/>
            <w:vAlign w:val="center"/>
            <w:hideMark/>
          </w:tcPr>
          <w:p w14:paraId="402A79FD" w14:textId="77777777" w:rsidR="00EE1EF4" w:rsidRPr="006832C4" w:rsidRDefault="00EE1EF4" w:rsidP="00DF031E">
            <w:pPr>
              <w:spacing w:before="120" w:after="120"/>
              <w:jc w:val="center"/>
              <w:rPr>
                <w:rFonts w:eastAsia="Times New Roman" w:cs="Arial"/>
                <w:b/>
                <w:bCs/>
                <w:color w:val="FFFFFF" w:themeColor="background2"/>
                <w:sz w:val="18"/>
                <w:szCs w:val="18"/>
                <w:lang w:val="en-AU" w:eastAsia="en-AU"/>
              </w:rPr>
            </w:pPr>
            <w:r w:rsidRPr="006832C4">
              <w:rPr>
                <w:rFonts w:eastAsia="Times New Roman" w:cs="Arial"/>
                <w:b/>
                <w:bCs/>
                <w:color w:val="FFFFFF" w:themeColor="background2"/>
                <w:sz w:val="18"/>
                <w:szCs w:val="18"/>
                <w:lang w:val="en-AU" w:eastAsia="en-AU"/>
              </w:rPr>
              <w:t>Bundle variant</w:t>
            </w:r>
          </w:p>
        </w:tc>
        <w:tc>
          <w:tcPr>
            <w:tcW w:w="1457" w:type="dxa"/>
            <w:tcBorders>
              <w:left w:val="single" w:sz="4" w:space="0" w:color="FFFFFF" w:themeColor="background2"/>
            </w:tcBorders>
            <w:shd w:val="clear" w:color="auto" w:fill="104F99" w:themeFill="accent2"/>
            <w:vAlign w:val="center"/>
            <w:hideMark/>
          </w:tcPr>
          <w:p w14:paraId="090C717F" w14:textId="2242FA9F" w:rsidR="00EE1EF4" w:rsidRPr="006832C4" w:rsidRDefault="00EE1EF4" w:rsidP="00DF031E">
            <w:pPr>
              <w:spacing w:before="120" w:after="120"/>
              <w:jc w:val="center"/>
              <w:rPr>
                <w:rFonts w:eastAsia="Times New Roman" w:cs="Arial"/>
                <w:b/>
                <w:bCs/>
                <w:color w:val="FFFFFF" w:themeColor="background2"/>
                <w:sz w:val="18"/>
                <w:szCs w:val="18"/>
                <w:lang w:val="en-AU" w:eastAsia="en-AU"/>
              </w:rPr>
            </w:pPr>
            <w:r>
              <w:rPr>
                <w:rFonts w:eastAsia="Times New Roman" w:cs="Arial"/>
                <w:b/>
                <w:bCs/>
                <w:color w:val="FFFFFF" w:themeColor="background2"/>
                <w:sz w:val="18"/>
                <w:szCs w:val="18"/>
                <w:lang w:val="en-AU" w:eastAsia="en-AU"/>
              </w:rPr>
              <w:t>Bundle benefit</w:t>
            </w:r>
          </w:p>
        </w:tc>
      </w:tr>
      <w:tr w:rsidR="00EE1EF4" w:rsidRPr="006832C4" w14:paraId="25A89869" w14:textId="77777777" w:rsidTr="00EE1EF4">
        <w:trPr>
          <w:cantSplit/>
          <w:trHeight w:val="240"/>
        </w:trPr>
        <w:tc>
          <w:tcPr>
            <w:tcW w:w="2122" w:type="dxa"/>
            <w:vMerge w:val="restart"/>
            <w:shd w:val="clear" w:color="auto" w:fill="auto"/>
            <w:vAlign w:val="center"/>
            <w:hideMark/>
          </w:tcPr>
          <w:p w14:paraId="0243A7D1"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A11</w:t>
            </w:r>
          </w:p>
          <w:p w14:paraId="42EFD41B" w14:textId="5E446E2D"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Infusion Pumps, Balloon Based</w:t>
            </w:r>
          </w:p>
        </w:tc>
        <w:tc>
          <w:tcPr>
            <w:tcW w:w="268" w:type="dxa"/>
            <w:tcBorders>
              <w:right w:val="nil"/>
            </w:tcBorders>
            <w:shd w:val="clear" w:color="auto" w:fill="auto"/>
            <w:noWrap/>
            <w:vAlign w:val="center"/>
            <w:hideMark/>
          </w:tcPr>
          <w:p w14:paraId="05A8ED8C"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A11C1</w:t>
            </w:r>
          </w:p>
        </w:tc>
        <w:tc>
          <w:tcPr>
            <w:tcW w:w="5189" w:type="dxa"/>
            <w:tcBorders>
              <w:left w:val="nil"/>
            </w:tcBorders>
            <w:shd w:val="clear" w:color="auto" w:fill="auto"/>
            <w:noWrap/>
            <w:vAlign w:val="center"/>
            <w:hideMark/>
          </w:tcPr>
          <w:p w14:paraId="3CADD041"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Infusion Pumps, Balloon Based - Very High </w:t>
            </w:r>
            <w:r>
              <w:rPr>
                <w:rFonts w:eastAsia="Times New Roman" w:cs="Arial"/>
                <w:color w:val="000000"/>
                <w:sz w:val="18"/>
                <w:szCs w:val="18"/>
                <w:lang w:val="en-AU" w:eastAsia="en-AU"/>
              </w:rPr>
              <w:t>MDC Grouping</w:t>
            </w:r>
          </w:p>
        </w:tc>
        <w:tc>
          <w:tcPr>
            <w:tcW w:w="1457" w:type="dxa"/>
            <w:shd w:val="clear" w:color="auto" w:fill="auto"/>
            <w:vAlign w:val="center"/>
          </w:tcPr>
          <w:p w14:paraId="7055C662" w14:textId="0972BD6B"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$410.32</w:t>
            </w:r>
          </w:p>
        </w:tc>
      </w:tr>
      <w:tr w:rsidR="00EE1EF4" w:rsidRPr="006832C4" w14:paraId="28180926" w14:textId="77777777" w:rsidTr="00EE1EF4">
        <w:trPr>
          <w:cantSplit/>
          <w:trHeight w:val="240"/>
        </w:trPr>
        <w:tc>
          <w:tcPr>
            <w:tcW w:w="2122" w:type="dxa"/>
            <w:vMerge/>
            <w:vAlign w:val="center"/>
            <w:hideMark/>
          </w:tcPr>
          <w:p w14:paraId="4FEBC2E5"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22A0A15C"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A11C2</w:t>
            </w:r>
          </w:p>
        </w:tc>
        <w:tc>
          <w:tcPr>
            <w:tcW w:w="5189" w:type="dxa"/>
            <w:tcBorders>
              <w:left w:val="nil"/>
            </w:tcBorders>
            <w:shd w:val="clear" w:color="auto" w:fill="auto"/>
            <w:noWrap/>
            <w:vAlign w:val="center"/>
            <w:hideMark/>
          </w:tcPr>
          <w:p w14:paraId="075B1BEB"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Infusion Pumps, Balloon Based - High </w:t>
            </w:r>
            <w:r>
              <w:rPr>
                <w:rFonts w:eastAsia="Times New Roman" w:cs="Arial"/>
                <w:color w:val="000000"/>
                <w:sz w:val="18"/>
                <w:szCs w:val="18"/>
                <w:lang w:val="en-AU" w:eastAsia="en-AU"/>
              </w:rPr>
              <w:t>MDC Grouping</w:t>
            </w:r>
          </w:p>
        </w:tc>
        <w:tc>
          <w:tcPr>
            <w:tcW w:w="1457" w:type="dxa"/>
            <w:shd w:val="clear" w:color="auto" w:fill="auto"/>
            <w:vAlign w:val="center"/>
          </w:tcPr>
          <w:p w14:paraId="483B5AD2" w14:textId="11D962CD"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$295.89</w:t>
            </w:r>
          </w:p>
        </w:tc>
      </w:tr>
      <w:tr w:rsidR="00EE1EF4" w:rsidRPr="006832C4" w14:paraId="411989E4" w14:textId="77777777" w:rsidTr="00EE1EF4">
        <w:trPr>
          <w:cantSplit/>
          <w:trHeight w:val="240"/>
        </w:trPr>
        <w:tc>
          <w:tcPr>
            <w:tcW w:w="2122" w:type="dxa"/>
            <w:vMerge/>
            <w:vAlign w:val="center"/>
            <w:hideMark/>
          </w:tcPr>
          <w:p w14:paraId="3D23CEFF"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21C8DE76"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A11C3</w:t>
            </w:r>
          </w:p>
        </w:tc>
        <w:tc>
          <w:tcPr>
            <w:tcW w:w="5189" w:type="dxa"/>
            <w:tcBorders>
              <w:left w:val="nil"/>
            </w:tcBorders>
            <w:shd w:val="clear" w:color="auto" w:fill="auto"/>
            <w:noWrap/>
            <w:vAlign w:val="center"/>
            <w:hideMark/>
          </w:tcPr>
          <w:p w14:paraId="320B15D5"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Infusion Pumps, Balloon Based - Moderate </w:t>
            </w:r>
            <w:r>
              <w:rPr>
                <w:rFonts w:eastAsia="Times New Roman" w:cs="Arial"/>
                <w:color w:val="000000"/>
                <w:sz w:val="18"/>
                <w:szCs w:val="18"/>
                <w:lang w:val="en-AU" w:eastAsia="en-AU"/>
              </w:rPr>
              <w:t>MDC Grouping</w:t>
            </w:r>
          </w:p>
        </w:tc>
        <w:tc>
          <w:tcPr>
            <w:tcW w:w="1457" w:type="dxa"/>
            <w:shd w:val="clear" w:color="auto" w:fill="auto"/>
            <w:vAlign w:val="center"/>
          </w:tcPr>
          <w:p w14:paraId="40D1864A" w14:textId="5BB01D66"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$204.12</w:t>
            </w:r>
          </w:p>
        </w:tc>
      </w:tr>
      <w:tr w:rsidR="00EE1EF4" w:rsidRPr="006832C4" w14:paraId="11DE2D60" w14:textId="77777777" w:rsidTr="00EE1EF4">
        <w:trPr>
          <w:cantSplit/>
          <w:trHeight w:val="240"/>
        </w:trPr>
        <w:tc>
          <w:tcPr>
            <w:tcW w:w="2122" w:type="dxa"/>
            <w:vMerge/>
            <w:vAlign w:val="center"/>
            <w:hideMark/>
          </w:tcPr>
          <w:p w14:paraId="0BCBD4D6"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25B0C386"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A11C4</w:t>
            </w:r>
          </w:p>
        </w:tc>
        <w:tc>
          <w:tcPr>
            <w:tcW w:w="5189" w:type="dxa"/>
            <w:tcBorders>
              <w:left w:val="nil"/>
            </w:tcBorders>
            <w:shd w:val="clear" w:color="auto" w:fill="auto"/>
            <w:noWrap/>
            <w:vAlign w:val="center"/>
            <w:hideMark/>
          </w:tcPr>
          <w:p w14:paraId="0949C4D9"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Infusion Pumps, Balloon Based - Low </w:t>
            </w:r>
            <w:r>
              <w:rPr>
                <w:rFonts w:eastAsia="Times New Roman" w:cs="Arial"/>
                <w:color w:val="000000"/>
                <w:sz w:val="18"/>
                <w:szCs w:val="18"/>
                <w:lang w:val="en-AU" w:eastAsia="en-AU"/>
              </w:rPr>
              <w:t>MDC Grouping</w:t>
            </w:r>
          </w:p>
        </w:tc>
        <w:tc>
          <w:tcPr>
            <w:tcW w:w="1457" w:type="dxa"/>
            <w:shd w:val="clear" w:color="auto" w:fill="auto"/>
            <w:vAlign w:val="center"/>
          </w:tcPr>
          <w:p w14:paraId="2E551A49" w14:textId="0E64C479"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$67.04</w:t>
            </w:r>
          </w:p>
        </w:tc>
      </w:tr>
      <w:tr w:rsidR="00EE1EF4" w:rsidRPr="006832C4" w14:paraId="7F278E56" w14:textId="77777777" w:rsidTr="00EE1EF4">
        <w:trPr>
          <w:cantSplit/>
          <w:trHeight w:val="240"/>
        </w:trPr>
        <w:tc>
          <w:tcPr>
            <w:tcW w:w="2122" w:type="dxa"/>
            <w:vMerge w:val="restart"/>
            <w:shd w:val="clear" w:color="auto" w:fill="auto"/>
            <w:vAlign w:val="center"/>
            <w:hideMark/>
          </w:tcPr>
          <w:p w14:paraId="0217BEE4"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A12</w:t>
            </w:r>
          </w:p>
          <w:p w14:paraId="137F80F6" w14:textId="54BA172B"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Infusion Pumps, Battery Powered</w:t>
            </w:r>
          </w:p>
        </w:tc>
        <w:tc>
          <w:tcPr>
            <w:tcW w:w="268" w:type="dxa"/>
            <w:tcBorders>
              <w:right w:val="nil"/>
            </w:tcBorders>
            <w:shd w:val="clear" w:color="auto" w:fill="auto"/>
            <w:noWrap/>
            <w:vAlign w:val="center"/>
            <w:hideMark/>
          </w:tcPr>
          <w:p w14:paraId="1D8322FA"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A12C1</w:t>
            </w:r>
          </w:p>
        </w:tc>
        <w:tc>
          <w:tcPr>
            <w:tcW w:w="5189" w:type="dxa"/>
            <w:tcBorders>
              <w:left w:val="nil"/>
            </w:tcBorders>
            <w:shd w:val="clear" w:color="auto" w:fill="auto"/>
            <w:noWrap/>
            <w:vAlign w:val="center"/>
            <w:hideMark/>
          </w:tcPr>
          <w:p w14:paraId="4AE1A0D8"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Infusion Pumps, Battery Powered - Very High </w:t>
            </w:r>
            <w:r>
              <w:rPr>
                <w:rFonts w:eastAsia="Times New Roman" w:cs="Arial"/>
                <w:color w:val="000000"/>
                <w:sz w:val="18"/>
                <w:szCs w:val="18"/>
                <w:lang w:val="en-AU" w:eastAsia="en-AU"/>
              </w:rPr>
              <w:t>MDC Grouping</w:t>
            </w:r>
          </w:p>
        </w:tc>
        <w:tc>
          <w:tcPr>
            <w:tcW w:w="1457" w:type="dxa"/>
            <w:shd w:val="clear" w:color="auto" w:fill="auto"/>
            <w:vAlign w:val="center"/>
          </w:tcPr>
          <w:p w14:paraId="6F1120E3" w14:textId="4AD21772"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$1,261.83</w:t>
            </w:r>
          </w:p>
        </w:tc>
      </w:tr>
      <w:tr w:rsidR="00EE1EF4" w:rsidRPr="006832C4" w14:paraId="26337932" w14:textId="77777777" w:rsidTr="00EE1EF4">
        <w:trPr>
          <w:cantSplit/>
          <w:trHeight w:val="240"/>
        </w:trPr>
        <w:tc>
          <w:tcPr>
            <w:tcW w:w="2122" w:type="dxa"/>
            <w:vMerge/>
            <w:vAlign w:val="center"/>
            <w:hideMark/>
          </w:tcPr>
          <w:p w14:paraId="2B8C6C69"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4527B2AA"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A12C2</w:t>
            </w:r>
          </w:p>
        </w:tc>
        <w:tc>
          <w:tcPr>
            <w:tcW w:w="5189" w:type="dxa"/>
            <w:tcBorders>
              <w:left w:val="nil"/>
            </w:tcBorders>
            <w:shd w:val="clear" w:color="auto" w:fill="auto"/>
            <w:noWrap/>
            <w:vAlign w:val="center"/>
            <w:hideMark/>
          </w:tcPr>
          <w:p w14:paraId="1EFDF847"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Infusion Pumps, Battery Powered - High </w:t>
            </w:r>
            <w:r>
              <w:rPr>
                <w:rFonts w:eastAsia="Times New Roman" w:cs="Arial"/>
                <w:color w:val="000000"/>
                <w:sz w:val="18"/>
                <w:szCs w:val="18"/>
                <w:lang w:val="en-AU" w:eastAsia="en-AU"/>
              </w:rPr>
              <w:t>MDC Grouping</w:t>
            </w:r>
          </w:p>
        </w:tc>
        <w:tc>
          <w:tcPr>
            <w:tcW w:w="1457" w:type="dxa"/>
            <w:shd w:val="clear" w:color="auto" w:fill="auto"/>
            <w:vAlign w:val="center"/>
          </w:tcPr>
          <w:p w14:paraId="4C1A40C4" w14:textId="78DA40CF"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$959.32</w:t>
            </w:r>
          </w:p>
        </w:tc>
      </w:tr>
      <w:tr w:rsidR="00EE1EF4" w:rsidRPr="006832C4" w14:paraId="56134AA1" w14:textId="77777777" w:rsidTr="00EE1EF4">
        <w:trPr>
          <w:cantSplit/>
          <w:trHeight w:val="240"/>
        </w:trPr>
        <w:tc>
          <w:tcPr>
            <w:tcW w:w="2122" w:type="dxa"/>
            <w:vMerge/>
            <w:vAlign w:val="center"/>
            <w:hideMark/>
          </w:tcPr>
          <w:p w14:paraId="1FBD2C69"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375D894B"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A12C3</w:t>
            </w:r>
          </w:p>
        </w:tc>
        <w:tc>
          <w:tcPr>
            <w:tcW w:w="5189" w:type="dxa"/>
            <w:tcBorders>
              <w:left w:val="nil"/>
            </w:tcBorders>
            <w:shd w:val="clear" w:color="auto" w:fill="auto"/>
            <w:noWrap/>
            <w:vAlign w:val="center"/>
            <w:hideMark/>
          </w:tcPr>
          <w:p w14:paraId="1A68D139"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Infusion Pumps, Battery Powered - Moderate </w:t>
            </w:r>
            <w:r>
              <w:rPr>
                <w:rFonts w:eastAsia="Times New Roman" w:cs="Arial"/>
                <w:color w:val="000000"/>
                <w:sz w:val="18"/>
                <w:szCs w:val="18"/>
                <w:lang w:val="en-AU" w:eastAsia="en-AU"/>
              </w:rPr>
              <w:t>MDC Grouping</w:t>
            </w:r>
          </w:p>
        </w:tc>
        <w:tc>
          <w:tcPr>
            <w:tcW w:w="1457" w:type="dxa"/>
            <w:shd w:val="clear" w:color="auto" w:fill="auto"/>
            <w:vAlign w:val="center"/>
          </w:tcPr>
          <w:p w14:paraId="292D9E01" w14:textId="67F54194"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$712.25</w:t>
            </w:r>
          </w:p>
        </w:tc>
      </w:tr>
      <w:tr w:rsidR="00EE1EF4" w:rsidRPr="006832C4" w14:paraId="71F20AA1" w14:textId="77777777" w:rsidTr="00EE1EF4">
        <w:trPr>
          <w:cantSplit/>
          <w:trHeight w:val="480"/>
        </w:trPr>
        <w:tc>
          <w:tcPr>
            <w:tcW w:w="2122" w:type="dxa"/>
            <w:vMerge/>
            <w:vAlign w:val="center"/>
            <w:hideMark/>
          </w:tcPr>
          <w:p w14:paraId="3D22DA28"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7D17F7EF"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A12C4</w:t>
            </w:r>
          </w:p>
        </w:tc>
        <w:tc>
          <w:tcPr>
            <w:tcW w:w="5189" w:type="dxa"/>
            <w:tcBorders>
              <w:left w:val="nil"/>
            </w:tcBorders>
            <w:shd w:val="clear" w:color="auto" w:fill="auto"/>
            <w:noWrap/>
            <w:vAlign w:val="center"/>
            <w:hideMark/>
          </w:tcPr>
          <w:p w14:paraId="1B8F9000"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Infusion Pumps, Battery Powered - Low </w:t>
            </w:r>
            <w:r>
              <w:rPr>
                <w:rFonts w:eastAsia="Times New Roman" w:cs="Arial"/>
                <w:color w:val="000000"/>
                <w:sz w:val="18"/>
                <w:szCs w:val="18"/>
                <w:lang w:val="en-AU" w:eastAsia="en-AU"/>
              </w:rPr>
              <w:t>MDC Grouping</w:t>
            </w:r>
          </w:p>
        </w:tc>
        <w:tc>
          <w:tcPr>
            <w:tcW w:w="1457" w:type="dxa"/>
            <w:shd w:val="clear" w:color="auto" w:fill="auto"/>
            <w:vAlign w:val="center"/>
          </w:tcPr>
          <w:p w14:paraId="64B79593" w14:textId="46E1B8AF"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$473.99</w:t>
            </w:r>
          </w:p>
        </w:tc>
      </w:tr>
      <w:tr w:rsidR="00EE1EF4" w:rsidRPr="006832C4" w14:paraId="6A1FB09D" w14:textId="77777777" w:rsidTr="00EE1EF4">
        <w:trPr>
          <w:cantSplit/>
          <w:trHeight w:val="720"/>
        </w:trPr>
        <w:tc>
          <w:tcPr>
            <w:tcW w:w="2122" w:type="dxa"/>
            <w:shd w:val="clear" w:color="auto" w:fill="auto"/>
            <w:vAlign w:val="center"/>
            <w:hideMark/>
          </w:tcPr>
          <w:p w14:paraId="491FE502"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A13</w:t>
            </w:r>
          </w:p>
          <w:p w14:paraId="6D8EC7B5" w14:textId="5E0035E1"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Infusion Pumps, Spring Powered</w:t>
            </w:r>
          </w:p>
        </w:tc>
        <w:tc>
          <w:tcPr>
            <w:tcW w:w="268" w:type="dxa"/>
            <w:tcBorders>
              <w:right w:val="nil"/>
            </w:tcBorders>
            <w:shd w:val="clear" w:color="auto" w:fill="auto"/>
            <w:noWrap/>
            <w:vAlign w:val="center"/>
            <w:hideMark/>
          </w:tcPr>
          <w:p w14:paraId="19906976"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A13C1</w:t>
            </w:r>
          </w:p>
        </w:tc>
        <w:tc>
          <w:tcPr>
            <w:tcW w:w="5189" w:type="dxa"/>
            <w:tcBorders>
              <w:left w:val="nil"/>
            </w:tcBorders>
            <w:shd w:val="clear" w:color="auto" w:fill="auto"/>
            <w:noWrap/>
            <w:vAlign w:val="center"/>
            <w:hideMark/>
          </w:tcPr>
          <w:p w14:paraId="542A8D56"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Infusion Pumps, Spring Powered - No </w:t>
            </w:r>
            <w:r>
              <w:rPr>
                <w:rFonts w:eastAsia="Times New Roman" w:cs="Arial"/>
                <w:color w:val="000000"/>
                <w:sz w:val="18"/>
                <w:szCs w:val="18"/>
                <w:lang w:val="en-AU" w:eastAsia="en-AU"/>
              </w:rPr>
              <w:t>MDC Grouping</w:t>
            </w:r>
          </w:p>
        </w:tc>
        <w:tc>
          <w:tcPr>
            <w:tcW w:w="1457" w:type="dxa"/>
            <w:shd w:val="clear" w:color="auto" w:fill="auto"/>
            <w:vAlign w:val="center"/>
          </w:tcPr>
          <w:p w14:paraId="79CDE038" w14:textId="5C76FD52"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$127.54</w:t>
            </w:r>
          </w:p>
        </w:tc>
      </w:tr>
      <w:tr w:rsidR="00EE1EF4" w:rsidRPr="006832C4" w14:paraId="6A3193BC" w14:textId="77777777" w:rsidTr="00EE1EF4">
        <w:trPr>
          <w:cantSplit/>
          <w:trHeight w:val="720"/>
        </w:trPr>
        <w:tc>
          <w:tcPr>
            <w:tcW w:w="2122" w:type="dxa"/>
            <w:shd w:val="clear" w:color="auto" w:fill="auto"/>
            <w:vAlign w:val="center"/>
            <w:hideMark/>
          </w:tcPr>
          <w:p w14:paraId="0D025FEA"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A19</w:t>
            </w:r>
          </w:p>
          <w:p w14:paraId="5CC76301" w14:textId="38D98CFC"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Drug Delivery Accessories</w:t>
            </w:r>
          </w:p>
        </w:tc>
        <w:tc>
          <w:tcPr>
            <w:tcW w:w="268" w:type="dxa"/>
            <w:tcBorders>
              <w:right w:val="nil"/>
            </w:tcBorders>
            <w:shd w:val="clear" w:color="auto" w:fill="auto"/>
            <w:noWrap/>
            <w:vAlign w:val="center"/>
            <w:hideMark/>
          </w:tcPr>
          <w:p w14:paraId="682E13BF"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A19C1</w:t>
            </w:r>
          </w:p>
        </w:tc>
        <w:tc>
          <w:tcPr>
            <w:tcW w:w="5189" w:type="dxa"/>
            <w:tcBorders>
              <w:left w:val="nil"/>
            </w:tcBorders>
            <w:shd w:val="clear" w:color="auto" w:fill="auto"/>
            <w:noWrap/>
            <w:vAlign w:val="center"/>
            <w:hideMark/>
          </w:tcPr>
          <w:p w14:paraId="4AB8864A"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Drug Delivery Accessories - No </w:t>
            </w:r>
            <w:r>
              <w:rPr>
                <w:rFonts w:eastAsia="Times New Roman" w:cs="Arial"/>
                <w:color w:val="000000"/>
                <w:sz w:val="18"/>
                <w:szCs w:val="18"/>
                <w:lang w:val="en-AU" w:eastAsia="en-AU"/>
              </w:rPr>
              <w:t>MDC Grouping</w:t>
            </w:r>
          </w:p>
        </w:tc>
        <w:tc>
          <w:tcPr>
            <w:tcW w:w="1457" w:type="dxa"/>
            <w:shd w:val="clear" w:color="auto" w:fill="auto"/>
            <w:vAlign w:val="center"/>
          </w:tcPr>
          <w:p w14:paraId="60A30CDE" w14:textId="5BE11445"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$40.35</w:t>
            </w:r>
          </w:p>
        </w:tc>
      </w:tr>
      <w:tr w:rsidR="00EE1EF4" w:rsidRPr="006832C4" w14:paraId="036F8282" w14:textId="77777777" w:rsidTr="00EE1EF4">
        <w:trPr>
          <w:cantSplit/>
          <w:trHeight w:val="720"/>
        </w:trPr>
        <w:tc>
          <w:tcPr>
            <w:tcW w:w="2122" w:type="dxa"/>
            <w:shd w:val="clear" w:color="auto" w:fill="auto"/>
            <w:vAlign w:val="center"/>
            <w:hideMark/>
          </w:tcPr>
          <w:p w14:paraId="554D6D98"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A21</w:t>
            </w:r>
          </w:p>
          <w:p w14:paraId="0AFD9381" w14:textId="6ABC4FC7"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Feeding Tubes</w:t>
            </w:r>
          </w:p>
        </w:tc>
        <w:tc>
          <w:tcPr>
            <w:tcW w:w="268" w:type="dxa"/>
            <w:tcBorders>
              <w:right w:val="nil"/>
            </w:tcBorders>
            <w:shd w:val="clear" w:color="auto" w:fill="auto"/>
            <w:noWrap/>
            <w:vAlign w:val="center"/>
            <w:hideMark/>
          </w:tcPr>
          <w:p w14:paraId="3D10672C"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A21C1</w:t>
            </w:r>
          </w:p>
        </w:tc>
        <w:tc>
          <w:tcPr>
            <w:tcW w:w="5189" w:type="dxa"/>
            <w:tcBorders>
              <w:left w:val="nil"/>
            </w:tcBorders>
            <w:shd w:val="clear" w:color="auto" w:fill="auto"/>
            <w:noWrap/>
            <w:vAlign w:val="center"/>
            <w:hideMark/>
          </w:tcPr>
          <w:p w14:paraId="3952DC60"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Feeding Tubes - No </w:t>
            </w:r>
            <w:r>
              <w:rPr>
                <w:rFonts w:eastAsia="Times New Roman" w:cs="Arial"/>
                <w:color w:val="000000"/>
                <w:sz w:val="18"/>
                <w:szCs w:val="18"/>
                <w:lang w:val="en-AU" w:eastAsia="en-AU"/>
              </w:rPr>
              <w:t>MDC Grouping</w:t>
            </w:r>
          </w:p>
        </w:tc>
        <w:tc>
          <w:tcPr>
            <w:tcW w:w="1457" w:type="dxa"/>
            <w:shd w:val="clear" w:color="auto" w:fill="auto"/>
            <w:vAlign w:val="center"/>
          </w:tcPr>
          <w:p w14:paraId="4FB23A32" w14:textId="64D380F8"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$161.00</w:t>
            </w:r>
          </w:p>
        </w:tc>
      </w:tr>
      <w:tr w:rsidR="00EE1EF4" w:rsidRPr="006832C4" w14:paraId="1DDBA4DA" w14:textId="77777777" w:rsidTr="00EE1EF4">
        <w:trPr>
          <w:cantSplit/>
          <w:trHeight w:val="720"/>
        </w:trPr>
        <w:tc>
          <w:tcPr>
            <w:tcW w:w="2122" w:type="dxa"/>
            <w:shd w:val="clear" w:color="auto" w:fill="auto"/>
            <w:vAlign w:val="center"/>
            <w:hideMark/>
          </w:tcPr>
          <w:p w14:paraId="080E706E"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A22</w:t>
            </w:r>
          </w:p>
          <w:p w14:paraId="67EE6FBE" w14:textId="0A4805AD"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Gastrostomy Tubes</w:t>
            </w:r>
          </w:p>
        </w:tc>
        <w:tc>
          <w:tcPr>
            <w:tcW w:w="268" w:type="dxa"/>
            <w:tcBorders>
              <w:right w:val="nil"/>
            </w:tcBorders>
            <w:shd w:val="clear" w:color="auto" w:fill="auto"/>
            <w:noWrap/>
            <w:vAlign w:val="center"/>
            <w:hideMark/>
          </w:tcPr>
          <w:p w14:paraId="4141C6E8"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A22C1</w:t>
            </w:r>
          </w:p>
        </w:tc>
        <w:tc>
          <w:tcPr>
            <w:tcW w:w="5189" w:type="dxa"/>
            <w:tcBorders>
              <w:left w:val="nil"/>
            </w:tcBorders>
            <w:shd w:val="clear" w:color="auto" w:fill="auto"/>
            <w:noWrap/>
            <w:vAlign w:val="center"/>
            <w:hideMark/>
          </w:tcPr>
          <w:p w14:paraId="137887ED"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Gastrostomy Tubes - No </w:t>
            </w:r>
            <w:r>
              <w:rPr>
                <w:rFonts w:eastAsia="Times New Roman" w:cs="Arial"/>
                <w:color w:val="000000"/>
                <w:sz w:val="18"/>
                <w:szCs w:val="18"/>
                <w:lang w:val="en-AU" w:eastAsia="en-AU"/>
              </w:rPr>
              <w:t>MDC Grouping</w:t>
            </w:r>
          </w:p>
        </w:tc>
        <w:tc>
          <w:tcPr>
            <w:tcW w:w="1457" w:type="dxa"/>
            <w:shd w:val="clear" w:color="auto" w:fill="auto"/>
            <w:vAlign w:val="center"/>
          </w:tcPr>
          <w:p w14:paraId="25A74A57" w14:textId="21078522"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$170.22</w:t>
            </w:r>
          </w:p>
        </w:tc>
      </w:tr>
      <w:tr w:rsidR="00EE1EF4" w:rsidRPr="006832C4" w14:paraId="6EAD6D30" w14:textId="77777777" w:rsidTr="00EE1EF4">
        <w:trPr>
          <w:cantSplit/>
          <w:trHeight w:val="720"/>
        </w:trPr>
        <w:tc>
          <w:tcPr>
            <w:tcW w:w="2122" w:type="dxa"/>
            <w:shd w:val="clear" w:color="auto" w:fill="auto"/>
            <w:vAlign w:val="center"/>
            <w:hideMark/>
          </w:tcPr>
          <w:p w14:paraId="6AD387C9"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A23</w:t>
            </w:r>
          </w:p>
          <w:p w14:paraId="0E501059" w14:textId="5375D75A"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Jejunostomy Tubes</w:t>
            </w:r>
          </w:p>
        </w:tc>
        <w:tc>
          <w:tcPr>
            <w:tcW w:w="268" w:type="dxa"/>
            <w:tcBorders>
              <w:right w:val="nil"/>
            </w:tcBorders>
            <w:shd w:val="clear" w:color="auto" w:fill="auto"/>
            <w:noWrap/>
            <w:vAlign w:val="center"/>
            <w:hideMark/>
          </w:tcPr>
          <w:p w14:paraId="308FCEF2"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A23C1</w:t>
            </w:r>
          </w:p>
        </w:tc>
        <w:tc>
          <w:tcPr>
            <w:tcW w:w="5189" w:type="dxa"/>
            <w:tcBorders>
              <w:left w:val="nil"/>
            </w:tcBorders>
            <w:shd w:val="clear" w:color="auto" w:fill="auto"/>
            <w:noWrap/>
            <w:vAlign w:val="center"/>
            <w:hideMark/>
          </w:tcPr>
          <w:p w14:paraId="1802DEA0"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Jejunostomy Tubes - No </w:t>
            </w:r>
            <w:r>
              <w:rPr>
                <w:rFonts w:eastAsia="Times New Roman" w:cs="Arial"/>
                <w:color w:val="000000"/>
                <w:sz w:val="18"/>
                <w:szCs w:val="18"/>
                <w:lang w:val="en-AU" w:eastAsia="en-AU"/>
              </w:rPr>
              <w:t>MDC Grouping</w:t>
            </w:r>
          </w:p>
        </w:tc>
        <w:tc>
          <w:tcPr>
            <w:tcW w:w="1457" w:type="dxa"/>
            <w:shd w:val="clear" w:color="auto" w:fill="auto"/>
            <w:vAlign w:val="center"/>
          </w:tcPr>
          <w:p w14:paraId="0689C73F" w14:textId="388B376D"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$448.05</w:t>
            </w:r>
          </w:p>
        </w:tc>
      </w:tr>
      <w:tr w:rsidR="00EE1EF4" w:rsidRPr="006832C4" w14:paraId="71D68B37" w14:textId="77777777" w:rsidTr="00EE1EF4">
        <w:trPr>
          <w:cantSplit/>
          <w:trHeight w:val="720"/>
        </w:trPr>
        <w:tc>
          <w:tcPr>
            <w:tcW w:w="2122" w:type="dxa"/>
            <w:shd w:val="clear" w:color="auto" w:fill="auto"/>
            <w:vAlign w:val="center"/>
            <w:hideMark/>
          </w:tcPr>
          <w:p w14:paraId="7078675E"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A24</w:t>
            </w:r>
          </w:p>
          <w:p w14:paraId="0E42B836" w14:textId="2292B00B" w:rsidR="00EE1EF4" w:rsidRPr="006832C4" w:rsidRDefault="00EE1EF4" w:rsidP="00EE1EF4">
            <w:pPr>
              <w:spacing w:before="120" w:after="120"/>
              <w:jc w:val="center"/>
              <w:rPr>
                <w:rFonts w:eastAsia="Times New Roman" w:cs="Arial"/>
                <w:color w:val="000000"/>
                <w:sz w:val="18"/>
                <w:szCs w:val="18"/>
                <w:lang w:val="en-AU" w:eastAsia="en-AU"/>
              </w:rPr>
            </w:pPr>
            <w:proofErr w:type="spellStart"/>
            <w:r w:rsidRPr="006832C4">
              <w:rPr>
                <w:rFonts w:eastAsia="Times New Roman" w:cs="Arial"/>
                <w:color w:val="000000"/>
                <w:sz w:val="18"/>
                <w:szCs w:val="18"/>
                <w:lang w:val="en-AU" w:eastAsia="en-AU"/>
              </w:rPr>
              <w:t>Caecostomy</w:t>
            </w:r>
            <w:proofErr w:type="spellEnd"/>
            <w:r w:rsidRPr="006832C4">
              <w:rPr>
                <w:rFonts w:eastAsia="Times New Roman" w:cs="Arial"/>
                <w:color w:val="000000"/>
                <w:sz w:val="18"/>
                <w:szCs w:val="18"/>
                <w:lang w:val="en-AU" w:eastAsia="en-AU"/>
              </w:rPr>
              <w:t xml:space="preserve"> Tubes</w:t>
            </w:r>
          </w:p>
        </w:tc>
        <w:tc>
          <w:tcPr>
            <w:tcW w:w="268" w:type="dxa"/>
            <w:tcBorders>
              <w:right w:val="nil"/>
            </w:tcBorders>
            <w:shd w:val="clear" w:color="auto" w:fill="auto"/>
            <w:noWrap/>
            <w:vAlign w:val="center"/>
            <w:hideMark/>
          </w:tcPr>
          <w:p w14:paraId="30A1A724"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A24C1</w:t>
            </w:r>
          </w:p>
        </w:tc>
        <w:tc>
          <w:tcPr>
            <w:tcW w:w="5189" w:type="dxa"/>
            <w:tcBorders>
              <w:left w:val="nil"/>
            </w:tcBorders>
            <w:shd w:val="clear" w:color="auto" w:fill="auto"/>
            <w:noWrap/>
            <w:vAlign w:val="center"/>
            <w:hideMark/>
          </w:tcPr>
          <w:p w14:paraId="4495DA68" w14:textId="77777777" w:rsidR="00EE1EF4" w:rsidRPr="006832C4" w:rsidRDefault="00EE1EF4" w:rsidP="00EE1EF4">
            <w:pPr>
              <w:spacing w:before="120" w:after="120"/>
              <w:rPr>
                <w:rFonts w:eastAsia="Times New Roman" w:cs="Arial"/>
                <w:color w:val="000000"/>
                <w:sz w:val="18"/>
                <w:szCs w:val="18"/>
                <w:lang w:val="en-AU" w:eastAsia="en-AU"/>
              </w:rPr>
            </w:pPr>
            <w:proofErr w:type="spellStart"/>
            <w:r w:rsidRPr="006832C4">
              <w:rPr>
                <w:rFonts w:eastAsia="Times New Roman" w:cs="Arial"/>
                <w:color w:val="000000"/>
                <w:sz w:val="18"/>
                <w:szCs w:val="18"/>
                <w:lang w:val="en-AU" w:eastAsia="en-AU"/>
              </w:rPr>
              <w:t>Caecostomy</w:t>
            </w:r>
            <w:proofErr w:type="spellEnd"/>
            <w:r w:rsidRPr="006832C4">
              <w:rPr>
                <w:rFonts w:eastAsia="Times New Roman" w:cs="Arial"/>
                <w:color w:val="000000"/>
                <w:sz w:val="18"/>
                <w:szCs w:val="18"/>
                <w:lang w:val="en-AU" w:eastAsia="en-AU"/>
              </w:rPr>
              <w:t xml:space="preserve"> Tubes - No </w:t>
            </w:r>
            <w:r>
              <w:rPr>
                <w:rFonts w:eastAsia="Times New Roman" w:cs="Arial"/>
                <w:color w:val="000000"/>
                <w:sz w:val="18"/>
                <w:szCs w:val="18"/>
                <w:lang w:val="en-AU" w:eastAsia="en-AU"/>
              </w:rPr>
              <w:t>MDC Grouping</w:t>
            </w:r>
          </w:p>
        </w:tc>
        <w:tc>
          <w:tcPr>
            <w:tcW w:w="1457" w:type="dxa"/>
            <w:shd w:val="clear" w:color="auto" w:fill="auto"/>
            <w:vAlign w:val="center"/>
          </w:tcPr>
          <w:p w14:paraId="4FA11605" w14:textId="4FDA34C7"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$336.55</w:t>
            </w:r>
          </w:p>
        </w:tc>
      </w:tr>
      <w:tr w:rsidR="00EE1EF4" w:rsidRPr="006832C4" w14:paraId="7FD69DE1" w14:textId="77777777" w:rsidTr="00EE1EF4">
        <w:trPr>
          <w:cantSplit/>
          <w:trHeight w:val="240"/>
        </w:trPr>
        <w:tc>
          <w:tcPr>
            <w:tcW w:w="2122" w:type="dxa"/>
            <w:vMerge w:val="restart"/>
            <w:shd w:val="clear" w:color="auto" w:fill="auto"/>
            <w:vAlign w:val="center"/>
            <w:hideMark/>
          </w:tcPr>
          <w:p w14:paraId="609C13BC"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A31</w:t>
            </w:r>
          </w:p>
          <w:p w14:paraId="4EA7AF2C" w14:textId="008A9C55"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Percutaneous Catheters</w:t>
            </w:r>
          </w:p>
        </w:tc>
        <w:tc>
          <w:tcPr>
            <w:tcW w:w="268" w:type="dxa"/>
            <w:tcBorders>
              <w:right w:val="nil"/>
            </w:tcBorders>
            <w:shd w:val="clear" w:color="auto" w:fill="auto"/>
            <w:noWrap/>
            <w:vAlign w:val="center"/>
            <w:hideMark/>
          </w:tcPr>
          <w:p w14:paraId="11F7FDEF"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A31C1</w:t>
            </w:r>
          </w:p>
        </w:tc>
        <w:tc>
          <w:tcPr>
            <w:tcW w:w="5189" w:type="dxa"/>
            <w:tcBorders>
              <w:left w:val="nil"/>
            </w:tcBorders>
            <w:shd w:val="clear" w:color="auto" w:fill="auto"/>
            <w:noWrap/>
            <w:vAlign w:val="center"/>
            <w:hideMark/>
          </w:tcPr>
          <w:p w14:paraId="71D57038"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Percutaneous Catheters - High </w:t>
            </w:r>
            <w:r>
              <w:rPr>
                <w:rFonts w:eastAsia="Times New Roman" w:cs="Arial"/>
                <w:color w:val="000000"/>
                <w:sz w:val="18"/>
                <w:szCs w:val="18"/>
                <w:lang w:val="en-AU" w:eastAsia="en-AU"/>
              </w:rPr>
              <w:t>MDC Grouping</w:t>
            </w:r>
          </w:p>
        </w:tc>
        <w:tc>
          <w:tcPr>
            <w:tcW w:w="1457" w:type="dxa"/>
            <w:shd w:val="clear" w:color="auto" w:fill="auto"/>
            <w:vAlign w:val="center"/>
          </w:tcPr>
          <w:p w14:paraId="22465925" w14:textId="01278A84"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$170.65</w:t>
            </w:r>
          </w:p>
        </w:tc>
      </w:tr>
      <w:tr w:rsidR="00EE1EF4" w:rsidRPr="006832C4" w14:paraId="1576161C" w14:textId="77777777" w:rsidTr="00EE1EF4">
        <w:trPr>
          <w:cantSplit/>
          <w:trHeight w:val="720"/>
        </w:trPr>
        <w:tc>
          <w:tcPr>
            <w:tcW w:w="2122" w:type="dxa"/>
            <w:vMerge/>
            <w:vAlign w:val="center"/>
            <w:hideMark/>
          </w:tcPr>
          <w:p w14:paraId="6773BED7"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5E6D32EB"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A31C2</w:t>
            </w:r>
          </w:p>
        </w:tc>
        <w:tc>
          <w:tcPr>
            <w:tcW w:w="5189" w:type="dxa"/>
            <w:tcBorders>
              <w:left w:val="nil"/>
            </w:tcBorders>
            <w:shd w:val="clear" w:color="auto" w:fill="auto"/>
            <w:noWrap/>
            <w:vAlign w:val="center"/>
            <w:hideMark/>
          </w:tcPr>
          <w:p w14:paraId="1E474208"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Percutaneous Catheters - Low </w:t>
            </w:r>
            <w:r>
              <w:rPr>
                <w:rFonts w:eastAsia="Times New Roman" w:cs="Arial"/>
                <w:color w:val="000000"/>
                <w:sz w:val="18"/>
                <w:szCs w:val="18"/>
                <w:lang w:val="en-AU" w:eastAsia="en-AU"/>
              </w:rPr>
              <w:t>MDC Grouping</w:t>
            </w:r>
          </w:p>
        </w:tc>
        <w:tc>
          <w:tcPr>
            <w:tcW w:w="1457" w:type="dxa"/>
            <w:shd w:val="clear" w:color="auto" w:fill="auto"/>
            <w:vAlign w:val="center"/>
          </w:tcPr>
          <w:p w14:paraId="20CA8C53" w14:textId="64F9A3B9"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$140.93</w:t>
            </w:r>
          </w:p>
        </w:tc>
      </w:tr>
      <w:tr w:rsidR="00EE1EF4" w:rsidRPr="006832C4" w14:paraId="7E4E4D81" w14:textId="77777777" w:rsidTr="00EE1EF4">
        <w:trPr>
          <w:cantSplit/>
          <w:trHeight w:val="720"/>
        </w:trPr>
        <w:tc>
          <w:tcPr>
            <w:tcW w:w="2122" w:type="dxa"/>
            <w:shd w:val="clear" w:color="auto" w:fill="auto"/>
            <w:vAlign w:val="center"/>
            <w:hideMark/>
          </w:tcPr>
          <w:p w14:paraId="58D1A645"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A41</w:t>
            </w:r>
          </w:p>
          <w:p w14:paraId="6E3AEE5C" w14:textId="5699795C" w:rsidR="00EE1EF4" w:rsidRPr="006832C4" w:rsidRDefault="00EE1EF4" w:rsidP="00EE1EF4">
            <w:pPr>
              <w:spacing w:before="120" w:after="120"/>
              <w:jc w:val="center"/>
              <w:rPr>
                <w:rFonts w:eastAsia="Times New Roman" w:cs="Arial"/>
                <w:color w:val="000000"/>
                <w:sz w:val="18"/>
                <w:szCs w:val="18"/>
                <w:lang w:val="en-AU" w:eastAsia="en-AU"/>
              </w:rPr>
            </w:pPr>
            <w:proofErr w:type="spellStart"/>
            <w:r w:rsidRPr="006832C4">
              <w:rPr>
                <w:rFonts w:eastAsia="Times New Roman" w:cs="Arial"/>
                <w:color w:val="000000"/>
                <w:sz w:val="18"/>
                <w:szCs w:val="18"/>
                <w:lang w:val="en-AU" w:eastAsia="en-AU"/>
              </w:rPr>
              <w:t>Occluder</w:t>
            </w:r>
            <w:proofErr w:type="spellEnd"/>
            <w:r w:rsidRPr="006832C4">
              <w:rPr>
                <w:rFonts w:eastAsia="Times New Roman" w:cs="Arial"/>
                <w:color w:val="000000"/>
                <w:sz w:val="18"/>
                <w:szCs w:val="18"/>
                <w:lang w:val="en-AU" w:eastAsia="en-AU"/>
              </w:rPr>
              <w:t xml:space="preserve"> Pins</w:t>
            </w:r>
          </w:p>
        </w:tc>
        <w:tc>
          <w:tcPr>
            <w:tcW w:w="268" w:type="dxa"/>
            <w:tcBorders>
              <w:right w:val="nil"/>
            </w:tcBorders>
            <w:shd w:val="clear" w:color="auto" w:fill="auto"/>
            <w:noWrap/>
            <w:vAlign w:val="center"/>
            <w:hideMark/>
          </w:tcPr>
          <w:p w14:paraId="65D7367B"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A41C1</w:t>
            </w:r>
          </w:p>
        </w:tc>
        <w:tc>
          <w:tcPr>
            <w:tcW w:w="5189" w:type="dxa"/>
            <w:tcBorders>
              <w:left w:val="nil"/>
            </w:tcBorders>
            <w:shd w:val="clear" w:color="auto" w:fill="auto"/>
            <w:noWrap/>
            <w:vAlign w:val="center"/>
            <w:hideMark/>
          </w:tcPr>
          <w:p w14:paraId="0C51FEA7" w14:textId="77777777" w:rsidR="00EE1EF4" w:rsidRPr="006832C4" w:rsidRDefault="00EE1EF4" w:rsidP="00EE1EF4">
            <w:pPr>
              <w:spacing w:before="120" w:after="120"/>
              <w:rPr>
                <w:rFonts w:eastAsia="Times New Roman" w:cs="Arial"/>
                <w:color w:val="000000"/>
                <w:sz w:val="18"/>
                <w:szCs w:val="18"/>
                <w:lang w:val="en-AU" w:eastAsia="en-AU"/>
              </w:rPr>
            </w:pPr>
            <w:proofErr w:type="spellStart"/>
            <w:r w:rsidRPr="006832C4">
              <w:rPr>
                <w:rFonts w:eastAsia="Times New Roman" w:cs="Arial"/>
                <w:color w:val="000000"/>
                <w:sz w:val="18"/>
                <w:szCs w:val="18"/>
                <w:lang w:val="en-AU" w:eastAsia="en-AU"/>
              </w:rPr>
              <w:t>Occluder</w:t>
            </w:r>
            <w:proofErr w:type="spellEnd"/>
            <w:r w:rsidRPr="006832C4">
              <w:rPr>
                <w:rFonts w:eastAsia="Times New Roman" w:cs="Arial"/>
                <w:color w:val="000000"/>
                <w:sz w:val="18"/>
                <w:szCs w:val="18"/>
                <w:lang w:val="en-AU" w:eastAsia="en-AU"/>
              </w:rPr>
              <w:t xml:space="preserve"> Pins - No </w:t>
            </w:r>
            <w:r>
              <w:rPr>
                <w:rFonts w:eastAsia="Times New Roman" w:cs="Arial"/>
                <w:color w:val="000000"/>
                <w:sz w:val="18"/>
                <w:szCs w:val="18"/>
                <w:lang w:val="en-AU" w:eastAsia="en-AU"/>
              </w:rPr>
              <w:t>MDC Grouping</w:t>
            </w:r>
          </w:p>
        </w:tc>
        <w:tc>
          <w:tcPr>
            <w:tcW w:w="1457" w:type="dxa"/>
            <w:shd w:val="clear" w:color="auto" w:fill="auto"/>
            <w:vAlign w:val="center"/>
          </w:tcPr>
          <w:p w14:paraId="49DEAAE1" w14:textId="580ACBC5"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$286.00</w:t>
            </w:r>
          </w:p>
        </w:tc>
      </w:tr>
      <w:tr w:rsidR="00EE1EF4" w:rsidRPr="006832C4" w14:paraId="16557C8F" w14:textId="77777777" w:rsidTr="00EE1EF4">
        <w:trPr>
          <w:cantSplit/>
          <w:trHeight w:val="240"/>
        </w:trPr>
        <w:tc>
          <w:tcPr>
            <w:tcW w:w="2122" w:type="dxa"/>
            <w:vMerge w:val="restart"/>
            <w:shd w:val="clear" w:color="auto" w:fill="auto"/>
            <w:vAlign w:val="center"/>
            <w:hideMark/>
          </w:tcPr>
          <w:p w14:paraId="5D3122D3"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A42</w:t>
            </w:r>
          </w:p>
          <w:p w14:paraId="1D0050EA" w14:textId="463AEA09"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Powder</w:t>
            </w:r>
          </w:p>
        </w:tc>
        <w:tc>
          <w:tcPr>
            <w:tcW w:w="268" w:type="dxa"/>
            <w:tcBorders>
              <w:right w:val="nil"/>
            </w:tcBorders>
            <w:shd w:val="clear" w:color="auto" w:fill="auto"/>
            <w:noWrap/>
            <w:vAlign w:val="center"/>
            <w:hideMark/>
          </w:tcPr>
          <w:p w14:paraId="302CEF02"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A42C1</w:t>
            </w:r>
          </w:p>
        </w:tc>
        <w:tc>
          <w:tcPr>
            <w:tcW w:w="5189" w:type="dxa"/>
            <w:tcBorders>
              <w:left w:val="nil"/>
            </w:tcBorders>
            <w:shd w:val="clear" w:color="auto" w:fill="auto"/>
            <w:noWrap/>
            <w:vAlign w:val="center"/>
            <w:hideMark/>
          </w:tcPr>
          <w:p w14:paraId="46D9FCF0"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Powder - High </w:t>
            </w:r>
            <w:r>
              <w:rPr>
                <w:rFonts w:eastAsia="Times New Roman" w:cs="Arial"/>
                <w:color w:val="000000"/>
                <w:sz w:val="18"/>
                <w:szCs w:val="18"/>
                <w:lang w:val="en-AU" w:eastAsia="en-AU"/>
              </w:rPr>
              <w:t>MDC Grouping</w:t>
            </w:r>
          </w:p>
        </w:tc>
        <w:tc>
          <w:tcPr>
            <w:tcW w:w="1457" w:type="dxa"/>
            <w:shd w:val="clear" w:color="auto" w:fill="auto"/>
            <w:vAlign w:val="center"/>
          </w:tcPr>
          <w:p w14:paraId="4EC929CD" w14:textId="31382886"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$175.79</w:t>
            </w:r>
          </w:p>
        </w:tc>
      </w:tr>
      <w:tr w:rsidR="00EE1EF4" w:rsidRPr="006832C4" w14:paraId="2F5939DF" w14:textId="77777777" w:rsidTr="00EE1EF4">
        <w:trPr>
          <w:cantSplit/>
          <w:trHeight w:val="240"/>
        </w:trPr>
        <w:tc>
          <w:tcPr>
            <w:tcW w:w="2122" w:type="dxa"/>
            <w:vMerge/>
            <w:vAlign w:val="center"/>
            <w:hideMark/>
          </w:tcPr>
          <w:p w14:paraId="689840AE"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33F63F09"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A42C2</w:t>
            </w:r>
          </w:p>
        </w:tc>
        <w:tc>
          <w:tcPr>
            <w:tcW w:w="5189" w:type="dxa"/>
            <w:tcBorders>
              <w:left w:val="nil"/>
            </w:tcBorders>
            <w:shd w:val="clear" w:color="auto" w:fill="auto"/>
            <w:noWrap/>
            <w:vAlign w:val="center"/>
            <w:hideMark/>
          </w:tcPr>
          <w:p w14:paraId="08DCFE5C"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Powder - Moderate </w:t>
            </w:r>
            <w:r>
              <w:rPr>
                <w:rFonts w:eastAsia="Times New Roman" w:cs="Arial"/>
                <w:color w:val="000000"/>
                <w:sz w:val="18"/>
                <w:szCs w:val="18"/>
                <w:lang w:val="en-AU" w:eastAsia="en-AU"/>
              </w:rPr>
              <w:t>MDC Grouping</w:t>
            </w:r>
          </w:p>
        </w:tc>
        <w:tc>
          <w:tcPr>
            <w:tcW w:w="1457" w:type="dxa"/>
            <w:shd w:val="clear" w:color="auto" w:fill="auto"/>
            <w:vAlign w:val="center"/>
          </w:tcPr>
          <w:p w14:paraId="02707586" w14:textId="52775BFE"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$144.96</w:t>
            </w:r>
          </w:p>
        </w:tc>
      </w:tr>
      <w:tr w:rsidR="00EE1EF4" w:rsidRPr="006832C4" w14:paraId="171CD3ED" w14:textId="77777777" w:rsidTr="00EE1EF4">
        <w:trPr>
          <w:cantSplit/>
          <w:trHeight w:val="480"/>
        </w:trPr>
        <w:tc>
          <w:tcPr>
            <w:tcW w:w="2122" w:type="dxa"/>
            <w:vMerge/>
            <w:vAlign w:val="center"/>
            <w:hideMark/>
          </w:tcPr>
          <w:p w14:paraId="0D0DEF97"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6AAD3A96"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A42C3</w:t>
            </w:r>
          </w:p>
        </w:tc>
        <w:tc>
          <w:tcPr>
            <w:tcW w:w="5189" w:type="dxa"/>
            <w:tcBorders>
              <w:left w:val="nil"/>
            </w:tcBorders>
            <w:shd w:val="clear" w:color="auto" w:fill="auto"/>
            <w:noWrap/>
            <w:vAlign w:val="center"/>
            <w:hideMark/>
          </w:tcPr>
          <w:p w14:paraId="12AD7851"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Powder - Low </w:t>
            </w:r>
            <w:r>
              <w:rPr>
                <w:rFonts w:eastAsia="Times New Roman" w:cs="Arial"/>
                <w:color w:val="000000"/>
                <w:sz w:val="18"/>
                <w:szCs w:val="18"/>
                <w:lang w:val="en-AU" w:eastAsia="en-AU"/>
              </w:rPr>
              <w:t>MDC Grouping</w:t>
            </w:r>
          </w:p>
        </w:tc>
        <w:tc>
          <w:tcPr>
            <w:tcW w:w="1457" w:type="dxa"/>
            <w:shd w:val="clear" w:color="auto" w:fill="auto"/>
            <w:vAlign w:val="center"/>
          </w:tcPr>
          <w:p w14:paraId="68F4EC5E" w14:textId="48110BC5"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$94.84</w:t>
            </w:r>
          </w:p>
        </w:tc>
      </w:tr>
      <w:tr w:rsidR="00EE1EF4" w:rsidRPr="006832C4" w14:paraId="7574EE92" w14:textId="77777777" w:rsidTr="00EE1EF4">
        <w:trPr>
          <w:cantSplit/>
          <w:trHeight w:val="720"/>
        </w:trPr>
        <w:tc>
          <w:tcPr>
            <w:tcW w:w="2122" w:type="dxa"/>
            <w:shd w:val="clear" w:color="auto" w:fill="auto"/>
            <w:vAlign w:val="center"/>
            <w:hideMark/>
          </w:tcPr>
          <w:p w14:paraId="0AF8B3AD"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A43</w:t>
            </w:r>
          </w:p>
          <w:p w14:paraId="47FAF5A7" w14:textId="6673FE89"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Sponges</w:t>
            </w:r>
          </w:p>
        </w:tc>
        <w:tc>
          <w:tcPr>
            <w:tcW w:w="268" w:type="dxa"/>
            <w:tcBorders>
              <w:right w:val="nil"/>
            </w:tcBorders>
            <w:shd w:val="clear" w:color="auto" w:fill="auto"/>
            <w:noWrap/>
            <w:vAlign w:val="center"/>
            <w:hideMark/>
          </w:tcPr>
          <w:p w14:paraId="01AED73F"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A43C1</w:t>
            </w:r>
          </w:p>
        </w:tc>
        <w:tc>
          <w:tcPr>
            <w:tcW w:w="5189" w:type="dxa"/>
            <w:tcBorders>
              <w:left w:val="nil"/>
            </w:tcBorders>
            <w:shd w:val="clear" w:color="auto" w:fill="auto"/>
            <w:noWrap/>
            <w:vAlign w:val="center"/>
            <w:hideMark/>
          </w:tcPr>
          <w:p w14:paraId="2B843B9E"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Sponges - No </w:t>
            </w:r>
            <w:r>
              <w:rPr>
                <w:rFonts w:eastAsia="Times New Roman" w:cs="Arial"/>
                <w:color w:val="000000"/>
                <w:sz w:val="18"/>
                <w:szCs w:val="18"/>
                <w:lang w:val="en-AU" w:eastAsia="en-AU"/>
              </w:rPr>
              <w:t>MDC Grouping</w:t>
            </w:r>
          </w:p>
        </w:tc>
        <w:tc>
          <w:tcPr>
            <w:tcW w:w="1457" w:type="dxa"/>
            <w:shd w:val="clear" w:color="auto" w:fill="auto"/>
            <w:vAlign w:val="center"/>
          </w:tcPr>
          <w:p w14:paraId="31145E5D" w14:textId="50FD5F01"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$13.04</w:t>
            </w:r>
          </w:p>
        </w:tc>
      </w:tr>
      <w:tr w:rsidR="00EE1EF4" w:rsidRPr="006832C4" w14:paraId="69EDECB5" w14:textId="77777777" w:rsidTr="00EE1EF4">
        <w:trPr>
          <w:cantSplit/>
          <w:trHeight w:val="480"/>
        </w:trPr>
        <w:tc>
          <w:tcPr>
            <w:tcW w:w="2122" w:type="dxa"/>
            <w:vMerge w:val="restart"/>
            <w:shd w:val="clear" w:color="auto" w:fill="auto"/>
            <w:vAlign w:val="center"/>
            <w:hideMark/>
          </w:tcPr>
          <w:p w14:paraId="588CD24B"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A44</w:t>
            </w:r>
          </w:p>
          <w:p w14:paraId="21F1609C" w14:textId="7A7AEAC0"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Pliable Patches</w:t>
            </w:r>
          </w:p>
        </w:tc>
        <w:tc>
          <w:tcPr>
            <w:tcW w:w="268" w:type="dxa"/>
            <w:tcBorders>
              <w:right w:val="nil"/>
            </w:tcBorders>
            <w:shd w:val="clear" w:color="auto" w:fill="auto"/>
            <w:noWrap/>
            <w:vAlign w:val="center"/>
            <w:hideMark/>
          </w:tcPr>
          <w:p w14:paraId="44140708"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A44C1</w:t>
            </w:r>
          </w:p>
        </w:tc>
        <w:tc>
          <w:tcPr>
            <w:tcW w:w="5189" w:type="dxa"/>
            <w:tcBorders>
              <w:left w:val="nil"/>
            </w:tcBorders>
            <w:shd w:val="clear" w:color="auto" w:fill="auto"/>
            <w:noWrap/>
            <w:vAlign w:val="center"/>
            <w:hideMark/>
          </w:tcPr>
          <w:p w14:paraId="4F5E86E3"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Pliable Patches - High </w:t>
            </w:r>
            <w:r>
              <w:rPr>
                <w:rFonts w:eastAsia="Times New Roman" w:cs="Arial"/>
                <w:color w:val="000000"/>
                <w:sz w:val="18"/>
                <w:szCs w:val="18"/>
                <w:lang w:val="en-AU" w:eastAsia="en-AU"/>
              </w:rPr>
              <w:t>MDC Grouping</w:t>
            </w:r>
          </w:p>
        </w:tc>
        <w:tc>
          <w:tcPr>
            <w:tcW w:w="1457" w:type="dxa"/>
            <w:shd w:val="clear" w:color="auto" w:fill="auto"/>
            <w:vAlign w:val="center"/>
          </w:tcPr>
          <w:p w14:paraId="03BFA372" w14:textId="23328C6C"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$72.73</w:t>
            </w:r>
          </w:p>
        </w:tc>
      </w:tr>
      <w:tr w:rsidR="00EE1EF4" w:rsidRPr="006832C4" w14:paraId="70AE1DF8" w14:textId="77777777" w:rsidTr="00EE1EF4">
        <w:trPr>
          <w:cantSplit/>
          <w:trHeight w:val="480"/>
        </w:trPr>
        <w:tc>
          <w:tcPr>
            <w:tcW w:w="2122" w:type="dxa"/>
            <w:vMerge/>
            <w:vAlign w:val="center"/>
            <w:hideMark/>
          </w:tcPr>
          <w:p w14:paraId="679EC09B"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504FE6E1"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A44C2</w:t>
            </w:r>
          </w:p>
        </w:tc>
        <w:tc>
          <w:tcPr>
            <w:tcW w:w="5189" w:type="dxa"/>
            <w:tcBorders>
              <w:left w:val="nil"/>
            </w:tcBorders>
            <w:shd w:val="clear" w:color="auto" w:fill="auto"/>
            <w:noWrap/>
            <w:vAlign w:val="center"/>
            <w:hideMark/>
          </w:tcPr>
          <w:p w14:paraId="24592726"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Pliable Patches - Low </w:t>
            </w:r>
            <w:r>
              <w:rPr>
                <w:rFonts w:eastAsia="Times New Roman" w:cs="Arial"/>
                <w:color w:val="000000"/>
                <w:sz w:val="18"/>
                <w:szCs w:val="18"/>
                <w:lang w:val="en-AU" w:eastAsia="en-AU"/>
              </w:rPr>
              <w:t>MDC Grouping</w:t>
            </w:r>
          </w:p>
        </w:tc>
        <w:tc>
          <w:tcPr>
            <w:tcW w:w="1457" w:type="dxa"/>
            <w:shd w:val="clear" w:color="auto" w:fill="auto"/>
            <w:vAlign w:val="center"/>
          </w:tcPr>
          <w:p w14:paraId="21526309" w14:textId="6541C3A7"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$47.45</w:t>
            </w:r>
          </w:p>
        </w:tc>
      </w:tr>
      <w:tr w:rsidR="00EE1EF4" w:rsidRPr="006832C4" w14:paraId="7C764BF4" w14:textId="77777777" w:rsidTr="00EE1EF4">
        <w:trPr>
          <w:cantSplit/>
          <w:trHeight w:val="240"/>
        </w:trPr>
        <w:tc>
          <w:tcPr>
            <w:tcW w:w="2122" w:type="dxa"/>
            <w:vMerge w:val="restart"/>
            <w:shd w:val="clear" w:color="auto" w:fill="auto"/>
            <w:vAlign w:val="center"/>
            <w:hideMark/>
          </w:tcPr>
          <w:p w14:paraId="50D3FBC8"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A45</w:t>
            </w:r>
          </w:p>
          <w:p w14:paraId="62C09ACB" w14:textId="34703CA9"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Matrix</w:t>
            </w:r>
          </w:p>
        </w:tc>
        <w:tc>
          <w:tcPr>
            <w:tcW w:w="268" w:type="dxa"/>
            <w:tcBorders>
              <w:right w:val="nil"/>
            </w:tcBorders>
            <w:shd w:val="clear" w:color="auto" w:fill="auto"/>
            <w:noWrap/>
            <w:vAlign w:val="center"/>
            <w:hideMark/>
          </w:tcPr>
          <w:p w14:paraId="11FF4693"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A45C1</w:t>
            </w:r>
          </w:p>
        </w:tc>
        <w:tc>
          <w:tcPr>
            <w:tcW w:w="5189" w:type="dxa"/>
            <w:tcBorders>
              <w:left w:val="nil"/>
            </w:tcBorders>
            <w:shd w:val="clear" w:color="auto" w:fill="auto"/>
            <w:noWrap/>
            <w:vAlign w:val="center"/>
            <w:hideMark/>
          </w:tcPr>
          <w:p w14:paraId="09432D4D"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Matrix - Very High </w:t>
            </w:r>
            <w:r>
              <w:rPr>
                <w:rFonts w:eastAsia="Times New Roman" w:cs="Arial"/>
                <w:color w:val="000000"/>
                <w:sz w:val="18"/>
                <w:szCs w:val="18"/>
                <w:lang w:val="en-AU" w:eastAsia="en-AU"/>
              </w:rPr>
              <w:t>MDC Grouping</w:t>
            </w:r>
          </w:p>
        </w:tc>
        <w:tc>
          <w:tcPr>
            <w:tcW w:w="1457" w:type="dxa"/>
            <w:shd w:val="clear" w:color="auto" w:fill="auto"/>
            <w:vAlign w:val="center"/>
          </w:tcPr>
          <w:p w14:paraId="7FD72A14" w14:textId="26FBD541"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$833.05</w:t>
            </w:r>
          </w:p>
        </w:tc>
      </w:tr>
      <w:tr w:rsidR="00EE1EF4" w:rsidRPr="006832C4" w14:paraId="2A4BFCBC" w14:textId="77777777" w:rsidTr="00EE1EF4">
        <w:trPr>
          <w:cantSplit/>
          <w:trHeight w:val="480"/>
        </w:trPr>
        <w:tc>
          <w:tcPr>
            <w:tcW w:w="2122" w:type="dxa"/>
            <w:vMerge/>
            <w:vAlign w:val="center"/>
            <w:hideMark/>
          </w:tcPr>
          <w:p w14:paraId="614CD83C"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5C1054BB"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A45C2</w:t>
            </w:r>
          </w:p>
        </w:tc>
        <w:tc>
          <w:tcPr>
            <w:tcW w:w="5189" w:type="dxa"/>
            <w:tcBorders>
              <w:left w:val="nil"/>
            </w:tcBorders>
            <w:shd w:val="clear" w:color="auto" w:fill="auto"/>
            <w:noWrap/>
            <w:vAlign w:val="center"/>
            <w:hideMark/>
          </w:tcPr>
          <w:p w14:paraId="798F6917"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Matrix - High </w:t>
            </w:r>
            <w:r>
              <w:rPr>
                <w:rFonts w:eastAsia="Times New Roman" w:cs="Arial"/>
                <w:color w:val="000000"/>
                <w:sz w:val="18"/>
                <w:szCs w:val="18"/>
                <w:lang w:val="en-AU" w:eastAsia="en-AU"/>
              </w:rPr>
              <w:t>MDC Grouping</w:t>
            </w:r>
          </w:p>
        </w:tc>
        <w:tc>
          <w:tcPr>
            <w:tcW w:w="1457" w:type="dxa"/>
            <w:shd w:val="clear" w:color="auto" w:fill="auto"/>
            <w:vAlign w:val="center"/>
          </w:tcPr>
          <w:p w14:paraId="08546FA7" w14:textId="2630F48F"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$750.51</w:t>
            </w:r>
          </w:p>
        </w:tc>
      </w:tr>
      <w:tr w:rsidR="00EE1EF4" w:rsidRPr="006832C4" w14:paraId="1D66FF09" w14:textId="77777777" w:rsidTr="00EE1EF4">
        <w:trPr>
          <w:cantSplit/>
          <w:trHeight w:val="480"/>
        </w:trPr>
        <w:tc>
          <w:tcPr>
            <w:tcW w:w="2122" w:type="dxa"/>
            <w:vMerge/>
            <w:vAlign w:val="center"/>
            <w:hideMark/>
          </w:tcPr>
          <w:p w14:paraId="402B9270"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629D99DE"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A45C3</w:t>
            </w:r>
          </w:p>
        </w:tc>
        <w:tc>
          <w:tcPr>
            <w:tcW w:w="5189" w:type="dxa"/>
            <w:tcBorders>
              <w:left w:val="nil"/>
            </w:tcBorders>
            <w:shd w:val="clear" w:color="auto" w:fill="auto"/>
            <w:noWrap/>
            <w:vAlign w:val="center"/>
            <w:hideMark/>
          </w:tcPr>
          <w:p w14:paraId="5324C8EB"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Matrix - Moderate </w:t>
            </w:r>
            <w:r>
              <w:rPr>
                <w:rFonts w:eastAsia="Times New Roman" w:cs="Arial"/>
                <w:color w:val="000000"/>
                <w:sz w:val="18"/>
                <w:szCs w:val="18"/>
                <w:lang w:val="en-AU" w:eastAsia="en-AU"/>
              </w:rPr>
              <w:t>MDC Grouping</w:t>
            </w:r>
          </w:p>
        </w:tc>
        <w:tc>
          <w:tcPr>
            <w:tcW w:w="1457" w:type="dxa"/>
            <w:shd w:val="clear" w:color="auto" w:fill="auto"/>
            <w:vAlign w:val="center"/>
          </w:tcPr>
          <w:p w14:paraId="44160FC0" w14:textId="3F22D28A"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$628.50</w:t>
            </w:r>
          </w:p>
        </w:tc>
      </w:tr>
      <w:tr w:rsidR="00EE1EF4" w:rsidRPr="006832C4" w14:paraId="4A4F606B" w14:textId="77777777" w:rsidTr="00EE1EF4">
        <w:trPr>
          <w:cantSplit/>
          <w:trHeight w:val="240"/>
        </w:trPr>
        <w:tc>
          <w:tcPr>
            <w:tcW w:w="2122" w:type="dxa"/>
            <w:vMerge/>
            <w:vAlign w:val="center"/>
            <w:hideMark/>
          </w:tcPr>
          <w:p w14:paraId="1352BE49"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685AAAF8"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A45C4</w:t>
            </w:r>
          </w:p>
        </w:tc>
        <w:tc>
          <w:tcPr>
            <w:tcW w:w="5189" w:type="dxa"/>
            <w:tcBorders>
              <w:left w:val="nil"/>
            </w:tcBorders>
            <w:shd w:val="clear" w:color="auto" w:fill="auto"/>
            <w:noWrap/>
            <w:vAlign w:val="center"/>
            <w:hideMark/>
          </w:tcPr>
          <w:p w14:paraId="795DCBA0"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Matrix - Low </w:t>
            </w:r>
            <w:r>
              <w:rPr>
                <w:rFonts w:eastAsia="Times New Roman" w:cs="Arial"/>
                <w:color w:val="000000"/>
                <w:sz w:val="18"/>
                <w:szCs w:val="18"/>
                <w:lang w:val="en-AU" w:eastAsia="en-AU"/>
              </w:rPr>
              <w:t>MDC Grouping</w:t>
            </w:r>
          </w:p>
        </w:tc>
        <w:tc>
          <w:tcPr>
            <w:tcW w:w="1457" w:type="dxa"/>
            <w:shd w:val="clear" w:color="auto" w:fill="auto"/>
            <w:vAlign w:val="center"/>
          </w:tcPr>
          <w:p w14:paraId="70CED85D" w14:textId="35F3C1A3"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$453.37</w:t>
            </w:r>
          </w:p>
        </w:tc>
      </w:tr>
      <w:tr w:rsidR="00EE1EF4" w:rsidRPr="006832C4" w14:paraId="161F762B" w14:textId="77777777" w:rsidTr="00EE1EF4">
        <w:trPr>
          <w:cantSplit/>
          <w:trHeight w:val="720"/>
        </w:trPr>
        <w:tc>
          <w:tcPr>
            <w:tcW w:w="2122" w:type="dxa"/>
            <w:shd w:val="clear" w:color="auto" w:fill="auto"/>
            <w:vAlign w:val="center"/>
            <w:hideMark/>
          </w:tcPr>
          <w:p w14:paraId="319EA0BE"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A46</w:t>
            </w:r>
          </w:p>
          <w:p w14:paraId="6232D3CB" w14:textId="10629945"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Foam</w:t>
            </w:r>
          </w:p>
        </w:tc>
        <w:tc>
          <w:tcPr>
            <w:tcW w:w="268" w:type="dxa"/>
            <w:tcBorders>
              <w:right w:val="nil"/>
            </w:tcBorders>
            <w:shd w:val="clear" w:color="auto" w:fill="auto"/>
            <w:noWrap/>
            <w:vAlign w:val="center"/>
            <w:hideMark/>
          </w:tcPr>
          <w:p w14:paraId="52F3F44D"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A46C1</w:t>
            </w:r>
          </w:p>
        </w:tc>
        <w:tc>
          <w:tcPr>
            <w:tcW w:w="5189" w:type="dxa"/>
            <w:tcBorders>
              <w:left w:val="nil"/>
            </w:tcBorders>
            <w:shd w:val="clear" w:color="auto" w:fill="auto"/>
            <w:noWrap/>
            <w:vAlign w:val="center"/>
            <w:hideMark/>
          </w:tcPr>
          <w:p w14:paraId="73F01AD7"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Foam - No </w:t>
            </w:r>
            <w:r>
              <w:rPr>
                <w:rFonts w:eastAsia="Times New Roman" w:cs="Arial"/>
                <w:color w:val="000000"/>
                <w:sz w:val="18"/>
                <w:szCs w:val="18"/>
                <w:lang w:val="en-AU" w:eastAsia="en-AU"/>
              </w:rPr>
              <w:t>MDC Grouping</w:t>
            </w:r>
          </w:p>
        </w:tc>
        <w:tc>
          <w:tcPr>
            <w:tcW w:w="1457" w:type="dxa"/>
            <w:shd w:val="clear" w:color="auto" w:fill="auto"/>
            <w:vAlign w:val="center"/>
          </w:tcPr>
          <w:p w14:paraId="611C4F6A" w14:textId="63586B52"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$146.91</w:t>
            </w:r>
          </w:p>
        </w:tc>
      </w:tr>
      <w:tr w:rsidR="00EE1EF4" w:rsidRPr="006832C4" w14:paraId="5343CFC1" w14:textId="77777777" w:rsidTr="00EE1EF4">
        <w:trPr>
          <w:cantSplit/>
          <w:trHeight w:val="720"/>
        </w:trPr>
        <w:tc>
          <w:tcPr>
            <w:tcW w:w="2122" w:type="dxa"/>
            <w:shd w:val="clear" w:color="auto" w:fill="auto"/>
            <w:vAlign w:val="center"/>
            <w:hideMark/>
          </w:tcPr>
          <w:p w14:paraId="7340F48E"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A49</w:t>
            </w:r>
          </w:p>
          <w:p w14:paraId="50050F3C" w14:textId="0B450E44"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Haemostatic Accessories</w:t>
            </w:r>
          </w:p>
        </w:tc>
        <w:tc>
          <w:tcPr>
            <w:tcW w:w="268" w:type="dxa"/>
            <w:tcBorders>
              <w:right w:val="nil"/>
            </w:tcBorders>
            <w:shd w:val="clear" w:color="auto" w:fill="auto"/>
            <w:noWrap/>
            <w:vAlign w:val="center"/>
            <w:hideMark/>
          </w:tcPr>
          <w:p w14:paraId="6D2652CD"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A49C1</w:t>
            </w:r>
          </w:p>
        </w:tc>
        <w:tc>
          <w:tcPr>
            <w:tcW w:w="5189" w:type="dxa"/>
            <w:tcBorders>
              <w:left w:val="nil"/>
            </w:tcBorders>
            <w:shd w:val="clear" w:color="auto" w:fill="auto"/>
            <w:noWrap/>
            <w:vAlign w:val="center"/>
            <w:hideMark/>
          </w:tcPr>
          <w:p w14:paraId="724372CA"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Haemostatic Accessories - No </w:t>
            </w:r>
            <w:r>
              <w:rPr>
                <w:rFonts w:eastAsia="Times New Roman" w:cs="Arial"/>
                <w:color w:val="000000"/>
                <w:sz w:val="18"/>
                <w:szCs w:val="18"/>
                <w:lang w:val="en-AU" w:eastAsia="en-AU"/>
              </w:rPr>
              <w:t>MDC Grouping</w:t>
            </w:r>
          </w:p>
        </w:tc>
        <w:tc>
          <w:tcPr>
            <w:tcW w:w="1457" w:type="dxa"/>
            <w:shd w:val="clear" w:color="auto" w:fill="auto"/>
            <w:vAlign w:val="center"/>
          </w:tcPr>
          <w:p w14:paraId="72160ED4" w14:textId="521A1236"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$29.05</w:t>
            </w:r>
          </w:p>
        </w:tc>
      </w:tr>
      <w:tr w:rsidR="00EE1EF4" w:rsidRPr="006832C4" w14:paraId="7BA73F4C" w14:textId="77777777" w:rsidTr="00EE1EF4">
        <w:trPr>
          <w:cantSplit/>
          <w:trHeight w:val="240"/>
        </w:trPr>
        <w:tc>
          <w:tcPr>
            <w:tcW w:w="2122" w:type="dxa"/>
            <w:vMerge w:val="restart"/>
            <w:shd w:val="clear" w:color="auto" w:fill="auto"/>
            <w:vAlign w:val="center"/>
            <w:hideMark/>
          </w:tcPr>
          <w:p w14:paraId="3E776F2A"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A51</w:t>
            </w:r>
          </w:p>
          <w:p w14:paraId="6B85F8F3" w14:textId="0C3DEB45"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Adhesion Barriers</w:t>
            </w:r>
          </w:p>
        </w:tc>
        <w:tc>
          <w:tcPr>
            <w:tcW w:w="268" w:type="dxa"/>
            <w:tcBorders>
              <w:right w:val="nil"/>
            </w:tcBorders>
            <w:shd w:val="clear" w:color="auto" w:fill="auto"/>
            <w:noWrap/>
            <w:vAlign w:val="center"/>
            <w:hideMark/>
          </w:tcPr>
          <w:p w14:paraId="0DAC7A51"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A51C1</w:t>
            </w:r>
          </w:p>
        </w:tc>
        <w:tc>
          <w:tcPr>
            <w:tcW w:w="5189" w:type="dxa"/>
            <w:tcBorders>
              <w:left w:val="nil"/>
            </w:tcBorders>
            <w:shd w:val="clear" w:color="auto" w:fill="auto"/>
            <w:noWrap/>
            <w:vAlign w:val="center"/>
            <w:hideMark/>
          </w:tcPr>
          <w:p w14:paraId="2CDD289A"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Adhesion Barriers - Very High </w:t>
            </w:r>
            <w:r>
              <w:rPr>
                <w:rFonts w:eastAsia="Times New Roman" w:cs="Arial"/>
                <w:color w:val="000000"/>
                <w:sz w:val="18"/>
                <w:szCs w:val="18"/>
                <w:lang w:val="en-AU" w:eastAsia="en-AU"/>
              </w:rPr>
              <w:t>MDC Grouping</w:t>
            </w:r>
          </w:p>
        </w:tc>
        <w:tc>
          <w:tcPr>
            <w:tcW w:w="1457" w:type="dxa"/>
            <w:shd w:val="clear" w:color="auto" w:fill="auto"/>
            <w:vAlign w:val="center"/>
          </w:tcPr>
          <w:p w14:paraId="24EB8DAF" w14:textId="4D399143"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$1,520.36</w:t>
            </w:r>
          </w:p>
        </w:tc>
      </w:tr>
      <w:tr w:rsidR="00EE1EF4" w:rsidRPr="006832C4" w14:paraId="3BC31AF0" w14:textId="77777777" w:rsidTr="00EE1EF4">
        <w:trPr>
          <w:cantSplit/>
          <w:trHeight w:val="240"/>
        </w:trPr>
        <w:tc>
          <w:tcPr>
            <w:tcW w:w="2122" w:type="dxa"/>
            <w:vMerge/>
            <w:vAlign w:val="center"/>
            <w:hideMark/>
          </w:tcPr>
          <w:p w14:paraId="5A3446CF"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228D6B50"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A51C2</w:t>
            </w:r>
          </w:p>
        </w:tc>
        <w:tc>
          <w:tcPr>
            <w:tcW w:w="5189" w:type="dxa"/>
            <w:tcBorders>
              <w:left w:val="nil"/>
            </w:tcBorders>
            <w:shd w:val="clear" w:color="auto" w:fill="auto"/>
            <w:noWrap/>
            <w:vAlign w:val="center"/>
            <w:hideMark/>
          </w:tcPr>
          <w:p w14:paraId="265A960F"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Adhesion Barriers - High </w:t>
            </w:r>
            <w:r>
              <w:rPr>
                <w:rFonts w:eastAsia="Times New Roman" w:cs="Arial"/>
                <w:color w:val="000000"/>
                <w:sz w:val="18"/>
                <w:szCs w:val="18"/>
                <w:lang w:val="en-AU" w:eastAsia="en-AU"/>
              </w:rPr>
              <w:t>MDC Grouping</w:t>
            </w:r>
          </w:p>
        </w:tc>
        <w:tc>
          <w:tcPr>
            <w:tcW w:w="1457" w:type="dxa"/>
            <w:shd w:val="clear" w:color="auto" w:fill="auto"/>
            <w:vAlign w:val="center"/>
          </w:tcPr>
          <w:p w14:paraId="12CC1EB7" w14:textId="3486838B"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$1,123.32</w:t>
            </w:r>
          </w:p>
        </w:tc>
      </w:tr>
      <w:tr w:rsidR="00EE1EF4" w:rsidRPr="006832C4" w14:paraId="69B0D86B" w14:textId="77777777" w:rsidTr="00EE1EF4">
        <w:trPr>
          <w:cantSplit/>
          <w:trHeight w:val="480"/>
        </w:trPr>
        <w:tc>
          <w:tcPr>
            <w:tcW w:w="2122" w:type="dxa"/>
            <w:vMerge/>
            <w:vAlign w:val="center"/>
            <w:hideMark/>
          </w:tcPr>
          <w:p w14:paraId="46ED3577"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1528ECA0"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A51C3</w:t>
            </w:r>
          </w:p>
        </w:tc>
        <w:tc>
          <w:tcPr>
            <w:tcW w:w="5189" w:type="dxa"/>
            <w:tcBorders>
              <w:left w:val="nil"/>
            </w:tcBorders>
            <w:shd w:val="clear" w:color="auto" w:fill="auto"/>
            <w:noWrap/>
            <w:vAlign w:val="center"/>
            <w:hideMark/>
          </w:tcPr>
          <w:p w14:paraId="5E0A7A29"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Adhesion Barriers - Moderate </w:t>
            </w:r>
            <w:r>
              <w:rPr>
                <w:rFonts w:eastAsia="Times New Roman" w:cs="Arial"/>
                <w:color w:val="000000"/>
                <w:sz w:val="18"/>
                <w:szCs w:val="18"/>
                <w:lang w:val="en-AU" w:eastAsia="en-AU"/>
              </w:rPr>
              <w:t>MDC Grouping</w:t>
            </w:r>
          </w:p>
        </w:tc>
        <w:tc>
          <w:tcPr>
            <w:tcW w:w="1457" w:type="dxa"/>
            <w:shd w:val="clear" w:color="auto" w:fill="auto"/>
            <w:vAlign w:val="center"/>
          </w:tcPr>
          <w:p w14:paraId="5AA792A0" w14:textId="27713AEC"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$414.19</w:t>
            </w:r>
          </w:p>
        </w:tc>
      </w:tr>
      <w:tr w:rsidR="00EE1EF4" w:rsidRPr="006832C4" w14:paraId="2051ADB8" w14:textId="77777777" w:rsidTr="00EE1EF4">
        <w:trPr>
          <w:cantSplit/>
          <w:trHeight w:val="240"/>
        </w:trPr>
        <w:tc>
          <w:tcPr>
            <w:tcW w:w="2122" w:type="dxa"/>
            <w:vMerge/>
            <w:vAlign w:val="center"/>
            <w:hideMark/>
          </w:tcPr>
          <w:p w14:paraId="406B67F9"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738092E5"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A51C4</w:t>
            </w:r>
          </w:p>
        </w:tc>
        <w:tc>
          <w:tcPr>
            <w:tcW w:w="5189" w:type="dxa"/>
            <w:tcBorders>
              <w:left w:val="nil"/>
            </w:tcBorders>
            <w:shd w:val="clear" w:color="auto" w:fill="auto"/>
            <w:noWrap/>
            <w:vAlign w:val="center"/>
            <w:hideMark/>
          </w:tcPr>
          <w:p w14:paraId="26905A6C"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Adhesion Barriers - Low </w:t>
            </w:r>
            <w:r>
              <w:rPr>
                <w:rFonts w:eastAsia="Times New Roman" w:cs="Arial"/>
                <w:color w:val="000000"/>
                <w:sz w:val="18"/>
                <w:szCs w:val="18"/>
                <w:lang w:val="en-AU" w:eastAsia="en-AU"/>
              </w:rPr>
              <w:t>MDC Grouping</w:t>
            </w:r>
          </w:p>
        </w:tc>
        <w:tc>
          <w:tcPr>
            <w:tcW w:w="1457" w:type="dxa"/>
            <w:shd w:val="clear" w:color="auto" w:fill="auto"/>
            <w:vAlign w:val="center"/>
          </w:tcPr>
          <w:p w14:paraId="40733F56" w14:textId="3DEE37E4"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$142.68</w:t>
            </w:r>
          </w:p>
        </w:tc>
      </w:tr>
      <w:tr w:rsidR="00EE1EF4" w:rsidRPr="006832C4" w14:paraId="10D2BD9E" w14:textId="77777777" w:rsidTr="00EE1EF4">
        <w:trPr>
          <w:cantSplit/>
          <w:trHeight w:val="240"/>
        </w:trPr>
        <w:tc>
          <w:tcPr>
            <w:tcW w:w="2122" w:type="dxa"/>
            <w:vMerge w:val="restart"/>
            <w:shd w:val="clear" w:color="auto" w:fill="auto"/>
            <w:vAlign w:val="center"/>
            <w:hideMark/>
          </w:tcPr>
          <w:p w14:paraId="51E36286"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A52</w:t>
            </w:r>
          </w:p>
          <w:p w14:paraId="78823FC3" w14:textId="4ED80FCF"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Internal Adhesives</w:t>
            </w:r>
          </w:p>
        </w:tc>
        <w:tc>
          <w:tcPr>
            <w:tcW w:w="268" w:type="dxa"/>
            <w:tcBorders>
              <w:right w:val="nil"/>
            </w:tcBorders>
            <w:shd w:val="clear" w:color="auto" w:fill="auto"/>
            <w:noWrap/>
            <w:vAlign w:val="center"/>
            <w:hideMark/>
          </w:tcPr>
          <w:p w14:paraId="37D50677"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A52C1</w:t>
            </w:r>
          </w:p>
        </w:tc>
        <w:tc>
          <w:tcPr>
            <w:tcW w:w="5189" w:type="dxa"/>
            <w:tcBorders>
              <w:left w:val="nil"/>
            </w:tcBorders>
            <w:shd w:val="clear" w:color="auto" w:fill="auto"/>
            <w:noWrap/>
            <w:vAlign w:val="center"/>
            <w:hideMark/>
          </w:tcPr>
          <w:p w14:paraId="0265C8FE"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Internal Adhesives - Very High </w:t>
            </w:r>
            <w:r>
              <w:rPr>
                <w:rFonts w:eastAsia="Times New Roman" w:cs="Arial"/>
                <w:color w:val="000000"/>
                <w:sz w:val="18"/>
                <w:szCs w:val="18"/>
                <w:lang w:val="en-AU" w:eastAsia="en-AU"/>
              </w:rPr>
              <w:t>MDC Grouping</w:t>
            </w:r>
          </w:p>
        </w:tc>
        <w:tc>
          <w:tcPr>
            <w:tcW w:w="1457" w:type="dxa"/>
            <w:shd w:val="clear" w:color="auto" w:fill="auto"/>
            <w:vAlign w:val="center"/>
          </w:tcPr>
          <w:p w14:paraId="44BC8F50" w14:textId="76E2FC98"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$611.15</w:t>
            </w:r>
          </w:p>
        </w:tc>
      </w:tr>
      <w:tr w:rsidR="00EE1EF4" w:rsidRPr="006832C4" w14:paraId="3778A6AD" w14:textId="77777777" w:rsidTr="00EE1EF4">
        <w:trPr>
          <w:cantSplit/>
          <w:trHeight w:val="240"/>
        </w:trPr>
        <w:tc>
          <w:tcPr>
            <w:tcW w:w="2122" w:type="dxa"/>
            <w:vMerge/>
            <w:vAlign w:val="center"/>
            <w:hideMark/>
          </w:tcPr>
          <w:p w14:paraId="7FC109CC"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2BA1C82E"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A52C2</w:t>
            </w:r>
          </w:p>
        </w:tc>
        <w:tc>
          <w:tcPr>
            <w:tcW w:w="5189" w:type="dxa"/>
            <w:tcBorders>
              <w:left w:val="nil"/>
            </w:tcBorders>
            <w:shd w:val="clear" w:color="auto" w:fill="auto"/>
            <w:noWrap/>
            <w:vAlign w:val="center"/>
            <w:hideMark/>
          </w:tcPr>
          <w:p w14:paraId="788943EE"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Internal Adhesives - High </w:t>
            </w:r>
            <w:r>
              <w:rPr>
                <w:rFonts w:eastAsia="Times New Roman" w:cs="Arial"/>
                <w:color w:val="000000"/>
                <w:sz w:val="18"/>
                <w:szCs w:val="18"/>
                <w:lang w:val="en-AU" w:eastAsia="en-AU"/>
              </w:rPr>
              <w:t>MDC Grouping</w:t>
            </w:r>
          </w:p>
        </w:tc>
        <w:tc>
          <w:tcPr>
            <w:tcW w:w="1457" w:type="dxa"/>
            <w:shd w:val="clear" w:color="auto" w:fill="auto"/>
            <w:vAlign w:val="center"/>
          </w:tcPr>
          <w:p w14:paraId="2B8C1119" w14:textId="7D013A18"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$346.84</w:t>
            </w:r>
          </w:p>
        </w:tc>
      </w:tr>
      <w:tr w:rsidR="00EE1EF4" w:rsidRPr="006832C4" w14:paraId="1E3D1BE3" w14:textId="77777777" w:rsidTr="00EE1EF4">
        <w:trPr>
          <w:cantSplit/>
          <w:trHeight w:val="240"/>
        </w:trPr>
        <w:tc>
          <w:tcPr>
            <w:tcW w:w="2122" w:type="dxa"/>
            <w:vMerge/>
            <w:vAlign w:val="center"/>
            <w:hideMark/>
          </w:tcPr>
          <w:p w14:paraId="2A9F1656"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3428B2C4"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A52C3</w:t>
            </w:r>
          </w:p>
        </w:tc>
        <w:tc>
          <w:tcPr>
            <w:tcW w:w="5189" w:type="dxa"/>
            <w:tcBorders>
              <w:left w:val="nil"/>
            </w:tcBorders>
            <w:shd w:val="clear" w:color="auto" w:fill="auto"/>
            <w:noWrap/>
            <w:vAlign w:val="center"/>
            <w:hideMark/>
          </w:tcPr>
          <w:p w14:paraId="185ED4A9"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Internal Adhesives - Moderate </w:t>
            </w:r>
            <w:r>
              <w:rPr>
                <w:rFonts w:eastAsia="Times New Roman" w:cs="Arial"/>
                <w:color w:val="000000"/>
                <w:sz w:val="18"/>
                <w:szCs w:val="18"/>
                <w:lang w:val="en-AU" w:eastAsia="en-AU"/>
              </w:rPr>
              <w:t>MDC Grouping</w:t>
            </w:r>
          </w:p>
        </w:tc>
        <w:tc>
          <w:tcPr>
            <w:tcW w:w="1457" w:type="dxa"/>
            <w:shd w:val="clear" w:color="auto" w:fill="auto"/>
            <w:vAlign w:val="center"/>
          </w:tcPr>
          <w:p w14:paraId="6D598480" w14:textId="331E93B2"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$250.98</w:t>
            </w:r>
          </w:p>
        </w:tc>
      </w:tr>
      <w:tr w:rsidR="00EE1EF4" w:rsidRPr="006832C4" w14:paraId="7167C7A8" w14:textId="77777777" w:rsidTr="00EE1EF4">
        <w:trPr>
          <w:cantSplit/>
          <w:trHeight w:val="240"/>
        </w:trPr>
        <w:tc>
          <w:tcPr>
            <w:tcW w:w="2122" w:type="dxa"/>
            <w:vMerge/>
            <w:vAlign w:val="center"/>
            <w:hideMark/>
          </w:tcPr>
          <w:p w14:paraId="296390D5"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6BB80C26"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A52C4</w:t>
            </w:r>
          </w:p>
        </w:tc>
        <w:tc>
          <w:tcPr>
            <w:tcW w:w="5189" w:type="dxa"/>
            <w:tcBorders>
              <w:left w:val="nil"/>
            </w:tcBorders>
            <w:shd w:val="clear" w:color="auto" w:fill="auto"/>
            <w:noWrap/>
            <w:vAlign w:val="center"/>
            <w:hideMark/>
          </w:tcPr>
          <w:p w14:paraId="0EB706AB"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Internal Adhesives - Low </w:t>
            </w:r>
            <w:r>
              <w:rPr>
                <w:rFonts w:eastAsia="Times New Roman" w:cs="Arial"/>
                <w:color w:val="000000"/>
                <w:sz w:val="18"/>
                <w:szCs w:val="18"/>
                <w:lang w:val="en-AU" w:eastAsia="en-AU"/>
              </w:rPr>
              <w:t>MDC Grouping</w:t>
            </w:r>
          </w:p>
        </w:tc>
        <w:tc>
          <w:tcPr>
            <w:tcW w:w="1457" w:type="dxa"/>
            <w:shd w:val="clear" w:color="auto" w:fill="auto"/>
            <w:vAlign w:val="center"/>
          </w:tcPr>
          <w:p w14:paraId="4F725D07" w14:textId="3714D993"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$214.78</w:t>
            </w:r>
          </w:p>
        </w:tc>
      </w:tr>
      <w:tr w:rsidR="00EE1EF4" w:rsidRPr="006832C4" w14:paraId="06E1A99A" w14:textId="77777777" w:rsidTr="00EE1EF4">
        <w:trPr>
          <w:cantSplit/>
          <w:trHeight w:val="240"/>
        </w:trPr>
        <w:tc>
          <w:tcPr>
            <w:tcW w:w="2122" w:type="dxa"/>
            <w:vMerge w:val="restart"/>
            <w:shd w:val="clear" w:color="auto" w:fill="auto"/>
            <w:vAlign w:val="center"/>
            <w:hideMark/>
          </w:tcPr>
          <w:p w14:paraId="73889267"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A53</w:t>
            </w:r>
          </w:p>
          <w:p w14:paraId="35636A5F" w14:textId="20DA58AC"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Ligating Items</w:t>
            </w:r>
          </w:p>
        </w:tc>
        <w:tc>
          <w:tcPr>
            <w:tcW w:w="268" w:type="dxa"/>
            <w:tcBorders>
              <w:right w:val="nil"/>
            </w:tcBorders>
            <w:shd w:val="clear" w:color="auto" w:fill="auto"/>
            <w:noWrap/>
            <w:vAlign w:val="center"/>
            <w:hideMark/>
          </w:tcPr>
          <w:p w14:paraId="41F49F8B"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A53C1</w:t>
            </w:r>
          </w:p>
        </w:tc>
        <w:tc>
          <w:tcPr>
            <w:tcW w:w="5189" w:type="dxa"/>
            <w:tcBorders>
              <w:left w:val="nil"/>
            </w:tcBorders>
            <w:shd w:val="clear" w:color="auto" w:fill="auto"/>
            <w:noWrap/>
            <w:vAlign w:val="center"/>
            <w:hideMark/>
          </w:tcPr>
          <w:p w14:paraId="609979F3"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Ligating Items - Very High </w:t>
            </w:r>
            <w:r>
              <w:rPr>
                <w:rFonts w:eastAsia="Times New Roman" w:cs="Arial"/>
                <w:color w:val="000000"/>
                <w:sz w:val="18"/>
                <w:szCs w:val="18"/>
                <w:lang w:val="en-AU" w:eastAsia="en-AU"/>
              </w:rPr>
              <w:t>MDC Grouping</w:t>
            </w:r>
          </w:p>
        </w:tc>
        <w:tc>
          <w:tcPr>
            <w:tcW w:w="1457" w:type="dxa"/>
            <w:shd w:val="clear" w:color="auto" w:fill="auto"/>
            <w:vAlign w:val="center"/>
          </w:tcPr>
          <w:p w14:paraId="3DC698D3" w14:textId="35EBA1F0"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$202.42</w:t>
            </w:r>
          </w:p>
        </w:tc>
      </w:tr>
      <w:tr w:rsidR="00EE1EF4" w:rsidRPr="006832C4" w14:paraId="15477637" w14:textId="77777777" w:rsidTr="00EE1EF4">
        <w:trPr>
          <w:cantSplit/>
          <w:trHeight w:val="240"/>
        </w:trPr>
        <w:tc>
          <w:tcPr>
            <w:tcW w:w="2122" w:type="dxa"/>
            <w:vMerge/>
            <w:vAlign w:val="center"/>
            <w:hideMark/>
          </w:tcPr>
          <w:p w14:paraId="1A342F59"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5F0917DC"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A53C2</w:t>
            </w:r>
          </w:p>
        </w:tc>
        <w:tc>
          <w:tcPr>
            <w:tcW w:w="5189" w:type="dxa"/>
            <w:tcBorders>
              <w:left w:val="nil"/>
            </w:tcBorders>
            <w:shd w:val="clear" w:color="auto" w:fill="auto"/>
            <w:noWrap/>
            <w:vAlign w:val="center"/>
            <w:hideMark/>
          </w:tcPr>
          <w:p w14:paraId="7AE54B67"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Ligating Items - High </w:t>
            </w:r>
            <w:r>
              <w:rPr>
                <w:rFonts w:eastAsia="Times New Roman" w:cs="Arial"/>
                <w:color w:val="000000"/>
                <w:sz w:val="18"/>
                <w:szCs w:val="18"/>
                <w:lang w:val="en-AU" w:eastAsia="en-AU"/>
              </w:rPr>
              <w:t>MDC Grouping</w:t>
            </w:r>
          </w:p>
        </w:tc>
        <w:tc>
          <w:tcPr>
            <w:tcW w:w="1457" w:type="dxa"/>
            <w:shd w:val="clear" w:color="auto" w:fill="auto"/>
            <w:vAlign w:val="center"/>
          </w:tcPr>
          <w:p w14:paraId="68CCD655" w14:textId="2BB03D3F"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$174.19</w:t>
            </w:r>
          </w:p>
        </w:tc>
      </w:tr>
      <w:tr w:rsidR="00EE1EF4" w:rsidRPr="006832C4" w14:paraId="41735355" w14:textId="77777777" w:rsidTr="00EE1EF4">
        <w:trPr>
          <w:cantSplit/>
          <w:trHeight w:val="240"/>
        </w:trPr>
        <w:tc>
          <w:tcPr>
            <w:tcW w:w="2122" w:type="dxa"/>
            <w:vMerge/>
            <w:vAlign w:val="center"/>
            <w:hideMark/>
          </w:tcPr>
          <w:p w14:paraId="718ECEB4"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0E9CCE79"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A53C3</w:t>
            </w:r>
          </w:p>
        </w:tc>
        <w:tc>
          <w:tcPr>
            <w:tcW w:w="5189" w:type="dxa"/>
            <w:tcBorders>
              <w:left w:val="nil"/>
            </w:tcBorders>
            <w:shd w:val="clear" w:color="auto" w:fill="auto"/>
            <w:noWrap/>
            <w:vAlign w:val="center"/>
            <w:hideMark/>
          </w:tcPr>
          <w:p w14:paraId="30A9ADD5"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Ligating Items - Moderate </w:t>
            </w:r>
            <w:r>
              <w:rPr>
                <w:rFonts w:eastAsia="Times New Roman" w:cs="Arial"/>
                <w:color w:val="000000"/>
                <w:sz w:val="18"/>
                <w:szCs w:val="18"/>
                <w:lang w:val="en-AU" w:eastAsia="en-AU"/>
              </w:rPr>
              <w:t>MDC Grouping</w:t>
            </w:r>
          </w:p>
        </w:tc>
        <w:tc>
          <w:tcPr>
            <w:tcW w:w="1457" w:type="dxa"/>
            <w:shd w:val="clear" w:color="auto" w:fill="auto"/>
            <w:vAlign w:val="center"/>
          </w:tcPr>
          <w:p w14:paraId="2A3B5687" w14:textId="232A5130"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$129.55</w:t>
            </w:r>
          </w:p>
        </w:tc>
      </w:tr>
      <w:tr w:rsidR="00EE1EF4" w:rsidRPr="006832C4" w14:paraId="0223AC41" w14:textId="77777777" w:rsidTr="00EE1EF4">
        <w:trPr>
          <w:cantSplit/>
          <w:trHeight w:val="240"/>
        </w:trPr>
        <w:tc>
          <w:tcPr>
            <w:tcW w:w="2122" w:type="dxa"/>
            <w:vMerge/>
            <w:vAlign w:val="center"/>
            <w:hideMark/>
          </w:tcPr>
          <w:p w14:paraId="0050B900"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33D5F5AA"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A53C4</w:t>
            </w:r>
          </w:p>
        </w:tc>
        <w:tc>
          <w:tcPr>
            <w:tcW w:w="5189" w:type="dxa"/>
            <w:tcBorders>
              <w:left w:val="nil"/>
            </w:tcBorders>
            <w:shd w:val="clear" w:color="auto" w:fill="auto"/>
            <w:noWrap/>
            <w:vAlign w:val="center"/>
            <w:hideMark/>
          </w:tcPr>
          <w:p w14:paraId="323E4B3C"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Ligating Items - Low </w:t>
            </w:r>
            <w:r>
              <w:rPr>
                <w:rFonts w:eastAsia="Times New Roman" w:cs="Arial"/>
                <w:color w:val="000000"/>
                <w:sz w:val="18"/>
                <w:szCs w:val="18"/>
                <w:lang w:val="en-AU" w:eastAsia="en-AU"/>
              </w:rPr>
              <w:t>MDC Grouping</w:t>
            </w:r>
          </w:p>
        </w:tc>
        <w:tc>
          <w:tcPr>
            <w:tcW w:w="1457" w:type="dxa"/>
            <w:shd w:val="clear" w:color="auto" w:fill="auto"/>
            <w:vAlign w:val="center"/>
          </w:tcPr>
          <w:p w14:paraId="122720D8" w14:textId="297953DD"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$78.17</w:t>
            </w:r>
          </w:p>
        </w:tc>
      </w:tr>
      <w:tr w:rsidR="00EE1EF4" w:rsidRPr="006832C4" w14:paraId="16F92B64" w14:textId="77777777" w:rsidTr="00EE1EF4">
        <w:trPr>
          <w:cantSplit/>
          <w:trHeight w:val="240"/>
        </w:trPr>
        <w:tc>
          <w:tcPr>
            <w:tcW w:w="2122" w:type="dxa"/>
            <w:vMerge w:val="restart"/>
            <w:shd w:val="clear" w:color="auto" w:fill="auto"/>
            <w:vAlign w:val="center"/>
            <w:hideMark/>
          </w:tcPr>
          <w:p w14:paraId="3AB82D13"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A54</w:t>
            </w:r>
          </w:p>
          <w:p w14:paraId="2D93EC6B" w14:textId="21BBBFC2"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Staples and Tackers</w:t>
            </w:r>
          </w:p>
        </w:tc>
        <w:tc>
          <w:tcPr>
            <w:tcW w:w="268" w:type="dxa"/>
            <w:tcBorders>
              <w:right w:val="nil"/>
            </w:tcBorders>
            <w:shd w:val="clear" w:color="auto" w:fill="auto"/>
            <w:noWrap/>
            <w:vAlign w:val="center"/>
            <w:hideMark/>
          </w:tcPr>
          <w:p w14:paraId="1EE17E32"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A54C1</w:t>
            </w:r>
          </w:p>
        </w:tc>
        <w:tc>
          <w:tcPr>
            <w:tcW w:w="5189" w:type="dxa"/>
            <w:tcBorders>
              <w:left w:val="nil"/>
            </w:tcBorders>
            <w:shd w:val="clear" w:color="auto" w:fill="auto"/>
            <w:noWrap/>
            <w:vAlign w:val="center"/>
            <w:hideMark/>
          </w:tcPr>
          <w:p w14:paraId="4BB30CEB"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Staples and Tackers - Very High </w:t>
            </w:r>
            <w:r>
              <w:rPr>
                <w:rFonts w:eastAsia="Times New Roman" w:cs="Arial"/>
                <w:color w:val="000000"/>
                <w:sz w:val="18"/>
                <w:szCs w:val="18"/>
                <w:lang w:val="en-AU" w:eastAsia="en-AU"/>
              </w:rPr>
              <w:t>MDC Grouping</w:t>
            </w:r>
          </w:p>
        </w:tc>
        <w:tc>
          <w:tcPr>
            <w:tcW w:w="1457" w:type="dxa"/>
            <w:shd w:val="clear" w:color="auto" w:fill="auto"/>
            <w:vAlign w:val="center"/>
          </w:tcPr>
          <w:p w14:paraId="33A68997" w14:textId="2E930C52"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$2,893.42</w:t>
            </w:r>
          </w:p>
        </w:tc>
      </w:tr>
      <w:tr w:rsidR="00EE1EF4" w:rsidRPr="006832C4" w14:paraId="1906172E" w14:textId="77777777" w:rsidTr="00EE1EF4">
        <w:trPr>
          <w:cantSplit/>
          <w:trHeight w:val="240"/>
        </w:trPr>
        <w:tc>
          <w:tcPr>
            <w:tcW w:w="2122" w:type="dxa"/>
            <w:vMerge/>
            <w:vAlign w:val="center"/>
            <w:hideMark/>
          </w:tcPr>
          <w:p w14:paraId="70026461"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26D1E144"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A54C2</w:t>
            </w:r>
          </w:p>
        </w:tc>
        <w:tc>
          <w:tcPr>
            <w:tcW w:w="5189" w:type="dxa"/>
            <w:tcBorders>
              <w:left w:val="nil"/>
            </w:tcBorders>
            <w:shd w:val="clear" w:color="auto" w:fill="auto"/>
            <w:noWrap/>
            <w:vAlign w:val="center"/>
            <w:hideMark/>
          </w:tcPr>
          <w:p w14:paraId="5CBBA347"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Staples and Tackers - High </w:t>
            </w:r>
            <w:r>
              <w:rPr>
                <w:rFonts w:eastAsia="Times New Roman" w:cs="Arial"/>
                <w:color w:val="000000"/>
                <w:sz w:val="18"/>
                <w:szCs w:val="18"/>
                <w:lang w:val="en-AU" w:eastAsia="en-AU"/>
              </w:rPr>
              <w:t>MDC Grouping</w:t>
            </w:r>
          </w:p>
        </w:tc>
        <w:tc>
          <w:tcPr>
            <w:tcW w:w="1457" w:type="dxa"/>
            <w:shd w:val="clear" w:color="auto" w:fill="auto"/>
            <w:vAlign w:val="center"/>
          </w:tcPr>
          <w:p w14:paraId="622AA4EE" w14:textId="5A4C60C2"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$2,247.30</w:t>
            </w:r>
          </w:p>
        </w:tc>
      </w:tr>
      <w:tr w:rsidR="00EE1EF4" w:rsidRPr="006832C4" w14:paraId="56F3B572" w14:textId="77777777" w:rsidTr="00EE1EF4">
        <w:trPr>
          <w:cantSplit/>
          <w:trHeight w:val="480"/>
        </w:trPr>
        <w:tc>
          <w:tcPr>
            <w:tcW w:w="2122" w:type="dxa"/>
            <w:vMerge/>
            <w:vAlign w:val="center"/>
            <w:hideMark/>
          </w:tcPr>
          <w:p w14:paraId="19B3F596"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27E145F9"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A54C3</w:t>
            </w:r>
          </w:p>
        </w:tc>
        <w:tc>
          <w:tcPr>
            <w:tcW w:w="5189" w:type="dxa"/>
            <w:tcBorders>
              <w:left w:val="nil"/>
            </w:tcBorders>
            <w:shd w:val="clear" w:color="auto" w:fill="auto"/>
            <w:noWrap/>
            <w:vAlign w:val="center"/>
            <w:hideMark/>
          </w:tcPr>
          <w:p w14:paraId="08462A11"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Staples and Tackers - Moderate </w:t>
            </w:r>
            <w:r>
              <w:rPr>
                <w:rFonts w:eastAsia="Times New Roman" w:cs="Arial"/>
                <w:color w:val="000000"/>
                <w:sz w:val="18"/>
                <w:szCs w:val="18"/>
                <w:lang w:val="en-AU" w:eastAsia="en-AU"/>
              </w:rPr>
              <w:t>MDC Grouping</w:t>
            </w:r>
          </w:p>
        </w:tc>
        <w:tc>
          <w:tcPr>
            <w:tcW w:w="1457" w:type="dxa"/>
            <w:shd w:val="clear" w:color="auto" w:fill="auto"/>
            <w:vAlign w:val="center"/>
          </w:tcPr>
          <w:p w14:paraId="553114B1" w14:textId="3F28CA71"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$1,329.81</w:t>
            </w:r>
          </w:p>
        </w:tc>
      </w:tr>
      <w:tr w:rsidR="00EE1EF4" w:rsidRPr="006832C4" w14:paraId="2568B371" w14:textId="77777777" w:rsidTr="00EE1EF4">
        <w:trPr>
          <w:cantSplit/>
          <w:trHeight w:val="240"/>
        </w:trPr>
        <w:tc>
          <w:tcPr>
            <w:tcW w:w="2122" w:type="dxa"/>
            <w:vMerge/>
            <w:vAlign w:val="center"/>
            <w:hideMark/>
          </w:tcPr>
          <w:p w14:paraId="5E84CCE0"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27B48DE2"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A54C4</w:t>
            </w:r>
          </w:p>
        </w:tc>
        <w:tc>
          <w:tcPr>
            <w:tcW w:w="5189" w:type="dxa"/>
            <w:tcBorders>
              <w:left w:val="nil"/>
            </w:tcBorders>
            <w:shd w:val="clear" w:color="auto" w:fill="auto"/>
            <w:noWrap/>
            <w:vAlign w:val="center"/>
            <w:hideMark/>
          </w:tcPr>
          <w:p w14:paraId="54B3EF24" w14:textId="6FECA525"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Staples and Tackers - Low </w:t>
            </w:r>
            <w:r>
              <w:rPr>
                <w:rFonts w:eastAsia="Times New Roman" w:cs="Arial"/>
                <w:color w:val="000000"/>
                <w:sz w:val="18"/>
                <w:szCs w:val="18"/>
                <w:lang w:val="en-AU" w:eastAsia="en-AU"/>
              </w:rPr>
              <w:t>MDC Grouping</w:t>
            </w:r>
          </w:p>
        </w:tc>
        <w:tc>
          <w:tcPr>
            <w:tcW w:w="1457" w:type="dxa"/>
            <w:shd w:val="clear" w:color="auto" w:fill="auto"/>
            <w:vAlign w:val="center"/>
          </w:tcPr>
          <w:p w14:paraId="5233B9B8" w14:textId="1AEB3455"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$878.62</w:t>
            </w:r>
          </w:p>
        </w:tc>
      </w:tr>
      <w:tr w:rsidR="00EE1EF4" w:rsidRPr="006832C4" w14:paraId="3C89E6F1" w14:textId="77777777" w:rsidTr="00EE1EF4">
        <w:trPr>
          <w:cantSplit/>
          <w:trHeight w:val="240"/>
        </w:trPr>
        <w:tc>
          <w:tcPr>
            <w:tcW w:w="2122" w:type="dxa"/>
            <w:vMerge/>
            <w:vAlign w:val="center"/>
            <w:hideMark/>
          </w:tcPr>
          <w:p w14:paraId="3CB8C999"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181ABA5E"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A54C5</w:t>
            </w:r>
          </w:p>
        </w:tc>
        <w:tc>
          <w:tcPr>
            <w:tcW w:w="5189" w:type="dxa"/>
            <w:tcBorders>
              <w:left w:val="nil"/>
            </w:tcBorders>
            <w:shd w:val="clear" w:color="auto" w:fill="auto"/>
            <w:noWrap/>
            <w:vAlign w:val="center"/>
            <w:hideMark/>
          </w:tcPr>
          <w:p w14:paraId="546C5C13"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Staples and Tackers - Very Low </w:t>
            </w:r>
            <w:r>
              <w:rPr>
                <w:rFonts w:eastAsia="Times New Roman" w:cs="Arial"/>
                <w:color w:val="000000"/>
                <w:sz w:val="18"/>
                <w:szCs w:val="18"/>
                <w:lang w:val="en-AU" w:eastAsia="en-AU"/>
              </w:rPr>
              <w:t>MDC Grouping</w:t>
            </w:r>
          </w:p>
        </w:tc>
        <w:tc>
          <w:tcPr>
            <w:tcW w:w="1457" w:type="dxa"/>
            <w:shd w:val="clear" w:color="auto" w:fill="auto"/>
            <w:vAlign w:val="center"/>
          </w:tcPr>
          <w:p w14:paraId="309418D8" w14:textId="4C436E34"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$398.75</w:t>
            </w:r>
          </w:p>
        </w:tc>
      </w:tr>
      <w:tr w:rsidR="00EE1EF4" w:rsidRPr="006832C4" w14:paraId="5C7A9C65" w14:textId="77777777" w:rsidTr="00EE1EF4">
        <w:trPr>
          <w:cantSplit/>
          <w:trHeight w:val="240"/>
        </w:trPr>
        <w:tc>
          <w:tcPr>
            <w:tcW w:w="2122" w:type="dxa"/>
            <w:vMerge w:val="restart"/>
            <w:shd w:val="clear" w:color="auto" w:fill="auto"/>
            <w:vAlign w:val="center"/>
            <w:hideMark/>
          </w:tcPr>
          <w:p w14:paraId="4245E385"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A55</w:t>
            </w:r>
          </w:p>
          <w:p w14:paraId="116D888A" w14:textId="69D59870"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Dura Repair, Liquid Sealants</w:t>
            </w:r>
          </w:p>
        </w:tc>
        <w:tc>
          <w:tcPr>
            <w:tcW w:w="268" w:type="dxa"/>
            <w:tcBorders>
              <w:right w:val="nil"/>
            </w:tcBorders>
            <w:shd w:val="clear" w:color="auto" w:fill="auto"/>
            <w:noWrap/>
            <w:vAlign w:val="center"/>
            <w:hideMark/>
          </w:tcPr>
          <w:p w14:paraId="321BD992"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A55C1</w:t>
            </w:r>
          </w:p>
        </w:tc>
        <w:tc>
          <w:tcPr>
            <w:tcW w:w="5189" w:type="dxa"/>
            <w:tcBorders>
              <w:left w:val="nil"/>
            </w:tcBorders>
            <w:shd w:val="clear" w:color="auto" w:fill="auto"/>
            <w:noWrap/>
            <w:vAlign w:val="center"/>
            <w:hideMark/>
          </w:tcPr>
          <w:p w14:paraId="71767BCB"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Dura Repair, Liquid Sealants - High </w:t>
            </w:r>
            <w:r>
              <w:rPr>
                <w:rFonts w:eastAsia="Times New Roman" w:cs="Arial"/>
                <w:color w:val="000000"/>
                <w:sz w:val="18"/>
                <w:szCs w:val="18"/>
                <w:lang w:val="en-AU" w:eastAsia="en-AU"/>
              </w:rPr>
              <w:t>MDC Grouping</w:t>
            </w:r>
          </w:p>
        </w:tc>
        <w:tc>
          <w:tcPr>
            <w:tcW w:w="1457" w:type="dxa"/>
            <w:shd w:val="clear" w:color="auto" w:fill="auto"/>
            <w:vAlign w:val="center"/>
          </w:tcPr>
          <w:p w14:paraId="404CC6FD" w14:textId="51E7AC1D"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$831.46</w:t>
            </w:r>
          </w:p>
        </w:tc>
      </w:tr>
      <w:tr w:rsidR="00EE1EF4" w:rsidRPr="006832C4" w14:paraId="36E077FA" w14:textId="77777777" w:rsidTr="00EE1EF4">
        <w:trPr>
          <w:cantSplit/>
          <w:trHeight w:val="480"/>
        </w:trPr>
        <w:tc>
          <w:tcPr>
            <w:tcW w:w="2122" w:type="dxa"/>
            <w:vMerge/>
            <w:vAlign w:val="center"/>
            <w:hideMark/>
          </w:tcPr>
          <w:p w14:paraId="66CEA947"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2140F9C9"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A55C2</w:t>
            </w:r>
          </w:p>
        </w:tc>
        <w:tc>
          <w:tcPr>
            <w:tcW w:w="5189" w:type="dxa"/>
            <w:tcBorders>
              <w:left w:val="nil"/>
            </w:tcBorders>
            <w:shd w:val="clear" w:color="auto" w:fill="auto"/>
            <w:noWrap/>
            <w:vAlign w:val="center"/>
            <w:hideMark/>
          </w:tcPr>
          <w:p w14:paraId="54BB6A90"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Dura Repair, Liquid Sealants - Moderate </w:t>
            </w:r>
            <w:r>
              <w:rPr>
                <w:rFonts w:eastAsia="Times New Roman" w:cs="Arial"/>
                <w:color w:val="000000"/>
                <w:sz w:val="18"/>
                <w:szCs w:val="18"/>
                <w:lang w:val="en-AU" w:eastAsia="en-AU"/>
              </w:rPr>
              <w:t>MDC Grouping</w:t>
            </w:r>
          </w:p>
        </w:tc>
        <w:tc>
          <w:tcPr>
            <w:tcW w:w="1457" w:type="dxa"/>
            <w:shd w:val="clear" w:color="auto" w:fill="auto"/>
            <w:vAlign w:val="center"/>
          </w:tcPr>
          <w:p w14:paraId="0C23076C" w14:textId="3FC2AB9A"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$688.25</w:t>
            </w:r>
          </w:p>
        </w:tc>
      </w:tr>
      <w:tr w:rsidR="00EE1EF4" w:rsidRPr="006832C4" w14:paraId="468A742E" w14:textId="77777777" w:rsidTr="00EE1EF4">
        <w:trPr>
          <w:cantSplit/>
          <w:trHeight w:val="240"/>
        </w:trPr>
        <w:tc>
          <w:tcPr>
            <w:tcW w:w="2122" w:type="dxa"/>
            <w:vMerge/>
            <w:vAlign w:val="center"/>
            <w:hideMark/>
          </w:tcPr>
          <w:p w14:paraId="5C677F12"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0982B9CC"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A55C3</w:t>
            </w:r>
          </w:p>
        </w:tc>
        <w:tc>
          <w:tcPr>
            <w:tcW w:w="5189" w:type="dxa"/>
            <w:tcBorders>
              <w:left w:val="nil"/>
            </w:tcBorders>
            <w:shd w:val="clear" w:color="auto" w:fill="auto"/>
            <w:noWrap/>
            <w:vAlign w:val="center"/>
            <w:hideMark/>
          </w:tcPr>
          <w:p w14:paraId="771E7BEE"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Dura Repair, Liquid Sealants - Low </w:t>
            </w:r>
            <w:r>
              <w:rPr>
                <w:rFonts w:eastAsia="Times New Roman" w:cs="Arial"/>
                <w:color w:val="000000"/>
                <w:sz w:val="18"/>
                <w:szCs w:val="18"/>
                <w:lang w:val="en-AU" w:eastAsia="en-AU"/>
              </w:rPr>
              <w:t>MDC Grouping</w:t>
            </w:r>
          </w:p>
        </w:tc>
        <w:tc>
          <w:tcPr>
            <w:tcW w:w="1457" w:type="dxa"/>
            <w:shd w:val="clear" w:color="auto" w:fill="auto"/>
            <w:vAlign w:val="center"/>
          </w:tcPr>
          <w:p w14:paraId="0220FCAF" w14:textId="2A3E0F55"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$617.69</w:t>
            </w:r>
          </w:p>
        </w:tc>
      </w:tr>
      <w:tr w:rsidR="00EE1EF4" w:rsidRPr="006832C4" w14:paraId="0414C6A2" w14:textId="77777777" w:rsidTr="00EE1EF4">
        <w:trPr>
          <w:cantSplit/>
          <w:trHeight w:val="720"/>
        </w:trPr>
        <w:tc>
          <w:tcPr>
            <w:tcW w:w="2122" w:type="dxa"/>
            <w:shd w:val="clear" w:color="auto" w:fill="auto"/>
            <w:vAlign w:val="center"/>
            <w:hideMark/>
          </w:tcPr>
          <w:p w14:paraId="314E9092"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A56</w:t>
            </w:r>
          </w:p>
          <w:p w14:paraId="4897E1CE" w14:textId="4FBD6EC0"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Dura Repair, Membrane Sealants</w:t>
            </w:r>
          </w:p>
        </w:tc>
        <w:tc>
          <w:tcPr>
            <w:tcW w:w="268" w:type="dxa"/>
            <w:tcBorders>
              <w:right w:val="nil"/>
            </w:tcBorders>
            <w:shd w:val="clear" w:color="auto" w:fill="auto"/>
            <w:noWrap/>
            <w:vAlign w:val="center"/>
            <w:hideMark/>
          </w:tcPr>
          <w:p w14:paraId="05BE6532"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A56C1</w:t>
            </w:r>
          </w:p>
        </w:tc>
        <w:tc>
          <w:tcPr>
            <w:tcW w:w="5189" w:type="dxa"/>
            <w:tcBorders>
              <w:left w:val="nil"/>
            </w:tcBorders>
            <w:shd w:val="clear" w:color="auto" w:fill="auto"/>
            <w:noWrap/>
            <w:vAlign w:val="center"/>
            <w:hideMark/>
          </w:tcPr>
          <w:p w14:paraId="743CDBF8"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Dura Repair, Membrane Sealants - No </w:t>
            </w:r>
            <w:r>
              <w:rPr>
                <w:rFonts w:eastAsia="Times New Roman" w:cs="Arial"/>
                <w:color w:val="000000"/>
                <w:sz w:val="18"/>
                <w:szCs w:val="18"/>
                <w:lang w:val="en-AU" w:eastAsia="en-AU"/>
              </w:rPr>
              <w:t>MDC Grouping</w:t>
            </w:r>
          </w:p>
        </w:tc>
        <w:tc>
          <w:tcPr>
            <w:tcW w:w="1457" w:type="dxa"/>
            <w:shd w:val="clear" w:color="auto" w:fill="auto"/>
            <w:vAlign w:val="center"/>
          </w:tcPr>
          <w:p w14:paraId="02D6C373" w14:textId="29DF084C"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$378.50</w:t>
            </w:r>
          </w:p>
        </w:tc>
      </w:tr>
      <w:tr w:rsidR="00EE1EF4" w:rsidRPr="006832C4" w14:paraId="3FB6DFB2" w14:textId="77777777" w:rsidTr="00EE1EF4">
        <w:trPr>
          <w:cantSplit/>
          <w:trHeight w:val="240"/>
        </w:trPr>
        <w:tc>
          <w:tcPr>
            <w:tcW w:w="2122" w:type="dxa"/>
            <w:vMerge w:val="restart"/>
            <w:shd w:val="clear" w:color="auto" w:fill="auto"/>
            <w:vAlign w:val="center"/>
            <w:hideMark/>
          </w:tcPr>
          <w:p w14:paraId="341021F7"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A57</w:t>
            </w:r>
          </w:p>
          <w:p w14:paraId="2C14DCA4" w14:textId="4333C4C2"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Arterial Closure Items</w:t>
            </w:r>
          </w:p>
        </w:tc>
        <w:tc>
          <w:tcPr>
            <w:tcW w:w="268" w:type="dxa"/>
            <w:tcBorders>
              <w:right w:val="nil"/>
            </w:tcBorders>
            <w:shd w:val="clear" w:color="auto" w:fill="auto"/>
            <w:noWrap/>
            <w:vAlign w:val="center"/>
            <w:hideMark/>
          </w:tcPr>
          <w:p w14:paraId="37615B5B"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A57C1</w:t>
            </w:r>
          </w:p>
        </w:tc>
        <w:tc>
          <w:tcPr>
            <w:tcW w:w="5189" w:type="dxa"/>
            <w:tcBorders>
              <w:left w:val="nil"/>
            </w:tcBorders>
            <w:shd w:val="clear" w:color="auto" w:fill="auto"/>
            <w:noWrap/>
            <w:vAlign w:val="center"/>
            <w:hideMark/>
          </w:tcPr>
          <w:p w14:paraId="2CFA9035"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Arterial Closure Items - High </w:t>
            </w:r>
            <w:r>
              <w:rPr>
                <w:rFonts w:eastAsia="Times New Roman" w:cs="Arial"/>
                <w:color w:val="000000"/>
                <w:sz w:val="18"/>
                <w:szCs w:val="18"/>
                <w:lang w:val="en-AU" w:eastAsia="en-AU"/>
              </w:rPr>
              <w:t>MDC Grouping</w:t>
            </w:r>
          </w:p>
        </w:tc>
        <w:tc>
          <w:tcPr>
            <w:tcW w:w="1457" w:type="dxa"/>
            <w:shd w:val="clear" w:color="auto" w:fill="auto"/>
            <w:vAlign w:val="center"/>
          </w:tcPr>
          <w:p w14:paraId="43416B1C" w14:textId="6C4E0BF8"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$423.76</w:t>
            </w:r>
          </w:p>
        </w:tc>
      </w:tr>
      <w:tr w:rsidR="00EE1EF4" w:rsidRPr="006832C4" w14:paraId="66F4144A" w14:textId="77777777" w:rsidTr="00EE1EF4">
        <w:trPr>
          <w:cantSplit/>
          <w:trHeight w:val="480"/>
        </w:trPr>
        <w:tc>
          <w:tcPr>
            <w:tcW w:w="2122" w:type="dxa"/>
            <w:vMerge/>
            <w:vAlign w:val="center"/>
            <w:hideMark/>
          </w:tcPr>
          <w:p w14:paraId="65B0974A"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42A8D3BD"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A57C2</w:t>
            </w:r>
          </w:p>
        </w:tc>
        <w:tc>
          <w:tcPr>
            <w:tcW w:w="5189" w:type="dxa"/>
            <w:tcBorders>
              <w:left w:val="nil"/>
            </w:tcBorders>
            <w:shd w:val="clear" w:color="auto" w:fill="auto"/>
            <w:noWrap/>
            <w:vAlign w:val="center"/>
            <w:hideMark/>
          </w:tcPr>
          <w:p w14:paraId="61CFDC0A"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Arterial Closure Items - Moderate </w:t>
            </w:r>
            <w:r>
              <w:rPr>
                <w:rFonts w:eastAsia="Times New Roman" w:cs="Arial"/>
                <w:color w:val="000000"/>
                <w:sz w:val="18"/>
                <w:szCs w:val="18"/>
                <w:lang w:val="en-AU" w:eastAsia="en-AU"/>
              </w:rPr>
              <w:t>MDC Grouping</w:t>
            </w:r>
          </w:p>
        </w:tc>
        <w:tc>
          <w:tcPr>
            <w:tcW w:w="1457" w:type="dxa"/>
            <w:shd w:val="clear" w:color="auto" w:fill="auto"/>
            <w:vAlign w:val="center"/>
          </w:tcPr>
          <w:p w14:paraId="790243E8" w14:textId="092E2A6C"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$338.03</w:t>
            </w:r>
          </w:p>
        </w:tc>
      </w:tr>
      <w:tr w:rsidR="00EE1EF4" w:rsidRPr="006832C4" w14:paraId="364F1553" w14:textId="77777777" w:rsidTr="00EE1EF4">
        <w:trPr>
          <w:cantSplit/>
          <w:trHeight w:val="240"/>
        </w:trPr>
        <w:tc>
          <w:tcPr>
            <w:tcW w:w="2122" w:type="dxa"/>
            <w:vMerge/>
            <w:vAlign w:val="center"/>
            <w:hideMark/>
          </w:tcPr>
          <w:p w14:paraId="3CBB4236" w14:textId="77777777" w:rsidR="00EE1EF4" w:rsidRPr="006832C4" w:rsidRDefault="00EE1EF4" w:rsidP="00EE1EF4">
            <w:pPr>
              <w:spacing w:before="120" w:after="120"/>
              <w:jc w:val="center"/>
              <w:rPr>
                <w:rFonts w:eastAsia="Times New Roman" w:cs="Arial"/>
                <w:color w:val="000000"/>
                <w:sz w:val="18"/>
                <w:szCs w:val="18"/>
                <w:lang w:val="en-AU" w:eastAsia="en-AU"/>
              </w:rPr>
            </w:pPr>
          </w:p>
        </w:tc>
        <w:tc>
          <w:tcPr>
            <w:tcW w:w="268" w:type="dxa"/>
            <w:tcBorders>
              <w:right w:val="nil"/>
            </w:tcBorders>
            <w:shd w:val="clear" w:color="auto" w:fill="auto"/>
            <w:noWrap/>
            <w:vAlign w:val="center"/>
            <w:hideMark/>
          </w:tcPr>
          <w:p w14:paraId="76E7D799"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A57C3</w:t>
            </w:r>
          </w:p>
        </w:tc>
        <w:tc>
          <w:tcPr>
            <w:tcW w:w="5189" w:type="dxa"/>
            <w:tcBorders>
              <w:left w:val="nil"/>
            </w:tcBorders>
            <w:shd w:val="clear" w:color="auto" w:fill="auto"/>
            <w:noWrap/>
            <w:vAlign w:val="center"/>
            <w:hideMark/>
          </w:tcPr>
          <w:p w14:paraId="3746FB73"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Arterial Closure Items - Low </w:t>
            </w:r>
            <w:r>
              <w:rPr>
                <w:rFonts w:eastAsia="Times New Roman" w:cs="Arial"/>
                <w:color w:val="000000"/>
                <w:sz w:val="18"/>
                <w:szCs w:val="18"/>
                <w:lang w:val="en-AU" w:eastAsia="en-AU"/>
              </w:rPr>
              <w:t>MDC Grouping</w:t>
            </w:r>
          </w:p>
        </w:tc>
        <w:tc>
          <w:tcPr>
            <w:tcW w:w="1457" w:type="dxa"/>
            <w:shd w:val="clear" w:color="auto" w:fill="auto"/>
            <w:vAlign w:val="center"/>
          </w:tcPr>
          <w:p w14:paraId="7C1B1705" w14:textId="4B1E387E"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$307.15</w:t>
            </w:r>
          </w:p>
        </w:tc>
      </w:tr>
      <w:tr w:rsidR="00EE1EF4" w:rsidRPr="006832C4" w14:paraId="0356F2E8" w14:textId="77777777" w:rsidTr="00EE1EF4">
        <w:trPr>
          <w:cantSplit/>
          <w:trHeight w:val="720"/>
        </w:trPr>
        <w:tc>
          <w:tcPr>
            <w:tcW w:w="2122" w:type="dxa"/>
            <w:shd w:val="clear" w:color="auto" w:fill="auto"/>
            <w:vAlign w:val="center"/>
            <w:hideMark/>
          </w:tcPr>
          <w:p w14:paraId="2B0F09A5" w14:textId="77777777" w:rsidR="00EE1EF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A59</w:t>
            </w:r>
          </w:p>
          <w:p w14:paraId="12F1EA65" w14:textId="49D5D311" w:rsidR="00EE1EF4" w:rsidRPr="006832C4" w:rsidRDefault="00EE1EF4" w:rsidP="00EE1EF4">
            <w:pPr>
              <w:spacing w:before="120" w:after="120"/>
              <w:jc w:val="center"/>
              <w:rPr>
                <w:rFonts w:eastAsia="Times New Roman" w:cs="Arial"/>
                <w:color w:val="000000"/>
                <w:sz w:val="18"/>
                <w:szCs w:val="18"/>
                <w:lang w:val="en-AU" w:eastAsia="en-AU"/>
              </w:rPr>
            </w:pPr>
            <w:r w:rsidRPr="006832C4">
              <w:rPr>
                <w:rFonts w:eastAsia="Times New Roman" w:cs="Arial"/>
                <w:color w:val="000000"/>
                <w:sz w:val="18"/>
                <w:szCs w:val="18"/>
                <w:lang w:val="en-AU" w:eastAsia="en-AU"/>
              </w:rPr>
              <w:t>Closure Accessories</w:t>
            </w:r>
          </w:p>
        </w:tc>
        <w:tc>
          <w:tcPr>
            <w:tcW w:w="268" w:type="dxa"/>
            <w:tcBorders>
              <w:right w:val="nil"/>
            </w:tcBorders>
            <w:shd w:val="clear" w:color="auto" w:fill="auto"/>
            <w:noWrap/>
            <w:vAlign w:val="center"/>
            <w:hideMark/>
          </w:tcPr>
          <w:p w14:paraId="65B9E4FA"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A59C1</w:t>
            </w:r>
          </w:p>
        </w:tc>
        <w:tc>
          <w:tcPr>
            <w:tcW w:w="5189" w:type="dxa"/>
            <w:tcBorders>
              <w:left w:val="nil"/>
            </w:tcBorders>
            <w:shd w:val="clear" w:color="auto" w:fill="auto"/>
            <w:noWrap/>
            <w:vAlign w:val="center"/>
            <w:hideMark/>
          </w:tcPr>
          <w:p w14:paraId="2792452E" w14:textId="77777777" w:rsidR="00EE1EF4" w:rsidRPr="006832C4" w:rsidRDefault="00EE1EF4" w:rsidP="00EE1EF4">
            <w:pPr>
              <w:spacing w:before="120" w:after="120"/>
              <w:rPr>
                <w:rFonts w:eastAsia="Times New Roman" w:cs="Arial"/>
                <w:color w:val="000000"/>
                <w:sz w:val="18"/>
                <w:szCs w:val="18"/>
                <w:lang w:val="en-AU" w:eastAsia="en-AU"/>
              </w:rPr>
            </w:pPr>
            <w:r w:rsidRPr="006832C4">
              <w:rPr>
                <w:rFonts w:eastAsia="Times New Roman" w:cs="Arial"/>
                <w:color w:val="000000"/>
                <w:sz w:val="18"/>
                <w:szCs w:val="18"/>
                <w:lang w:val="en-AU" w:eastAsia="en-AU"/>
              </w:rPr>
              <w:t xml:space="preserve">Closure Accessories - No </w:t>
            </w:r>
            <w:r>
              <w:rPr>
                <w:rFonts w:eastAsia="Times New Roman" w:cs="Arial"/>
                <w:color w:val="000000"/>
                <w:sz w:val="18"/>
                <w:szCs w:val="18"/>
                <w:lang w:val="en-AU" w:eastAsia="en-AU"/>
              </w:rPr>
              <w:t>MDC Grouping</w:t>
            </w:r>
          </w:p>
        </w:tc>
        <w:tc>
          <w:tcPr>
            <w:tcW w:w="1457" w:type="dxa"/>
            <w:shd w:val="clear" w:color="auto" w:fill="auto"/>
            <w:vAlign w:val="center"/>
          </w:tcPr>
          <w:p w14:paraId="671A9F1C" w14:textId="616A09A5" w:rsidR="00EE1EF4" w:rsidRPr="006832C4" w:rsidRDefault="00EE1EF4" w:rsidP="00EE1EF4">
            <w:pPr>
              <w:spacing w:before="120" w:after="120"/>
              <w:jc w:val="right"/>
              <w:rPr>
                <w:rFonts w:eastAsia="Times New Roman" w:cs="Arial"/>
                <w:color w:val="000000"/>
                <w:sz w:val="18"/>
                <w:szCs w:val="18"/>
                <w:lang w:val="en-AU" w:eastAsia="en-AU"/>
              </w:rPr>
            </w:pPr>
            <w:r>
              <w:rPr>
                <w:rFonts w:cs="Arial"/>
                <w:color w:val="000000"/>
                <w:sz w:val="18"/>
                <w:szCs w:val="18"/>
              </w:rPr>
              <w:t>$68.49</w:t>
            </w:r>
          </w:p>
        </w:tc>
      </w:tr>
    </w:tbl>
    <w:p w14:paraId="331C05C3" w14:textId="5515E879" w:rsidR="00070754" w:rsidRDefault="00070754" w:rsidP="008A5E4F"/>
    <w:p w14:paraId="44845F1C" w14:textId="77777777" w:rsidR="00070754" w:rsidRDefault="00070754" w:rsidP="008A5E4F"/>
    <w:p w14:paraId="0466863C" w14:textId="60034EFD" w:rsidR="008A5E4F" w:rsidRPr="008A5E4F" w:rsidRDefault="008A5E4F" w:rsidP="008A5E4F">
      <w:pPr>
        <w:sectPr w:rsidR="008A5E4F" w:rsidRPr="008A5E4F" w:rsidSect="00576672">
          <w:pgSz w:w="16838" w:h="11906" w:orient="landscape" w:code="9"/>
          <w:pgMar w:top="1077" w:right="1440" w:bottom="1077" w:left="1440" w:header="709" w:footer="709" w:gutter="0"/>
          <w:cols w:space="708"/>
          <w:docGrid w:linePitch="360"/>
        </w:sectPr>
      </w:pPr>
    </w:p>
    <w:p w14:paraId="61630680" w14:textId="5CD49584" w:rsidR="00191D9E" w:rsidRDefault="00191D9E" w:rsidP="003E26F7">
      <w:pPr>
        <w:spacing w:line="259" w:lineRule="auto"/>
      </w:pPr>
    </w:p>
    <w:p w14:paraId="27E72EA1" w14:textId="013CF955" w:rsidR="00191D9E" w:rsidRPr="003E26F7" w:rsidRDefault="00191D9E" w:rsidP="003E26F7">
      <w:pPr>
        <w:pStyle w:val="Heading1"/>
        <w:numPr>
          <w:ilvl w:val="0"/>
          <w:numId w:val="0"/>
        </w:numPr>
        <w:ind w:left="432"/>
        <w:rPr>
          <w:b w:val="0"/>
        </w:rPr>
      </w:pPr>
      <w:bookmarkStart w:id="83" w:name="_Ref119844328"/>
      <w:bookmarkStart w:id="84" w:name="_Toc121130811"/>
      <w:r>
        <w:t xml:space="preserve">Appendix </w:t>
      </w:r>
      <w:r w:rsidR="00576672">
        <w:t>B</w:t>
      </w:r>
      <w:r>
        <w:t xml:space="preserve"> – Feedback to the Consultation Paper</w:t>
      </w:r>
      <w:bookmarkEnd w:id="83"/>
      <w:bookmarkEnd w:id="84"/>
    </w:p>
    <w:p w14:paraId="1C5C6F4E" w14:textId="38B4CE64" w:rsidR="001D778B" w:rsidRPr="00C16C17" w:rsidRDefault="001D778B" w:rsidP="001D778B">
      <w:r>
        <w:t xml:space="preserve">This paper </w:t>
      </w:r>
      <w:proofErr w:type="spellStart"/>
      <w:r>
        <w:t>summarises</w:t>
      </w:r>
      <w:proofErr w:type="spellEnd"/>
      <w:r>
        <w:t xml:space="preserve"> stakeholder feedback provided to the </w:t>
      </w:r>
      <w:r w:rsidRPr="00C16C17">
        <w:t xml:space="preserve">Consultation Paper on Bundling Arrangements for </w:t>
      </w:r>
      <w:r>
        <w:t>General Use</w:t>
      </w:r>
      <w:r w:rsidRPr="00C16C17">
        <w:t xml:space="preserve"> Items</w:t>
      </w:r>
      <w:r w:rsidR="009B5B2C">
        <w:t xml:space="preserve"> (GUIs)</w:t>
      </w:r>
      <w:r w:rsidRPr="00C16C17">
        <w:t xml:space="preserve"> on the Prostheses List</w:t>
      </w:r>
      <w:r w:rsidR="009B5B2C">
        <w:t xml:space="preserve"> (PL)</w:t>
      </w:r>
      <w:r>
        <w:t>.</w:t>
      </w:r>
    </w:p>
    <w:p w14:paraId="2126B251" w14:textId="09CC2C8E" w:rsidR="001D778B" w:rsidRDefault="001D778B" w:rsidP="001D778B">
      <w:pPr>
        <w:pStyle w:val="TableFigureheading"/>
      </w:pPr>
      <w:r>
        <w:t xml:space="preserve">Table </w:t>
      </w:r>
      <w:fldSimple w:instr=" SEQ Table \* ARABIC ">
        <w:r w:rsidR="00106CD4">
          <w:rPr>
            <w:noProof/>
          </w:rPr>
          <w:t>10</w:t>
        </w:r>
      </w:fldSimple>
      <w:r>
        <w:t xml:space="preserve">: </w:t>
      </w:r>
      <w:r w:rsidR="004F15DB">
        <w:t>Stakeholders providing f</w:t>
      </w:r>
      <w:r>
        <w:t xml:space="preserve">eedback </w:t>
      </w:r>
      <w:r w:rsidR="004F15DB">
        <w:t>to the Consultation Paper</w:t>
      </w:r>
    </w:p>
    <w:tbl>
      <w:tblPr>
        <w:tblStyle w:val="IHPATable"/>
        <w:tblW w:w="4876" w:type="pct"/>
        <w:tblLook w:val="04A0" w:firstRow="1" w:lastRow="0" w:firstColumn="1" w:lastColumn="0" w:noHBand="0" w:noVBand="1"/>
        <w:tblDescription w:val="Table 10 has two colums showing a Stakeholder list against the stakeholder type. "/>
      </w:tblPr>
      <w:tblGrid>
        <w:gridCol w:w="7367"/>
        <w:gridCol w:w="6235"/>
      </w:tblGrid>
      <w:tr w:rsidR="004F15DB" w:rsidRPr="00BC05D1" w14:paraId="78CAC45E" w14:textId="77777777" w:rsidTr="004F15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vAlign w:val="center"/>
          </w:tcPr>
          <w:p w14:paraId="6493A2FE" w14:textId="77777777" w:rsidR="004F15DB" w:rsidRPr="00BC05D1" w:rsidRDefault="004F15DB" w:rsidP="00AD0FA5">
            <w:pPr>
              <w:spacing w:before="120" w:after="120"/>
              <w:jc w:val="center"/>
              <w:rPr>
                <w:rFonts w:cs="Arial"/>
                <w:b/>
                <w:bCs/>
                <w:color w:val="FFFFFF" w:themeColor="background2"/>
                <w:szCs w:val="18"/>
              </w:rPr>
            </w:pPr>
            <w:r w:rsidRPr="00BC05D1">
              <w:rPr>
                <w:rFonts w:cs="Arial"/>
                <w:b/>
                <w:bCs/>
                <w:color w:val="FFFFFF" w:themeColor="background2"/>
                <w:szCs w:val="18"/>
              </w:rPr>
              <w:t>Stakeholder</w:t>
            </w:r>
          </w:p>
        </w:tc>
        <w:tc>
          <w:tcPr>
            <w:tcW w:w="2292" w:type="pct"/>
            <w:tcBorders>
              <w:top w:val="single" w:sz="4" w:space="0" w:color="808080" w:themeColor="background2" w:themeShade="80"/>
              <w:left w:val="single" w:sz="4" w:space="0" w:color="FFFFFF" w:themeColor="background2"/>
              <w:bottom w:val="single" w:sz="4" w:space="0" w:color="808080" w:themeColor="background2" w:themeShade="80"/>
              <w:right w:val="single" w:sz="4" w:space="0" w:color="808080" w:themeColor="background2" w:themeShade="80"/>
            </w:tcBorders>
            <w:shd w:val="clear" w:color="auto" w:fill="104F99" w:themeFill="accent2"/>
            <w:vAlign w:val="center"/>
          </w:tcPr>
          <w:p w14:paraId="624E817F" w14:textId="77777777" w:rsidR="004F15DB" w:rsidRPr="00BC05D1" w:rsidRDefault="004F15DB" w:rsidP="00AD0FA5">
            <w:pPr>
              <w:spacing w:before="120" w:after="120"/>
              <w:jc w:val="center"/>
              <w:cnfStyle w:val="100000000000" w:firstRow="1" w:lastRow="0" w:firstColumn="0" w:lastColumn="0" w:oddVBand="0" w:evenVBand="0" w:oddHBand="0" w:evenHBand="0" w:firstRowFirstColumn="0" w:firstRowLastColumn="0" w:lastRowFirstColumn="0" w:lastRowLastColumn="0"/>
              <w:rPr>
                <w:rFonts w:cs="Arial"/>
                <w:b/>
                <w:bCs/>
                <w:color w:val="FFFFFF" w:themeColor="background2"/>
                <w:szCs w:val="18"/>
              </w:rPr>
            </w:pPr>
            <w:r w:rsidRPr="00BC05D1">
              <w:rPr>
                <w:rFonts w:cs="Arial"/>
                <w:b/>
                <w:bCs/>
                <w:color w:val="FFFFFF" w:themeColor="background2"/>
                <w:szCs w:val="18"/>
              </w:rPr>
              <w:t xml:space="preserve">Stakeholder type </w:t>
            </w:r>
            <w:r w:rsidRPr="00BC05D1">
              <w:rPr>
                <w:rFonts w:cs="Arial"/>
                <w:b/>
                <w:bCs/>
                <w:color w:val="FFFFFF" w:themeColor="background2"/>
                <w:szCs w:val="18"/>
              </w:rPr>
              <w:br/>
              <w:t>(Private hospital / device manufacturer / private insurer / Commonwealth government / state government / other)</w:t>
            </w:r>
          </w:p>
        </w:tc>
      </w:tr>
      <w:tr w:rsidR="004F15DB" w:rsidRPr="00BC05D1" w14:paraId="07B62632" w14:textId="77777777" w:rsidTr="004F1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E56D971" w14:textId="1D81542E" w:rsidR="004F15DB" w:rsidRPr="00BC05D1" w:rsidRDefault="004F15DB" w:rsidP="00AD0FA5">
            <w:pPr>
              <w:spacing w:before="120" w:after="120"/>
              <w:rPr>
                <w:rFonts w:cs="Arial"/>
                <w:sz w:val="18"/>
                <w:szCs w:val="18"/>
              </w:rPr>
            </w:pPr>
            <w:r w:rsidRPr="00BC05D1">
              <w:rPr>
                <w:rFonts w:cs="Arial"/>
                <w:color w:val="000000"/>
                <w:sz w:val="18"/>
                <w:szCs w:val="18"/>
              </w:rPr>
              <w:t>Australian Health Service Alliance / Members Health Funding Alliance</w:t>
            </w:r>
            <w:r w:rsidRPr="00BC05D1" w:rsidDel="00DF48FC">
              <w:rPr>
                <w:rFonts w:cs="Arial"/>
                <w:color w:val="000000"/>
                <w:sz w:val="18"/>
                <w:szCs w:val="18"/>
              </w:rPr>
              <w:t xml:space="preserve"> </w:t>
            </w:r>
            <w:r w:rsidRPr="00BC05D1">
              <w:rPr>
                <w:rFonts w:cs="Arial"/>
                <w:i/>
                <w:color w:val="000000"/>
                <w:sz w:val="18"/>
                <w:szCs w:val="18"/>
              </w:rPr>
              <w:t>(Joint submission)</w:t>
            </w:r>
          </w:p>
        </w:tc>
        <w:tc>
          <w:tcPr>
            <w:tcW w:w="229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DC48885" w14:textId="2BCD9FA3" w:rsidR="004F15DB" w:rsidRPr="00BC05D1" w:rsidRDefault="004F15DB" w:rsidP="00AD0FA5">
            <w:pPr>
              <w:spacing w:before="120" w:after="120"/>
              <w:cnfStyle w:val="000000100000" w:firstRow="0" w:lastRow="0" w:firstColumn="0" w:lastColumn="0" w:oddVBand="0" w:evenVBand="0" w:oddHBand="1" w:evenHBand="0" w:firstRowFirstColumn="0" w:firstRowLastColumn="0" w:lastRowFirstColumn="0" w:lastRowLastColumn="0"/>
              <w:rPr>
                <w:rFonts w:cs="Arial"/>
                <w:i/>
                <w:iCs/>
                <w:sz w:val="18"/>
                <w:szCs w:val="18"/>
              </w:rPr>
            </w:pPr>
            <w:r w:rsidRPr="00BC05D1">
              <w:rPr>
                <w:rFonts w:cs="Arial"/>
                <w:color w:val="000000"/>
                <w:sz w:val="18"/>
                <w:szCs w:val="18"/>
              </w:rPr>
              <w:t>Peak body (Private insurer) / Peak body (Private insurer)</w:t>
            </w:r>
          </w:p>
        </w:tc>
      </w:tr>
      <w:tr w:rsidR="004F15DB" w:rsidRPr="00BC05D1" w14:paraId="20E1D348" w14:textId="77777777" w:rsidTr="004F1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1E3F167" w14:textId="77777777" w:rsidR="004F15DB" w:rsidRPr="00BC05D1" w:rsidRDefault="004F15DB" w:rsidP="00AD0FA5">
            <w:pPr>
              <w:spacing w:before="120" w:after="120"/>
              <w:rPr>
                <w:rFonts w:cs="Arial"/>
                <w:sz w:val="18"/>
                <w:szCs w:val="18"/>
              </w:rPr>
            </w:pPr>
            <w:r w:rsidRPr="00BC05D1">
              <w:rPr>
                <w:rFonts w:cs="Arial"/>
                <w:color w:val="000000"/>
                <w:sz w:val="18"/>
                <w:szCs w:val="18"/>
              </w:rPr>
              <w:t>Australian Medical Association</w:t>
            </w:r>
          </w:p>
        </w:tc>
        <w:tc>
          <w:tcPr>
            <w:tcW w:w="229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CADC16A" w14:textId="77777777" w:rsidR="004F15DB" w:rsidRPr="00BC05D1" w:rsidRDefault="004F15DB" w:rsidP="00AD0FA5">
            <w:pPr>
              <w:spacing w:before="120" w:after="120"/>
              <w:cnfStyle w:val="000000010000" w:firstRow="0" w:lastRow="0" w:firstColumn="0" w:lastColumn="0" w:oddVBand="0" w:evenVBand="0" w:oddHBand="0" w:evenHBand="1" w:firstRowFirstColumn="0" w:firstRowLastColumn="0" w:lastRowFirstColumn="0" w:lastRowLastColumn="0"/>
              <w:rPr>
                <w:rFonts w:cs="Arial"/>
                <w:sz w:val="18"/>
                <w:szCs w:val="18"/>
              </w:rPr>
            </w:pPr>
            <w:r w:rsidRPr="00BC05D1">
              <w:rPr>
                <w:rFonts w:cs="Arial"/>
                <w:color w:val="000000"/>
                <w:sz w:val="18"/>
                <w:szCs w:val="18"/>
              </w:rPr>
              <w:t>Peak body (Clinicians)</w:t>
            </w:r>
          </w:p>
        </w:tc>
      </w:tr>
      <w:tr w:rsidR="004F15DB" w:rsidRPr="00BC05D1" w14:paraId="6DE56A78" w14:textId="77777777" w:rsidTr="004F1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273277B" w14:textId="77777777" w:rsidR="004F15DB" w:rsidRPr="00BC05D1" w:rsidRDefault="004F15DB" w:rsidP="00AD0FA5">
            <w:pPr>
              <w:spacing w:before="120" w:after="120"/>
              <w:rPr>
                <w:rFonts w:cs="Arial"/>
                <w:sz w:val="18"/>
                <w:szCs w:val="18"/>
              </w:rPr>
            </w:pPr>
            <w:r w:rsidRPr="00BC05D1">
              <w:rPr>
                <w:rFonts w:cs="Arial"/>
                <w:color w:val="000000"/>
                <w:sz w:val="18"/>
                <w:szCs w:val="18"/>
              </w:rPr>
              <w:t>Australian Private Hospitals Australia</w:t>
            </w:r>
          </w:p>
        </w:tc>
        <w:tc>
          <w:tcPr>
            <w:tcW w:w="229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199A1EA" w14:textId="77777777" w:rsidR="004F15DB" w:rsidRPr="00BC05D1" w:rsidRDefault="004F15DB" w:rsidP="00AD0FA5">
            <w:pPr>
              <w:spacing w:before="120" w:after="120"/>
              <w:cnfStyle w:val="000000100000" w:firstRow="0" w:lastRow="0" w:firstColumn="0" w:lastColumn="0" w:oddVBand="0" w:evenVBand="0" w:oddHBand="1" w:evenHBand="0" w:firstRowFirstColumn="0" w:firstRowLastColumn="0" w:lastRowFirstColumn="0" w:lastRowLastColumn="0"/>
              <w:rPr>
                <w:rFonts w:cs="Arial"/>
                <w:sz w:val="18"/>
                <w:szCs w:val="18"/>
              </w:rPr>
            </w:pPr>
            <w:r w:rsidRPr="00BC05D1">
              <w:rPr>
                <w:rFonts w:cs="Arial"/>
                <w:color w:val="000000"/>
                <w:sz w:val="18"/>
                <w:szCs w:val="18"/>
              </w:rPr>
              <w:t>Peak body (Private hospital)</w:t>
            </w:r>
          </w:p>
        </w:tc>
      </w:tr>
      <w:tr w:rsidR="004F15DB" w:rsidRPr="00BC05D1" w14:paraId="3B4A41AA" w14:textId="77777777" w:rsidTr="004F1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5325CFB" w14:textId="77777777" w:rsidR="004F15DB" w:rsidRPr="00BC05D1" w:rsidRDefault="004F15DB" w:rsidP="00AD0FA5">
            <w:pPr>
              <w:spacing w:before="120" w:after="120"/>
              <w:rPr>
                <w:rFonts w:cs="Arial"/>
                <w:sz w:val="18"/>
                <w:szCs w:val="18"/>
              </w:rPr>
            </w:pPr>
            <w:r w:rsidRPr="00BC05D1">
              <w:rPr>
                <w:rFonts w:cs="Arial"/>
                <w:color w:val="000000"/>
                <w:sz w:val="18"/>
                <w:szCs w:val="18"/>
              </w:rPr>
              <w:t>Australian Unity</w:t>
            </w:r>
          </w:p>
        </w:tc>
        <w:tc>
          <w:tcPr>
            <w:tcW w:w="229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C16A1CE" w14:textId="77777777" w:rsidR="004F15DB" w:rsidRPr="00BC05D1" w:rsidRDefault="004F15DB" w:rsidP="00AD0FA5">
            <w:pPr>
              <w:spacing w:before="120" w:after="120"/>
              <w:cnfStyle w:val="000000010000" w:firstRow="0" w:lastRow="0" w:firstColumn="0" w:lastColumn="0" w:oddVBand="0" w:evenVBand="0" w:oddHBand="0" w:evenHBand="1" w:firstRowFirstColumn="0" w:firstRowLastColumn="0" w:lastRowFirstColumn="0" w:lastRowLastColumn="0"/>
              <w:rPr>
                <w:rFonts w:cs="Arial"/>
                <w:sz w:val="18"/>
                <w:szCs w:val="18"/>
              </w:rPr>
            </w:pPr>
            <w:r w:rsidRPr="00BC05D1">
              <w:rPr>
                <w:rFonts w:cs="Arial"/>
                <w:color w:val="000000"/>
                <w:sz w:val="18"/>
                <w:szCs w:val="18"/>
              </w:rPr>
              <w:t>Private insurer</w:t>
            </w:r>
          </w:p>
        </w:tc>
      </w:tr>
      <w:tr w:rsidR="004F15DB" w:rsidRPr="00BC05D1" w14:paraId="4F75A72D" w14:textId="77777777" w:rsidTr="004F1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AC5EAE7" w14:textId="77777777" w:rsidR="004F15DB" w:rsidRPr="00BC05D1" w:rsidRDefault="004F15DB" w:rsidP="00AD0FA5">
            <w:pPr>
              <w:spacing w:before="120" w:after="120"/>
              <w:rPr>
                <w:rFonts w:cs="Arial"/>
                <w:sz w:val="18"/>
                <w:szCs w:val="18"/>
              </w:rPr>
            </w:pPr>
            <w:r w:rsidRPr="00BC05D1">
              <w:rPr>
                <w:rFonts w:cs="Arial"/>
                <w:color w:val="000000"/>
                <w:sz w:val="18"/>
                <w:szCs w:val="18"/>
              </w:rPr>
              <w:t>Baxter Healthcare</w:t>
            </w:r>
          </w:p>
        </w:tc>
        <w:tc>
          <w:tcPr>
            <w:tcW w:w="229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01EFA50" w14:textId="77777777" w:rsidR="004F15DB" w:rsidRPr="00BC05D1" w:rsidRDefault="004F15DB" w:rsidP="00AD0FA5">
            <w:pPr>
              <w:spacing w:before="120" w:after="120"/>
              <w:cnfStyle w:val="000000100000" w:firstRow="0" w:lastRow="0" w:firstColumn="0" w:lastColumn="0" w:oddVBand="0" w:evenVBand="0" w:oddHBand="1" w:evenHBand="0" w:firstRowFirstColumn="0" w:firstRowLastColumn="0" w:lastRowFirstColumn="0" w:lastRowLastColumn="0"/>
              <w:rPr>
                <w:rFonts w:cs="Arial"/>
                <w:sz w:val="18"/>
                <w:szCs w:val="18"/>
              </w:rPr>
            </w:pPr>
            <w:r w:rsidRPr="00BC05D1">
              <w:rPr>
                <w:rFonts w:cs="Arial"/>
                <w:color w:val="000000"/>
                <w:sz w:val="18"/>
                <w:szCs w:val="18"/>
              </w:rPr>
              <w:t>Device distributor/supplier</w:t>
            </w:r>
          </w:p>
        </w:tc>
      </w:tr>
      <w:tr w:rsidR="004F15DB" w:rsidRPr="00BC05D1" w14:paraId="764A8A8A" w14:textId="77777777" w:rsidTr="004F1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F9B5A90" w14:textId="77777777" w:rsidR="004F15DB" w:rsidRPr="00BC05D1" w:rsidRDefault="004F15DB" w:rsidP="00AD0FA5">
            <w:pPr>
              <w:spacing w:before="120" w:after="120"/>
              <w:rPr>
                <w:rFonts w:cs="Arial"/>
                <w:sz w:val="18"/>
                <w:szCs w:val="18"/>
              </w:rPr>
            </w:pPr>
            <w:r w:rsidRPr="00BC05D1">
              <w:rPr>
                <w:rFonts w:cs="Arial"/>
                <w:color w:val="000000"/>
                <w:sz w:val="18"/>
                <w:szCs w:val="18"/>
              </w:rPr>
              <w:t>BUPA</w:t>
            </w:r>
          </w:p>
        </w:tc>
        <w:tc>
          <w:tcPr>
            <w:tcW w:w="229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DF7CB9A" w14:textId="77777777" w:rsidR="004F15DB" w:rsidRPr="00BC05D1" w:rsidRDefault="004F15DB" w:rsidP="00AD0FA5">
            <w:pPr>
              <w:spacing w:before="120" w:after="120"/>
              <w:cnfStyle w:val="000000010000" w:firstRow="0" w:lastRow="0" w:firstColumn="0" w:lastColumn="0" w:oddVBand="0" w:evenVBand="0" w:oddHBand="0" w:evenHBand="1" w:firstRowFirstColumn="0" w:firstRowLastColumn="0" w:lastRowFirstColumn="0" w:lastRowLastColumn="0"/>
              <w:rPr>
                <w:rFonts w:cs="Arial"/>
                <w:sz w:val="18"/>
                <w:szCs w:val="18"/>
              </w:rPr>
            </w:pPr>
            <w:r w:rsidRPr="00BC05D1">
              <w:rPr>
                <w:rFonts w:cs="Arial"/>
                <w:color w:val="000000"/>
                <w:sz w:val="18"/>
                <w:szCs w:val="18"/>
              </w:rPr>
              <w:t>Private insurer</w:t>
            </w:r>
          </w:p>
        </w:tc>
      </w:tr>
      <w:tr w:rsidR="004F15DB" w:rsidRPr="00BC05D1" w14:paraId="2D96300E" w14:textId="77777777" w:rsidTr="004F1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4B1C7CC" w14:textId="77777777" w:rsidR="004F15DB" w:rsidRPr="00BC05D1" w:rsidRDefault="004F15DB" w:rsidP="00AD0FA5">
            <w:pPr>
              <w:spacing w:before="120" w:after="120"/>
              <w:rPr>
                <w:rFonts w:cs="Arial"/>
                <w:sz w:val="18"/>
                <w:szCs w:val="18"/>
              </w:rPr>
            </w:pPr>
            <w:r w:rsidRPr="00BC05D1">
              <w:rPr>
                <w:rFonts w:cs="Arial"/>
                <w:color w:val="000000"/>
                <w:sz w:val="18"/>
                <w:szCs w:val="18"/>
              </w:rPr>
              <w:t>Catholic Health Australia</w:t>
            </w:r>
          </w:p>
        </w:tc>
        <w:tc>
          <w:tcPr>
            <w:tcW w:w="229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F1256BB" w14:textId="77777777" w:rsidR="004F15DB" w:rsidRPr="00BC05D1" w:rsidRDefault="004F15DB" w:rsidP="00AD0FA5">
            <w:pPr>
              <w:spacing w:before="120" w:after="120"/>
              <w:cnfStyle w:val="000000100000" w:firstRow="0" w:lastRow="0" w:firstColumn="0" w:lastColumn="0" w:oddVBand="0" w:evenVBand="0" w:oddHBand="1" w:evenHBand="0" w:firstRowFirstColumn="0" w:firstRowLastColumn="0" w:lastRowFirstColumn="0" w:lastRowLastColumn="0"/>
              <w:rPr>
                <w:rFonts w:cs="Arial"/>
                <w:sz w:val="18"/>
                <w:szCs w:val="18"/>
              </w:rPr>
            </w:pPr>
            <w:r w:rsidRPr="00BC05D1">
              <w:rPr>
                <w:rFonts w:cs="Arial"/>
                <w:color w:val="000000"/>
                <w:sz w:val="18"/>
                <w:szCs w:val="18"/>
              </w:rPr>
              <w:t>Peak body (Hospital)</w:t>
            </w:r>
          </w:p>
        </w:tc>
      </w:tr>
      <w:tr w:rsidR="004F15DB" w:rsidRPr="00BC05D1" w14:paraId="3E3C9D53" w14:textId="77777777" w:rsidTr="004F1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5BE671E" w14:textId="77777777" w:rsidR="004F15DB" w:rsidRPr="00BC05D1" w:rsidRDefault="004F15DB" w:rsidP="00AD0FA5">
            <w:pPr>
              <w:spacing w:before="120" w:after="120"/>
              <w:rPr>
                <w:rFonts w:cs="Arial"/>
                <w:sz w:val="18"/>
                <w:szCs w:val="18"/>
              </w:rPr>
            </w:pPr>
            <w:r w:rsidRPr="00BC05D1">
              <w:rPr>
                <w:rFonts w:cs="Arial"/>
                <w:color w:val="000000"/>
                <w:sz w:val="18"/>
                <w:szCs w:val="18"/>
              </w:rPr>
              <w:t>Day Hospitals Australia</w:t>
            </w:r>
          </w:p>
        </w:tc>
        <w:tc>
          <w:tcPr>
            <w:tcW w:w="229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6935BFB" w14:textId="77777777" w:rsidR="004F15DB" w:rsidRPr="00BC05D1" w:rsidRDefault="004F15DB" w:rsidP="00AD0FA5">
            <w:pPr>
              <w:spacing w:before="120" w:after="120"/>
              <w:cnfStyle w:val="000000010000" w:firstRow="0" w:lastRow="0" w:firstColumn="0" w:lastColumn="0" w:oddVBand="0" w:evenVBand="0" w:oddHBand="0" w:evenHBand="1" w:firstRowFirstColumn="0" w:firstRowLastColumn="0" w:lastRowFirstColumn="0" w:lastRowLastColumn="0"/>
              <w:rPr>
                <w:rFonts w:cs="Arial"/>
                <w:sz w:val="18"/>
                <w:szCs w:val="18"/>
              </w:rPr>
            </w:pPr>
            <w:r w:rsidRPr="00BC05D1">
              <w:rPr>
                <w:rFonts w:cs="Arial"/>
                <w:color w:val="000000"/>
                <w:sz w:val="18"/>
                <w:szCs w:val="18"/>
              </w:rPr>
              <w:t>Peak body (Private hospital)</w:t>
            </w:r>
          </w:p>
        </w:tc>
      </w:tr>
      <w:tr w:rsidR="004F15DB" w:rsidRPr="00BC05D1" w14:paraId="2ACFC76E" w14:textId="77777777" w:rsidTr="004F1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66C5DA2" w14:textId="77777777" w:rsidR="004F15DB" w:rsidRPr="00BC05D1" w:rsidRDefault="004F15DB" w:rsidP="00AD0FA5">
            <w:pPr>
              <w:spacing w:before="120" w:after="120"/>
              <w:rPr>
                <w:rFonts w:cs="Arial"/>
                <w:sz w:val="18"/>
                <w:szCs w:val="18"/>
              </w:rPr>
            </w:pPr>
            <w:proofErr w:type="spellStart"/>
            <w:r w:rsidRPr="00BC05D1">
              <w:rPr>
                <w:rFonts w:cs="Arial"/>
                <w:color w:val="000000"/>
                <w:sz w:val="18"/>
                <w:szCs w:val="18"/>
              </w:rPr>
              <w:t>Defence</w:t>
            </w:r>
            <w:proofErr w:type="spellEnd"/>
            <w:r w:rsidRPr="00BC05D1">
              <w:rPr>
                <w:rFonts w:cs="Arial"/>
                <w:color w:val="000000"/>
                <w:sz w:val="18"/>
                <w:szCs w:val="18"/>
              </w:rPr>
              <w:t xml:space="preserve"> Health</w:t>
            </w:r>
          </w:p>
        </w:tc>
        <w:tc>
          <w:tcPr>
            <w:tcW w:w="229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6B7F8C8" w14:textId="77777777" w:rsidR="004F15DB" w:rsidRPr="00BC05D1" w:rsidRDefault="004F15DB" w:rsidP="00AD0FA5">
            <w:pPr>
              <w:spacing w:before="120" w:after="120"/>
              <w:cnfStyle w:val="000000100000" w:firstRow="0" w:lastRow="0" w:firstColumn="0" w:lastColumn="0" w:oddVBand="0" w:evenVBand="0" w:oddHBand="1" w:evenHBand="0" w:firstRowFirstColumn="0" w:firstRowLastColumn="0" w:lastRowFirstColumn="0" w:lastRowLastColumn="0"/>
              <w:rPr>
                <w:rFonts w:cs="Arial"/>
                <w:sz w:val="18"/>
                <w:szCs w:val="18"/>
              </w:rPr>
            </w:pPr>
            <w:r w:rsidRPr="00BC05D1">
              <w:rPr>
                <w:rFonts w:cs="Arial"/>
                <w:color w:val="000000"/>
                <w:sz w:val="18"/>
                <w:szCs w:val="18"/>
              </w:rPr>
              <w:t>Private insurer</w:t>
            </w:r>
          </w:p>
        </w:tc>
      </w:tr>
      <w:tr w:rsidR="004F15DB" w:rsidRPr="00BC05D1" w14:paraId="14C22F15" w14:textId="77777777" w:rsidTr="004F1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0229856" w14:textId="77777777" w:rsidR="004F15DB" w:rsidRPr="00BC05D1" w:rsidRDefault="004F15DB" w:rsidP="00AD0FA5">
            <w:pPr>
              <w:spacing w:before="120" w:after="120"/>
              <w:rPr>
                <w:rFonts w:cs="Arial"/>
                <w:sz w:val="18"/>
                <w:szCs w:val="18"/>
              </w:rPr>
            </w:pPr>
            <w:r w:rsidRPr="00BC05D1">
              <w:rPr>
                <w:rFonts w:cs="Arial"/>
                <w:color w:val="000000"/>
                <w:sz w:val="18"/>
                <w:szCs w:val="18"/>
              </w:rPr>
              <w:t>HBF</w:t>
            </w:r>
          </w:p>
        </w:tc>
        <w:tc>
          <w:tcPr>
            <w:tcW w:w="229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E9A6930" w14:textId="77777777" w:rsidR="004F15DB" w:rsidRPr="00BC05D1" w:rsidRDefault="004F15DB" w:rsidP="00AD0FA5">
            <w:pPr>
              <w:spacing w:before="120" w:after="120"/>
              <w:cnfStyle w:val="000000010000" w:firstRow="0" w:lastRow="0" w:firstColumn="0" w:lastColumn="0" w:oddVBand="0" w:evenVBand="0" w:oddHBand="0" w:evenHBand="1" w:firstRowFirstColumn="0" w:firstRowLastColumn="0" w:lastRowFirstColumn="0" w:lastRowLastColumn="0"/>
              <w:rPr>
                <w:rFonts w:cs="Arial"/>
                <w:sz w:val="18"/>
                <w:szCs w:val="18"/>
              </w:rPr>
            </w:pPr>
            <w:r w:rsidRPr="00BC05D1">
              <w:rPr>
                <w:rFonts w:cs="Arial"/>
                <w:color w:val="000000"/>
                <w:sz w:val="18"/>
                <w:szCs w:val="18"/>
              </w:rPr>
              <w:t>Private insurer</w:t>
            </w:r>
          </w:p>
        </w:tc>
      </w:tr>
      <w:tr w:rsidR="004F15DB" w:rsidRPr="00BC05D1" w14:paraId="0E2BC33A" w14:textId="77777777" w:rsidTr="004F1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F949D1A" w14:textId="3E1A3AAA" w:rsidR="004F15DB" w:rsidRPr="00BC05D1" w:rsidRDefault="004F15DB" w:rsidP="00AD0FA5">
            <w:pPr>
              <w:spacing w:before="120" w:after="120"/>
              <w:rPr>
                <w:rFonts w:cs="Arial"/>
                <w:color w:val="000000"/>
                <w:sz w:val="18"/>
                <w:szCs w:val="18"/>
              </w:rPr>
            </w:pPr>
            <w:r>
              <w:rPr>
                <w:rFonts w:cs="Arial"/>
                <w:color w:val="000000"/>
                <w:sz w:val="18"/>
                <w:szCs w:val="18"/>
              </w:rPr>
              <w:t>HCF</w:t>
            </w:r>
          </w:p>
        </w:tc>
        <w:tc>
          <w:tcPr>
            <w:tcW w:w="229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35BA73E" w14:textId="0E2A4BFD" w:rsidR="004F15DB" w:rsidRPr="00BC05D1" w:rsidRDefault="004F15DB" w:rsidP="00AD0FA5">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C05D1">
              <w:rPr>
                <w:rFonts w:cs="Arial"/>
                <w:color w:val="000000"/>
                <w:sz w:val="18"/>
                <w:szCs w:val="18"/>
              </w:rPr>
              <w:t>Private insurer</w:t>
            </w:r>
          </w:p>
        </w:tc>
      </w:tr>
      <w:tr w:rsidR="004F15DB" w:rsidRPr="00BC05D1" w14:paraId="7933AF08" w14:textId="77777777" w:rsidTr="004F1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FBB061F" w14:textId="77777777" w:rsidR="004F15DB" w:rsidRPr="00BC05D1" w:rsidRDefault="004F15DB" w:rsidP="00AD0FA5">
            <w:pPr>
              <w:spacing w:before="120" w:after="120"/>
              <w:rPr>
                <w:rFonts w:cs="Arial"/>
                <w:sz w:val="18"/>
                <w:szCs w:val="18"/>
              </w:rPr>
            </w:pPr>
            <w:r w:rsidRPr="00BC05D1">
              <w:rPr>
                <w:rFonts w:cs="Arial"/>
                <w:color w:val="000000"/>
                <w:sz w:val="18"/>
                <w:szCs w:val="18"/>
              </w:rPr>
              <w:t>Healthscope</w:t>
            </w:r>
          </w:p>
        </w:tc>
        <w:tc>
          <w:tcPr>
            <w:tcW w:w="229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2EA14FA" w14:textId="77777777" w:rsidR="004F15DB" w:rsidRPr="00BC05D1" w:rsidRDefault="004F15DB" w:rsidP="00AD0FA5">
            <w:pPr>
              <w:spacing w:before="120" w:after="120"/>
              <w:cnfStyle w:val="000000010000" w:firstRow="0" w:lastRow="0" w:firstColumn="0" w:lastColumn="0" w:oddVBand="0" w:evenVBand="0" w:oddHBand="0" w:evenHBand="1" w:firstRowFirstColumn="0" w:firstRowLastColumn="0" w:lastRowFirstColumn="0" w:lastRowLastColumn="0"/>
              <w:rPr>
                <w:rFonts w:cs="Arial"/>
                <w:sz w:val="18"/>
                <w:szCs w:val="18"/>
              </w:rPr>
            </w:pPr>
            <w:r w:rsidRPr="00BC05D1">
              <w:rPr>
                <w:rFonts w:cs="Arial"/>
                <w:color w:val="000000"/>
                <w:sz w:val="18"/>
                <w:szCs w:val="18"/>
              </w:rPr>
              <w:t>Private hospital</w:t>
            </w:r>
          </w:p>
        </w:tc>
      </w:tr>
      <w:tr w:rsidR="004F15DB" w:rsidRPr="00BC05D1" w14:paraId="0F95A17E" w14:textId="77777777" w:rsidTr="004F1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ECEBB8B" w14:textId="77777777" w:rsidR="004F15DB" w:rsidRPr="00BC05D1" w:rsidRDefault="004F15DB" w:rsidP="00AD0FA5">
            <w:pPr>
              <w:spacing w:before="120" w:after="120"/>
              <w:rPr>
                <w:rFonts w:cs="Arial"/>
                <w:sz w:val="18"/>
                <w:szCs w:val="18"/>
              </w:rPr>
            </w:pPr>
            <w:r w:rsidRPr="00BC05D1">
              <w:rPr>
                <w:rFonts w:cs="Arial"/>
                <w:color w:val="000000"/>
                <w:sz w:val="18"/>
                <w:szCs w:val="18"/>
              </w:rPr>
              <w:t>Johnson &amp; Johnson MedTech</w:t>
            </w:r>
          </w:p>
        </w:tc>
        <w:tc>
          <w:tcPr>
            <w:tcW w:w="229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C923203" w14:textId="77777777" w:rsidR="004F15DB" w:rsidRPr="00BC05D1" w:rsidRDefault="004F15DB" w:rsidP="00AD0FA5">
            <w:pPr>
              <w:spacing w:before="120" w:after="120"/>
              <w:cnfStyle w:val="000000100000" w:firstRow="0" w:lastRow="0" w:firstColumn="0" w:lastColumn="0" w:oddVBand="0" w:evenVBand="0" w:oddHBand="1" w:evenHBand="0" w:firstRowFirstColumn="0" w:firstRowLastColumn="0" w:lastRowFirstColumn="0" w:lastRowLastColumn="0"/>
              <w:rPr>
                <w:rFonts w:cs="Arial"/>
                <w:sz w:val="18"/>
                <w:szCs w:val="18"/>
              </w:rPr>
            </w:pPr>
            <w:r w:rsidRPr="00BC05D1">
              <w:rPr>
                <w:rFonts w:cs="Arial"/>
                <w:color w:val="000000"/>
                <w:sz w:val="18"/>
                <w:szCs w:val="18"/>
              </w:rPr>
              <w:t>Device distributor/supplier</w:t>
            </w:r>
          </w:p>
        </w:tc>
      </w:tr>
      <w:tr w:rsidR="004F15DB" w:rsidRPr="00BC05D1" w14:paraId="5924129C" w14:textId="77777777" w:rsidTr="004F1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A6110BF" w14:textId="77777777" w:rsidR="004F15DB" w:rsidRPr="00BC05D1" w:rsidRDefault="004F15DB" w:rsidP="00AD0FA5">
            <w:pPr>
              <w:spacing w:before="120" w:after="120"/>
              <w:rPr>
                <w:rFonts w:cs="Arial"/>
                <w:sz w:val="18"/>
                <w:szCs w:val="18"/>
              </w:rPr>
            </w:pPr>
            <w:r w:rsidRPr="00BC05D1">
              <w:rPr>
                <w:rFonts w:cs="Arial"/>
                <w:color w:val="000000"/>
                <w:sz w:val="18"/>
                <w:szCs w:val="18"/>
              </w:rPr>
              <w:t>Medibank</w:t>
            </w:r>
          </w:p>
        </w:tc>
        <w:tc>
          <w:tcPr>
            <w:tcW w:w="229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6C4DB76" w14:textId="77777777" w:rsidR="004F15DB" w:rsidRPr="00BC05D1" w:rsidRDefault="004F15DB" w:rsidP="00AD0FA5">
            <w:pPr>
              <w:spacing w:before="120" w:after="120"/>
              <w:cnfStyle w:val="000000010000" w:firstRow="0" w:lastRow="0" w:firstColumn="0" w:lastColumn="0" w:oddVBand="0" w:evenVBand="0" w:oddHBand="0" w:evenHBand="1" w:firstRowFirstColumn="0" w:firstRowLastColumn="0" w:lastRowFirstColumn="0" w:lastRowLastColumn="0"/>
              <w:rPr>
                <w:rFonts w:cs="Arial"/>
                <w:sz w:val="18"/>
                <w:szCs w:val="18"/>
              </w:rPr>
            </w:pPr>
            <w:r w:rsidRPr="00BC05D1">
              <w:rPr>
                <w:rFonts w:cs="Arial"/>
                <w:color w:val="000000"/>
                <w:sz w:val="18"/>
                <w:szCs w:val="18"/>
              </w:rPr>
              <w:t>Private insurer</w:t>
            </w:r>
          </w:p>
        </w:tc>
      </w:tr>
      <w:tr w:rsidR="004F15DB" w:rsidRPr="00BC05D1" w14:paraId="72BC475F" w14:textId="77777777" w:rsidTr="004F1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7EAD538" w14:textId="77777777" w:rsidR="004F15DB" w:rsidRPr="00BC05D1" w:rsidRDefault="004F15DB" w:rsidP="00AD0FA5">
            <w:pPr>
              <w:spacing w:before="120" w:after="120"/>
              <w:rPr>
                <w:rFonts w:cs="Arial"/>
                <w:sz w:val="18"/>
                <w:szCs w:val="18"/>
              </w:rPr>
            </w:pPr>
            <w:r w:rsidRPr="00BC05D1">
              <w:rPr>
                <w:rFonts w:cs="Arial"/>
                <w:color w:val="000000"/>
                <w:sz w:val="18"/>
                <w:szCs w:val="18"/>
              </w:rPr>
              <w:t>Medical Technology Association of Australia</w:t>
            </w:r>
          </w:p>
        </w:tc>
        <w:tc>
          <w:tcPr>
            <w:tcW w:w="229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C50CC58" w14:textId="77777777" w:rsidR="004F15DB" w:rsidRPr="00BC05D1" w:rsidRDefault="004F15DB" w:rsidP="00AD0FA5">
            <w:pPr>
              <w:spacing w:before="120" w:after="120"/>
              <w:cnfStyle w:val="000000100000" w:firstRow="0" w:lastRow="0" w:firstColumn="0" w:lastColumn="0" w:oddVBand="0" w:evenVBand="0" w:oddHBand="1" w:evenHBand="0" w:firstRowFirstColumn="0" w:firstRowLastColumn="0" w:lastRowFirstColumn="0" w:lastRowLastColumn="0"/>
              <w:rPr>
                <w:rFonts w:cs="Arial"/>
                <w:sz w:val="18"/>
                <w:szCs w:val="18"/>
              </w:rPr>
            </w:pPr>
            <w:r w:rsidRPr="00BC05D1">
              <w:rPr>
                <w:rFonts w:cs="Arial"/>
                <w:color w:val="000000"/>
                <w:sz w:val="18"/>
                <w:szCs w:val="18"/>
              </w:rPr>
              <w:t>Peak body (Device distributor/supplier)</w:t>
            </w:r>
          </w:p>
        </w:tc>
      </w:tr>
      <w:tr w:rsidR="004F15DB" w:rsidRPr="00BC05D1" w14:paraId="1391151A" w14:textId="77777777" w:rsidTr="004F1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C0B0E02" w14:textId="77777777" w:rsidR="004F15DB" w:rsidRPr="00BC05D1" w:rsidRDefault="004F15DB" w:rsidP="00AD0FA5">
            <w:pPr>
              <w:spacing w:before="120" w:after="120"/>
              <w:rPr>
                <w:rFonts w:cs="Arial"/>
                <w:sz w:val="18"/>
                <w:szCs w:val="18"/>
              </w:rPr>
            </w:pPr>
            <w:r w:rsidRPr="00BC05D1">
              <w:rPr>
                <w:rFonts w:cs="Arial"/>
                <w:color w:val="000000"/>
                <w:sz w:val="18"/>
                <w:szCs w:val="18"/>
              </w:rPr>
              <w:t>Medtronic</w:t>
            </w:r>
          </w:p>
        </w:tc>
        <w:tc>
          <w:tcPr>
            <w:tcW w:w="229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2D6553F" w14:textId="77777777" w:rsidR="004F15DB" w:rsidRPr="00BC05D1" w:rsidRDefault="004F15DB" w:rsidP="00AD0FA5">
            <w:pPr>
              <w:spacing w:before="120" w:after="120"/>
              <w:cnfStyle w:val="000000010000" w:firstRow="0" w:lastRow="0" w:firstColumn="0" w:lastColumn="0" w:oddVBand="0" w:evenVBand="0" w:oddHBand="0" w:evenHBand="1" w:firstRowFirstColumn="0" w:firstRowLastColumn="0" w:lastRowFirstColumn="0" w:lastRowLastColumn="0"/>
              <w:rPr>
                <w:rFonts w:cs="Arial"/>
                <w:sz w:val="18"/>
                <w:szCs w:val="18"/>
              </w:rPr>
            </w:pPr>
            <w:r w:rsidRPr="00BC05D1">
              <w:rPr>
                <w:rFonts w:cs="Arial"/>
                <w:color w:val="000000"/>
                <w:sz w:val="18"/>
                <w:szCs w:val="18"/>
              </w:rPr>
              <w:t>Device distributor/supplier</w:t>
            </w:r>
          </w:p>
        </w:tc>
      </w:tr>
      <w:tr w:rsidR="004F15DB" w:rsidRPr="00BC05D1" w14:paraId="74F2C61C" w14:textId="77777777" w:rsidTr="004F1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FE3374D" w14:textId="77777777" w:rsidR="004F15DB" w:rsidRPr="00BC05D1" w:rsidRDefault="004F15DB" w:rsidP="00AD0FA5">
            <w:pPr>
              <w:spacing w:before="120" w:after="120"/>
              <w:rPr>
                <w:rFonts w:cs="Arial"/>
                <w:sz w:val="18"/>
                <w:szCs w:val="18"/>
              </w:rPr>
            </w:pPr>
            <w:r w:rsidRPr="00BC05D1">
              <w:rPr>
                <w:rFonts w:cs="Arial"/>
                <w:color w:val="000000"/>
                <w:sz w:val="18"/>
                <w:szCs w:val="18"/>
              </w:rPr>
              <w:t>Opunake</w:t>
            </w:r>
          </w:p>
        </w:tc>
        <w:tc>
          <w:tcPr>
            <w:tcW w:w="229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073C900" w14:textId="77777777" w:rsidR="004F15DB" w:rsidRPr="00BC05D1" w:rsidRDefault="004F15DB" w:rsidP="00AD0FA5">
            <w:pPr>
              <w:spacing w:before="120" w:after="120"/>
              <w:cnfStyle w:val="000000100000" w:firstRow="0" w:lastRow="0" w:firstColumn="0" w:lastColumn="0" w:oddVBand="0" w:evenVBand="0" w:oddHBand="1" w:evenHBand="0" w:firstRowFirstColumn="0" w:firstRowLastColumn="0" w:lastRowFirstColumn="0" w:lastRowLastColumn="0"/>
              <w:rPr>
                <w:rFonts w:cs="Arial"/>
                <w:sz w:val="18"/>
                <w:szCs w:val="18"/>
              </w:rPr>
            </w:pPr>
            <w:r w:rsidRPr="00BC05D1">
              <w:rPr>
                <w:rFonts w:cs="Arial"/>
                <w:color w:val="000000"/>
                <w:sz w:val="18"/>
                <w:szCs w:val="18"/>
              </w:rPr>
              <w:t>Consultant</w:t>
            </w:r>
          </w:p>
        </w:tc>
      </w:tr>
      <w:tr w:rsidR="004F15DB" w:rsidRPr="00BC05D1" w14:paraId="0BAAD09F" w14:textId="77777777" w:rsidTr="004F1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0A71A75" w14:textId="77777777" w:rsidR="004F15DB" w:rsidRPr="00BC05D1" w:rsidRDefault="004F15DB" w:rsidP="00AD0FA5">
            <w:pPr>
              <w:spacing w:before="120" w:after="120"/>
              <w:rPr>
                <w:rFonts w:cs="Arial"/>
                <w:sz w:val="18"/>
                <w:szCs w:val="18"/>
              </w:rPr>
            </w:pPr>
            <w:proofErr w:type="spellStart"/>
            <w:r w:rsidRPr="00BC05D1">
              <w:rPr>
                <w:rFonts w:cs="Arial"/>
                <w:color w:val="000000"/>
                <w:sz w:val="18"/>
                <w:szCs w:val="18"/>
              </w:rPr>
              <w:t>PrecisionMed</w:t>
            </w:r>
            <w:proofErr w:type="spellEnd"/>
          </w:p>
        </w:tc>
        <w:tc>
          <w:tcPr>
            <w:tcW w:w="229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D93D6F8" w14:textId="77777777" w:rsidR="004F15DB" w:rsidRPr="00BC05D1" w:rsidRDefault="004F15DB" w:rsidP="00AD0FA5">
            <w:pPr>
              <w:spacing w:before="120" w:after="120"/>
              <w:cnfStyle w:val="000000010000" w:firstRow="0" w:lastRow="0" w:firstColumn="0" w:lastColumn="0" w:oddVBand="0" w:evenVBand="0" w:oddHBand="0" w:evenHBand="1" w:firstRowFirstColumn="0" w:firstRowLastColumn="0" w:lastRowFirstColumn="0" w:lastRowLastColumn="0"/>
              <w:rPr>
                <w:rFonts w:cs="Arial"/>
                <w:sz w:val="18"/>
                <w:szCs w:val="18"/>
              </w:rPr>
            </w:pPr>
            <w:r w:rsidRPr="00BC05D1">
              <w:rPr>
                <w:rFonts w:cs="Arial"/>
                <w:color w:val="000000"/>
                <w:sz w:val="18"/>
                <w:szCs w:val="18"/>
              </w:rPr>
              <w:t>Device distributor/supplier</w:t>
            </w:r>
          </w:p>
        </w:tc>
      </w:tr>
      <w:tr w:rsidR="004F15DB" w:rsidRPr="00BC05D1" w14:paraId="0B48B025" w14:textId="77777777" w:rsidTr="004F1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3122626" w14:textId="5493168F" w:rsidR="004F15DB" w:rsidRPr="00BC05D1" w:rsidRDefault="004F15DB" w:rsidP="00AD0FA5">
            <w:pPr>
              <w:spacing w:before="120" w:after="120"/>
              <w:rPr>
                <w:rFonts w:cs="Arial"/>
                <w:sz w:val="18"/>
                <w:szCs w:val="18"/>
              </w:rPr>
            </w:pPr>
            <w:r w:rsidRPr="00BC05D1">
              <w:rPr>
                <w:rFonts w:cs="Arial"/>
                <w:color w:val="000000"/>
                <w:sz w:val="18"/>
                <w:szCs w:val="18"/>
              </w:rPr>
              <w:t>Private Healthcare Australia</w:t>
            </w:r>
          </w:p>
        </w:tc>
        <w:tc>
          <w:tcPr>
            <w:tcW w:w="229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A702504" w14:textId="77777777" w:rsidR="004F15DB" w:rsidRPr="00BC05D1" w:rsidRDefault="004F15DB" w:rsidP="00AD0FA5">
            <w:pPr>
              <w:spacing w:before="120" w:after="120"/>
              <w:cnfStyle w:val="000000100000" w:firstRow="0" w:lastRow="0" w:firstColumn="0" w:lastColumn="0" w:oddVBand="0" w:evenVBand="0" w:oddHBand="1" w:evenHBand="0" w:firstRowFirstColumn="0" w:firstRowLastColumn="0" w:lastRowFirstColumn="0" w:lastRowLastColumn="0"/>
              <w:rPr>
                <w:rFonts w:cs="Arial"/>
                <w:sz w:val="18"/>
                <w:szCs w:val="18"/>
              </w:rPr>
            </w:pPr>
            <w:r w:rsidRPr="00BC05D1">
              <w:rPr>
                <w:rFonts w:cs="Arial"/>
                <w:color w:val="000000"/>
                <w:sz w:val="18"/>
                <w:szCs w:val="18"/>
              </w:rPr>
              <w:t>Peak body (Private insurer)</w:t>
            </w:r>
          </w:p>
        </w:tc>
      </w:tr>
      <w:tr w:rsidR="004F15DB" w:rsidRPr="00BC05D1" w14:paraId="5C4A340D" w14:textId="77777777" w:rsidTr="004F15DB">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E9A3CED" w14:textId="77777777" w:rsidR="004F15DB" w:rsidRPr="00BC05D1" w:rsidRDefault="004F15DB" w:rsidP="00AD0FA5">
            <w:pPr>
              <w:spacing w:before="120" w:after="120"/>
              <w:rPr>
                <w:rFonts w:cs="Arial"/>
                <w:sz w:val="18"/>
                <w:szCs w:val="18"/>
              </w:rPr>
            </w:pPr>
            <w:r w:rsidRPr="00BC05D1">
              <w:rPr>
                <w:rFonts w:cs="Arial"/>
                <w:color w:val="000000"/>
                <w:sz w:val="18"/>
                <w:szCs w:val="18"/>
              </w:rPr>
              <w:t>Royal Australasian College of Surgeons</w:t>
            </w:r>
          </w:p>
        </w:tc>
        <w:tc>
          <w:tcPr>
            <w:tcW w:w="229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74B3C04" w14:textId="77777777" w:rsidR="004F15DB" w:rsidRPr="00BC05D1" w:rsidRDefault="004F15DB" w:rsidP="00AD0FA5">
            <w:pPr>
              <w:spacing w:before="120" w:after="120"/>
              <w:cnfStyle w:val="000000010000" w:firstRow="0" w:lastRow="0" w:firstColumn="0" w:lastColumn="0" w:oddVBand="0" w:evenVBand="0" w:oddHBand="0" w:evenHBand="1" w:firstRowFirstColumn="0" w:firstRowLastColumn="0" w:lastRowFirstColumn="0" w:lastRowLastColumn="0"/>
              <w:rPr>
                <w:rFonts w:cs="Arial"/>
                <w:sz w:val="18"/>
                <w:szCs w:val="18"/>
              </w:rPr>
            </w:pPr>
            <w:r w:rsidRPr="00BC05D1">
              <w:rPr>
                <w:rFonts w:cs="Arial"/>
                <w:color w:val="000000"/>
                <w:sz w:val="18"/>
                <w:szCs w:val="18"/>
              </w:rPr>
              <w:t>Peak body (Clinicians)</w:t>
            </w:r>
          </w:p>
        </w:tc>
      </w:tr>
    </w:tbl>
    <w:p w14:paraId="25BBC552" w14:textId="03003BB5" w:rsidR="001D778B" w:rsidRDefault="001D778B" w:rsidP="001D778B">
      <w:pPr>
        <w:pStyle w:val="TableFigureheading"/>
      </w:pPr>
      <w:r>
        <w:t xml:space="preserve">Table </w:t>
      </w:r>
      <w:fldSimple w:instr=" SEQ Table \* ARABIC ">
        <w:r w:rsidR="00106CD4">
          <w:rPr>
            <w:noProof/>
          </w:rPr>
          <w:t>11</w:t>
        </w:r>
      </w:fldSimple>
      <w:r>
        <w:t>: Summary of feedback</w:t>
      </w:r>
      <w:r w:rsidR="00AD0FA5">
        <w:t xml:space="preserve"> to Consultation Paper</w:t>
      </w:r>
    </w:p>
    <w:tbl>
      <w:tblPr>
        <w:tblStyle w:val="IHPATable"/>
        <w:tblW w:w="0" w:type="auto"/>
        <w:tblLook w:val="04A0" w:firstRow="1" w:lastRow="0" w:firstColumn="1" w:lastColumn="0" w:noHBand="0" w:noVBand="1"/>
        <w:tblDescription w:val="Table 11 is a summary of feedback received to the consultation paper. There are four colums showing the questions number, the questions, the stakeholder feedback received and the IHACPA response. "/>
      </w:tblPr>
      <w:tblGrid>
        <w:gridCol w:w="461"/>
        <w:gridCol w:w="2530"/>
        <w:gridCol w:w="6230"/>
        <w:gridCol w:w="4727"/>
      </w:tblGrid>
      <w:tr w:rsidR="001D778B" w:rsidRPr="003A517F" w14:paraId="0A4E8F68" w14:textId="77777777" w:rsidTr="00AD0F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1" w:type="dxa"/>
            <w:tcBorders>
              <w:bottom w:val="single" w:sz="4" w:space="0" w:color="D9D9D9" w:themeColor="background2" w:themeShade="D9"/>
              <w:right w:val="single" w:sz="4" w:space="0" w:color="FFFFFF" w:themeColor="background2"/>
            </w:tcBorders>
            <w:shd w:val="clear" w:color="auto" w:fill="104F99" w:themeFill="accent2"/>
            <w:vAlign w:val="center"/>
          </w:tcPr>
          <w:p w14:paraId="2F8D922A" w14:textId="77777777" w:rsidR="001D778B" w:rsidRPr="00D51DA9" w:rsidRDefault="001D778B" w:rsidP="00AD0FA5">
            <w:pPr>
              <w:spacing w:before="120" w:after="120"/>
              <w:jc w:val="center"/>
              <w:rPr>
                <w:b/>
                <w:bCs/>
                <w:color w:val="FFFFFF" w:themeColor="background2"/>
                <w:szCs w:val="18"/>
              </w:rPr>
            </w:pPr>
            <w:r w:rsidRPr="00D51DA9">
              <w:rPr>
                <w:b/>
                <w:bCs/>
                <w:color w:val="FFFFFF" w:themeColor="background2"/>
                <w:szCs w:val="18"/>
              </w:rPr>
              <w:t>#</w:t>
            </w:r>
          </w:p>
        </w:tc>
        <w:tc>
          <w:tcPr>
            <w:tcW w:w="2530"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652D11A6" w14:textId="77777777" w:rsidR="001D778B" w:rsidRPr="00BC05D1" w:rsidRDefault="001D778B" w:rsidP="00AD0FA5">
            <w:pPr>
              <w:spacing w:before="120" w:after="120"/>
              <w:jc w:val="center"/>
              <w:cnfStyle w:val="100000000000" w:firstRow="1" w:lastRow="0" w:firstColumn="0" w:lastColumn="0" w:oddVBand="0" w:evenVBand="0" w:oddHBand="0" w:evenHBand="0" w:firstRowFirstColumn="0" w:firstRowLastColumn="0" w:lastRowFirstColumn="0" w:lastRowLastColumn="0"/>
              <w:rPr>
                <w:b/>
                <w:bCs/>
                <w:color w:val="FFFFFF" w:themeColor="background2"/>
                <w:sz w:val="22"/>
              </w:rPr>
            </w:pPr>
            <w:r w:rsidRPr="00BC05D1">
              <w:rPr>
                <w:b/>
                <w:bCs/>
                <w:color w:val="FFFFFF" w:themeColor="background2"/>
              </w:rPr>
              <w:t>Question</w:t>
            </w:r>
          </w:p>
        </w:tc>
        <w:tc>
          <w:tcPr>
            <w:tcW w:w="6230"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vAlign w:val="center"/>
          </w:tcPr>
          <w:p w14:paraId="0D0AF695" w14:textId="77777777" w:rsidR="001D778B" w:rsidRPr="00BC05D1" w:rsidRDefault="001D778B" w:rsidP="00AD0FA5">
            <w:pPr>
              <w:spacing w:before="120" w:after="120"/>
              <w:jc w:val="center"/>
              <w:cnfStyle w:val="100000000000" w:firstRow="1" w:lastRow="0" w:firstColumn="0" w:lastColumn="0" w:oddVBand="0" w:evenVBand="0" w:oddHBand="0" w:evenHBand="0" w:firstRowFirstColumn="0" w:firstRowLastColumn="0" w:lastRowFirstColumn="0" w:lastRowLastColumn="0"/>
              <w:rPr>
                <w:b/>
                <w:bCs/>
                <w:color w:val="FFFFFF" w:themeColor="background2"/>
                <w:sz w:val="22"/>
              </w:rPr>
            </w:pPr>
            <w:r w:rsidRPr="00BC05D1">
              <w:rPr>
                <w:b/>
                <w:bCs/>
                <w:color w:val="FFFFFF" w:themeColor="background2"/>
              </w:rPr>
              <w:t>Stakeholder feedback</w:t>
            </w:r>
          </w:p>
        </w:tc>
        <w:tc>
          <w:tcPr>
            <w:tcW w:w="4727" w:type="dxa"/>
            <w:tcBorders>
              <w:left w:val="single" w:sz="4" w:space="0" w:color="FFFFFF" w:themeColor="background2"/>
              <w:bottom w:val="single" w:sz="4" w:space="0" w:color="D9D9D9" w:themeColor="background2" w:themeShade="D9"/>
            </w:tcBorders>
            <w:shd w:val="clear" w:color="auto" w:fill="104F99" w:themeFill="accent2"/>
            <w:vAlign w:val="center"/>
          </w:tcPr>
          <w:p w14:paraId="78A26D78" w14:textId="4F41C075" w:rsidR="001D778B" w:rsidRPr="00BC05D1" w:rsidRDefault="001D778B" w:rsidP="00AD0FA5">
            <w:pPr>
              <w:spacing w:before="120" w:after="120"/>
              <w:jc w:val="center"/>
              <w:cnfStyle w:val="100000000000" w:firstRow="1" w:lastRow="0" w:firstColumn="0" w:lastColumn="0" w:oddVBand="0" w:evenVBand="0" w:oddHBand="0" w:evenHBand="0" w:firstRowFirstColumn="0" w:firstRowLastColumn="0" w:lastRowFirstColumn="0" w:lastRowLastColumn="0"/>
              <w:rPr>
                <w:b/>
                <w:bCs/>
                <w:color w:val="FFFFFF" w:themeColor="background2"/>
                <w:sz w:val="22"/>
              </w:rPr>
            </w:pPr>
            <w:r w:rsidRPr="00BC05D1">
              <w:rPr>
                <w:b/>
                <w:bCs/>
                <w:color w:val="FFFFFF" w:themeColor="background2"/>
              </w:rPr>
              <w:t>IHACPA response</w:t>
            </w:r>
          </w:p>
        </w:tc>
      </w:tr>
      <w:tr w:rsidR="001D778B" w:rsidRPr="003A517F" w14:paraId="3A1627E6" w14:textId="77777777" w:rsidTr="00BC0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val="restart"/>
          </w:tcPr>
          <w:p w14:paraId="02E0312C" w14:textId="77777777" w:rsidR="001D778B" w:rsidRPr="00D51DA9" w:rsidRDefault="001D778B" w:rsidP="00131343">
            <w:pPr>
              <w:spacing w:before="60" w:after="60"/>
              <w:jc w:val="center"/>
              <w:rPr>
                <w:b/>
                <w:bCs/>
                <w:sz w:val="18"/>
                <w:szCs w:val="18"/>
              </w:rPr>
            </w:pPr>
            <w:r w:rsidRPr="00D51DA9">
              <w:rPr>
                <w:sz w:val="18"/>
                <w:szCs w:val="18"/>
              </w:rPr>
              <w:t>1</w:t>
            </w:r>
          </w:p>
        </w:tc>
        <w:tc>
          <w:tcPr>
            <w:tcW w:w="2530" w:type="dxa"/>
            <w:vMerge w:val="restart"/>
          </w:tcPr>
          <w:p w14:paraId="6DCB14C9" w14:textId="7777777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r w:rsidRPr="003A517F">
              <w:t xml:space="preserve">Are you aware of any issues with the Hospital </w:t>
            </w:r>
            <w:proofErr w:type="spellStart"/>
            <w:r w:rsidRPr="003A517F">
              <w:t>Casemix</w:t>
            </w:r>
            <w:proofErr w:type="spellEnd"/>
            <w:r w:rsidRPr="003A517F">
              <w:t xml:space="preserve"> Protocol (HCP) data collection that may impact on the way it captures </w:t>
            </w:r>
            <w:proofErr w:type="spellStart"/>
            <w:r w:rsidRPr="003A517F">
              <w:t>utilisation</w:t>
            </w:r>
            <w:proofErr w:type="spellEnd"/>
            <w:r w:rsidRPr="003A517F">
              <w:t xml:space="preserve"> of General Use Items for private patient services? Please provide detailed examples that illustrate these issues where possible.</w:t>
            </w:r>
          </w:p>
        </w:tc>
        <w:tc>
          <w:tcPr>
            <w:tcW w:w="6230" w:type="dxa"/>
          </w:tcPr>
          <w:p w14:paraId="22E95EE1"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
                <w:bCs/>
                <w:iCs/>
              </w:rPr>
              <w:t>HCP incompleteness and reliability issues</w:t>
            </w:r>
          </w:p>
          <w:p w14:paraId="6DE9B1E1"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12 stakeholders identified issues around the completeness and reliability of HCP data, particularly in the collection of public hospital data and prostheses data. Feedback included:</w:t>
            </w:r>
          </w:p>
          <w:p w14:paraId="395A0444" w14:textId="2FAF5CCE"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HCP data is noted to be incomplete, with about 10% of private health insurance spend unaccounted for, and hence HCP data is not aligned with Australian Prudential Regulation Authority (APRA)’s statistics.</w:t>
            </w:r>
          </w:p>
          <w:p w14:paraId="4D628489"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Some public hospitals are not required to submit all HCP data to private health insurers.</w:t>
            </w:r>
          </w:p>
          <w:p w14:paraId="578361D2"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There are instances of HCP data submissions with no clinical, demographic and Medicare Benefits Schedule (MBS) item information.</w:t>
            </w:r>
          </w:p>
          <w:p w14:paraId="664C9E43" w14:textId="4C3CBEF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HCP data does not capture activity funded by other means, such as self-funded activity and compensation schemes that use the PL, including Department of Veteran Affairs, the Australian </w:t>
            </w:r>
            <w:proofErr w:type="spellStart"/>
            <w:r w:rsidRPr="003A517F">
              <w:rPr>
                <w:bCs/>
                <w:iCs/>
              </w:rPr>
              <w:t>Defence</w:t>
            </w:r>
            <w:proofErr w:type="spellEnd"/>
            <w:r w:rsidRPr="003A517F">
              <w:rPr>
                <w:bCs/>
                <w:iCs/>
              </w:rPr>
              <w:t xml:space="preserve"> Force, </w:t>
            </w:r>
            <w:proofErr w:type="spellStart"/>
            <w:r w:rsidRPr="003A517F">
              <w:rPr>
                <w:bCs/>
                <w:iCs/>
              </w:rPr>
              <w:t>Worksafe</w:t>
            </w:r>
            <w:proofErr w:type="spellEnd"/>
            <w:r w:rsidRPr="003A517F">
              <w:rPr>
                <w:bCs/>
                <w:iCs/>
              </w:rPr>
              <w:t xml:space="preserve"> Victoria, and the Transport Accident Commission.</w:t>
            </w:r>
          </w:p>
          <w:p w14:paraId="24605C8A"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Gaps in the submission of HCP data from private hospitals can occur due to the interpretation of HCP rules, where the insurer is not obligated to provide HCP data unless they have received data from the hospital.</w:t>
            </w:r>
          </w:p>
          <w:p w14:paraId="1FCAD8B3" w14:textId="593327A4"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Some hospitals do not </w:t>
            </w:r>
            <w:proofErr w:type="spellStart"/>
            <w:r w:rsidRPr="003A517F">
              <w:rPr>
                <w:bCs/>
                <w:iCs/>
              </w:rPr>
              <w:t>itemise</w:t>
            </w:r>
            <w:proofErr w:type="spellEnd"/>
            <w:r w:rsidRPr="003A517F">
              <w:rPr>
                <w:bCs/>
                <w:iCs/>
              </w:rPr>
              <w:t xml:space="preserve"> </w:t>
            </w:r>
            <w:r w:rsidR="009B5B2C">
              <w:rPr>
                <w:bCs/>
                <w:iCs/>
              </w:rPr>
              <w:t>GUI</w:t>
            </w:r>
            <w:r w:rsidRPr="003A517F">
              <w:rPr>
                <w:bCs/>
                <w:iCs/>
              </w:rPr>
              <w:t>s on their invoices due to contractual arrangements, including bundling under a case payment model and caps on the number of items being paid for by funds.</w:t>
            </w:r>
          </w:p>
          <w:p w14:paraId="43E81834"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Prostheses </w:t>
            </w:r>
            <w:proofErr w:type="spellStart"/>
            <w:r w:rsidRPr="003A517F">
              <w:rPr>
                <w:bCs/>
                <w:iCs/>
              </w:rPr>
              <w:t>utilisation</w:t>
            </w:r>
            <w:proofErr w:type="spellEnd"/>
            <w:r w:rsidRPr="003A517F">
              <w:rPr>
                <w:bCs/>
                <w:iCs/>
              </w:rPr>
              <w:t xml:space="preserve"> data reflects what is charged by the hospital to the insurer, not actual </w:t>
            </w:r>
            <w:proofErr w:type="spellStart"/>
            <w:r w:rsidRPr="003A517F">
              <w:rPr>
                <w:bCs/>
                <w:iCs/>
              </w:rPr>
              <w:t>utilisation</w:t>
            </w:r>
            <w:proofErr w:type="spellEnd"/>
            <w:r w:rsidRPr="003A517F">
              <w:rPr>
                <w:bCs/>
                <w:iCs/>
              </w:rPr>
              <w:t xml:space="preserve"> at the hospital site. There is variability in the ability for hospitals to accurately bill the actual number and range of devices used in a procedure. Instances where the prostheses charge is $0 is not included in the HCP.</w:t>
            </w:r>
          </w:p>
          <w:p w14:paraId="39F5602D" w14:textId="4AFECA90"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HCP data does not capture detail regarding non</w:t>
            </w:r>
            <w:r w:rsidR="00BC5589">
              <w:rPr>
                <w:bCs/>
                <w:iCs/>
              </w:rPr>
              <w:t>-</w:t>
            </w:r>
            <w:r w:rsidRPr="003A517F">
              <w:rPr>
                <w:bCs/>
                <w:iCs/>
              </w:rPr>
              <w:t>PL-listed alternatives or substitutes used for PL-listed items.</w:t>
            </w:r>
          </w:p>
          <w:p w14:paraId="15777DA9" w14:textId="6D64C0B2"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The HCP data collection does not provide detail on wastage of some types of </w:t>
            </w:r>
            <w:r w:rsidR="009B5B2C">
              <w:rPr>
                <w:bCs/>
                <w:iCs/>
              </w:rPr>
              <w:t>GUI</w:t>
            </w:r>
            <w:r w:rsidRPr="003A517F">
              <w:rPr>
                <w:bCs/>
                <w:iCs/>
              </w:rPr>
              <w:t>s, such as items with different volume or weight formulations, and items that are regularly used as multiples. The use of multi-pack type items could lead to billing code data underrepresenting actual usage.</w:t>
            </w:r>
          </w:p>
        </w:tc>
        <w:tc>
          <w:tcPr>
            <w:tcW w:w="4727" w:type="dxa"/>
            <w:vMerge w:val="restart"/>
          </w:tcPr>
          <w:p w14:paraId="21D41D09" w14:textId="74FC4139" w:rsidR="00304EAD"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r w:rsidRPr="003A517F">
              <w:t>The Independent Health and Aged Care Pricing Authority (IHACPA) notes stakeholders’ concerns regarding the incompleteness of the HCP. IHACPA</w:t>
            </w:r>
            <w:r w:rsidR="00BA18C5">
              <w:t>’s advice on bundling of GUIs</w:t>
            </w:r>
            <w:r w:rsidRPr="003A517F">
              <w:t xml:space="preserve"> has included analysis on the representativeness of the HCP data</w:t>
            </w:r>
            <w:r w:rsidR="00D07825">
              <w:t xml:space="preserve"> (see Section </w:t>
            </w:r>
            <w:r w:rsidR="00D07825">
              <w:fldChar w:fldCharType="begin"/>
            </w:r>
            <w:r w:rsidR="00D07825">
              <w:instrText xml:space="preserve"> REF _Ref120103476 \h </w:instrText>
            </w:r>
            <w:r w:rsidR="00D07825">
              <w:fldChar w:fldCharType="separate"/>
            </w:r>
            <w:r w:rsidR="00106CD4">
              <w:t>C.2 Data representativeness</w:t>
            </w:r>
            <w:r w:rsidR="00D07825">
              <w:fldChar w:fldCharType="end"/>
            </w:r>
            <w:r w:rsidR="00D07825">
              <w:t>)</w:t>
            </w:r>
            <w:r w:rsidRPr="003A517F">
              <w:t xml:space="preserve">. </w:t>
            </w:r>
          </w:p>
          <w:p w14:paraId="531BF9BF" w14:textId="0B70E941" w:rsidR="00304EAD" w:rsidRDefault="00304EAD" w:rsidP="00131343">
            <w:pPr>
              <w:spacing w:after="120" w:line="240" w:lineRule="auto"/>
              <w:cnfStyle w:val="000000100000" w:firstRow="0" w:lastRow="0" w:firstColumn="0" w:lastColumn="0" w:oddVBand="0" w:evenVBand="0" w:oddHBand="1" w:evenHBand="0" w:firstRowFirstColumn="0" w:firstRowLastColumn="0" w:lastRowFirstColumn="0" w:lastRowLastColumn="0"/>
            </w:pPr>
            <w:r w:rsidRPr="00304EAD">
              <w:t>IHACPA considers the HCP data collection as the best available primary data source for the development of its advice. The HCP data collection is the only available source of national data that provides sufficiently detailed information on the usage of GUIs in privately insured admitted episodes.</w:t>
            </w:r>
          </w:p>
          <w:p w14:paraId="3C650274" w14:textId="32BC6150" w:rsidR="005E3DF4"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r w:rsidRPr="003A517F">
              <w:t xml:space="preserve">With regard to stakeholder feedback on </w:t>
            </w:r>
            <w:proofErr w:type="spellStart"/>
            <w:r w:rsidRPr="003A517F">
              <w:t>analysing</w:t>
            </w:r>
            <w:proofErr w:type="spellEnd"/>
            <w:r w:rsidRPr="003A517F">
              <w:t xml:space="preserve"> a longer time series of HCP data, </w:t>
            </w:r>
            <w:r w:rsidR="00D07825">
              <w:t xml:space="preserve">IHACPA undertook analysis </w:t>
            </w:r>
            <w:r w:rsidRPr="003A517F">
              <w:t>the preceding three financial years of data to examine variation in the bundles</w:t>
            </w:r>
            <w:r w:rsidR="00D07825">
              <w:t xml:space="preserve"> (see Section </w:t>
            </w:r>
            <w:r w:rsidR="00D07825">
              <w:fldChar w:fldCharType="begin"/>
            </w:r>
            <w:r w:rsidR="00D07825">
              <w:instrText xml:space="preserve"> REF _Ref119404958 \h </w:instrText>
            </w:r>
            <w:r w:rsidR="00D07825">
              <w:fldChar w:fldCharType="separate"/>
            </w:r>
            <w:r w:rsidR="00106CD4">
              <w:t>C.3.4 Analysis of historical changes in GUI product bundle benefits per episode</w:t>
            </w:r>
            <w:r w:rsidR="00D07825">
              <w:fldChar w:fldCharType="end"/>
            </w:r>
            <w:r w:rsidR="00D07825">
              <w:t>)</w:t>
            </w:r>
            <w:r w:rsidRPr="003A517F">
              <w:t xml:space="preserve">. </w:t>
            </w:r>
            <w:r w:rsidR="00BC5589" w:rsidRPr="00BC5589">
              <w:t>This analysis showed that the 2020-21 HCP data was fit-for-purpose.</w:t>
            </w:r>
          </w:p>
          <w:p w14:paraId="72418C94" w14:textId="6EE74E1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r w:rsidRPr="003A517F">
              <w:t xml:space="preserve">Refer to </w:t>
            </w:r>
            <w:r w:rsidR="005E3DF4" w:rsidRPr="003A517F">
              <w:t xml:space="preserve">Section </w:t>
            </w:r>
            <w:r w:rsidR="005E3DF4" w:rsidRPr="007175ED">
              <w:fldChar w:fldCharType="begin"/>
            </w:r>
            <w:r w:rsidR="005E3DF4" w:rsidRPr="003A517F">
              <w:instrText xml:space="preserve"> REF _Ref119592247 \w \h </w:instrText>
            </w:r>
            <w:r w:rsidR="003A517F">
              <w:instrText xml:space="preserve"> \* MERGEFORMAT </w:instrText>
            </w:r>
            <w:r w:rsidR="005E3DF4" w:rsidRPr="007175ED">
              <w:fldChar w:fldCharType="separate"/>
            </w:r>
            <w:r w:rsidR="00106CD4">
              <w:t>4.3</w:t>
            </w:r>
            <w:r w:rsidR="005E3DF4" w:rsidRPr="007175ED">
              <w:fldChar w:fldCharType="end"/>
            </w:r>
            <w:r w:rsidR="005E3DF4" w:rsidRPr="003A517F">
              <w:t xml:space="preserve"> - </w:t>
            </w:r>
            <w:r w:rsidR="005E3DF4" w:rsidRPr="007175ED">
              <w:fldChar w:fldCharType="begin"/>
            </w:r>
            <w:r w:rsidR="005E3DF4" w:rsidRPr="003A517F">
              <w:instrText xml:space="preserve"> REF _Ref119592250 \h </w:instrText>
            </w:r>
            <w:r w:rsidR="003A517F">
              <w:instrText xml:space="preserve"> \* MERGEFORMAT </w:instrText>
            </w:r>
            <w:r w:rsidR="005E3DF4" w:rsidRPr="007175ED">
              <w:fldChar w:fldCharType="separate"/>
            </w:r>
            <w:r w:rsidR="00106CD4">
              <w:t xml:space="preserve">Hospital </w:t>
            </w:r>
            <w:proofErr w:type="spellStart"/>
            <w:r w:rsidR="00106CD4">
              <w:t>Casemix</w:t>
            </w:r>
            <w:proofErr w:type="spellEnd"/>
            <w:r w:rsidR="00106CD4">
              <w:t xml:space="preserve"> Protocol data collection</w:t>
            </w:r>
            <w:r w:rsidR="005E3DF4" w:rsidRPr="007175ED">
              <w:fldChar w:fldCharType="end"/>
            </w:r>
            <w:r w:rsidR="005E3DF4" w:rsidRPr="003A517F">
              <w:t xml:space="preserve"> </w:t>
            </w:r>
            <w:r w:rsidRPr="003A517F">
              <w:t xml:space="preserve">for further </w:t>
            </w:r>
            <w:r w:rsidR="00D07825">
              <w:t>discussion on data issues and limitations</w:t>
            </w:r>
            <w:r w:rsidRPr="003A517F">
              <w:t>.</w:t>
            </w:r>
          </w:p>
          <w:p w14:paraId="57BAF357" w14:textId="7777777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r w:rsidRPr="003A517F">
              <w:t xml:space="preserve"> </w:t>
            </w:r>
          </w:p>
        </w:tc>
      </w:tr>
      <w:tr w:rsidR="001D778B" w:rsidRPr="003A517F" w14:paraId="6A3E9854" w14:textId="77777777" w:rsidTr="001313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tcPr>
          <w:p w14:paraId="7F056D7B" w14:textId="77777777" w:rsidR="001D778B" w:rsidRPr="00D51DA9" w:rsidRDefault="001D778B" w:rsidP="00131343">
            <w:pPr>
              <w:spacing w:before="60" w:after="60"/>
              <w:jc w:val="center"/>
              <w:rPr>
                <w:sz w:val="18"/>
                <w:szCs w:val="18"/>
              </w:rPr>
            </w:pPr>
          </w:p>
        </w:tc>
        <w:tc>
          <w:tcPr>
            <w:tcW w:w="2530" w:type="dxa"/>
            <w:vMerge/>
          </w:tcPr>
          <w:p w14:paraId="0E45FA1A"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pPr>
          </w:p>
        </w:tc>
        <w:tc>
          <w:tcPr>
            <w:tcW w:w="6230" w:type="dxa"/>
          </w:tcPr>
          <w:p w14:paraId="2D987902"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r w:rsidRPr="003A517F">
              <w:rPr>
                <w:b/>
                <w:bCs/>
                <w:iCs/>
              </w:rPr>
              <w:t>Problematic volume and price growth</w:t>
            </w:r>
          </w:p>
          <w:p w14:paraId="4D671918"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One stakeholder recommended </w:t>
            </w:r>
            <w:proofErr w:type="spellStart"/>
            <w:r w:rsidRPr="003A517F">
              <w:rPr>
                <w:bCs/>
                <w:iCs/>
              </w:rPr>
              <w:t>analysing</w:t>
            </w:r>
            <w:proofErr w:type="spellEnd"/>
            <w:r w:rsidRPr="003A517F">
              <w:rPr>
                <w:bCs/>
                <w:iCs/>
              </w:rPr>
              <w:t xml:space="preserve"> a longer time series to examine variation in item </w:t>
            </w:r>
            <w:proofErr w:type="spellStart"/>
            <w:r w:rsidRPr="003A517F">
              <w:rPr>
                <w:bCs/>
                <w:iCs/>
              </w:rPr>
              <w:t>utilisation</w:t>
            </w:r>
            <w:proofErr w:type="spellEnd"/>
            <w:r w:rsidRPr="003A517F">
              <w:rPr>
                <w:bCs/>
                <w:iCs/>
              </w:rPr>
              <w:t xml:space="preserve"> rates within the bundles.</w:t>
            </w:r>
          </w:p>
        </w:tc>
        <w:tc>
          <w:tcPr>
            <w:tcW w:w="4727" w:type="dxa"/>
            <w:vMerge/>
          </w:tcPr>
          <w:p w14:paraId="073A7F9F"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p>
        </w:tc>
      </w:tr>
      <w:tr w:rsidR="001D778B" w:rsidRPr="003A517F" w14:paraId="0D6961A0" w14:textId="77777777" w:rsidTr="0013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val="restart"/>
          </w:tcPr>
          <w:p w14:paraId="7E66B6BD" w14:textId="77777777" w:rsidR="001D778B" w:rsidRPr="00D51DA9" w:rsidRDefault="001D778B" w:rsidP="00131343">
            <w:pPr>
              <w:spacing w:before="60" w:after="60"/>
              <w:jc w:val="center"/>
              <w:rPr>
                <w:sz w:val="18"/>
                <w:szCs w:val="18"/>
              </w:rPr>
            </w:pPr>
            <w:r w:rsidRPr="00D51DA9">
              <w:rPr>
                <w:sz w:val="18"/>
                <w:szCs w:val="18"/>
              </w:rPr>
              <w:t>2</w:t>
            </w:r>
          </w:p>
        </w:tc>
        <w:tc>
          <w:tcPr>
            <w:tcW w:w="2530" w:type="dxa"/>
            <w:vMerge w:val="restart"/>
          </w:tcPr>
          <w:p w14:paraId="457D63E6" w14:textId="7777777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r w:rsidRPr="003A517F">
              <w:t>Do you have any comments on the quality and utility of the proposed data sources for the development of advice on bundling arrangements for General Use Items? Please provide details.</w:t>
            </w:r>
          </w:p>
        </w:tc>
        <w:tc>
          <w:tcPr>
            <w:tcW w:w="6230" w:type="dxa"/>
          </w:tcPr>
          <w:p w14:paraId="766E567A" w14:textId="77777777" w:rsidR="001D778B" w:rsidRPr="003A517F" w:rsidRDefault="001D778B" w:rsidP="00131343">
            <w:pPr>
              <w:keepNext/>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
                <w:bCs/>
                <w:iCs/>
              </w:rPr>
              <w:t xml:space="preserve">Supporting use of all proposed data sources </w:t>
            </w:r>
          </w:p>
          <w:p w14:paraId="01F8840E" w14:textId="6FA8845E"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color w:val="auto"/>
              </w:rPr>
              <w:t xml:space="preserve">Seven </w:t>
            </w:r>
            <w:r w:rsidRPr="003A517F">
              <w:rPr>
                <w:bCs/>
                <w:iCs/>
              </w:rPr>
              <w:t>stakeholders supported the use of all the proposed data sources (</w:t>
            </w:r>
            <w:r w:rsidR="009B5B2C">
              <w:rPr>
                <w:bCs/>
                <w:iCs/>
              </w:rPr>
              <w:t>PL</w:t>
            </w:r>
            <w:r w:rsidRPr="003A517F">
              <w:rPr>
                <w:bCs/>
                <w:iCs/>
              </w:rPr>
              <w:t xml:space="preserve">, Hospital </w:t>
            </w:r>
            <w:proofErr w:type="spellStart"/>
            <w:r w:rsidRPr="003A517F">
              <w:rPr>
                <w:bCs/>
                <w:iCs/>
              </w:rPr>
              <w:t>Casemix</w:t>
            </w:r>
            <w:proofErr w:type="spellEnd"/>
            <w:r w:rsidRPr="003A517F">
              <w:rPr>
                <w:bCs/>
                <w:iCs/>
              </w:rPr>
              <w:t xml:space="preserve"> Protocol</w:t>
            </w:r>
            <w:r w:rsidR="009B5B2C">
              <w:rPr>
                <w:bCs/>
                <w:iCs/>
              </w:rPr>
              <w:t xml:space="preserve"> (HCP)</w:t>
            </w:r>
            <w:r w:rsidRPr="003A517F">
              <w:rPr>
                <w:bCs/>
                <w:iCs/>
              </w:rPr>
              <w:t xml:space="preserve">, Private Hospital Data Bureau (PHDB), Public Hospital Admitted Activity Data Collection and APRA statistics) in defining bundling arrangements for </w:t>
            </w:r>
            <w:r w:rsidR="009B5B2C">
              <w:rPr>
                <w:bCs/>
                <w:iCs/>
              </w:rPr>
              <w:t>GUI</w:t>
            </w:r>
            <w:r w:rsidRPr="003A517F">
              <w:rPr>
                <w:bCs/>
                <w:iCs/>
              </w:rPr>
              <w:t>s.</w:t>
            </w:r>
          </w:p>
          <w:p w14:paraId="35EEB8C5" w14:textId="77777777" w:rsidR="001D778B" w:rsidRPr="003A517F" w:rsidDel="00BC301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Of these stakeholders, one stakeholder noted that data sources providing claim information at an episodic level, such as the Public Hospital Admitted Activity Data Collection and HCP are better sources. </w:t>
            </w:r>
          </w:p>
        </w:tc>
        <w:tc>
          <w:tcPr>
            <w:tcW w:w="4727" w:type="dxa"/>
            <w:vMerge w:val="restart"/>
          </w:tcPr>
          <w:p w14:paraId="21492050" w14:textId="3D998596" w:rsidR="001D778B" w:rsidRPr="003A517F" w:rsidRDefault="001D778B" w:rsidP="00131343">
            <w:pPr>
              <w:keepNext/>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IHACPA notes the support for and limitations of the proposed data sources. IHACPA has </w:t>
            </w:r>
            <w:r w:rsidR="00D07825">
              <w:rPr>
                <w:bCs/>
                <w:iCs/>
              </w:rPr>
              <w:t xml:space="preserve">used </w:t>
            </w:r>
            <w:r w:rsidRPr="003A517F">
              <w:rPr>
                <w:bCs/>
                <w:iCs/>
              </w:rPr>
              <w:t xml:space="preserve">the HCP and the PL as the primary data sources for the development of advice. IHACPA has </w:t>
            </w:r>
            <w:r w:rsidR="00D07825">
              <w:rPr>
                <w:bCs/>
                <w:iCs/>
              </w:rPr>
              <w:t xml:space="preserve">used </w:t>
            </w:r>
            <w:r w:rsidRPr="003A517F">
              <w:rPr>
                <w:bCs/>
                <w:iCs/>
              </w:rPr>
              <w:t xml:space="preserve">the PHDB, Public Hospital Admitted Activity Data Collection, and APRA statistics as data sources </w:t>
            </w:r>
            <w:r w:rsidR="00D07825">
              <w:rPr>
                <w:bCs/>
                <w:iCs/>
              </w:rPr>
              <w:t xml:space="preserve">for comparative analysis to support an understanding of the representativeness of the </w:t>
            </w:r>
            <w:r w:rsidRPr="003A517F">
              <w:rPr>
                <w:bCs/>
                <w:iCs/>
              </w:rPr>
              <w:t>primary data sources</w:t>
            </w:r>
            <w:r w:rsidR="00DE5355">
              <w:rPr>
                <w:bCs/>
                <w:iCs/>
              </w:rPr>
              <w:t xml:space="preserve"> (see </w:t>
            </w:r>
            <w:r w:rsidR="00DE5355">
              <w:rPr>
                <w:bCs/>
                <w:iCs/>
              </w:rPr>
              <w:fldChar w:fldCharType="begin"/>
            </w:r>
            <w:r w:rsidR="00DE5355">
              <w:rPr>
                <w:bCs/>
                <w:iCs/>
              </w:rPr>
              <w:instrText xml:space="preserve"> REF _Ref120103853 \h </w:instrText>
            </w:r>
            <w:r w:rsidR="00DE5355">
              <w:rPr>
                <w:bCs/>
                <w:iCs/>
              </w:rPr>
            </w:r>
            <w:r w:rsidR="00DE5355">
              <w:rPr>
                <w:bCs/>
                <w:iCs/>
              </w:rPr>
              <w:fldChar w:fldCharType="separate"/>
            </w:r>
            <w:r w:rsidR="00106CD4">
              <w:t>C.2 Data representativeness</w:t>
            </w:r>
            <w:r w:rsidR="00DE5355">
              <w:rPr>
                <w:bCs/>
                <w:iCs/>
              </w:rPr>
              <w:fldChar w:fldCharType="end"/>
            </w:r>
            <w:r w:rsidR="00DE5355">
              <w:rPr>
                <w:bCs/>
                <w:iCs/>
              </w:rPr>
              <w:t>)</w:t>
            </w:r>
            <w:r w:rsidRPr="003A517F">
              <w:rPr>
                <w:bCs/>
                <w:iCs/>
              </w:rPr>
              <w:t>.</w:t>
            </w:r>
          </w:p>
        </w:tc>
      </w:tr>
      <w:tr w:rsidR="001D778B" w:rsidRPr="003A517F" w14:paraId="7AB928EF" w14:textId="77777777" w:rsidTr="001313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tcPr>
          <w:p w14:paraId="1ED2F252" w14:textId="77777777" w:rsidR="001D778B" w:rsidRPr="00D51DA9" w:rsidRDefault="001D778B" w:rsidP="00131343">
            <w:pPr>
              <w:spacing w:before="60" w:after="60"/>
              <w:jc w:val="center"/>
              <w:rPr>
                <w:sz w:val="18"/>
                <w:szCs w:val="18"/>
              </w:rPr>
            </w:pPr>
          </w:p>
        </w:tc>
        <w:tc>
          <w:tcPr>
            <w:tcW w:w="2530" w:type="dxa"/>
            <w:vMerge/>
          </w:tcPr>
          <w:p w14:paraId="1DA6FA4D"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pPr>
          </w:p>
        </w:tc>
        <w:tc>
          <w:tcPr>
            <w:tcW w:w="6230" w:type="dxa"/>
          </w:tcPr>
          <w:p w14:paraId="29DD0C87" w14:textId="77777777" w:rsidR="001D778B" w:rsidRPr="003A517F" w:rsidRDefault="001D778B" w:rsidP="00131343">
            <w:pPr>
              <w:keepNext/>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r w:rsidRPr="003A517F">
              <w:rPr>
                <w:b/>
                <w:bCs/>
                <w:iCs/>
              </w:rPr>
              <w:t>Other considerations in the use of proposed data sources</w:t>
            </w:r>
          </w:p>
          <w:p w14:paraId="2036657F" w14:textId="77777777" w:rsidR="001D778B" w:rsidRPr="003A517F" w:rsidRDefault="001D778B" w:rsidP="00131343">
            <w:pPr>
              <w:keepNext/>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r w:rsidRPr="003A517F">
              <w:rPr>
                <w:bCs/>
                <w:iCs/>
              </w:rPr>
              <w:t>One stakeholder noted that differences in data sources should be identified prior to use, e.g. HCP data is reported based on date of service, whilst APRA data is based on date of assessment.</w:t>
            </w:r>
          </w:p>
        </w:tc>
        <w:tc>
          <w:tcPr>
            <w:tcW w:w="4727" w:type="dxa"/>
            <w:vMerge/>
          </w:tcPr>
          <w:p w14:paraId="61E0736E" w14:textId="77777777" w:rsidR="001D778B" w:rsidRPr="003A517F" w:rsidRDefault="001D778B" w:rsidP="00131343">
            <w:pPr>
              <w:keepNext/>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p>
        </w:tc>
      </w:tr>
      <w:tr w:rsidR="001D778B" w:rsidRPr="003A517F" w14:paraId="44F0014A" w14:textId="77777777" w:rsidTr="0013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tcPr>
          <w:p w14:paraId="2C646132" w14:textId="77777777" w:rsidR="001D778B" w:rsidRPr="00D51DA9" w:rsidRDefault="001D778B" w:rsidP="00131343">
            <w:pPr>
              <w:spacing w:before="60" w:after="60"/>
              <w:jc w:val="center"/>
              <w:rPr>
                <w:sz w:val="18"/>
                <w:szCs w:val="18"/>
              </w:rPr>
            </w:pPr>
          </w:p>
        </w:tc>
        <w:tc>
          <w:tcPr>
            <w:tcW w:w="2530" w:type="dxa"/>
            <w:vMerge/>
          </w:tcPr>
          <w:p w14:paraId="21F1851F" w14:textId="7777777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6230" w:type="dxa"/>
          </w:tcPr>
          <w:p w14:paraId="498CB474" w14:textId="77777777" w:rsidR="001D778B" w:rsidRPr="003A517F" w:rsidRDefault="001D778B" w:rsidP="00131343">
            <w:pPr>
              <w:keepNext/>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
                <w:bCs/>
                <w:iCs/>
              </w:rPr>
              <w:t>PHDB quality and utility</w:t>
            </w:r>
          </w:p>
          <w:p w14:paraId="35F396D7" w14:textId="0A79177F" w:rsidR="001D778B" w:rsidRPr="003A517F" w:rsidRDefault="001D778B" w:rsidP="00131343">
            <w:pPr>
              <w:keepNext/>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color w:val="auto"/>
              </w:rPr>
              <w:t>Two</w:t>
            </w:r>
            <w:r w:rsidRPr="003A517F">
              <w:rPr>
                <w:bCs/>
                <w:iCs/>
                <w:color w:val="FF0000"/>
              </w:rPr>
              <w:t xml:space="preserve"> </w:t>
            </w:r>
            <w:r w:rsidRPr="003A517F">
              <w:rPr>
                <w:bCs/>
                <w:iCs/>
              </w:rPr>
              <w:t>stakeholders had concerns regarding the quality and utility of PHDB in the development of the Authority’s advice. The key concern noted was that the PHDB data set for the day hospital sector is incomplete, as advised by the Department</w:t>
            </w:r>
            <w:r w:rsidR="00D05F18">
              <w:rPr>
                <w:bCs/>
                <w:iCs/>
              </w:rPr>
              <w:t xml:space="preserve"> of Health and Aged Care</w:t>
            </w:r>
            <w:r w:rsidRPr="003A517F">
              <w:rPr>
                <w:bCs/>
                <w:iCs/>
              </w:rPr>
              <w:t>.</w:t>
            </w:r>
          </w:p>
        </w:tc>
        <w:tc>
          <w:tcPr>
            <w:tcW w:w="4727" w:type="dxa"/>
            <w:vMerge/>
          </w:tcPr>
          <w:p w14:paraId="5CEE81A2" w14:textId="77777777" w:rsidR="001D778B" w:rsidRPr="003A517F" w:rsidRDefault="001D778B" w:rsidP="00131343">
            <w:pPr>
              <w:keepNext/>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p>
        </w:tc>
      </w:tr>
      <w:tr w:rsidR="001D778B" w:rsidRPr="003A517F" w14:paraId="555A083C" w14:textId="77777777" w:rsidTr="001313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tcPr>
          <w:p w14:paraId="466E3AC4" w14:textId="77777777" w:rsidR="001D778B" w:rsidRPr="00D51DA9" w:rsidRDefault="001D778B" w:rsidP="00131343">
            <w:pPr>
              <w:spacing w:before="60" w:after="60"/>
              <w:jc w:val="center"/>
              <w:rPr>
                <w:sz w:val="18"/>
                <w:szCs w:val="18"/>
              </w:rPr>
            </w:pPr>
          </w:p>
        </w:tc>
        <w:tc>
          <w:tcPr>
            <w:tcW w:w="2530" w:type="dxa"/>
            <w:vMerge/>
          </w:tcPr>
          <w:p w14:paraId="0DD1449A"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pPr>
          </w:p>
        </w:tc>
        <w:tc>
          <w:tcPr>
            <w:tcW w:w="6230" w:type="dxa"/>
          </w:tcPr>
          <w:p w14:paraId="304181CB" w14:textId="77777777" w:rsidR="001D778B" w:rsidRPr="003A517F" w:rsidRDefault="001D778B" w:rsidP="00131343">
            <w:pPr>
              <w:keepNext/>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r w:rsidRPr="003A517F">
              <w:rPr>
                <w:b/>
                <w:bCs/>
                <w:iCs/>
              </w:rPr>
              <w:t>Public Hospital Admitted Activity Data Collection quality and utility</w:t>
            </w:r>
          </w:p>
          <w:p w14:paraId="5C1D04EA" w14:textId="2BADC9A2" w:rsidR="001D778B" w:rsidRPr="003A517F" w:rsidRDefault="001D778B" w:rsidP="00131343">
            <w:pPr>
              <w:keepNext/>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color w:val="auto"/>
              </w:rPr>
              <w:t xml:space="preserve">One </w:t>
            </w:r>
            <w:r w:rsidRPr="003A517F">
              <w:rPr>
                <w:bCs/>
                <w:iCs/>
              </w:rPr>
              <w:t xml:space="preserve">stakeholder had concerns regarding the quality and utility of Public Hospital Admitted Activity Data Collection in the development of the Authority’s advice.  </w:t>
            </w:r>
          </w:p>
          <w:p w14:paraId="60525960" w14:textId="77777777" w:rsidR="001D778B" w:rsidRPr="003A517F" w:rsidRDefault="001D778B" w:rsidP="00131343">
            <w:pPr>
              <w:keepNext/>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Another stakeholder supported the use of public hospital admitted activity data with respect to privately insured admitted episodes in public hospitals.</w:t>
            </w:r>
          </w:p>
        </w:tc>
        <w:tc>
          <w:tcPr>
            <w:tcW w:w="4727" w:type="dxa"/>
            <w:vMerge/>
          </w:tcPr>
          <w:p w14:paraId="523BA5F2" w14:textId="77777777" w:rsidR="001D778B" w:rsidRPr="003A517F" w:rsidRDefault="001D778B" w:rsidP="00131343">
            <w:pPr>
              <w:keepNext/>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p>
        </w:tc>
      </w:tr>
      <w:tr w:rsidR="001D778B" w:rsidRPr="003A517F" w14:paraId="680CF19C" w14:textId="77777777" w:rsidTr="0013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tcPr>
          <w:p w14:paraId="79FABF09" w14:textId="77777777" w:rsidR="001D778B" w:rsidRPr="00D51DA9" w:rsidRDefault="001D778B" w:rsidP="00131343">
            <w:pPr>
              <w:spacing w:before="60" w:after="60"/>
              <w:jc w:val="center"/>
              <w:rPr>
                <w:sz w:val="18"/>
                <w:szCs w:val="18"/>
              </w:rPr>
            </w:pPr>
          </w:p>
        </w:tc>
        <w:tc>
          <w:tcPr>
            <w:tcW w:w="2530" w:type="dxa"/>
            <w:vMerge/>
          </w:tcPr>
          <w:p w14:paraId="237FA2EC" w14:textId="7777777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6230" w:type="dxa"/>
          </w:tcPr>
          <w:p w14:paraId="729A0BE0" w14:textId="77777777" w:rsidR="001D778B" w:rsidRPr="003A517F" w:rsidRDefault="001D778B" w:rsidP="00131343">
            <w:pPr>
              <w:keepNext/>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
                <w:bCs/>
                <w:iCs/>
              </w:rPr>
              <w:t>APRA data quality and utility</w:t>
            </w:r>
          </w:p>
          <w:p w14:paraId="1AC68FE8"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color w:val="auto"/>
              </w:rPr>
              <w:t xml:space="preserve">Three </w:t>
            </w:r>
            <w:r w:rsidRPr="003A517F">
              <w:rPr>
                <w:bCs/>
                <w:iCs/>
              </w:rPr>
              <w:t>stakeholders had concerns regarding the quality and utility of the APRA statistics in the development of the Authority’s advice. Concerns include:</w:t>
            </w:r>
          </w:p>
          <w:p w14:paraId="4E8B70C0" w14:textId="77777777" w:rsidR="001D778B" w:rsidRPr="003A517F" w:rsidRDefault="001D778B" w:rsidP="007102CA">
            <w:pPr>
              <w:pStyle w:val="ListParagraph"/>
              <w:numPr>
                <w:ilvl w:val="0"/>
                <w:numId w:val="11"/>
              </w:numPr>
              <w:spacing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pPr>
            <w:r w:rsidRPr="003A517F">
              <w:rPr>
                <w:bCs/>
                <w:iCs/>
              </w:rPr>
              <w:t>APRA data on PL usage is understated when it comes to the general miscellaneous volume data.</w:t>
            </w:r>
          </w:p>
          <w:p w14:paraId="56715BCD" w14:textId="77777777" w:rsidR="001D778B" w:rsidRPr="003A517F" w:rsidRDefault="001D778B" w:rsidP="007102CA">
            <w:pPr>
              <w:pStyle w:val="ListParagraph"/>
              <w:numPr>
                <w:ilvl w:val="0"/>
                <w:numId w:val="11"/>
              </w:numPr>
              <w:spacing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pPr>
            <w:r w:rsidRPr="003A517F">
              <w:rPr>
                <w:bCs/>
                <w:iCs/>
              </w:rPr>
              <w:t>There is a lack of clarity around the “Other” category in APRA statistics.</w:t>
            </w:r>
          </w:p>
        </w:tc>
        <w:tc>
          <w:tcPr>
            <w:tcW w:w="4727" w:type="dxa"/>
            <w:vMerge/>
          </w:tcPr>
          <w:p w14:paraId="55DBB072" w14:textId="77777777" w:rsidR="001D778B" w:rsidRPr="003A517F" w:rsidRDefault="001D778B" w:rsidP="00131343">
            <w:pPr>
              <w:keepNext/>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p>
        </w:tc>
      </w:tr>
      <w:tr w:rsidR="001D778B" w:rsidRPr="003A517F" w14:paraId="3B640AE6" w14:textId="77777777" w:rsidTr="001313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tcPr>
          <w:p w14:paraId="539DD299" w14:textId="77777777" w:rsidR="001D778B" w:rsidRPr="00D51DA9" w:rsidRDefault="001D778B" w:rsidP="00131343">
            <w:pPr>
              <w:spacing w:before="60" w:after="60"/>
              <w:jc w:val="center"/>
              <w:rPr>
                <w:sz w:val="18"/>
                <w:szCs w:val="18"/>
              </w:rPr>
            </w:pPr>
          </w:p>
        </w:tc>
        <w:tc>
          <w:tcPr>
            <w:tcW w:w="2530" w:type="dxa"/>
            <w:vMerge/>
          </w:tcPr>
          <w:p w14:paraId="68A52B1F"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pPr>
          </w:p>
        </w:tc>
        <w:tc>
          <w:tcPr>
            <w:tcW w:w="6230" w:type="dxa"/>
          </w:tcPr>
          <w:p w14:paraId="2374218D"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r w:rsidRPr="003A517F">
              <w:rPr>
                <w:b/>
                <w:bCs/>
                <w:iCs/>
              </w:rPr>
              <w:t>Limitations in quality and utility of proposed data sources</w:t>
            </w:r>
          </w:p>
          <w:p w14:paraId="3937D72B" w14:textId="032C1F0C"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color w:val="auto"/>
              </w:rPr>
              <w:t>Two</w:t>
            </w:r>
            <w:r w:rsidRPr="003A517F">
              <w:rPr>
                <w:bCs/>
                <w:iCs/>
              </w:rPr>
              <w:t xml:space="preserve"> stakeholders did not believe there is sufficiently robust data to support </w:t>
            </w:r>
            <w:r w:rsidRPr="003A517F">
              <w:t xml:space="preserve">the development of advice on bundling arrangements for </w:t>
            </w:r>
            <w:r w:rsidR="009B5B2C">
              <w:t>GUI</w:t>
            </w:r>
            <w:r w:rsidRPr="003A517F">
              <w:t xml:space="preserve">s, and </w:t>
            </w:r>
            <w:r w:rsidRPr="003A517F">
              <w:rPr>
                <w:bCs/>
                <w:iCs/>
              </w:rPr>
              <w:t>that each proposed data source is being used for a purpose for which it was never intended.</w:t>
            </w:r>
          </w:p>
          <w:p w14:paraId="2E466843"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rPr>
            </w:pPr>
            <w:r w:rsidRPr="003A517F">
              <w:rPr>
                <w:bCs/>
                <w:iCs/>
              </w:rPr>
              <w:t>One of these stakeholders supported the collection of a fit-for-purpose dataset to inform this work.</w:t>
            </w:r>
          </w:p>
        </w:tc>
        <w:tc>
          <w:tcPr>
            <w:tcW w:w="4727" w:type="dxa"/>
            <w:vMerge/>
          </w:tcPr>
          <w:p w14:paraId="5E1A8B6F"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p>
        </w:tc>
      </w:tr>
      <w:tr w:rsidR="001D778B" w:rsidRPr="003A517F" w14:paraId="13F61781" w14:textId="77777777" w:rsidTr="0013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val="restart"/>
          </w:tcPr>
          <w:p w14:paraId="0802F0C6" w14:textId="77777777" w:rsidR="001D778B" w:rsidRPr="00D51DA9" w:rsidRDefault="001D778B" w:rsidP="00131343">
            <w:pPr>
              <w:spacing w:before="60" w:after="60"/>
              <w:jc w:val="center"/>
              <w:rPr>
                <w:b/>
                <w:bCs/>
                <w:sz w:val="18"/>
                <w:szCs w:val="18"/>
              </w:rPr>
            </w:pPr>
            <w:r w:rsidRPr="00D51DA9">
              <w:rPr>
                <w:sz w:val="18"/>
                <w:szCs w:val="18"/>
              </w:rPr>
              <w:t>3</w:t>
            </w:r>
          </w:p>
        </w:tc>
        <w:tc>
          <w:tcPr>
            <w:tcW w:w="2530" w:type="dxa"/>
            <w:vMerge w:val="restart"/>
          </w:tcPr>
          <w:p w14:paraId="73DB9FE3" w14:textId="7777777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r w:rsidRPr="003A517F">
              <w:t xml:space="preserve">Are there any other sources of data or empirical information that may be useful in defining alternative bundling arrangements for General Use Items? If so, please identify the specific information and describe the way in which the information could be </w:t>
            </w:r>
            <w:proofErr w:type="spellStart"/>
            <w:r w:rsidRPr="003A517F">
              <w:t>utilised</w:t>
            </w:r>
            <w:proofErr w:type="spellEnd"/>
            <w:r w:rsidRPr="003A517F">
              <w:t>.</w:t>
            </w:r>
          </w:p>
        </w:tc>
        <w:tc>
          <w:tcPr>
            <w:tcW w:w="6230" w:type="dxa"/>
          </w:tcPr>
          <w:p w14:paraId="4B91BE00" w14:textId="77777777" w:rsidR="001D778B" w:rsidRPr="003A517F" w:rsidRDefault="001D778B" w:rsidP="00131343">
            <w:pPr>
              <w:keepNext/>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
                <w:bCs/>
                <w:iCs/>
              </w:rPr>
              <w:t xml:space="preserve">Supporting comparison in </w:t>
            </w:r>
            <w:proofErr w:type="spellStart"/>
            <w:r w:rsidRPr="003A517F">
              <w:rPr>
                <w:b/>
                <w:bCs/>
                <w:iCs/>
              </w:rPr>
              <w:t>utilisation</w:t>
            </w:r>
            <w:proofErr w:type="spellEnd"/>
            <w:r w:rsidRPr="003A517F">
              <w:rPr>
                <w:b/>
                <w:bCs/>
                <w:iCs/>
              </w:rPr>
              <w:t xml:space="preserve"> between public and private sector</w:t>
            </w:r>
          </w:p>
          <w:p w14:paraId="3132EDA1" w14:textId="3AEAC74E"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Six stakeholders highlighted the importance of comparing </w:t>
            </w:r>
            <w:proofErr w:type="spellStart"/>
            <w:r w:rsidRPr="003A517F">
              <w:rPr>
                <w:bCs/>
                <w:iCs/>
              </w:rPr>
              <w:t>utilisation</w:t>
            </w:r>
            <w:proofErr w:type="spellEnd"/>
            <w:r w:rsidRPr="003A517F">
              <w:rPr>
                <w:bCs/>
                <w:iCs/>
              </w:rPr>
              <w:t xml:space="preserve"> of </w:t>
            </w:r>
            <w:r w:rsidR="009B5B2C">
              <w:rPr>
                <w:bCs/>
                <w:iCs/>
              </w:rPr>
              <w:t>GUI</w:t>
            </w:r>
            <w:r w:rsidRPr="003A517F">
              <w:rPr>
                <w:bCs/>
                <w:iCs/>
              </w:rPr>
              <w:t>s between the public and private sector. Feedback received include:</w:t>
            </w:r>
          </w:p>
          <w:p w14:paraId="09D2F4FC" w14:textId="77777777" w:rsidR="001D778B" w:rsidRPr="003A517F" w:rsidRDefault="001D778B" w:rsidP="007102CA">
            <w:pPr>
              <w:pStyle w:val="ListParagraph"/>
              <w:numPr>
                <w:ilvl w:val="0"/>
                <w:numId w:val="11"/>
              </w:numPr>
              <w:spacing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Examining data on private patient episodes in public hospitals where the use of consumables would be less </w:t>
            </w:r>
            <w:proofErr w:type="spellStart"/>
            <w:r w:rsidRPr="003A517F">
              <w:rPr>
                <w:bCs/>
                <w:iCs/>
              </w:rPr>
              <w:t>incentivised</w:t>
            </w:r>
            <w:proofErr w:type="spellEnd"/>
            <w:r w:rsidRPr="003A517F">
              <w:rPr>
                <w:bCs/>
                <w:iCs/>
              </w:rPr>
              <w:t>.</w:t>
            </w:r>
          </w:p>
          <w:p w14:paraId="7D0D2390" w14:textId="24511856" w:rsidR="001D778B" w:rsidRPr="003A517F" w:rsidRDefault="001D778B" w:rsidP="007102CA">
            <w:pPr>
              <w:pStyle w:val="ListParagraph"/>
              <w:numPr>
                <w:ilvl w:val="0"/>
                <w:numId w:val="11"/>
              </w:numPr>
              <w:spacing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Comparing </w:t>
            </w:r>
            <w:proofErr w:type="spellStart"/>
            <w:r w:rsidRPr="003A517F">
              <w:rPr>
                <w:bCs/>
                <w:iCs/>
              </w:rPr>
              <w:t>utilisation</w:t>
            </w:r>
            <w:proofErr w:type="spellEnd"/>
            <w:r w:rsidRPr="003A517F">
              <w:rPr>
                <w:bCs/>
                <w:iCs/>
              </w:rPr>
              <w:t xml:space="preserve"> of </w:t>
            </w:r>
            <w:r w:rsidR="009B5B2C">
              <w:rPr>
                <w:bCs/>
                <w:iCs/>
              </w:rPr>
              <w:t>GUI</w:t>
            </w:r>
            <w:r w:rsidRPr="003A517F">
              <w:rPr>
                <w:bCs/>
                <w:iCs/>
              </w:rPr>
              <w:t xml:space="preserve">s for public patients in public hospitals to examine any observed variance in </w:t>
            </w:r>
            <w:proofErr w:type="spellStart"/>
            <w:r w:rsidRPr="003A517F">
              <w:rPr>
                <w:bCs/>
                <w:iCs/>
              </w:rPr>
              <w:t>utilisation</w:t>
            </w:r>
            <w:proofErr w:type="spellEnd"/>
            <w:r w:rsidRPr="003A517F">
              <w:rPr>
                <w:bCs/>
                <w:iCs/>
              </w:rPr>
              <w:t xml:space="preserve"> rates in the HCP data.</w:t>
            </w:r>
          </w:p>
          <w:p w14:paraId="7C1A381B" w14:textId="77777777" w:rsidR="001D778B" w:rsidRPr="003A517F" w:rsidRDefault="001D778B" w:rsidP="007102CA">
            <w:pPr>
              <w:pStyle w:val="ListParagraph"/>
              <w:numPr>
                <w:ilvl w:val="0"/>
                <w:numId w:val="11"/>
              </w:numPr>
              <w:spacing w:before="60" w:after="120" w:line="240" w:lineRule="auto"/>
              <w:cnfStyle w:val="000000100000" w:firstRow="0" w:lastRow="0" w:firstColumn="0" w:lastColumn="0" w:oddVBand="0" w:evenVBand="0" w:oddHBand="1" w:evenHBand="0" w:firstRowFirstColumn="0" w:firstRowLastColumn="0" w:lastRowFirstColumn="0" w:lastRowLastColumn="0"/>
            </w:pPr>
            <w:r w:rsidRPr="003A517F">
              <w:rPr>
                <w:bCs/>
                <w:iCs/>
              </w:rPr>
              <w:t>Using the Public Hospital Admitted Activity Data Collection and National Hospital Cost Data Collection to assist with this comparison.</w:t>
            </w:r>
          </w:p>
        </w:tc>
        <w:tc>
          <w:tcPr>
            <w:tcW w:w="4727" w:type="dxa"/>
            <w:vMerge w:val="restart"/>
          </w:tcPr>
          <w:p w14:paraId="14E75A20" w14:textId="7C60D5C4"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IHACPA acknowledges stakeholders’ recommendations about alternative data sources, such as public sector data, international sources and registry data. IHACPA notes that the data sources used to define bundling arrangements should align to the scope of the intended application of advice. Specifically, the bundling </w:t>
            </w:r>
            <w:r w:rsidR="00DE5355">
              <w:rPr>
                <w:bCs/>
                <w:iCs/>
              </w:rPr>
              <w:t xml:space="preserve">advice relates to </w:t>
            </w:r>
            <w:proofErr w:type="spellStart"/>
            <w:r w:rsidRPr="003A517F">
              <w:rPr>
                <w:bCs/>
                <w:iCs/>
              </w:rPr>
              <w:t>utilisation</w:t>
            </w:r>
            <w:proofErr w:type="spellEnd"/>
            <w:r w:rsidRPr="003A517F">
              <w:rPr>
                <w:bCs/>
                <w:iCs/>
              </w:rPr>
              <w:t xml:space="preserve"> of </w:t>
            </w:r>
            <w:r w:rsidR="00DE5355">
              <w:rPr>
                <w:bCs/>
                <w:iCs/>
              </w:rPr>
              <w:t>GUIs</w:t>
            </w:r>
            <w:r w:rsidRPr="003A517F">
              <w:rPr>
                <w:bCs/>
                <w:iCs/>
              </w:rPr>
              <w:t xml:space="preserve"> for services provided to privately insured patients in both public and private hospitals.</w:t>
            </w:r>
            <w:r w:rsidR="00DE5355">
              <w:rPr>
                <w:bCs/>
                <w:iCs/>
              </w:rPr>
              <w:t xml:space="preserve"> Furthermore, the bundling advice is intended to support alternative arrangements to the current use of the PL as a payment mechanism for GUIs.</w:t>
            </w:r>
          </w:p>
          <w:p w14:paraId="0A7929E9" w14:textId="7ABCA7FE"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IHACPA acknowledges that alternative data sources may be useful to supplement gaps in primary data sources, such as low volumes of activity data for privately insured patients. In these cases, the identification of alternative data sources, such as international sources, </w:t>
            </w:r>
            <w:r w:rsidR="00DE5355">
              <w:rPr>
                <w:bCs/>
                <w:iCs/>
              </w:rPr>
              <w:t xml:space="preserve">would </w:t>
            </w:r>
            <w:r w:rsidRPr="003A517F">
              <w:rPr>
                <w:bCs/>
                <w:iCs/>
              </w:rPr>
              <w:t xml:space="preserve">need to be </w:t>
            </w:r>
            <w:r w:rsidR="00DE5355">
              <w:rPr>
                <w:bCs/>
                <w:iCs/>
              </w:rPr>
              <w:t xml:space="preserve">undertaken </w:t>
            </w:r>
            <w:r w:rsidRPr="003A517F">
              <w:rPr>
                <w:bCs/>
                <w:iCs/>
              </w:rPr>
              <w:t>with careful consideration to ensure conditions are comparable with the Australian context.</w:t>
            </w:r>
            <w:r w:rsidR="00DE5355">
              <w:rPr>
                <w:bCs/>
                <w:iCs/>
              </w:rPr>
              <w:t xml:space="preserve"> IHACPA has not undertaken this process within the development of its advice.</w:t>
            </w:r>
          </w:p>
          <w:p w14:paraId="65499088" w14:textId="79F30449"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Registry data was noted by a stakeholder as a valuable source, including data on patient characteristics that drive procedural complications. IHACPA understands that clinical characteristics drive patterns in </w:t>
            </w:r>
            <w:r w:rsidR="00DE5355">
              <w:rPr>
                <w:bCs/>
                <w:iCs/>
              </w:rPr>
              <w:t>GUI</w:t>
            </w:r>
            <w:r w:rsidRPr="003A517F">
              <w:rPr>
                <w:bCs/>
                <w:iCs/>
              </w:rPr>
              <w:t xml:space="preserve"> usage</w:t>
            </w:r>
            <w:r w:rsidR="00366F79" w:rsidRPr="003A517F">
              <w:rPr>
                <w:bCs/>
                <w:iCs/>
              </w:rPr>
              <w:t xml:space="preserve"> and has </w:t>
            </w:r>
            <w:r w:rsidR="00DE5355">
              <w:rPr>
                <w:bCs/>
                <w:iCs/>
              </w:rPr>
              <w:t xml:space="preserve">developed MDC-based bundle variants for this purpose. For further discussion on the association of GUI </w:t>
            </w:r>
            <w:proofErr w:type="spellStart"/>
            <w:r w:rsidR="00DE5355">
              <w:rPr>
                <w:bCs/>
                <w:iCs/>
              </w:rPr>
              <w:t>utilisation</w:t>
            </w:r>
            <w:proofErr w:type="spellEnd"/>
            <w:r w:rsidR="00DE5355">
              <w:rPr>
                <w:bCs/>
                <w:iCs/>
              </w:rPr>
              <w:t xml:space="preserve"> and clinical characteristics, see </w:t>
            </w:r>
            <w:r w:rsidR="00DE5355">
              <w:rPr>
                <w:bCs/>
                <w:iCs/>
              </w:rPr>
              <w:fldChar w:fldCharType="begin"/>
            </w:r>
            <w:r w:rsidR="00DE5355">
              <w:rPr>
                <w:bCs/>
                <w:iCs/>
              </w:rPr>
              <w:instrText xml:space="preserve"> REF _Ref120104387 \h </w:instrText>
            </w:r>
            <w:r w:rsidR="00DE5355">
              <w:rPr>
                <w:bCs/>
                <w:iCs/>
              </w:rPr>
            </w:r>
            <w:r w:rsidR="00DE5355">
              <w:rPr>
                <w:bCs/>
                <w:iCs/>
              </w:rPr>
              <w:fldChar w:fldCharType="separate"/>
            </w:r>
            <w:r w:rsidR="00106CD4">
              <w:t>C.3 General Use Item statistics</w:t>
            </w:r>
            <w:r w:rsidR="00DE5355">
              <w:rPr>
                <w:bCs/>
                <w:iCs/>
              </w:rPr>
              <w:fldChar w:fldCharType="end"/>
            </w:r>
            <w:r w:rsidR="00366F79" w:rsidRPr="003A517F">
              <w:rPr>
                <w:bCs/>
                <w:iCs/>
              </w:rPr>
              <w:t>.</w:t>
            </w:r>
          </w:p>
          <w:p w14:paraId="523A96C9" w14:textId="65C5D2D4"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With regard to stakeholder feedback on the use of comparative cost data, IHACPA does not consider cost information as a</w:t>
            </w:r>
            <w:r w:rsidR="00BC5589">
              <w:rPr>
                <w:bCs/>
                <w:iCs/>
              </w:rPr>
              <w:t>n appropriate</w:t>
            </w:r>
            <w:r w:rsidRPr="003A517F">
              <w:rPr>
                <w:bCs/>
                <w:iCs/>
              </w:rPr>
              <w:t xml:space="preserve"> primary data source for the purposes of defining bundling arrangements for </w:t>
            </w:r>
            <w:r w:rsidR="005D23C5">
              <w:rPr>
                <w:bCs/>
                <w:iCs/>
              </w:rPr>
              <w:t>GUIs</w:t>
            </w:r>
            <w:r w:rsidRPr="003A517F">
              <w:rPr>
                <w:bCs/>
                <w:iCs/>
              </w:rPr>
              <w:t xml:space="preserve">. IHACPA previously undertook a benchmarking exercise where </w:t>
            </w:r>
            <w:r w:rsidR="005D23C5">
              <w:rPr>
                <w:bCs/>
                <w:iCs/>
              </w:rPr>
              <w:t xml:space="preserve">devices </w:t>
            </w:r>
            <w:r w:rsidRPr="003A517F">
              <w:rPr>
                <w:bCs/>
                <w:iCs/>
              </w:rPr>
              <w:t xml:space="preserve">on the PL were benchmarked against </w:t>
            </w:r>
            <w:r w:rsidR="005D23C5">
              <w:rPr>
                <w:bCs/>
                <w:iCs/>
              </w:rPr>
              <w:t xml:space="preserve">devices </w:t>
            </w:r>
            <w:r w:rsidRPr="003A517F">
              <w:rPr>
                <w:bCs/>
                <w:iCs/>
              </w:rPr>
              <w:t xml:space="preserve">in the public hospital system. </w:t>
            </w:r>
            <w:r w:rsidR="005D23C5">
              <w:rPr>
                <w:bCs/>
                <w:iCs/>
              </w:rPr>
              <w:t xml:space="preserve">In the </w:t>
            </w:r>
            <w:r w:rsidRPr="003A517F">
              <w:rPr>
                <w:bCs/>
                <w:iCs/>
              </w:rPr>
              <w:t xml:space="preserve">scope of this current </w:t>
            </w:r>
            <w:r w:rsidR="005D23C5">
              <w:rPr>
                <w:bCs/>
                <w:iCs/>
              </w:rPr>
              <w:t xml:space="preserve">advice IHACPA has applied </w:t>
            </w:r>
            <w:r w:rsidRPr="003A517F">
              <w:rPr>
                <w:bCs/>
                <w:iCs/>
              </w:rPr>
              <w:t xml:space="preserve">the expected March 2023 PL scheduled benefits </w:t>
            </w:r>
            <w:r w:rsidR="005D23C5">
              <w:rPr>
                <w:bCs/>
                <w:iCs/>
              </w:rPr>
              <w:t xml:space="preserve">to GUIs </w:t>
            </w:r>
            <w:r w:rsidRPr="003A517F">
              <w:rPr>
                <w:bCs/>
                <w:iCs/>
              </w:rPr>
              <w:t>to ensure that the bundle</w:t>
            </w:r>
            <w:r w:rsidR="005D23C5">
              <w:rPr>
                <w:bCs/>
                <w:iCs/>
              </w:rPr>
              <w:t xml:space="preserve"> benefits</w:t>
            </w:r>
            <w:r w:rsidRPr="003A517F">
              <w:rPr>
                <w:bCs/>
                <w:iCs/>
              </w:rPr>
              <w:t xml:space="preserve"> align to the benefits paid for these items prior to their removal</w:t>
            </w:r>
            <w:r w:rsidR="005D23C5">
              <w:rPr>
                <w:bCs/>
                <w:iCs/>
              </w:rPr>
              <w:t xml:space="preserve"> from the PL</w:t>
            </w:r>
            <w:r w:rsidRPr="003A517F">
              <w:rPr>
                <w:bCs/>
                <w:iCs/>
              </w:rPr>
              <w:t xml:space="preserve">. </w:t>
            </w:r>
          </w:p>
          <w:p w14:paraId="2CB76DA5" w14:textId="6FE86752"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With regard to the use of industry-supplied data, IHACPA notes that the data provided for determining public sector benchmark prices does not contain a sufficient level of detail showing usage at an episode-level</w:t>
            </w:r>
            <w:r w:rsidR="005E3DF4" w:rsidRPr="003A517F">
              <w:rPr>
                <w:bCs/>
                <w:iCs/>
              </w:rPr>
              <w:t xml:space="preserve"> and associated episode characteristics</w:t>
            </w:r>
            <w:r w:rsidRPr="003A517F">
              <w:rPr>
                <w:bCs/>
                <w:iCs/>
              </w:rPr>
              <w:t xml:space="preserve"> to be useful in the development of this advice.</w:t>
            </w:r>
          </w:p>
        </w:tc>
      </w:tr>
      <w:tr w:rsidR="001D778B" w:rsidRPr="003A517F" w14:paraId="1B8FBBA7" w14:textId="77777777" w:rsidTr="001313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tcPr>
          <w:p w14:paraId="62F06B0E" w14:textId="77777777" w:rsidR="001D778B" w:rsidRPr="00D51DA9" w:rsidRDefault="001D778B" w:rsidP="00131343">
            <w:pPr>
              <w:spacing w:before="60" w:after="60"/>
              <w:jc w:val="center"/>
              <w:rPr>
                <w:sz w:val="18"/>
                <w:szCs w:val="18"/>
              </w:rPr>
            </w:pPr>
          </w:p>
        </w:tc>
        <w:tc>
          <w:tcPr>
            <w:tcW w:w="2530" w:type="dxa"/>
            <w:vMerge/>
          </w:tcPr>
          <w:p w14:paraId="3C47E4F5"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pPr>
          </w:p>
        </w:tc>
        <w:tc>
          <w:tcPr>
            <w:tcW w:w="6230" w:type="dxa"/>
          </w:tcPr>
          <w:p w14:paraId="2D2761EC"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r w:rsidRPr="003A517F">
              <w:rPr>
                <w:b/>
                <w:bCs/>
                <w:iCs/>
              </w:rPr>
              <w:t>Supporting international sources for benchmarking</w:t>
            </w:r>
          </w:p>
          <w:p w14:paraId="5AE4692F"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Four stakeholders recommended using international or global data sources for the purpose of benchmarking and examining differences in cost and </w:t>
            </w:r>
            <w:proofErr w:type="spellStart"/>
            <w:r w:rsidRPr="003A517F">
              <w:rPr>
                <w:bCs/>
                <w:iCs/>
              </w:rPr>
              <w:t>utilisation</w:t>
            </w:r>
            <w:proofErr w:type="spellEnd"/>
            <w:r w:rsidRPr="003A517F">
              <w:rPr>
                <w:bCs/>
                <w:iCs/>
              </w:rPr>
              <w:t>. These include comparisons in UK, US and/or OECD countries.</w:t>
            </w:r>
          </w:p>
          <w:p w14:paraId="07A410BC"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One of these stakeholders provided global comparative cost information for IHACPA’s consideration.</w:t>
            </w:r>
          </w:p>
        </w:tc>
        <w:tc>
          <w:tcPr>
            <w:tcW w:w="4727" w:type="dxa"/>
            <w:vMerge/>
          </w:tcPr>
          <w:p w14:paraId="3C22BBE9"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p>
        </w:tc>
      </w:tr>
      <w:tr w:rsidR="001D778B" w:rsidRPr="003A517F" w14:paraId="1C8AC099" w14:textId="77777777" w:rsidTr="0013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tcPr>
          <w:p w14:paraId="741EBF9F" w14:textId="77777777" w:rsidR="001D778B" w:rsidRPr="00D51DA9" w:rsidRDefault="001D778B" w:rsidP="00131343">
            <w:pPr>
              <w:spacing w:before="60" w:after="60"/>
              <w:jc w:val="center"/>
              <w:rPr>
                <w:sz w:val="18"/>
                <w:szCs w:val="18"/>
              </w:rPr>
            </w:pPr>
          </w:p>
        </w:tc>
        <w:tc>
          <w:tcPr>
            <w:tcW w:w="2530" w:type="dxa"/>
            <w:vMerge/>
          </w:tcPr>
          <w:p w14:paraId="5AAA1B50" w14:textId="7777777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6230" w:type="dxa"/>
          </w:tcPr>
          <w:p w14:paraId="4AE6C346"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
                <w:bCs/>
                <w:iCs/>
              </w:rPr>
              <w:t>Supporting use of registry data</w:t>
            </w:r>
          </w:p>
          <w:p w14:paraId="11DE2DE6" w14:textId="0DD04FD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Cs/>
                <w:iCs/>
              </w:rPr>
              <w:t xml:space="preserve">Another recommendation made by a stakeholder was registry data, which could be </w:t>
            </w:r>
            <w:proofErr w:type="spellStart"/>
            <w:r w:rsidRPr="003A517F">
              <w:rPr>
                <w:bCs/>
                <w:iCs/>
              </w:rPr>
              <w:t>utilised</w:t>
            </w:r>
            <w:proofErr w:type="spellEnd"/>
            <w:r w:rsidRPr="003A517F">
              <w:rPr>
                <w:bCs/>
                <w:iCs/>
              </w:rPr>
              <w:t xml:space="preserve"> to explain usage patterns of certain </w:t>
            </w:r>
            <w:r w:rsidR="009B5B2C">
              <w:rPr>
                <w:bCs/>
                <w:iCs/>
              </w:rPr>
              <w:t>GUI</w:t>
            </w:r>
            <w:r w:rsidRPr="003A517F">
              <w:rPr>
                <w:bCs/>
                <w:iCs/>
              </w:rPr>
              <w:t>s by examining patient characteristics that drive procedural complications. Some registries that were mentioned include: NJJR, Bariatrics, Cardiac Surgery, Colorectal Surgery, and Gynae-Oncology Registries.</w:t>
            </w:r>
          </w:p>
        </w:tc>
        <w:tc>
          <w:tcPr>
            <w:tcW w:w="4727" w:type="dxa"/>
            <w:vMerge/>
          </w:tcPr>
          <w:p w14:paraId="13937F63"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p>
        </w:tc>
      </w:tr>
      <w:tr w:rsidR="001D778B" w:rsidRPr="003A517F" w14:paraId="18FC98D5" w14:textId="77777777" w:rsidTr="001313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tcPr>
          <w:p w14:paraId="120B79F0" w14:textId="77777777" w:rsidR="001D778B" w:rsidRPr="00D51DA9" w:rsidRDefault="001D778B" w:rsidP="00131343">
            <w:pPr>
              <w:spacing w:before="60" w:after="60"/>
              <w:jc w:val="center"/>
              <w:rPr>
                <w:sz w:val="18"/>
                <w:szCs w:val="18"/>
              </w:rPr>
            </w:pPr>
          </w:p>
        </w:tc>
        <w:tc>
          <w:tcPr>
            <w:tcW w:w="2530" w:type="dxa"/>
            <w:vMerge/>
          </w:tcPr>
          <w:p w14:paraId="5D51A32F"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pPr>
          </w:p>
        </w:tc>
        <w:tc>
          <w:tcPr>
            <w:tcW w:w="6230" w:type="dxa"/>
          </w:tcPr>
          <w:p w14:paraId="1FEE285B"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r w:rsidRPr="003A517F">
              <w:rPr>
                <w:b/>
                <w:bCs/>
                <w:iCs/>
              </w:rPr>
              <w:t>Other data sources</w:t>
            </w:r>
          </w:p>
          <w:p w14:paraId="0E8EDC37"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One stakeholder suggested that industry-supplied data provided to IHACPA to determine public sector benchmark prices could be used to verify data from other sources.</w:t>
            </w:r>
          </w:p>
        </w:tc>
        <w:tc>
          <w:tcPr>
            <w:tcW w:w="4727" w:type="dxa"/>
            <w:vMerge/>
          </w:tcPr>
          <w:p w14:paraId="19A2E374"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p>
        </w:tc>
      </w:tr>
      <w:tr w:rsidR="001D778B" w:rsidRPr="003A517F" w14:paraId="6C9086E6" w14:textId="77777777" w:rsidTr="0013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val="restart"/>
          </w:tcPr>
          <w:p w14:paraId="2D7FE5FE" w14:textId="77777777" w:rsidR="001D778B" w:rsidRPr="00D51DA9" w:rsidRDefault="001D778B" w:rsidP="00131343">
            <w:pPr>
              <w:spacing w:before="60" w:after="60"/>
              <w:jc w:val="center"/>
              <w:rPr>
                <w:b/>
                <w:bCs/>
                <w:sz w:val="18"/>
                <w:szCs w:val="18"/>
              </w:rPr>
            </w:pPr>
            <w:r w:rsidRPr="00D51DA9">
              <w:rPr>
                <w:sz w:val="18"/>
                <w:szCs w:val="18"/>
              </w:rPr>
              <w:t>4</w:t>
            </w:r>
          </w:p>
        </w:tc>
        <w:tc>
          <w:tcPr>
            <w:tcW w:w="2530" w:type="dxa"/>
            <w:vMerge w:val="restart"/>
          </w:tcPr>
          <w:p w14:paraId="1EA7071C" w14:textId="7777777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r w:rsidRPr="003A517F">
              <w:t>Do you support or oppose the use of the PL product classification within the design of General Use Item bundles? Please provide details in terms of the specific features of the PL classification.</w:t>
            </w:r>
          </w:p>
        </w:tc>
        <w:tc>
          <w:tcPr>
            <w:tcW w:w="6230" w:type="dxa"/>
          </w:tcPr>
          <w:p w14:paraId="08C87BBE"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
                <w:bCs/>
                <w:iCs/>
              </w:rPr>
              <w:t>Supporting use of the PL product classification</w:t>
            </w:r>
          </w:p>
          <w:p w14:paraId="0E3FCED7" w14:textId="3C50E81B"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color w:val="auto"/>
              </w:rPr>
              <w:t>10</w:t>
            </w:r>
            <w:r w:rsidRPr="003A517F">
              <w:rPr>
                <w:bCs/>
                <w:iCs/>
                <w:color w:val="FF0000"/>
              </w:rPr>
              <w:t xml:space="preserve"> </w:t>
            </w:r>
            <w:r w:rsidRPr="003A517F">
              <w:rPr>
                <w:bCs/>
                <w:iCs/>
              </w:rPr>
              <w:t xml:space="preserve">stakeholders supported the use of the PL product classification within the design of the </w:t>
            </w:r>
            <w:r w:rsidR="009B5B2C">
              <w:rPr>
                <w:bCs/>
                <w:iCs/>
              </w:rPr>
              <w:t>GUI</w:t>
            </w:r>
            <w:r w:rsidRPr="003A517F">
              <w:rPr>
                <w:bCs/>
                <w:iCs/>
              </w:rPr>
              <w:t xml:space="preserve"> bundles.</w:t>
            </w:r>
          </w:p>
          <w:p w14:paraId="40EEC507" w14:textId="7135FC8F"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However</w:t>
            </w:r>
            <w:r w:rsidR="00BC5589">
              <w:rPr>
                <w:bCs/>
                <w:iCs/>
              </w:rPr>
              <w:t>,</w:t>
            </w:r>
            <w:r w:rsidRPr="003A517F">
              <w:rPr>
                <w:bCs/>
                <w:iCs/>
              </w:rPr>
              <w:t xml:space="preserve"> of these stakeholders, there are differing views as to the features of the PL classification to use.</w:t>
            </w:r>
          </w:p>
          <w:p w14:paraId="23097CDB"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One stakeholder noted that grouping must be carefully done to ensure an appropriate level of granularity to identify variations in </w:t>
            </w:r>
            <w:proofErr w:type="spellStart"/>
            <w:r w:rsidRPr="003A517F">
              <w:rPr>
                <w:bCs/>
                <w:iCs/>
              </w:rPr>
              <w:t>utilisation</w:t>
            </w:r>
            <w:proofErr w:type="spellEnd"/>
            <w:r w:rsidRPr="003A517F">
              <w:rPr>
                <w:bCs/>
                <w:iCs/>
              </w:rPr>
              <w:t xml:space="preserve"> across the sector.</w:t>
            </w:r>
          </w:p>
          <w:p w14:paraId="3E0792D5"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Three stakeholders noted that the utility of the technology, including clinical and economic benefits, should be considered when selecting the level of granularity used in the PL classification.</w:t>
            </w:r>
          </w:p>
          <w:p w14:paraId="4398D4D6"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Three stakeholders specified the use of the PL product classification at the suffix level.</w:t>
            </w:r>
          </w:p>
        </w:tc>
        <w:tc>
          <w:tcPr>
            <w:tcW w:w="4727" w:type="dxa"/>
            <w:vMerge w:val="restart"/>
          </w:tcPr>
          <w:p w14:paraId="5929FF51" w14:textId="697183EA"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IHACPA notes the support for use of the PL product classification. IHACPA </w:t>
            </w:r>
            <w:r w:rsidR="00425D27">
              <w:rPr>
                <w:bCs/>
                <w:iCs/>
              </w:rPr>
              <w:t xml:space="preserve">has </w:t>
            </w:r>
            <w:r w:rsidRPr="003A517F">
              <w:rPr>
                <w:bCs/>
                <w:iCs/>
              </w:rPr>
              <w:t>use</w:t>
            </w:r>
            <w:r w:rsidR="00425D27">
              <w:rPr>
                <w:bCs/>
                <w:iCs/>
              </w:rPr>
              <w:t>d</w:t>
            </w:r>
            <w:r w:rsidRPr="003A517F">
              <w:rPr>
                <w:bCs/>
                <w:iCs/>
              </w:rPr>
              <w:t xml:space="preserve"> the PL product classification as </w:t>
            </w:r>
            <w:r w:rsidR="00425D27">
              <w:rPr>
                <w:bCs/>
                <w:iCs/>
              </w:rPr>
              <w:t xml:space="preserve">a </w:t>
            </w:r>
            <w:r w:rsidRPr="003A517F">
              <w:rPr>
                <w:bCs/>
                <w:iCs/>
              </w:rPr>
              <w:t xml:space="preserve">foundation for the </w:t>
            </w:r>
            <w:r w:rsidR="00425D27">
              <w:rPr>
                <w:bCs/>
                <w:iCs/>
              </w:rPr>
              <w:t xml:space="preserve">classification of GUI products within the </w:t>
            </w:r>
            <w:r w:rsidRPr="003A517F">
              <w:rPr>
                <w:bCs/>
                <w:iCs/>
              </w:rPr>
              <w:t xml:space="preserve">development of </w:t>
            </w:r>
            <w:r w:rsidR="00425D27">
              <w:rPr>
                <w:bCs/>
                <w:iCs/>
              </w:rPr>
              <w:t>bundling advice.</w:t>
            </w:r>
          </w:p>
          <w:p w14:paraId="3A1D8776" w14:textId="2EA640B7" w:rsidR="005E3DF4" w:rsidRPr="003A517F" w:rsidRDefault="001D778B" w:rsidP="005C0F82">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IHACPA notes stakeholders’ concerns around the level of granularity within the PL classification. IHACPA has </w:t>
            </w:r>
            <w:r w:rsidR="00425D27">
              <w:rPr>
                <w:bCs/>
                <w:iCs/>
              </w:rPr>
              <w:t xml:space="preserve">primarily </w:t>
            </w:r>
            <w:r w:rsidRPr="003A517F">
              <w:rPr>
                <w:bCs/>
                <w:iCs/>
              </w:rPr>
              <w:t xml:space="preserve">chosen the PL product group level of classification to differentiate items in the definition of bundles, with a few exceptions (see </w:t>
            </w:r>
            <w:r w:rsidR="00B56087" w:rsidRPr="003A517F">
              <w:rPr>
                <w:bCs/>
                <w:iCs/>
              </w:rPr>
              <w:t xml:space="preserve">Section </w:t>
            </w:r>
            <w:r w:rsidR="00B56087" w:rsidRPr="007175ED">
              <w:rPr>
                <w:bCs/>
                <w:iCs/>
              </w:rPr>
              <w:fldChar w:fldCharType="begin"/>
            </w:r>
            <w:r w:rsidR="00B56087" w:rsidRPr="003A517F">
              <w:rPr>
                <w:bCs/>
                <w:iCs/>
              </w:rPr>
              <w:instrText xml:space="preserve"> REF _Ref119499526 \w \h </w:instrText>
            </w:r>
            <w:r w:rsidR="00366F79" w:rsidRPr="003A517F">
              <w:rPr>
                <w:bCs/>
                <w:iCs/>
              </w:rPr>
              <w:instrText xml:space="preserve"> \* MERGEFORMAT </w:instrText>
            </w:r>
            <w:r w:rsidR="00B56087" w:rsidRPr="007175ED">
              <w:rPr>
                <w:bCs/>
                <w:iCs/>
              </w:rPr>
            </w:r>
            <w:r w:rsidR="00B56087" w:rsidRPr="007175ED">
              <w:rPr>
                <w:bCs/>
                <w:iCs/>
              </w:rPr>
              <w:fldChar w:fldCharType="separate"/>
            </w:r>
            <w:r w:rsidR="00106CD4">
              <w:rPr>
                <w:bCs/>
                <w:iCs/>
              </w:rPr>
              <w:t>5.3.1</w:t>
            </w:r>
            <w:r w:rsidR="00B56087" w:rsidRPr="007175ED">
              <w:rPr>
                <w:bCs/>
                <w:iCs/>
              </w:rPr>
              <w:fldChar w:fldCharType="end"/>
            </w:r>
            <w:r w:rsidR="00B56087" w:rsidRPr="003A517F">
              <w:rPr>
                <w:bCs/>
                <w:iCs/>
              </w:rPr>
              <w:t xml:space="preserve"> - </w:t>
            </w:r>
            <w:r w:rsidR="00B56087" w:rsidRPr="007175ED">
              <w:rPr>
                <w:bCs/>
                <w:iCs/>
              </w:rPr>
              <w:fldChar w:fldCharType="begin"/>
            </w:r>
            <w:r w:rsidR="00B56087" w:rsidRPr="003A517F">
              <w:rPr>
                <w:bCs/>
                <w:iCs/>
              </w:rPr>
              <w:instrText xml:space="preserve"> REF _Ref119499526 \h </w:instrText>
            </w:r>
            <w:r w:rsidR="00366F79" w:rsidRPr="003A517F">
              <w:rPr>
                <w:bCs/>
                <w:iCs/>
              </w:rPr>
              <w:instrText xml:space="preserve"> \* MERGEFORMAT </w:instrText>
            </w:r>
            <w:r w:rsidR="00B56087" w:rsidRPr="007175ED">
              <w:rPr>
                <w:bCs/>
                <w:iCs/>
              </w:rPr>
            </w:r>
            <w:r w:rsidR="00B56087" w:rsidRPr="007175ED">
              <w:rPr>
                <w:bCs/>
                <w:iCs/>
              </w:rPr>
              <w:fldChar w:fldCharType="separate"/>
            </w:r>
            <w:r w:rsidR="00106CD4">
              <w:t>Defining GUI product classes</w:t>
            </w:r>
            <w:r w:rsidR="00B56087" w:rsidRPr="007175ED">
              <w:rPr>
                <w:bCs/>
                <w:iCs/>
              </w:rPr>
              <w:fldChar w:fldCharType="end"/>
            </w:r>
            <w:r w:rsidRPr="003A517F">
              <w:rPr>
                <w:bCs/>
                <w:iCs/>
              </w:rPr>
              <w:t>).</w:t>
            </w:r>
            <w:r w:rsidR="005E3DF4" w:rsidRPr="003A517F">
              <w:rPr>
                <w:bCs/>
                <w:iCs/>
              </w:rPr>
              <w:t xml:space="preserve"> </w:t>
            </w:r>
          </w:p>
          <w:p w14:paraId="3B349DA5" w14:textId="6F136056" w:rsidR="001D778B" w:rsidRPr="003A517F" w:rsidRDefault="005E3DF4" w:rsidP="009D4018">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Cs/>
                <w:iCs/>
              </w:rPr>
              <w:t xml:space="preserve">Additional granularity in the definition of bundles to better identify variations in </w:t>
            </w:r>
            <w:proofErr w:type="spellStart"/>
            <w:r w:rsidRPr="003A517F">
              <w:rPr>
                <w:bCs/>
                <w:iCs/>
              </w:rPr>
              <w:t>utilisation</w:t>
            </w:r>
            <w:proofErr w:type="spellEnd"/>
            <w:r w:rsidRPr="003A517F">
              <w:rPr>
                <w:bCs/>
                <w:iCs/>
              </w:rPr>
              <w:t xml:space="preserve"> </w:t>
            </w:r>
            <w:r w:rsidR="005253A7">
              <w:rPr>
                <w:bCs/>
                <w:iCs/>
              </w:rPr>
              <w:t>has been defined within the facility type and MDC-based bundle variants</w:t>
            </w:r>
            <w:r w:rsidRPr="003A517F">
              <w:rPr>
                <w:bCs/>
                <w:iCs/>
              </w:rPr>
              <w:t>.</w:t>
            </w:r>
          </w:p>
        </w:tc>
      </w:tr>
      <w:tr w:rsidR="001D778B" w:rsidRPr="003A517F" w14:paraId="346613A8" w14:textId="77777777" w:rsidTr="00131343">
        <w:trPr>
          <w:cnfStyle w:val="000000010000" w:firstRow="0" w:lastRow="0" w:firstColumn="0" w:lastColumn="0" w:oddVBand="0" w:evenVBand="0" w:oddHBand="0" w:evenHBand="1"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461" w:type="dxa"/>
            <w:vMerge/>
          </w:tcPr>
          <w:p w14:paraId="7F941C16" w14:textId="77777777" w:rsidR="001D778B" w:rsidRPr="00D51DA9" w:rsidRDefault="001D778B" w:rsidP="00131343">
            <w:pPr>
              <w:spacing w:before="60" w:after="60"/>
              <w:jc w:val="center"/>
              <w:rPr>
                <w:sz w:val="18"/>
                <w:szCs w:val="18"/>
              </w:rPr>
            </w:pPr>
          </w:p>
        </w:tc>
        <w:tc>
          <w:tcPr>
            <w:tcW w:w="2530" w:type="dxa"/>
            <w:vMerge/>
          </w:tcPr>
          <w:p w14:paraId="700685FB"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pPr>
          </w:p>
        </w:tc>
        <w:tc>
          <w:tcPr>
            <w:tcW w:w="6230" w:type="dxa"/>
          </w:tcPr>
          <w:p w14:paraId="454ED01D"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r w:rsidRPr="003A517F">
              <w:rPr>
                <w:b/>
                <w:bCs/>
                <w:iCs/>
              </w:rPr>
              <w:t>Opposing use of the PL product classification</w:t>
            </w:r>
          </w:p>
          <w:p w14:paraId="7B92D1F5" w14:textId="3E102513"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Whilst one stakeholder did not voice a clear opposition to the use of the PL product classification, they noted that it is the mix, cost and variability of items to be bundled that is of interest, rather than their current or previous </w:t>
            </w:r>
            <w:r w:rsidR="00BC5589">
              <w:rPr>
                <w:bCs/>
                <w:iCs/>
              </w:rPr>
              <w:t>PL</w:t>
            </w:r>
            <w:r w:rsidRPr="003A517F">
              <w:rPr>
                <w:bCs/>
                <w:iCs/>
              </w:rPr>
              <w:t xml:space="preserve"> product classification.</w:t>
            </w:r>
          </w:p>
        </w:tc>
        <w:tc>
          <w:tcPr>
            <w:tcW w:w="4727" w:type="dxa"/>
            <w:vMerge/>
          </w:tcPr>
          <w:p w14:paraId="4A8D93A6"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p>
        </w:tc>
      </w:tr>
      <w:tr w:rsidR="001D778B" w:rsidRPr="003A517F" w14:paraId="276B5347" w14:textId="77777777" w:rsidTr="00131343">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461" w:type="dxa"/>
            <w:vMerge/>
          </w:tcPr>
          <w:p w14:paraId="4B0CF164" w14:textId="77777777" w:rsidR="001D778B" w:rsidRPr="00D51DA9" w:rsidRDefault="001D778B" w:rsidP="00131343">
            <w:pPr>
              <w:spacing w:before="60" w:after="60"/>
              <w:jc w:val="center"/>
              <w:rPr>
                <w:sz w:val="18"/>
                <w:szCs w:val="18"/>
              </w:rPr>
            </w:pPr>
          </w:p>
        </w:tc>
        <w:tc>
          <w:tcPr>
            <w:tcW w:w="2530" w:type="dxa"/>
            <w:vMerge/>
          </w:tcPr>
          <w:p w14:paraId="4A956F9B" w14:textId="7777777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6230" w:type="dxa"/>
          </w:tcPr>
          <w:p w14:paraId="61E764D3"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
                <w:bCs/>
                <w:iCs/>
              </w:rPr>
              <w:t>Concerns regarding use of PL product classification</w:t>
            </w:r>
          </w:p>
          <w:p w14:paraId="0513D27D" w14:textId="790C9DEC"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Four stakeholders were unclear in their position </w:t>
            </w:r>
            <w:r w:rsidR="00BC5589">
              <w:rPr>
                <w:bCs/>
                <w:iCs/>
              </w:rPr>
              <w:t>regarding</w:t>
            </w:r>
            <w:r w:rsidRPr="003A517F">
              <w:rPr>
                <w:bCs/>
                <w:iCs/>
              </w:rPr>
              <w:t xml:space="preserve"> the PL product classification, mentioning a number of concerns related to its use:</w:t>
            </w:r>
          </w:p>
          <w:p w14:paraId="647EC519"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One stakeholder suggested that bundling should retain flexibility for clinicians to use the devices most suitable.</w:t>
            </w:r>
          </w:p>
          <w:p w14:paraId="6E5C390E"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One stakeholder suggested that the PL product classification should be approached with caution due to issues and anomalies in product classifications, for example items being inappropriately </w:t>
            </w:r>
            <w:proofErr w:type="spellStart"/>
            <w:r w:rsidRPr="003A517F">
              <w:rPr>
                <w:bCs/>
                <w:iCs/>
              </w:rPr>
              <w:t>categorised</w:t>
            </w:r>
            <w:proofErr w:type="spellEnd"/>
            <w:r w:rsidRPr="003A517F">
              <w:rPr>
                <w:bCs/>
                <w:iCs/>
              </w:rPr>
              <w:t>, and unjustified differentials in benefit amounts.</w:t>
            </w:r>
          </w:p>
          <w:p w14:paraId="6305BA48" w14:textId="74136F6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One stakeholder noted that it may be necessary to explore correlations at category or sub-category level. However</w:t>
            </w:r>
            <w:r w:rsidR="00BC5589">
              <w:rPr>
                <w:bCs/>
                <w:iCs/>
              </w:rPr>
              <w:t>,</w:t>
            </w:r>
            <w:r w:rsidRPr="003A517F">
              <w:rPr>
                <w:bCs/>
                <w:iCs/>
              </w:rPr>
              <w:t xml:space="preserve"> at this level, there may be low levels of </w:t>
            </w:r>
            <w:proofErr w:type="spellStart"/>
            <w:r w:rsidRPr="003A517F">
              <w:rPr>
                <w:bCs/>
                <w:iCs/>
              </w:rPr>
              <w:t>utilisation</w:t>
            </w:r>
            <w:proofErr w:type="spellEnd"/>
            <w:r w:rsidRPr="003A517F">
              <w:rPr>
                <w:bCs/>
                <w:iCs/>
              </w:rPr>
              <w:t xml:space="preserve"> that limits the analysis.</w:t>
            </w:r>
          </w:p>
          <w:p w14:paraId="6DC84115"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Additional concerns from other stakeholders regarding the use of PL product classification include:</w:t>
            </w:r>
          </w:p>
          <w:p w14:paraId="3675B62B"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Care should be exercised for items with high variation of </w:t>
            </w:r>
            <w:proofErr w:type="spellStart"/>
            <w:r w:rsidRPr="003A517F">
              <w:rPr>
                <w:bCs/>
                <w:iCs/>
              </w:rPr>
              <w:t>utilisation</w:t>
            </w:r>
            <w:proofErr w:type="spellEnd"/>
            <w:r w:rsidRPr="003A517F">
              <w:rPr>
                <w:bCs/>
                <w:iCs/>
              </w:rPr>
              <w:t xml:space="preserve"> that may indicate inefficiencies in </w:t>
            </w:r>
            <w:proofErr w:type="spellStart"/>
            <w:r w:rsidRPr="003A517F">
              <w:rPr>
                <w:bCs/>
                <w:iCs/>
              </w:rPr>
              <w:t>utilisation</w:t>
            </w:r>
            <w:proofErr w:type="spellEnd"/>
            <w:r w:rsidRPr="003A517F">
              <w:rPr>
                <w:bCs/>
                <w:iCs/>
              </w:rPr>
              <w:t>, such as sponges, glues and adhesion barriers.</w:t>
            </w:r>
          </w:p>
          <w:p w14:paraId="5CDA6D0E"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One stakeholder suggested adjustments be put in place for items that have previously been denied access to the PL due to the reform.</w:t>
            </w:r>
          </w:p>
        </w:tc>
        <w:tc>
          <w:tcPr>
            <w:tcW w:w="4727" w:type="dxa"/>
            <w:vMerge/>
          </w:tcPr>
          <w:p w14:paraId="42969F55"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p>
        </w:tc>
      </w:tr>
      <w:tr w:rsidR="001D778B" w:rsidRPr="003A517F" w14:paraId="21D69DCE" w14:textId="77777777" w:rsidTr="00131343">
        <w:trPr>
          <w:cnfStyle w:val="000000010000" w:firstRow="0" w:lastRow="0" w:firstColumn="0" w:lastColumn="0" w:oddVBand="0" w:evenVBand="0" w:oddHBand="0" w:evenHBand="1"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461" w:type="dxa"/>
            <w:vMerge/>
          </w:tcPr>
          <w:p w14:paraId="5B6684A3" w14:textId="77777777" w:rsidR="001D778B" w:rsidRPr="00D51DA9" w:rsidRDefault="001D778B" w:rsidP="00131343">
            <w:pPr>
              <w:spacing w:before="60" w:after="60"/>
              <w:jc w:val="center"/>
              <w:rPr>
                <w:sz w:val="18"/>
                <w:szCs w:val="18"/>
              </w:rPr>
            </w:pPr>
          </w:p>
        </w:tc>
        <w:tc>
          <w:tcPr>
            <w:tcW w:w="2530" w:type="dxa"/>
            <w:vMerge/>
          </w:tcPr>
          <w:p w14:paraId="06FB43C0"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pPr>
          </w:p>
        </w:tc>
        <w:tc>
          <w:tcPr>
            <w:tcW w:w="6230" w:type="dxa"/>
          </w:tcPr>
          <w:p w14:paraId="7062CAC1"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r w:rsidRPr="003A517F">
              <w:rPr>
                <w:b/>
                <w:bCs/>
                <w:iCs/>
              </w:rPr>
              <w:t xml:space="preserve">Alternative classification system </w:t>
            </w:r>
          </w:p>
          <w:p w14:paraId="19093C30"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One stakeholder noted that, if a new classification system is considered for the PL delisting and bundling process, this would need to reflect hospital or case-mix level.</w:t>
            </w:r>
          </w:p>
        </w:tc>
        <w:tc>
          <w:tcPr>
            <w:tcW w:w="4727" w:type="dxa"/>
            <w:vMerge/>
          </w:tcPr>
          <w:p w14:paraId="1256AA79"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p>
        </w:tc>
      </w:tr>
      <w:tr w:rsidR="001D778B" w:rsidRPr="003A517F" w14:paraId="4F48D1F8" w14:textId="77777777" w:rsidTr="0013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val="restart"/>
          </w:tcPr>
          <w:p w14:paraId="4170A401" w14:textId="77777777" w:rsidR="001D778B" w:rsidRPr="00D51DA9" w:rsidRDefault="001D778B" w:rsidP="00131343">
            <w:pPr>
              <w:spacing w:before="60" w:after="60"/>
              <w:jc w:val="center"/>
              <w:rPr>
                <w:b/>
                <w:bCs/>
                <w:sz w:val="18"/>
                <w:szCs w:val="18"/>
              </w:rPr>
            </w:pPr>
            <w:r w:rsidRPr="00D51DA9">
              <w:rPr>
                <w:sz w:val="18"/>
                <w:szCs w:val="18"/>
              </w:rPr>
              <w:t>5</w:t>
            </w:r>
          </w:p>
        </w:tc>
        <w:tc>
          <w:tcPr>
            <w:tcW w:w="2530" w:type="dxa"/>
            <w:vMerge w:val="restart"/>
          </w:tcPr>
          <w:p w14:paraId="19508EBC" w14:textId="7777777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r w:rsidRPr="003A517F">
              <w:t>Do you support or oppose the use of the ICD-10-AM/ACHI/ACS classifications within the design of General Use Item bundles? Please provide details of any perceived issues or benefits regarding the use of these classifications.</w:t>
            </w:r>
          </w:p>
        </w:tc>
        <w:tc>
          <w:tcPr>
            <w:tcW w:w="6230" w:type="dxa"/>
          </w:tcPr>
          <w:p w14:paraId="42808A01"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
                <w:bCs/>
                <w:iCs/>
              </w:rPr>
              <w:t>Supporting use of the ICD-10-AM/ACHI/ACS classifications</w:t>
            </w:r>
          </w:p>
          <w:p w14:paraId="583B1BAF"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14 stakeholders supported the use of the ICD-10-AM/ACHI/ACS classifications, with a common reason being that these classifications are used widely and are well understood. Feedback received in the use of these classifications include:</w:t>
            </w:r>
          </w:p>
          <w:p w14:paraId="6EA1E1D0" w14:textId="2309347A"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The design of </w:t>
            </w:r>
            <w:r w:rsidR="009B5B2C">
              <w:rPr>
                <w:bCs/>
                <w:iCs/>
              </w:rPr>
              <w:t>GUI</w:t>
            </w:r>
            <w:r w:rsidRPr="003A517F">
              <w:rPr>
                <w:bCs/>
                <w:iCs/>
              </w:rPr>
              <w:t xml:space="preserve"> bundles using the ICD-10-AM/ACHI/ACS system should outline potential aggregation at the AR-DRG level, or used in combination with AR-DRG.</w:t>
            </w:r>
          </w:p>
          <w:p w14:paraId="5360CF37" w14:textId="2A015320"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There may be patterns of </w:t>
            </w:r>
            <w:r w:rsidR="009B5B2C">
              <w:rPr>
                <w:bCs/>
                <w:iCs/>
              </w:rPr>
              <w:t>GUI</w:t>
            </w:r>
            <w:r w:rsidRPr="003A517F">
              <w:rPr>
                <w:bCs/>
                <w:iCs/>
              </w:rPr>
              <w:t xml:space="preserve"> </w:t>
            </w:r>
            <w:proofErr w:type="spellStart"/>
            <w:r w:rsidRPr="003A517F">
              <w:rPr>
                <w:bCs/>
                <w:iCs/>
              </w:rPr>
              <w:t>utilisation</w:t>
            </w:r>
            <w:proofErr w:type="spellEnd"/>
            <w:r w:rsidRPr="003A517F">
              <w:rPr>
                <w:bCs/>
                <w:iCs/>
              </w:rPr>
              <w:t xml:space="preserve"> with the same MBS item and ICD-10-AM classification. One stakeholder noted that the mapping of ICD-10 to MBS </w:t>
            </w:r>
            <w:proofErr w:type="spellStart"/>
            <w:r w:rsidRPr="003A517F">
              <w:rPr>
                <w:bCs/>
                <w:iCs/>
              </w:rPr>
              <w:t>utilisation</w:t>
            </w:r>
            <w:proofErr w:type="spellEnd"/>
            <w:r w:rsidRPr="003A517F">
              <w:rPr>
                <w:bCs/>
                <w:iCs/>
              </w:rPr>
              <w:t xml:space="preserve"> would be useful information for all stakeholders.</w:t>
            </w:r>
          </w:p>
          <w:p w14:paraId="43FA4520"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proofErr w:type="spellStart"/>
            <w:r w:rsidRPr="003A517F">
              <w:rPr>
                <w:bCs/>
                <w:iCs/>
              </w:rPr>
              <w:t>Utilisation</w:t>
            </w:r>
            <w:proofErr w:type="spellEnd"/>
            <w:r w:rsidRPr="003A517F">
              <w:rPr>
                <w:bCs/>
                <w:iCs/>
              </w:rPr>
              <w:t xml:space="preserve"> at a procedure-level should be examined, as episode-level calculations may be impacted in instances where there are multiple procedures per episode.</w:t>
            </w:r>
          </w:p>
          <w:p w14:paraId="733AB5C9"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3A517F">
              <w:rPr>
                <w:bCs/>
                <w:iCs/>
              </w:rPr>
              <w:t>It may be necessary to validate and maintain bundles in a range of AR-DRG versions if AR-DRGs are used as a component in the design.</w:t>
            </w:r>
          </w:p>
        </w:tc>
        <w:tc>
          <w:tcPr>
            <w:tcW w:w="4727" w:type="dxa"/>
            <w:vMerge w:val="restart"/>
          </w:tcPr>
          <w:p w14:paraId="3CF2F25E" w14:textId="61E6A9DC" w:rsidR="001D778B" w:rsidRPr="00DC7E68" w:rsidRDefault="001D778B" w:rsidP="005C0F82">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IHACPA acknowledges stakeholders’ support for the ICD-10-AM/ACHI/ACS and AR-DRG classifications. IHACPA </w:t>
            </w:r>
            <w:r w:rsidR="00DC7E68">
              <w:rPr>
                <w:bCs/>
                <w:iCs/>
              </w:rPr>
              <w:t xml:space="preserve">has used </w:t>
            </w:r>
            <w:r w:rsidRPr="003A517F">
              <w:rPr>
                <w:bCs/>
                <w:iCs/>
              </w:rPr>
              <w:t xml:space="preserve">the ICD-10-AM/ACHI/ACS and AR-DRG classifications to support </w:t>
            </w:r>
            <w:r w:rsidR="00DC7E68">
              <w:rPr>
                <w:bCs/>
                <w:iCs/>
              </w:rPr>
              <w:t xml:space="preserve">the </w:t>
            </w:r>
            <w:r w:rsidRPr="003A517F">
              <w:rPr>
                <w:bCs/>
                <w:iCs/>
              </w:rPr>
              <w:t xml:space="preserve">design of </w:t>
            </w:r>
            <w:r w:rsidR="00DC7E68">
              <w:rPr>
                <w:bCs/>
                <w:iCs/>
              </w:rPr>
              <w:t>MDC-based GUI</w:t>
            </w:r>
            <w:r w:rsidRPr="003A517F">
              <w:rPr>
                <w:bCs/>
                <w:iCs/>
              </w:rPr>
              <w:t xml:space="preserve"> bundle</w:t>
            </w:r>
            <w:r w:rsidR="00DC7E68">
              <w:rPr>
                <w:bCs/>
                <w:iCs/>
              </w:rPr>
              <w:t xml:space="preserve"> variants</w:t>
            </w:r>
            <w:r w:rsidRPr="003A517F">
              <w:rPr>
                <w:bCs/>
                <w:iCs/>
              </w:rPr>
              <w:t>.</w:t>
            </w:r>
          </w:p>
        </w:tc>
      </w:tr>
      <w:tr w:rsidR="001D778B" w:rsidRPr="003A517F" w14:paraId="05D2916E" w14:textId="77777777" w:rsidTr="001313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tcPr>
          <w:p w14:paraId="37ABFE6C" w14:textId="77777777" w:rsidR="001D778B" w:rsidRPr="00D51DA9" w:rsidRDefault="001D778B" w:rsidP="00131343">
            <w:pPr>
              <w:spacing w:before="60" w:after="60"/>
              <w:jc w:val="center"/>
              <w:rPr>
                <w:sz w:val="18"/>
                <w:szCs w:val="18"/>
              </w:rPr>
            </w:pPr>
          </w:p>
        </w:tc>
        <w:tc>
          <w:tcPr>
            <w:tcW w:w="2530" w:type="dxa"/>
            <w:vMerge/>
          </w:tcPr>
          <w:p w14:paraId="5C4C3B37"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pPr>
          </w:p>
        </w:tc>
        <w:tc>
          <w:tcPr>
            <w:tcW w:w="6230" w:type="dxa"/>
          </w:tcPr>
          <w:p w14:paraId="73889FD8" w14:textId="77777777" w:rsidR="001D778B" w:rsidRPr="003A517F" w:rsidRDefault="001D778B" w:rsidP="00131343">
            <w:pPr>
              <w:keepNext/>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r w:rsidRPr="003A517F">
              <w:rPr>
                <w:b/>
                <w:bCs/>
                <w:iCs/>
              </w:rPr>
              <w:t>Opposing use of the ICD-10-AM/ACHI/ACS classifications</w:t>
            </w:r>
          </w:p>
          <w:p w14:paraId="5B690CC4" w14:textId="6F62996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One stakeholder believed that the ICD-10-AM/ACHI/ACS classifications should not be used when designing the </w:t>
            </w:r>
            <w:r w:rsidR="009B5B2C">
              <w:rPr>
                <w:bCs/>
                <w:iCs/>
              </w:rPr>
              <w:t>GUI</w:t>
            </w:r>
            <w:r w:rsidRPr="003A517F">
              <w:rPr>
                <w:bCs/>
                <w:iCs/>
              </w:rPr>
              <w:t xml:space="preserve"> bundles due to being insufficiently granular.</w:t>
            </w:r>
          </w:p>
        </w:tc>
        <w:tc>
          <w:tcPr>
            <w:tcW w:w="4727" w:type="dxa"/>
            <w:vMerge/>
          </w:tcPr>
          <w:p w14:paraId="681B993C" w14:textId="77777777" w:rsidR="001D778B" w:rsidRPr="003A517F" w:rsidRDefault="001D778B" w:rsidP="00131343">
            <w:pPr>
              <w:keepNext/>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p>
        </w:tc>
      </w:tr>
      <w:tr w:rsidR="001D778B" w:rsidRPr="003A517F" w14:paraId="421008D2" w14:textId="77777777" w:rsidTr="0013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tcPr>
          <w:p w14:paraId="7A21DB62" w14:textId="77777777" w:rsidR="001D778B" w:rsidRPr="00D51DA9" w:rsidRDefault="001D778B" w:rsidP="00131343">
            <w:pPr>
              <w:spacing w:before="60" w:after="60"/>
              <w:jc w:val="center"/>
              <w:rPr>
                <w:sz w:val="18"/>
                <w:szCs w:val="18"/>
              </w:rPr>
            </w:pPr>
          </w:p>
        </w:tc>
        <w:tc>
          <w:tcPr>
            <w:tcW w:w="2530" w:type="dxa"/>
            <w:vMerge/>
          </w:tcPr>
          <w:p w14:paraId="7FEA482B" w14:textId="7777777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6230" w:type="dxa"/>
          </w:tcPr>
          <w:p w14:paraId="59DF8657"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
                <w:bCs/>
                <w:iCs/>
              </w:rPr>
              <w:t>Other considerations regarding use of ICD-10-AM/ACHI/ACS classifications</w:t>
            </w:r>
          </w:p>
          <w:p w14:paraId="6F31A705"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Other considerations raised by stakeholders regarding the use of the ICD-10-AM/ACHI/ACS classifications include:</w:t>
            </w:r>
          </w:p>
          <w:p w14:paraId="5EE16ED7"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One stakeholder suggested that there may be issues with bundling using specific conditions when it comes to high-risk patients, as</w:t>
            </w:r>
            <w:r w:rsidRPr="003A517F">
              <w:t xml:space="preserve"> </w:t>
            </w:r>
            <w:r w:rsidRPr="003A517F">
              <w:rPr>
                <w:bCs/>
                <w:iCs/>
              </w:rPr>
              <w:t>it may lead to fragmentation in disease specialties and cause difficulties where patients are experiencing multi-morbidity and high complexity. They have advocated for bundles that are also risk-adjusted and include outlier payments.</w:t>
            </w:r>
          </w:p>
          <w:p w14:paraId="09660A0C" w14:textId="117AAEB9"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3A517F">
              <w:rPr>
                <w:bCs/>
                <w:iCs/>
              </w:rPr>
              <w:t xml:space="preserve">One stakeholder recommended the provision of different options on the unit of measure (e.g. ICD-10, AR-DRG and hospital level) to allow funds and hospitals enough transparent information to make decisions about </w:t>
            </w:r>
            <w:r w:rsidR="009B5B2C">
              <w:rPr>
                <w:bCs/>
                <w:iCs/>
              </w:rPr>
              <w:t>GUI</w:t>
            </w:r>
            <w:r w:rsidRPr="003A517F">
              <w:rPr>
                <w:bCs/>
                <w:iCs/>
              </w:rPr>
              <w:t>s.</w:t>
            </w:r>
          </w:p>
        </w:tc>
        <w:tc>
          <w:tcPr>
            <w:tcW w:w="4727" w:type="dxa"/>
            <w:vMerge/>
          </w:tcPr>
          <w:p w14:paraId="2A9C1CF7"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p>
        </w:tc>
      </w:tr>
      <w:tr w:rsidR="001D778B" w:rsidRPr="003A517F" w14:paraId="613D1966" w14:textId="77777777" w:rsidTr="00131343">
        <w:trPr>
          <w:cnfStyle w:val="000000010000" w:firstRow="0" w:lastRow="0" w:firstColumn="0" w:lastColumn="0" w:oddVBand="0" w:evenVBand="0" w:oddHBand="0" w:evenHBand="1" w:firstRowFirstColumn="0" w:firstRowLastColumn="0" w:lastRowFirstColumn="0" w:lastRowLastColumn="0"/>
          <w:trHeight w:val="1499"/>
        </w:trPr>
        <w:tc>
          <w:tcPr>
            <w:cnfStyle w:val="001000000000" w:firstRow="0" w:lastRow="0" w:firstColumn="1" w:lastColumn="0" w:oddVBand="0" w:evenVBand="0" w:oddHBand="0" w:evenHBand="0" w:firstRowFirstColumn="0" w:firstRowLastColumn="0" w:lastRowFirstColumn="0" w:lastRowLastColumn="0"/>
            <w:tcW w:w="461" w:type="dxa"/>
            <w:vMerge w:val="restart"/>
          </w:tcPr>
          <w:p w14:paraId="7C2F3900" w14:textId="77777777" w:rsidR="001D778B" w:rsidRPr="00D51DA9" w:rsidRDefault="001D778B" w:rsidP="00131343">
            <w:pPr>
              <w:spacing w:before="60" w:after="60"/>
              <w:jc w:val="center"/>
              <w:rPr>
                <w:b/>
                <w:bCs/>
                <w:sz w:val="18"/>
                <w:szCs w:val="18"/>
              </w:rPr>
            </w:pPr>
            <w:r w:rsidRPr="00D51DA9">
              <w:rPr>
                <w:sz w:val="18"/>
                <w:szCs w:val="18"/>
              </w:rPr>
              <w:t>6</w:t>
            </w:r>
          </w:p>
        </w:tc>
        <w:tc>
          <w:tcPr>
            <w:tcW w:w="2530" w:type="dxa"/>
            <w:vMerge w:val="restart"/>
          </w:tcPr>
          <w:p w14:paraId="3AAAB79A"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pPr>
            <w:r w:rsidRPr="003A517F">
              <w:t>Do you support or oppose the use of hospital characteristics within the design of General Use Item bundles? Please provide details of any perceived issues or benefits regarding the use of hospital characteristics.</w:t>
            </w:r>
          </w:p>
        </w:tc>
        <w:tc>
          <w:tcPr>
            <w:tcW w:w="6230" w:type="dxa"/>
          </w:tcPr>
          <w:p w14:paraId="42525980"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r w:rsidRPr="003A517F">
              <w:rPr>
                <w:b/>
                <w:bCs/>
                <w:iCs/>
              </w:rPr>
              <w:t>Supporting use of hospital characteristics</w:t>
            </w:r>
          </w:p>
          <w:p w14:paraId="6C405312" w14:textId="156D9358"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Eight stakeholders supported the use of hospital characteristics such as hospital type and number of beds in the design of the </w:t>
            </w:r>
            <w:r w:rsidR="009B5B2C">
              <w:rPr>
                <w:bCs/>
                <w:iCs/>
              </w:rPr>
              <w:t>GUI</w:t>
            </w:r>
            <w:r w:rsidRPr="003A517F">
              <w:rPr>
                <w:bCs/>
                <w:iCs/>
              </w:rPr>
              <w:t xml:space="preserve"> bundles, providing reasons such as:</w:t>
            </w:r>
          </w:p>
          <w:p w14:paraId="7ABFD5FE" w14:textId="77777777" w:rsidR="001D778B" w:rsidRPr="003A517F" w:rsidRDefault="001D778B" w:rsidP="007102CA">
            <w:pPr>
              <w:pStyle w:val="ListParagraph"/>
              <w:numPr>
                <w:ilvl w:val="0"/>
                <w:numId w:val="11"/>
              </w:numPr>
              <w:spacing w:before="60" w:after="120" w:line="240" w:lineRule="auto"/>
              <w:contextualSpacing w:val="0"/>
              <w:cnfStyle w:val="000000010000" w:firstRow="0" w:lastRow="0" w:firstColumn="0" w:lastColumn="0" w:oddVBand="0" w:evenVBand="0" w:oddHBand="0" w:evenHBand="1" w:firstRowFirstColumn="0" w:firstRowLastColumn="0" w:lastRowFirstColumn="0" w:lastRowLastColumn="0"/>
              <w:rPr>
                <w:bCs/>
                <w:iCs/>
              </w:rPr>
            </w:pPr>
            <w:r w:rsidRPr="003A517F">
              <w:rPr>
                <w:bCs/>
                <w:iCs/>
              </w:rPr>
              <w:t>Bundling arrangements are unlikely to look the same for day facilities and overnight hospitals.</w:t>
            </w:r>
          </w:p>
          <w:p w14:paraId="2C81663D" w14:textId="77777777" w:rsidR="001D778B" w:rsidRPr="003A517F" w:rsidRDefault="001D778B" w:rsidP="007102CA">
            <w:pPr>
              <w:pStyle w:val="ListParagraph"/>
              <w:numPr>
                <w:ilvl w:val="0"/>
                <w:numId w:val="11"/>
              </w:numPr>
              <w:spacing w:before="60" w:after="120" w:line="240" w:lineRule="auto"/>
              <w:contextualSpacing w:val="0"/>
              <w:cnfStyle w:val="000000010000" w:firstRow="0" w:lastRow="0" w:firstColumn="0" w:lastColumn="0" w:oddVBand="0" w:evenVBand="0" w:oddHBand="0" w:evenHBand="1" w:firstRowFirstColumn="0" w:firstRowLastColumn="0" w:lastRowFirstColumn="0" w:lastRowLastColumn="0"/>
              <w:rPr>
                <w:bCs/>
                <w:iCs/>
              </w:rPr>
            </w:pPr>
            <w:r w:rsidRPr="003A517F">
              <w:rPr>
                <w:bCs/>
                <w:iCs/>
              </w:rPr>
              <w:t>There are differences in funding models between hospitals, for example per diem versus Australian Refined Diagnosis Related Group (AR</w:t>
            </w:r>
            <w:r w:rsidRPr="003A517F">
              <w:rPr>
                <w:bCs/>
                <w:iCs/>
              </w:rPr>
              <w:noBreakHyphen/>
              <w:t>DRG)</w:t>
            </w:r>
          </w:p>
          <w:p w14:paraId="7B3BFA76" w14:textId="28A5A83F" w:rsidR="001D778B" w:rsidRPr="003A517F" w:rsidRDefault="001D778B" w:rsidP="007102CA">
            <w:pPr>
              <w:pStyle w:val="ListParagraph"/>
              <w:numPr>
                <w:ilvl w:val="0"/>
                <w:numId w:val="11"/>
              </w:numPr>
              <w:spacing w:before="60" w:after="120" w:line="240" w:lineRule="auto"/>
              <w:contextualSpacing w:val="0"/>
              <w:cnfStyle w:val="000000010000" w:firstRow="0" w:lastRow="0" w:firstColumn="0" w:lastColumn="0" w:oddVBand="0" w:evenVBand="0" w:oddHBand="0" w:evenHBand="1" w:firstRowFirstColumn="0" w:firstRowLastColumn="0" w:lastRowFirstColumn="0" w:lastRowLastColumn="0"/>
              <w:rPr>
                <w:bCs/>
                <w:iCs/>
              </w:rPr>
            </w:pPr>
            <w:r w:rsidRPr="003A517F">
              <w:rPr>
                <w:bCs/>
                <w:iCs/>
              </w:rPr>
              <w:t>There is greater expenditure hardship for hospitals in rural and regional areas.</w:t>
            </w:r>
          </w:p>
          <w:p w14:paraId="47048BEF" w14:textId="77777777" w:rsidR="001D778B" w:rsidRPr="003A517F" w:rsidRDefault="001D778B" w:rsidP="007102CA">
            <w:pPr>
              <w:pStyle w:val="ListParagraph"/>
              <w:numPr>
                <w:ilvl w:val="0"/>
                <w:numId w:val="11"/>
              </w:numPr>
              <w:spacing w:before="60" w:after="120" w:line="240" w:lineRule="auto"/>
              <w:contextualSpacing w:val="0"/>
              <w:cnfStyle w:val="000000010000" w:firstRow="0" w:lastRow="0" w:firstColumn="0" w:lastColumn="0" w:oddVBand="0" w:evenVBand="0" w:oddHBand="0" w:evenHBand="1" w:firstRowFirstColumn="0" w:firstRowLastColumn="0" w:lastRowFirstColumn="0" w:lastRowLastColumn="0"/>
              <w:rPr>
                <w:bCs/>
                <w:iCs/>
              </w:rPr>
            </w:pPr>
            <w:r w:rsidRPr="003A517F">
              <w:rPr>
                <w:bCs/>
                <w:iCs/>
              </w:rPr>
              <w:t>Day hospitals have a lower capacity to absorb increased costs due to the lower price paid for any given procedure to day hospitals.</w:t>
            </w:r>
          </w:p>
          <w:p w14:paraId="14792E76" w14:textId="77777777" w:rsidR="001D778B" w:rsidRPr="003A517F" w:rsidRDefault="001D778B" w:rsidP="007102CA">
            <w:pPr>
              <w:pStyle w:val="ListParagraph"/>
              <w:numPr>
                <w:ilvl w:val="0"/>
                <w:numId w:val="11"/>
              </w:numPr>
              <w:spacing w:before="60" w:after="120" w:line="240" w:lineRule="auto"/>
              <w:contextualSpacing w:val="0"/>
              <w:cnfStyle w:val="000000010000" w:firstRow="0" w:lastRow="0" w:firstColumn="0" w:lastColumn="0" w:oddVBand="0" w:evenVBand="0" w:oddHBand="0" w:evenHBand="1" w:firstRowFirstColumn="0" w:firstRowLastColumn="0" w:lastRowFirstColumn="0" w:lastRowLastColumn="0"/>
              <w:rPr>
                <w:bCs/>
                <w:iCs/>
              </w:rPr>
            </w:pPr>
            <w:r w:rsidRPr="003A517F">
              <w:rPr>
                <w:bCs/>
                <w:iCs/>
              </w:rPr>
              <w:t>There are differences in case-mix between hospital types.</w:t>
            </w:r>
          </w:p>
          <w:p w14:paraId="07F82828" w14:textId="77777777" w:rsidR="001D778B" w:rsidRPr="003A517F" w:rsidRDefault="001D778B" w:rsidP="007102CA">
            <w:pPr>
              <w:pStyle w:val="ListParagraph"/>
              <w:numPr>
                <w:ilvl w:val="0"/>
                <w:numId w:val="11"/>
              </w:numPr>
              <w:spacing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pPr>
            <w:r w:rsidRPr="003A517F">
              <w:rPr>
                <w:bCs/>
                <w:iCs/>
              </w:rPr>
              <w:t>There needs to be considerations for smaller hospitals and newer hospitals to ensure their viability.</w:t>
            </w:r>
          </w:p>
          <w:p w14:paraId="56293E5A" w14:textId="77777777" w:rsidR="001D778B" w:rsidRPr="003A517F" w:rsidRDefault="001D778B" w:rsidP="007102CA">
            <w:pPr>
              <w:pStyle w:val="ListParagraph"/>
              <w:numPr>
                <w:ilvl w:val="0"/>
                <w:numId w:val="11"/>
              </w:numPr>
              <w:spacing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pPr>
            <w:r w:rsidRPr="003A517F">
              <w:rPr>
                <w:bCs/>
                <w:iCs/>
              </w:rPr>
              <w:t>There are differences in workflow and management of patient treatment between public and private sectors.</w:t>
            </w:r>
          </w:p>
        </w:tc>
        <w:tc>
          <w:tcPr>
            <w:tcW w:w="4727" w:type="dxa"/>
            <w:vMerge w:val="restart"/>
          </w:tcPr>
          <w:p w14:paraId="0749E8E7" w14:textId="69538D56"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IHACPA notes the lack of consensus in the use of hospital characteristics within the design of </w:t>
            </w:r>
            <w:r w:rsidR="00B82DA4">
              <w:rPr>
                <w:bCs/>
                <w:iCs/>
              </w:rPr>
              <w:t>GUI</w:t>
            </w:r>
            <w:r w:rsidRPr="003A517F">
              <w:rPr>
                <w:bCs/>
                <w:iCs/>
              </w:rPr>
              <w:t xml:space="preserve"> bundles. IHACPA has defined </w:t>
            </w:r>
            <w:r w:rsidR="00B82DA4">
              <w:rPr>
                <w:bCs/>
                <w:iCs/>
              </w:rPr>
              <w:t>facility type GUI</w:t>
            </w:r>
            <w:r w:rsidRPr="003A517F">
              <w:rPr>
                <w:bCs/>
                <w:iCs/>
              </w:rPr>
              <w:t xml:space="preserve"> </w:t>
            </w:r>
            <w:r w:rsidR="006A23C0">
              <w:rPr>
                <w:bCs/>
                <w:iCs/>
              </w:rPr>
              <w:t>b</w:t>
            </w:r>
            <w:r w:rsidRPr="003A517F">
              <w:rPr>
                <w:bCs/>
                <w:iCs/>
              </w:rPr>
              <w:t xml:space="preserve">undle </w:t>
            </w:r>
            <w:r w:rsidR="006A23C0">
              <w:rPr>
                <w:bCs/>
                <w:iCs/>
              </w:rPr>
              <w:t>v</w:t>
            </w:r>
            <w:r w:rsidRPr="003A517F">
              <w:rPr>
                <w:bCs/>
                <w:iCs/>
              </w:rPr>
              <w:t xml:space="preserve">ariants </w:t>
            </w:r>
            <w:r w:rsidR="00B82DA4">
              <w:rPr>
                <w:bCs/>
                <w:iCs/>
              </w:rPr>
              <w:t xml:space="preserve">but has provided flexibility with regard to their application. In particular, facility type GUI bundle variants may be </w:t>
            </w:r>
            <w:r w:rsidR="00416DF0">
              <w:rPr>
                <w:bCs/>
                <w:iCs/>
              </w:rPr>
              <w:t xml:space="preserve">selectively </w:t>
            </w:r>
            <w:r w:rsidR="00B82DA4">
              <w:rPr>
                <w:bCs/>
                <w:iCs/>
              </w:rPr>
              <w:t>appl</w:t>
            </w:r>
            <w:r w:rsidR="00416DF0">
              <w:rPr>
                <w:bCs/>
                <w:iCs/>
              </w:rPr>
              <w:t xml:space="preserve">ied </w:t>
            </w:r>
            <w:r w:rsidR="00B82DA4">
              <w:rPr>
                <w:bCs/>
                <w:iCs/>
              </w:rPr>
              <w:t xml:space="preserve">where they are </w:t>
            </w:r>
            <w:r w:rsidR="00416DF0">
              <w:rPr>
                <w:bCs/>
                <w:iCs/>
              </w:rPr>
              <w:t xml:space="preserve">seen </w:t>
            </w:r>
            <w:r w:rsidR="00BB686E">
              <w:rPr>
                <w:bCs/>
                <w:iCs/>
              </w:rPr>
              <w:t xml:space="preserve">as </w:t>
            </w:r>
            <w:r w:rsidRPr="003A517F">
              <w:rPr>
                <w:bCs/>
                <w:iCs/>
              </w:rPr>
              <w:t>appropriate</w:t>
            </w:r>
            <w:r w:rsidR="00FF4F96">
              <w:rPr>
                <w:bCs/>
                <w:iCs/>
              </w:rPr>
              <w:t xml:space="preserve"> and offering value in alternative arrangements</w:t>
            </w:r>
            <w:r w:rsidRPr="003A517F">
              <w:rPr>
                <w:bCs/>
                <w:iCs/>
              </w:rPr>
              <w:t>.</w:t>
            </w:r>
          </w:p>
          <w:p w14:paraId="3978901A"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 </w:t>
            </w:r>
          </w:p>
        </w:tc>
      </w:tr>
      <w:tr w:rsidR="001D778B" w:rsidRPr="003A517F" w14:paraId="0B52B16B" w14:textId="77777777" w:rsidTr="00131343">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461" w:type="dxa"/>
            <w:vMerge/>
          </w:tcPr>
          <w:p w14:paraId="000443BD" w14:textId="77777777" w:rsidR="001D778B" w:rsidRPr="00D51DA9" w:rsidRDefault="001D778B" w:rsidP="00131343">
            <w:pPr>
              <w:spacing w:before="60" w:after="60"/>
              <w:jc w:val="center"/>
              <w:rPr>
                <w:sz w:val="18"/>
                <w:szCs w:val="18"/>
              </w:rPr>
            </w:pPr>
          </w:p>
        </w:tc>
        <w:tc>
          <w:tcPr>
            <w:tcW w:w="2530" w:type="dxa"/>
            <w:vMerge/>
          </w:tcPr>
          <w:p w14:paraId="3EA7496E" w14:textId="7777777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6230" w:type="dxa"/>
          </w:tcPr>
          <w:p w14:paraId="32B8DB67"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iCs/>
              </w:rPr>
            </w:pPr>
            <w:r w:rsidRPr="003A517F">
              <w:rPr>
                <w:b/>
                <w:bCs/>
                <w:iCs/>
              </w:rPr>
              <w:t>Opposing use of hospital characteristics</w:t>
            </w:r>
            <w:r w:rsidRPr="003A517F">
              <w:rPr>
                <w:iCs/>
              </w:rPr>
              <w:t xml:space="preserve"> </w:t>
            </w:r>
          </w:p>
          <w:p w14:paraId="78C5C8F8"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iCs/>
              </w:rPr>
            </w:pPr>
            <w:r w:rsidRPr="003A517F">
              <w:rPr>
                <w:iCs/>
              </w:rPr>
              <w:t>Seven stakeholders opposed the idea of using hospital characteristics, with stakeholders suggesting that it is unclear as to why similar procedures should use different items depending on hospital type.</w:t>
            </w:r>
          </w:p>
          <w:p w14:paraId="56BBC808"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iCs/>
              </w:rPr>
            </w:pPr>
            <w:r w:rsidRPr="003A517F">
              <w:rPr>
                <w:iCs/>
              </w:rPr>
              <w:t xml:space="preserve">Two stakeholders suggested that varying </w:t>
            </w:r>
            <w:proofErr w:type="spellStart"/>
            <w:r w:rsidRPr="003A517F">
              <w:rPr>
                <w:iCs/>
              </w:rPr>
              <w:t>utilisation</w:t>
            </w:r>
            <w:proofErr w:type="spellEnd"/>
            <w:r w:rsidRPr="003A517F">
              <w:rPr>
                <w:iCs/>
              </w:rPr>
              <w:t xml:space="preserve"> of bundles by clinical complexity and case mix can be accounted for by using clinical classification systems.</w:t>
            </w:r>
          </w:p>
          <w:p w14:paraId="7CF5B125" w14:textId="34C8FAEB" w:rsidR="001D778B" w:rsidRPr="003A517F" w:rsidRDefault="001D778B" w:rsidP="007102CA">
            <w:pPr>
              <w:pStyle w:val="ListParagraph"/>
              <w:numPr>
                <w:ilvl w:val="0"/>
                <w:numId w:val="11"/>
              </w:numPr>
              <w:spacing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iCs/>
              </w:rPr>
            </w:pPr>
            <w:r w:rsidRPr="003A517F">
              <w:rPr>
                <w:iCs/>
              </w:rPr>
              <w:t xml:space="preserve">One stakeholder mentioned that surgeon choice and preference are more significant drivers of </w:t>
            </w:r>
            <w:r w:rsidR="009B5B2C">
              <w:rPr>
                <w:iCs/>
              </w:rPr>
              <w:t>GUI</w:t>
            </w:r>
            <w:r w:rsidRPr="003A517F">
              <w:rPr>
                <w:iCs/>
              </w:rPr>
              <w:t xml:space="preserve"> </w:t>
            </w:r>
            <w:proofErr w:type="spellStart"/>
            <w:r w:rsidRPr="003A517F">
              <w:rPr>
                <w:iCs/>
              </w:rPr>
              <w:t>utilisation</w:t>
            </w:r>
            <w:proofErr w:type="spellEnd"/>
            <w:r w:rsidRPr="003A517F">
              <w:rPr>
                <w:iCs/>
              </w:rPr>
              <w:t xml:space="preserve"> when compared to hospital characteristics.</w:t>
            </w:r>
          </w:p>
          <w:p w14:paraId="7899DB43" w14:textId="745B9836" w:rsidR="001D778B" w:rsidRPr="003A517F" w:rsidRDefault="001D778B" w:rsidP="007102CA">
            <w:pPr>
              <w:pStyle w:val="ListParagraph"/>
              <w:numPr>
                <w:ilvl w:val="0"/>
                <w:numId w:val="11"/>
              </w:numPr>
              <w:spacing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b/>
                <w:bCs/>
              </w:rPr>
            </w:pPr>
            <w:r w:rsidRPr="003A517F">
              <w:rPr>
                <w:iCs/>
              </w:rPr>
              <w:t xml:space="preserve">One stakeholder suggested that low variation in </w:t>
            </w:r>
            <w:r w:rsidR="009B5B2C">
              <w:rPr>
                <w:iCs/>
              </w:rPr>
              <w:t>GUI</w:t>
            </w:r>
            <w:r w:rsidRPr="003A517F">
              <w:rPr>
                <w:iCs/>
              </w:rPr>
              <w:t xml:space="preserve"> </w:t>
            </w:r>
            <w:proofErr w:type="spellStart"/>
            <w:r w:rsidRPr="003A517F">
              <w:rPr>
                <w:iCs/>
              </w:rPr>
              <w:t>utilisation</w:t>
            </w:r>
            <w:proofErr w:type="spellEnd"/>
            <w:r w:rsidRPr="003A517F">
              <w:rPr>
                <w:iCs/>
              </w:rPr>
              <w:t xml:space="preserve"> between the public and private sector should be used as a proxy of appropriate </w:t>
            </w:r>
            <w:proofErr w:type="spellStart"/>
            <w:r w:rsidRPr="003A517F">
              <w:rPr>
                <w:iCs/>
              </w:rPr>
              <w:t>utilisation</w:t>
            </w:r>
            <w:proofErr w:type="spellEnd"/>
            <w:r w:rsidRPr="003A517F">
              <w:rPr>
                <w:iCs/>
              </w:rPr>
              <w:t xml:space="preserve"> as opposed to using hospital characteristics or a simple averaging of benefits.</w:t>
            </w:r>
          </w:p>
        </w:tc>
        <w:tc>
          <w:tcPr>
            <w:tcW w:w="4727" w:type="dxa"/>
            <w:vMerge/>
          </w:tcPr>
          <w:p w14:paraId="417D9F3D"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p>
        </w:tc>
      </w:tr>
      <w:tr w:rsidR="001D778B" w:rsidRPr="003A517F" w14:paraId="4B281152" w14:textId="77777777" w:rsidTr="00131343">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461" w:type="dxa"/>
            <w:vMerge/>
          </w:tcPr>
          <w:p w14:paraId="7E6D0991" w14:textId="77777777" w:rsidR="001D778B" w:rsidRPr="00D51DA9" w:rsidRDefault="001D778B" w:rsidP="00131343">
            <w:pPr>
              <w:spacing w:before="60" w:after="60"/>
              <w:jc w:val="center"/>
              <w:rPr>
                <w:sz w:val="18"/>
                <w:szCs w:val="18"/>
              </w:rPr>
            </w:pPr>
          </w:p>
        </w:tc>
        <w:tc>
          <w:tcPr>
            <w:tcW w:w="2530" w:type="dxa"/>
            <w:vMerge/>
          </w:tcPr>
          <w:p w14:paraId="38150C9E"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pPr>
          </w:p>
        </w:tc>
        <w:tc>
          <w:tcPr>
            <w:tcW w:w="6230" w:type="dxa"/>
          </w:tcPr>
          <w:p w14:paraId="1A91D681"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r w:rsidRPr="003A517F">
              <w:rPr>
                <w:b/>
                <w:bCs/>
                <w:iCs/>
              </w:rPr>
              <w:t>AIHW peer grouping</w:t>
            </w:r>
          </w:p>
          <w:p w14:paraId="67DEC2D1"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r w:rsidRPr="003A517F">
              <w:rPr>
                <w:bCs/>
                <w:iCs/>
              </w:rPr>
              <w:t xml:space="preserve">Two stakeholders recommended the use of the Australian Institute of Health and Welfare (AIHW) peer grouping for private hospitals as a starting point for </w:t>
            </w:r>
            <w:proofErr w:type="spellStart"/>
            <w:r w:rsidRPr="003A517F">
              <w:rPr>
                <w:bCs/>
                <w:iCs/>
              </w:rPr>
              <w:t>categorising</w:t>
            </w:r>
            <w:proofErr w:type="spellEnd"/>
            <w:r w:rsidRPr="003A517F">
              <w:rPr>
                <w:bCs/>
                <w:iCs/>
              </w:rPr>
              <w:t xml:space="preserve"> different facilities based on their size, capabilities and case mix.</w:t>
            </w:r>
          </w:p>
        </w:tc>
        <w:tc>
          <w:tcPr>
            <w:tcW w:w="4727" w:type="dxa"/>
            <w:vMerge/>
          </w:tcPr>
          <w:p w14:paraId="67E4AF5A"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p>
        </w:tc>
      </w:tr>
      <w:tr w:rsidR="001D778B" w:rsidRPr="003A517F" w14:paraId="78E9CDA5" w14:textId="77777777" w:rsidTr="0013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val="restart"/>
          </w:tcPr>
          <w:p w14:paraId="5B2D59C5" w14:textId="77777777" w:rsidR="001D778B" w:rsidRPr="00D51DA9" w:rsidRDefault="001D778B" w:rsidP="00131343">
            <w:pPr>
              <w:spacing w:before="60" w:after="60"/>
              <w:jc w:val="center"/>
              <w:rPr>
                <w:b/>
                <w:bCs/>
                <w:sz w:val="18"/>
                <w:szCs w:val="18"/>
              </w:rPr>
            </w:pPr>
            <w:r w:rsidRPr="00D51DA9">
              <w:rPr>
                <w:sz w:val="18"/>
                <w:szCs w:val="18"/>
              </w:rPr>
              <w:t>7</w:t>
            </w:r>
          </w:p>
        </w:tc>
        <w:tc>
          <w:tcPr>
            <w:tcW w:w="2530" w:type="dxa"/>
            <w:vMerge w:val="restart"/>
          </w:tcPr>
          <w:p w14:paraId="75D9B261" w14:textId="7777777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r w:rsidRPr="003A517F">
              <w:t>Are there any other classification systems that IHACPA should incorporate in the design of General Use Item bundles? If so, please provide details of these classifications and a rationale for their use.</w:t>
            </w:r>
          </w:p>
        </w:tc>
        <w:tc>
          <w:tcPr>
            <w:tcW w:w="6230" w:type="dxa"/>
          </w:tcPr>
          <w:p w14:paraId="3B9D2EF2" w14:textId="77777777" w:rsidR="001D778B" w:rsidRPr="003A517F" w:rsidRDefault="001D778B" w:rsidP="00131343">
            <w:pPr>
              <w:keepNext/>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
                <w:bCs/>
                <w:iCs/>
              </w:rPr>
              <w:t xml:space="preserve">Supporting use of other classification systems </w:t>
            </w:r>
          </w:p>
          <w:p w14:paraId="181ECF8F"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Several stakeholders made recommendations in relation to other classification systems that could assist in the bundling design process:</w:t>
            </w:r>
          </w:p>
          <w:p w14:paraId="710D6C06" w14:textId="7595E624"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Five stakeholders recommended the use of the AR-DRG classification alongside the ICD-10-AM/ACHI/ACS system, given that it is at a higher, more appropriate level of aggregation of item use and would provide guidance to the sector regarding the appropriate use of </w:t>
            </w:r>
            <w:r w:rsidR="009B5B2C">
              <w:rPr>
                <w:bCs/>
                <w:iCs/>
              </w:rPr>
              <w:t>GUI</w:t>
            </w:r>
            <w:r w:rsidRPr="003A517F">
              <w:rPr>
                <w:bCs/>
                <w:iCs/>
              </w:rPr>
              <w:t>s.</w:t>
            </w:r>
          </w:p>
          <w:p w14:paraId="2AF62289"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Six stakeholders recommended the use of the MBS classification in the design and validation of the bundles.</w:t>
            </w:r>
          </w:p>
          <w:p w14:paraId="3F979B17"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3A517F">
              <w:rPr>
                <w:bCs/>
                <w:iCs/>
              </w:rPr>
              <w:t>Two stakeholders recommended IHACPA to review and/or use the banding infrastructure defined by the National Procedure Banding Committee.</w:t>
            </w:r>
          </w:p>
        </w:tc>
        <w:tc>
          <w:tcPr>
            <w:tcW w:w="4727" w:type="dxa"/>
            <w:vMerge w:val="restart"/>
          </w:tcPr>
          <w:p w14:paraId="36259979"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IHACPA acknowledges stakeholders’ recommendations regarding other classification systems. </w:t>
            </w:r>
          </w:p>
          <w:p w14:paraId="5B7D81CF" w14:textId="513A0DE4"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With regard to the use of MBS codes and procedure bands defined by the National Procedure Banding Committee, IHACPA notes that issues with data completeness of MBS item codes within the HCP limit the incorporation of these classification systems in the design of </w:t>
            </w:r>
            <w:r w:rsidR="00777715">
              <w:rPr>
                <w:bCs/>
                <w:iCs/>
              </w:rPr>
              <w:t>GUI</w:t>
            </w:r>
            <w:r w:rsidRPr="003A517F">
              <w:rPr>
                <w:bCs/>
                <w:iCs/>
              </w:rPr>
              <w:t xml:space="preserve"> bundles.</w:t>
            </w:r>
            <w:r w:rsidR="00777715">
              <w:rPr>
                <w:bCs/>
                <w:iCs/>
              </w:rPr>
              <w:t xml:space="preserve"> IHACPA has defined MDC-based bundle variants that differentiate GUI bundles by clinical characteristics.</w:t>
            </w:r>
          </w:p>
        </w:tc>
      </w:tr>
      <w:tr w:rsidR="001D778B" w:rsidRPr="003A517F" w14:paraId="0F4DC0E4" w14:textId="77777777" w:rsidTr="001313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tcPr>
          <w:p w14:paraId="3C831EEA" w14:textId="77777777" w:rsidR="001D778B" w:rsidRPr="00D51DA9" w:rsidRDefault="001D778B" w:rsidP="00131343">
            <w:pPr>
              <w:spacing w:before="60" w:after="60"/>
              <w:jc w:val="center"/>
              <w:rPr>
                <w:sz w:val="18"/>
                <w:szCs w:val="18"/>
              </w:rPr>
            </w:pPr>
          </w:p>
        </w:tc>
        <w:tc>
          <w:tcPr>
            <w:tcW w:w="2530" w:type="dxa"/>
            <w:vMerge/>
          </w:tcPr>
          <w:p w14:paraId="0D45C71C"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pPr>
          </w:p>
        </w:tc>
        <w:tc>
          <w:tcPr>
            <w:tcW w:w="6230" w:type="dxa"/>
          </w:tcPr>
          <w:p w14:paraId="48F43751" w14:textId="41107C40"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r w:rsidRPr="003A517F">
              <w:rPr>
                <w:b/>
                <w:bCs/>
                <w:iCs/>
              </w:rPr>
              <w:t xml:space="preserve">No further suggestions for other classification systems </w:t>
            </w:r>
            <w:r w:rsidRPr="003A517F">
              <w:rPr>
                <w:bCs/>
                <w:iCs/>
              </w:rPr>
              <w:t xml:space="preserve">Five stakeholders had no other suggestions on other classification systems that IHACPA should incorporate in the design of </w:t>
            </w:r>
            <w:r w:rsidR="009B5B2C">
              <w:rPr>
                <w:bCs/>
                <w:iCs/>
              </w:rPr>
              <w:t>GUI</w:t>
            </w:r>
            <w:r w:rsidRPr="003A517F">
              <w:rPr>
                <w:bCs/>
                <w:iCs/>
              </w:rPr>
              <w:t xml:space="preserve"> bundles.</w:t>
            </w:r>
          </w:p>
          <w:p w14:paraId="5BFAF677"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One stakeholder opposed the use of other classification systems as they would add unnecessary complexity.</w:t>
            </w:r>
          </w:p>
        </w:tc>
        <w:tc>
          <w:tcPr>
            <w:tcW w:w="4727" w:type="dxa"/>
            <w:vMerge/>
          </w:tcPr>
          <w:p w14:paraId="45CE1D7B"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p>
        </w:tc>
      </w:tr>
      <w:tr w:rsidR="001D778B" w:rsidRPr="003A517F" w14:paraId="3E2BE191" w14:textId="77777777" w:rsidTr="0013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tcPr>
          <w:p w14:paraId="34EDB010" w14:textId="77777777" w:rsidR="001D778B" w:rsidRPr="00D51DA9" w:rsidRDefault="001D778B" w:rsidP="00131343">
            <w:pPr>
              <w:spacing w:before="60" w:after="60"/>
              <w:jc w:val="center"/>
              <w:rPr>
                <w:sz w:val="18"/>
                <w:szCs w:val="18"/>
              </w:rPr>
            </w:pPr>
          </w:p>
        </w:tc>
        <w:tc>
          <w:tcPr>
            <w:tcW w:w="2530" w:type="dxa"/>
            <w:vMerge/>
          </w:tcPr>
          <w:p w14:paraId="1D88295C" w14:textId="7777777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6230" w:type="dxa"/>
          </w:tcPr>
          <w:p w14:paraId="0BA77635"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
                <w:bCs/>
                <w:iCs/>
              </w:rPr>
              <w:t>Other characteristics</w:t>
            </w:r>
          </w:p>
          <w:p w14:paraId="326E832E" w14:textId="0DC53E29"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One stakeholder suggested the consideration of a number of characteristics and whether they are drivers for variation in </w:t>
            </w:r>
            <w:proofErr w:type="spellStart"/>
            <w:r w:rsidRPr="003A517F">
              <w:rPr>
                <w:bCs/>
                <w:iCs/>
              </w:rPr>
              <w:t>utilisation</w:t>
            </w:r>
            <w:proofErr w:type="spellEnd"/>
            <w:r w:rsidRPr="003A517F">
              <w:rPr>
                <w:bCs/>
                <w:iCs/>
              </w:rPr>
              <w:t xml:space="preserve"> of </w:t>
            </w:r>
            <w:r w:rsidR="009B5B2C">
              <w:rPr>
                <w:bCs/>
                <w:iCs/>
              </w:rPr>
              <w:t>GUI</w:t>
            </w:r>
            <w:r w:rsidRPr="003A517F">
              <w:rPr>
                <w:bCs/>
                <w:iCs/>
              </w:rPr>
              <w:t>s. These include:</w:t>
            </w:r>
          </w:p>
          <w:p w14:paraId="54AB50D4"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Patient characteristics, i.e. gender, age and comorbidity</w:t>
            </w:r>
          </w:p>
          <w:p w14:paraId="4B48BC0B"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Procedural/theatre admission characteristics, i.e. bilateral or multiple procedures, and,</w:t>
            </w:r>
          </w:p>
          <w:p w14:paraId="4062C278"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
                <w:bCs/>
                <w:iCs/>
              </w:rPr>
            </w:pPr>
            <w:r w:rsidRPr="003A517F">
              <w:rPr>
                <w:bCs/>
                <w:iCs/>
              </w:rPr>
              <w:t>Separation characteristics, i.e. intensive care unit status, admission transfer status or multiple admissions to theatre, day-only separation, separations involving hospital in the home.</w:t>
            </w:r>
          </w:p>
        </w:tc>
        <w:tc>
          <w:tcPr>
            <w:tcW w:w="4727" w:type="dxa"/>
            <w:vMerge/>
          </w:tcPr>
          <w:p w14:paraId="27CB5295"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p>
        </w:tc>
      </w:tr>
      <w:tr w:rsidR="001D778B" w:rsidRPr="003A517F" w14:paraId="2A335149" w14:textId="77777777" w:rsidTr="00131343">
        <w:trPr>
          <w:cnfStyle w:val="000000010000" w:firstRow="0" w:lastRow="0" w:firstColumn="0" w:lastColumn="0" w:oddVBand="0" w:evenVBand="0" w:oddHBand="0" w:evenHBand="1" w:firstRowFirstColumn="0" w:firstRowLastColumn="0" w:lastRowFirstColumn="0" w:lastRowLastColumn="0"/>
          <w:trHeight w:val="1515"/>
        </w:trPr>
        <w:tc>
          <w:tcPr>
            <w:cnfStyle w:val="001000000000" w:firstRow="0" w:lastRow="0" w:firstColumn="1" w:lastColumn="0" w:oddVBand="0" w:evenVBand="0" w:oddHBand="0" w:evenHBand="0" w:firstRowFirstColumn="0" w:firstRowLastColumn="0" w:lastRowFirstColumn="0" w:lastRowLastColumn="0"/>
            <w:tcW w:w="461" w:type="dxa"/>
            <w:vMerge w:val="restart"/>
          </w:tcPr>
          <w:p w14:paraId="34793D6F" w14:textId="77777777" w:rsidR="001D778B" w:rsidRPr="00D51DA9" w:rsidRDefault="001D778B" w:rsidP="00131343">
            <w:pPr>
              <w:spacing w:before="60" w:after="60"/>
              <w:jc w:val="center"/>
              <w:rPr>
                <w:b/>
                <w:bCs/>
                <w:sz w:val="18"/>
                <w:szCs w:val="18"/>
              </w:rPr>
            </w:pPr>
            <w:r w:rsidRPr="00D51DA9">
              <w:rPr>
                <w:sz w:val="18"/>
                <w:szCs w:val="18"/>
              </w:rPr>
              <w:t>8</w:t>
            </w:r>
          </w:p>
        </w:tc>
        <w:tc>
          <w:tcPr>
            <w:tcW w:w="2530" w:type="dxa"/>
            <w:vMerge w:val="restart"/>
          </w:tcPr>
          <w:p w14:paraId="2A36A949"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pPr>
            <w:r w:rsidRPr="003A517F">
              <w:t xml:space="preserve">Are you aware of any short-term changes, brought on by the impact of COVID-19, to the </w:t>
            </w:r>
            <w:proofErr w:type="spellStart"/>
            <w:r w:rsidRPr="003A517F">
              <w:t>utilisation</w:t>
            </w:r>
            <w:proofErr w:type="spellEnd"/>
            <w:r w:rsidRPr="003A517F">
              <w:t xml:space="preserve"> of General Use Items among episodes in which these items are used? If so, please provide details that enable the changes to be examined using the 2020–21 HCP data collection.</w:t>
            </w:r>
          </w:p>
        </w:tc>
        <w:tc>
          <w:tcPr>
            <w:tcW w:w="6230" w:type="dxa"/>
          </w:tcPr>
          <w:p w14:paraId="0E0926D2"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r w:rsidRPr="003A517F">
              <w:rPr>
                <w:b/>
                <w:bCs/>
                <w:iCs/>
              </w:rPr>
              <w:t>Impact of COVID-19 unclear</w:t>
            </w:r>
          </w:p>
          <w:p w14:paraId="1022FCD7" w14:textId="6B8DAC5D"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pPr>
            <w:r w:rsidRPr="003A517F">
              <w:rPr>
                <w:bCs/>
                <w:iCs/>
              </w:rPr>
              <w:t xml:space="preserve">11 stakeholders noted that the impact of COVID-19 on </w:t>
            </w:r>
            <w:r w:rsidR="009B5B2C">
              <w:rPr>
                <w:bCs/>
                <w:iCs/>
              </w:rPr>
              <w:t>GUI</w:t>
            </w:r>
            <w:r w:rsidRPr="003A517F">
              <w:rPr>
                <w:bCs/>
                <w:iCs/>
              </w:rPr>
              <w:t xml:space="preserve">s was unclear in terms of changes in </w:t>
            </w:r>
            <w:proofErr w:type="spellStart"/>
            <w:r w:rsidRPr="003A517F">
              <w:rPr>
                <w:bCs/>
                <w:iCs/>
              </w:rPr>
              <w:t>utilisation</w:t>
            </w:r>
            <w:proofErr w:type="spellEnd"/>
            <w:r w:rsidRPr="003A517F">
              <w:rPr>
                <w:bCs/>
                <w:iCs/>
              </w:rPr>
              <w:t xml:space="preserve">, suggesting that the only impact was on </w:t>
            </w:r>
            <w:proofErr w:type="spellStart"/>
            <w:r w:rsidRPr="003A517F">
              <w:rPr>
                <w:bCs/>
                <w:iCs/>
              </w:rPr>
              <w:t>utilisation</w:t>
            </w:r>
            <w:proofErr w:type="spellEnd"/>
            <w:r w:rsidRPr="003A517F">
              <w:rPr>
                <w:bCs/>
                <w:iCs/>
              </w:rPr>
              <w:t xml:space="preserve"> volume. Furthermore, one such stakeholder observed that the number of claims in the general miscellaneous category remained relatively consistent from 2018-19 to 2021-22.</w:t>
            </w:r>
          </w:p>
        </w:tc>
        <w:tc>
          <w:tcPr>
            <w:tcW w:w="4727" w:type="dxa"/>
            <w:vMerge w:val="restart"/>
          </w:tcPr>
          <w:p w14:paraId="294A8093" w14:textId="1E442B1C" w:rsidR="001D778B" w:rsidRPr="003A517F" w:rsidRDefault="001D778B" w:rsidP="005C0F82">
            <w:pPr>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IHACPA notes stakeholders’ views that the impact of COVID-19 is unclear. </w:t>
            </w:r>
            <w:r w:rsidRPr="003A517F">
              <w:t xml:space="preserve">With regard to stakeholders’ feedback on analysis of pre-COVID </w:t>
            </w:r>
            <w:proofErr w:type="spellStart"/>
            <w:r w:rsidRPr="003A517F">
              <w:t>utilisation</w:t>
            </w:r>
            <w:proofErr w:type="spellEnd"/>
            <w:r w:rsidRPr="003A517F">
              <w:t xml:space="preserve"> data, whilst IHACPA primarily used FY 2020-21 HCP data to derive the bundles, the preceding three financial years of data were also </w:t>
            </w:r>
            <w:proofErr w:type="spellStart"/>
            <w:r w:rsidRPr="003A517F">
              <w:t>analysed</w:t>
            </w:r>
            <w:proofErr w:type="spellEnd"/>
            <w:r w:rsidRPr="003A517F">
              <w:t xml:space="preserve"> to examine variation in the bundles.</w:t>
            </w:r>
            <w:r w:rsidR="00777715">
              <w:t xml:space="preserve"> Refer to</w:t>
            </w:r>
            <w:r w:rsidR="00777715">
              <w:fldChar w:fldCharType="begin"/>
            </w:r>
            <w:r w:rsidR="00777715">
              <w:instrText xml:space="preserve"> REF _Ref119404958 \h </w:instrText>
            </w:r>
            <w:r w:rsidR="00777715">
              <w:fldChar w:fldCharType="separate"/>
            </w:r>
            <w:r w:rsidR="00106CD4">
              <w:t>C.3.4 Analysis of historical changes in GUI product bundle benefits per episode</w:t>
            </w:r>
            <w:r w:rsidR="00777715">
              <w:fldChar w:fldCharType="end"/>
            </w:r>
            <w:r w:rsidR="00777715">
              <w:t xml:space="preserve"> for further details. Also refer to </w:t>
            </w:r>
            <w:r w:rsidR="00C14435" w:rsidRPr="003A517F">
              <w:t xml:space="preserve">Section </w:t>
            </w:r>
            <w:r w:rsidR="00C14435" w:rsidRPr="007175ED">
              <w:fldChar w:fldCharType="begin"/>
            </w:r>
            <w:r w:rsidR="00C14435" w:rsidRPr="003A517F">
              <w:instrText xml:space="preserve"> REF _Ref119592749 \w \h </w:instrText>
            </w:r>
            <w:r w:rsidR="003A517F">
              <w:instrText xml:space="preserve"> \* MERGEFORMAT </w:instrText>
            </w:r>
            <w:r w:rsidR="00C14435" w:rsidRPr="007175ED">
              <w:fldChar w:fldCharType="separate"/>
            </w:r>
            <w:r w:rsidR="00106CD4">
              <w:t>4.3</w:t>
            </w:r>
            <w:r w:rsidR="00C14435" w:rsidRPr="007175ED">
              <w:fldChar w:fldCharType="end"/>
            </w:r>
            <w:r w:rsidR="00C14435" w:rsidRPr="003A517F">
              <w:t xml:space="preserve"> - </w:t>
            </w:r>
            <w:r w:rsidR="00C14435" w:rsidRPr="007175ED">
              <w:fldChar w:fldCharType="begin"/>
            </w:r>
            <w:r w:rsidR="00C14435" w:rsidRPr="003A517F">
              <w:instrText xml:space="preserve"> REF _Ref119592752 \h </w:instrText>
            </w:r>
            <w:r w:rsidR="003A517F">
              <w:instrText xml:space="preserve"> \* MERGEFORMAT </w:instrText>
            </w:r>
            <w:r w:rsidR="00C14435" w:rsidRPr="007175ED">
              <w:fldChar w:fldCharType="separate"/>
            </w:r>
            <w:r w:rsidR="00106CD4">
              <w:t xml:space="preserve">Hospital </w:t>
            </w:r>
            <w:proofErr w:type="spellStart"/>
            <w:r w:rsidR="00106CD4">
              <w:t>Casemix</w:t>
            </w:r>
            <w:proofErr w:type="spellEnd"/>
            <w:r w:rsidR="00106CD4">
              <w:t xml:space="preserve"> Protocol data collection</w:t>
            </w:r>
            <w:r w:rsidR="00C14435" w:rsidRPr="007175ED">
              <w:fldChar w:fldCharType="end"/>
            </w:r>
            <w:r w:rsidR="00C14435" w:rsidRPr="003A517F">
              <w:t xml:space="preserve"> </w:t>
            </w:r>
            <w:r w:rsidRPr="003A517F">
              <w:t xml:space="preserve">for further </w:t>
            </w:r>
            <w:r w:rsidR="00777715">
              <w:t>discussion on COVID-19 impacts</w:t>
            </w:r>
            <w:r w:rsidRPr="003A517F">
              <w:t>.</w:t>
            </w:r>
          </w:p>
        </w:tc>
      </w:tr>
      <w:tr w:rsidR="001D778B" w:rsidRPr="003A517F" w14:paraId="0ECC0667" w14:textId="77777777" w:rsidTr="00131343">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461" w:type="dxa"/>
            <w:vMerge/>
          </w:tcPr>
          <w:p w14:paraId="0DC214BF" w14:textId="77777777" w:rsidR="001D778B" w:rsidRPr="00D51DA9" w:rsidRDefault="001D778B" w:rsidP="00131343">
            <w:pPr>
              <w:spacing w:before="60" w:after="60"/>
              <w:jc w:val="center"/>
              <w:rPr>
                <w:sz w:val="18"/>
                <w:szCs w:val="18"/>
              </w:rPr>
            </w:pPr>
          </w:p>
        </w:tc>
        <w:tc>
          <w:tcPr>
            <w:tcW w:w="2530" w:type="dxa"/>
            <w:vMerge/>
          </w:tcPr>
          <w:p w14:paraId="69A291D7" w14:textId="7777777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6230" w:type="dxa"/>
          </w:tcPr>
          <w:p w14:paraId="1CC1D6A0"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
                <w:bCs/>
                <w:iCs/>
              </w:rPr>
              <w:t xml:space="preserve">Significant COVID-19 impact on </w:t>
            </w:r>
            <w:proofErr w:type="spellStart"/>
            <w:r w:rsidRPr="003A517F">
              <w:rPr>
                <w:b/>
                <w:bCs/>
                <w:iCs/>
              </w:rPr>
              <w:t>utilisation</w:t>
            </w:r>
            <w:proofErr w:type="spellEnd"/>
          </w:p>
          <w:p w14:paraId="535372B8"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Cs/>
                <w:iCs/>
              </w:rPr>
              <w:t>One stakeholder noted that their experience over the past 2 years was that volume and range of products used during this period had been significantly impacted, with a decline in activity in 2019-20 and an upswing in 2020-21.</w:t>
            </w:r>
          </w:p>
        </w:tc>
        <w:tc>
          <w:tcPr>
            <w:tcW w:w="4727" w:type="dxa"/>
            <w:vMerge/>
          </w:tcPr>
          <w:p w14:paraId="4364D855"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p>
        </w:tc>
      </w:tr>
      <w:tr w:rsidR="001D778B" w:rsidRPr="003A517F" w14:paraId="4F0319BA" w14:textId="77777777" w:rsidTr="00131343">
        <w:trPr>
          <w:cnfStyle w:val="000000010000" w:firstRow="0" w:lastRow="0" w:firstColumn="0" w:lastColumn="0" w:oddVBand="0" w:evenVBand="0" w:oddHBand="0" w:evenHBand="1"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461" w:type="dxa"/>
            <w:vMerge/>
          </w:tcPr>
          <w:p w14:paraId="441E68DF" w14:textId="77777777" w:rsidR="001D778B" w:rsidRPr="00D51DA9" w:rsidRDefault="001D778B" w:rsidP="00131343">
            <w:pPr>
              <w:spacing w:before="60" w:after="60"/>
              <w:jc w:val="center"/>
              <w:rPr>
                <w:sz w:val="18"/>
                <w:szCs w:val="18"/>
              </w:rPr>
            </w:pPr>
          </w:p>
        </w:tc>
        <w:tc>
          <w:tcPr>
            <w:tcW w:w="2530" w:type="dxa"/>
            <w:vMerge/>
          </w:tcPr>
          <w:p w14:paraId="5DAA097A"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pPr>
          </w:p>
        </w:tc>
        <w:tc>
          <w:tcPr>
            <w:tcW w:w="6230" w:type="dxa"/>
          </w:tcPr>
          <w:p w14:paraId="5F3A7EAF"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r w:rsidRPr="003A517F">
              <w:rPr>
                <w:b/>
                <w:bCs/>
                <w:iCs/>
              </w:rPr>
              <w:t>Other impacts from COVID-19</w:t>
            </w:r>
          </w:p>
          <w:p w14:paraId="621AF8F5" w14:textId="58D000FF"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Three stakeholders made references to other impacts of COVID-19 on </w:t>
            </w:r>
            <w:r w:rsidR="009B5B2C">
              <w:rPr>
                <w:bCs/>
                <w:iCs/>
              </w:rPr>
              <w:t>GUI</w:t>
            </w:r>
            <w:r w:rsidRPr="003A517F">
              <w:rPr>
                <w:bCs/>
                <w:iCs/>
              </w:rPr>
              <w:t xml:space="preserve"> </w:t>
            </w:r>
            <w:proofErr w:type="spellStart"/>
            <w:r w:rsidRPr="003A517F">
              <w:rPr>
                <w:bCs/>
                <w:iCs/>
              </w:rPr>
              <w:t>utilisation</w:t>
            </w:r>
            <w:proofErr w:type="spellEnd"/>
            <w:r w:rsidRPr="003A517F">
              <w:rPr>
                <w:bCs/>
                <w:iCs/>
              </w:rPr>
              <w:t>:</w:t>
            </w:r>
          </w:p>
          <w:p w14:paraId="3FCDB2BC" w14:textId="77777777" w:rsidR="001D778B" w:rsidRPr="003A517F" w:rsidRDefault="001D778B" w:rsidP="007102CA">
            <w:pPr>
              <w:pStyle w:val="ListParagraph"/>
              <w:numPr>
                <w:ilvl w:val="0"/>
                <w:numId w:val="11"/>
              </w:numPr>
              <w:spacing w:before="60" w:after="120" w:line="240" w:lineRule="auto"/>
              <w:contextualSpacing w:val="0"/>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One stakeholder observed there were impacts on procedural volumes and item </w:t>
            </w:r>
            <w:proofErr w:type="spellStart"/>
            <w:r w:rsidRPr="003A517F">
              <w:rPr>
                <w:bCs/>
                <w:iCs/>
              </w:rPr>
              <w:t>utilisation</w:t>
            </w:r>
            <w:proofErr w:type="spellEnd"/>
            <w:r w:rsidRPr="003A517F">
              <w:rPr>
                <w:bCs/>
                <w:iCs/>
              </w:rPr>
              <w:t xml:space="preserve"> that varied by state/territory, by locality and by patients of different clinical acuity level.</w:t>
            </w:r>
          </w:p>
          <w:p w14:paraId="514EA712" w14:textId="5B92B30B" w:rsidR="001D778B" w:rsidRPr="003A517F" w:rsidRDefault="001D778B" w:rsidP="007102CA">
            <w:pPr>
              <w:pStyle w:val="ListParagraph"/>
              <w:numPr>
                <w:ilvl w:val="0"/>
                <w:numId w:val="11"/>
              </w:numPr>
              <w:spacing w:before="60" w:after="120" w:line="240" w:lineRule="auto"/>
              <w:contextualSpacing w:val="0"/>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Two stakeholders anticipate the </w:t>
            </w:r>
            <w:proofErr w:type="spellStart"/>
            <w:r w:rsidRPr="003A517F">
              <w:rPr>
                <w:bCs/>
                <w:iCs/>
              </w:rPr>
              <w:t>utilisation</w:t>
            </w:r>
            <w:proofErr w:type="spellEnd"/>
            <w:r w:rsidRPr="003A517F">
              <w:rPr>
                <w:bCs/>
                <w:iCs/>
              </w:rPr>
              <w:t xml:space="preserve"> of </w:t>
            </w:r>
            <w:r w:rsidR="009B5B2C">
              <w:rPr>
                <w:bCs/>
                <w:iCs/>
              </w:rPr>
              <w:t>GUI</w:t>
            </w:r>
            <w:r w:rsidRPr="003A517F">
              <w:rPr>
                <w:bCs/>
                <w:iCs/>
              </w:rPr>
              <w:t>s to increase above pre-COVID levels as restrictions ease and elective surgery returns.</w:t>
            </w:r>
          </w:p>
          <w:p w14:paraId="516C3009" w14:textId="77777777" w:rsidR="001D778B" w:rsidRPr="003A517F" w:rsidRDefault="001D778B" w:rsidP="007102CA">
            <w:pPr>
              <w:pStyle w:val="ListParagraph"/>
              <w:numPr>
                <w:ilvl w:val="0"/>
                <w:numId w:val="11"/>
              </w:numPr>
              <w:spacing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b/>
                <w:bCs/>
                <w:iCs/>
              </w:rPr>
            </w:pPr>
            <w:r w:rsidRPr="003A517F">
              <w:rPr>
                <w:bCs/>
                <w:iCs/>
              </w:rPr>
              <w:t xml:space="preserve">One stakeholder suggested for IHACPA to look into the impact of COVID-19 on supply chains and consequently patterns in </w:t>
            </w:r>
            <w:proofErr w:type="spellStart"/>
            <w:r w:rsidRPr="003A517F">
              <w:rPr>
                <w:bCs/>
                <w:iCs/>
              </w:rPr>
              <w:t>utilisation</w:t>
            </w:r>
            <w:proofErr w:type="spellEnd"/>
            <w:r w:rsidRPr="003A517F">
              <w:rPr>
                <w:bCs/>
                <w:iCs/>
              </w:rPr>
              <w:t>.</w:t>
            </w:r>
          </w:p>
          <w:p w14:paraId="3E7BA296" w14:textId="77777777" w:rsidR="001D778B" w:rsidRPr="003A517F" w:rsidRDefault="001D778B" w:rsidP="007102CA">
            <w:pPr>
              <w:pStyle w:val="ListParagraph"/>
              <w:numPr>
                <w:ilvl w:val="0"/>
                <w:numId w:val="11"/>
              </w:numPr>
              <w:spacing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b/>
                <w:bCs/>
                <w:iCs/>
              </w:rPr>
            </w:pPr>
            <w:r w:rsidRPr="003A517F">
              <w:rPr>
                <w:bCs/>
                <w:iCs/>
              </w:rPr>
              <w:t xml:space="preserve">One stakeholder observed that higher bleeding rates among previously COVID-infected patients may be a factor in recent usage characteristics of </w:t>
            </w:r>
            <w:proofErr w:type="spellStart"/>
            <w:r w:rsidRPr="003A517F">
              <w:rPr>
                <w:bCs/>
                <w:iCs/>
              </w:rPr>
              <w:t>haemostats</w:t>
            </w:r>
            <w:proofErr w:type="spellEnd"/>
            <w:r w:rsidRPr="003A517F">
              <w:rPr>
                <w:bCs/>
                <w:iCs/>
              </w:rPr>
              <w:t>.</w:t>
            </w:r>
          </w:p>
          <w:p w14:paraId="28191BC0" w14:textId="19018280" w:rsidR="001D778B" w:rsidRPr="003A517F" w:rsidRDefault="001D778B" w:rsidP="007102CA">
            <w:pPr>
              <w:pStyle w:val="ListParagraph"/>
              <w:numPr>
                <w:ilvl w:val="0"/>
                <w:numId w:val="11"/>
              </w:numPr>
              <w:spacing w:before="60" w:after="120" w:line="240" w:lineRule="auto"/>
              <w:contextualSpacing w:val="0"/>
              <w:cnfStyle w:val="000000010000" w:firstRow="0" w:lastRow="0" w:firstColumn="0" w:lastColumn="0" w:oddVBand="0" w:evenVBand="0" w:oddHBand="0" w:evenHBand="1" w:firstRowFirstColumn="0" w:firstRowLastColumn="0" w:lastRowFirstColumn="0" w:lastRowLastColumn="0"/>
              <w:rPr>
                <w:bCs/>
                <w:iCs/>
              </w:rPr>
            </w:pPr>
            <w:r w:rsidRPr="003A517F">
              <w:rPr>
                <w:bCs/>
                <w:iCs/>
              </w:rPr>
              <w:t>Four stakeholders</w:t>
            </w:r>
            <w:r w:rsidRPr="003A517F">
              <w:rPr>
                <w:b/>
                <w:bCs/>
                <w:iCs/>
              </w:rPr>
              <w:t xml:space="preserve"> </w:t>
            </w:r>
            <w:r w:rsidRPr="003A517F">
              <w:rPr>
                <w:bCs/>
                <w:iCs/>
              </w:rPr>
              <w:t xml:space="preserve">suggested comparing pre-COVID </w:t>
            </w:r>
            <w:proofErr w:type="spellStart"/>
            <w:r w:rsidRPr="003A517F">
              <w:rPr>
                <w:bCs/>
                <w:iCs/>
              </w:rPr>
              <w:t>utilisation</w:t>
            </w:r>
            <w:proofErr w:type="spellEnd"/>
            <w:r w:rsidRPr="003A517F">
              <w:rPr>
                <w:bCs/>
                <w:iCs/>
              </w:rPr>
              <w:t xml:space="preserve"> rates to COVID rates to examine the enduring impact of COVID-19 on </w:t>
            </w:r>
            <w:r w:rsidR="009B5B2C">
              <w:rPr>
                <w:bCs/>
                <w:iCs/>
              </w:rPr>
              <w:t>GUI</w:t>
            </w:r>
            <w:r w:rsidRPr="003A517F">
              <w:rPr>
                <w:bCs/>
                <w:iCs/>
              </w:rPr>
              <w:t xml:space="preserve"> </w:t>
            </w:r>
            <w:proofErr w:type="spellStart"/>
            <w:r w:rsidRPr="003A517F">
              <w:rPr>
                <w:bCs/>
                <w:iCs/>
              </w:rPr>
              <w:t>utilisation</w:t>
            </w:r>
            <w:proofErr w:type="spellEnd"/>
            <w:r w:rsidRPr="003A517F">
              <w:rPr>
                <w:bCs/>
                <w:iCs/>
              </w:rPr>
              <w:t xml:space="preserve">. One stakeholder recommended the use of pre-COVID HCP data as a primary basis for the design of the </w:t>
            </w:r>
            <w:r w:rsidR="009B5B2C">
              <w:rPr>
                <w:bCs/>
                <w:iCs/>
              </w:rPr>
              <w:t>GUI</w:t>
            </w:r>
            <w:r w:rsidRPr="003A517F">
              <w:rPr>
                <w:bCs/>
                <w:iCs/>
              </w:rPr>
              <w:t xml:space="preserve"> bundles.</w:t>
            </w:r>
          </w:p>
        </w:tc>
        <w:tc>
          <w:tcPr>
            <w:tcW w:w="4727" w:type="dxa"/>
            <w:vMerge/>
          </w:tcPr>
          <w:p w14:paraId="664A649F"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p>
        </w:tc>
      </w:tr>
      <w:tr w:rsidR="001D778B" w:rsidRPr="003A517F" w14:paraId="0CF24F53" w14:textId="77777777" w:rsidTr="0013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44FED8F9" w14:textId="77777777" w:rsidR="001D778B" w:rsidRPr="00D51DA9" w:rsidRDefault="001D778B" w:rsidP="00131343">
            <w:pPr>
              <w:spacing w:before="60" w:after="60"/>
              <w:jc w:val="center"/>
              <w:rPr>
                <w:b/>
                <w:bCs/>
                <w:sz w:val="18"/>
                <w:szCs w:val="18"/>
              </w:rPr>
            </w:pPr>
            <w:r w:rsidRPr="00D51DA9">
              <w:rPr>
                <w:sz w:val="18"/>
                <w:szCs w:val="18"/>
              </w:rPr>
              <w:t>9</w:t>
            </w:r>
          </w:p>
        </w:tc>
        <w:tc>
          <w:tcPr>
            <w:tcW w:w="2530" w:type="dxa"/>
          </w:tcPr>
          <w:p w14:paraId="7FD6B194" w14:textId="7777777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r w:rsidRPr="003A517F">
              <w:t>Are you aware of any existing contracting arrangements between hospitals and insurers that might be considered relevant in the formulation of advice on alternative bundling arrangements? If so, please provide details of the arrangements, noting that IHACPA will ensure confidentiality of this information wherever necessary.</w:t>
            </w:r>
          </w:p>
        </w:tc>
        <w:tc>
          <w:tcPr>
            <w:tcW w:w="6230" w:type="dxa"/>
          </w:tcPr>
          <w:p w14:paraId="6A6774E6"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
                <w:bCs/>
                <w:iCs/>
              </w:rPr>
              <w:t>Awareness of existing contracting arrangements</w:t>
            </w:r>
          </w:p>
          <w:p w14:paraId="1DFC7865"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Several stakeholders provided information on the different contracting arrangements between hospitals and insurers. Contracts are structured by per diem, MBS, procedure bands defined by the National Procedure Banding Committee, and by AR-DRG.</w:t>
            </w:r>
          </w:p>
          <w:p w14:paraId="79A37030"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Cs/>
                <w:iCs/>
              </w:rPr>
              <w:t>The relevance of these existing contracting arrangements to the formulation of advice on alternative bundling arrangements include:</w:t>
            </w:r>
          </w:p>
          <w:p w14:paraId="0E13D5CE"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Five stakeholders suggested that there are instances of consumables that are funded through the PL and through arrangements originally in place prior to their listing. Some stakeholders have noted that this may result in double funding in these cases.</w:t>
            </w:r>
          </w:p>
          <w:p w14:paraId="29FDF6C3" w14:textId="198E404B"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One of these stakeholders suggested that select sub-categories of </w:t>
            </w:r>
            <w:r w:rsidR="009B5B2C">
              <w:rPr>
                <w:bCs/>
                <w:iCs/>
              </w:rPr>
              <w:t>GUI</w:t>
            </w:r>
            <w:r w:rsidRPr="003A517F">
              <w:rPr>
                <w:bCs/>
                <w:iCs/>
              </w:rPr>
              <w:t xml:space="preserve">s should be modified or removed prior to the development of bundles, as their current arrangements includes: </w:t>
            </w:r>
            <w:r w:rsidR="009B5B2C">
              <w:rPr>
                <w:bCs/>
                <w:iCs/>
              </w:rPr>
              <w:t>GUI</w:t>
            </w:r>
            <w:r w:rsidRPr="003A517F">
              <w:rPr>
                <w:bCs/>
                <w:iCs/>
              </w:rPr>
              <w:t xml:space="preserve">s as cost elements of procedure bands defined by the National Procedure Banding Committee, other contract arrangements that bundle </w:t>
            </w:r>
            <w:r w:rsidR="009B5B2C">
              <w:rPr>
                <w:bCs/>
                <w:iCs/>
              </w:rPr>
              <w:t>GUI</w:t>
            </w:r>
            <w:r w:rsidRPr="003A517F">
              <w:rPr>
                <w:bCs/>
                <w:iCs/>
              </w:rPr>
              <w:t xml:space="preserve">s, </w:t>
            </w:r>
            <w:r w:rsidR="009B5B2C">
              <w:rPr>
                <w:bCs/>
                <w:iCs/>
              </w:rPr>
              <w:t>GUI</w:t>
            </w:r>
            <w:r w:rsidRPr="003A517F">
              <w:rPr>
                <w:bCs/>
                <w:iCs/>
              </w:rPr>
              <w:t>s that have substituted for prior procedure cost elements, and items that are inappropriately claimed.</w:t>
            </w:r>
          </w:p>
          <w:p w14:paraId="0EF04FCA"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Two stakeholders have highlighted arrangements where prostheses costs were absorbed by private hospitals and were not reflected in the data. Items of concern include cardiac ablation catheters and robotic consumables.</w:t>
            </w:r>
          </w:p>
          <w:p w14:paraId="3431ADA8" w14:textId="56511C0B"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Two stakeholders noted that non-PL-listed alternatives exist for most, if not all, </w:t>
            </w:r>
            <w:r w:rsidR="009B5B2C">
              <w:rPr>
                <w:bCs/>
                <w:iCs/>
              </w:rPr>
              <w:t>GUI</w:t>
            </w:r>
            <w:r w:rsidRPr="003A517F">
              <w:rPr>
                <w:bCs/>
                <w:iCs/>
              </w:rPr>
              <w:t>s, and are funded under existing contract arrangements.</w:t>
            </w:r>
          </w:p>
          <w:p w14:paraId="70DFE57D"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One stakeholder noted the complexities of funding arrangements in the private health sector, and changes to the PL need to consider the impact on these complex funding arrangements.</w:t>
            </w:r>
          </w:p>
          <w:p w14:paraId="5873D5FC"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One stakeholder noted the existence of volume-based discounts and rebates to private hospitals under commercial-in-confidence arrangements, making it unclear what the real price being paid per device is.</w:t>
            </w:r>
          </w:p>
          <w:p w14:paraId="6EE4FBD6"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One stakeholder noted that there should be consideration of hospitals that do not have a contractual arrangement with PHIs, or whose contract does not allow billing of all devices used.</w:t>
            </w:r>
          </w:p>
        </w:tc>
        <w:tc>
          <w:tcPr>
            <w:tcW w:w="4727" w:type="dxa"/>
          </w:tcPr>
          <w:p w14:paraId="619E3208" w14:textId="3C3E9B6A" w:rsidR="001D778B" w:rsidRPr="009F52C3"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IHACPA notes stakeholders’ concerns about the impact of existing contracting arrangements on the bundling process, in particular the </w:t>
            </w:r>
            <w:r w:rsidR="00C14435" w:rsidRPr="003A517F">
              <w:rPr>
                <w:bCs/>
                <w:iCs/>
              </w:rPr>
              <w:t xml:space="preserve">potential for </w:t>
            </w:r>
            <w:r w:rsidRPr="003A517F">
              <w:rPr>
                <w:bCs/>
                <w:iCs/>
              </w:rPr>
              <w:t xml:space="preserve">double counting of consumables that are funded through existing arrangements prior to listing. IHACPA notes that the </w:t>
            </w:r>
            <w:r w:rsidR="0001336C">
              <w:rPr>
                <w:bCs/>
                <w:iCs/>
              </w:rPr>
              <w:t xml:space="preserve">primary purpose of its advice is to support alternative arrangements for GUIs currently funded through PL arrangements. IHACPA has provided comprehensive detail on the </w:t>
            </w:r>
            <w:r w:rsidR="009F52C3">
              <w:rPr>
                <w:bCs/>
                <w:iCs/>
              </w:rPr>
              <w:t xml:space="preserve">defined </w:t>
            </w:r>
            <w:r w:rsidR="0001336C">
              <w:rPr>
                <w:bCs/>
                <w:iCs/>
              </w:rPr>
              <w:t xml:space="preserve">GUI bundles to ensure stakeholders can make </w:t>
            </w:r>
            <w:r w:rsidR="009F52C3">
              <w:rPr>
                <w:bCs/>
                <w:iCs/>
              </w:rPr>
              <w:t xml:space="preserve">informed and measured </w:t>
            </w:r>
            <w:r w:rsidR="0001336C">
              <w:rPr>
                <w:bCs/>
                <w:iCs/>
              </w:rPr>
              <w:t>decisions regarding their application</w:t>
            </w:r>
            <w:r w:rsidR="009F52C3">
              <w:rPr>
                <w:bCs/>
                <w:iCs/>
              </w:rPr>
              <w:t xml:space="preserve"> or use</w:t>
            </w:r>
            <w:r w:rsidR="0001336C">
              <w:rPr>
                <w:bCs/>
                <w:iCs/>
              </w:rPr>
              <w:t>.</w:t>
            </w:r>
          </w:p>
        </w:tc>
      </w:tr>
      <w:tr w:rsidR="001D778B" w:rsidRPr="003A517F" w14:paraId="4B492ADA" w14:textId="77777777" w:rsidTr="001313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val="restart"/>
          </w:tcPr>
          <w:p w14:paraId="46D9E4A4" w14:textId="77777777" w:rsidR="001D778B" w:rsidRPr="00D51DA9" w:rsidRDefault="001D778B" w:rsidP="00131343">
            <w:pPr>
              <w:spacing w:before="60" w:after="60"/>
              <w:jc w:val="center"/>
              <w:rPr>
                <w:b/>
                <w:bCs/>
                <w:sz w:val="18"/>
                <w:szCs w:val="18"/>
              </w:rPr>
            </w:pPr>
            <w:r w:rsidRPr="00D51DA9">
              <w:rPr>
                <w:sz w:val="18"/>
                <w:szCs w:val="18"/>
              </w:rPr>
              <w:t>10</w:t>
            </w:r>
          </w:p>
        </w:tc>
        <w:tc>
          <w:tcPr>
            <w:tcW w:w="2530" w:type="dxa"/>
            <w:vMerge w:val="restart"/>
          </w:tcPr>
          <w:p w14:paraId="302537FA"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pPr>
            <w:r w:rsidRPr="003A517F">
              <w:t>Are you aware of any instances where a General Use Item charge is raised against an individual episode but where the item is used across multiple episodes, such as might occur for multi-pack or multi-use type items? If so, please provide details.</w:t>
            </w:r>
          </w:p>
        </w:tc>
        <w:tc>
          <w:tcPr>
            <w:tcW w:w="6230" w:type="dxa"/>
          </w:tcPr>
          <w:p w14:paraId="1EE147D7" w14:textId="2163F0DB"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r w:rsidRPr="003A517F">
              <w:rPr>
                <w:b/>
                <w:bCs/>
                <w:iCs/>
              </w:rPr>
              <w:t xml:space="preserve">Not aware of usage of </w:t>
            </w:r>
            <w:r w:rsidR="009B5B2C">
              <w:rPr>
                <w:b/>
                <w:bCs/>
                <w:iCs/>
              </w:rPr>
              <w:t>GUI</w:t>
            </w:r>
            <w:r w:rsidRPr="003A517F">
              <w:rPr>
                <w:b/>
                <w:bCs/>
                <w:iCs/>
              </w:rPr>
              <w:t>s across multiple episodes but raised against an individual episode</w:t>
            </w:r>
          </w:p>
          <w:p w14:paraId="438DCAA9" w14:textId="4D6CE6E3"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pPr>
            <w:r w:rsidRPr="003A517F">
              <w:rPr>
                <w:bCs/>
                <w:iCs/>
              </w:rPr>
              <w:t xml:space="preserve">Seven stakeholders noted they were unaware of usage of </w:t>
            </w:r>
            <w:r w:rsidR="009B5B2C">
              <w:rPr>
                <w:bCs/>
                <w:iCs/>
              </w:rPr>
              <w:t>GUI</w:t>
            </w:r>
            <w:r w:rsidRPr="003A517F">
              <w:rPr>
                <w:bCs/>
                <w:iCs/>
              </w:rPr>
              <w:t>s across multiple episodes or suggested that such activities do not occur. A number of stakeholders noted that, if this were to occur, hospitals would be breaching their lawful obligations.</w:t>
            </w:r>
          </w:p>
        </w:tc>
        <w:tc>
          <w:tcPr>
            <w:tcW w:w="4727" w:type="dxa"/>
            <w:vMerge w:val="restart"/>
          </w:tcPr>
          <w:p w14:paraId="31A4A125" w14:textId="7C042D14"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IHACPA notes stakeholders’ feedback on instances where </w:t>
            </w:r>
            <w:r w:rsidR="009F52C3">
              <w:rPr>
                <w:bCs/>
                <w:iCs/>
              </w:rPr>
              <w:t>GUI</w:t>
            </w:r>
            <w:r w:rsidRPr="003A517F">
              <w:rPr>
                <w:bCs/>
                <w:iCs/>
              </w:rPr>
              <w:t xml:space="preserve"> charges are raised against an individual episode but where the item is used across multiple episodes. IHACPA acknowledges the challenges in obtaining definitive evidence and details of these occurrences. As such, no adjustments have been made by IHACPA in the formulation of advice to account for this.</w:t>
            </w:r>
          </w:p>
          <w:p w14:paraId="13C6C390"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p>
        </w:tc>
      </w:tr>
      <w:tr w:rsidR="001D778B" w:rsidRPr="003A517F" w14:paraId="4DFA02D7" w14:textId="77777777" w:rsidTr="0013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tcPr>
          <w:p w14:paraId="50FDC83C" w14:textId="77777777" w:rsidR="001D778B" w:rsidRPr="00D51DA9" w:rsidRDefault="001D778B" w:rsidP="00131343">
            <w:pPr>
              <w:spacing w:before="60" w:after="60"/>
              <w:jc w:val="center"/>
              <w:rPr>
                <w:sz w:val="18"/>
                <w:szCs w:val="18"/>
              </w:rPr>
            </w:pPr>
          </w:p>
        </w:tc>
        <w:tc>
          <w:tcPr>
            <w:tcW w:w="2530" w:type="dxa"/>
            <w:vMerge/>
          </w:tcPr>
          <w:p w14:paraId="32F773E0" w14:textId="7777777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6230" w:type="dxa"/>
          </w:tcPr>
          <w:p w14:paraId="5A251631" w14:textId="3DF264FC"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
                <w:bCs/>
                <w:iCs/>
              </w:rPr>
              <w:t xml:space="preserve">Aware of usage of </w:t>
            </w:r>
            <w:r w:rsidR="009B5B2C">
              <w:rPr>
                <w:b/>
                <w:bCs/>
                <w:iCs/>
              </w:rPr>
              <w:t>GUI</w:t>
            </w:r>
            <w:r w:rsidRPr="003A517F">
              <w:rPr>
                <w:b/>
                <w:bCs/>
                <w:iCs/>
              </w:rPr>
              <w:t>s across multiple episodes but raised against an individual episode</w:t>
            </w:r>
          </w:p>
          <w:p w14:paraId="5BD12A05" w14:textId="32C8F673" w:rsidR="001D778B" w:rsidRPr="003A517F" w:rsidDel="00FC286E"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Seven stakeholders suggested that there have been instances where a </w:t>
            </w:r>
            <w:r w:rsidR="009B5B2C">
              <w:rPr>
                <w:bCs/>
                <w:iCs/>
              </w:rPr>
              <w:t>GUI</w:t>
            </w:r>
            <w:r w:rsidRPr="003A517F">
              <w:rPr>
                <w:bCs/>
                <w:iCs/>
              </w:rPr>
              <w:t xml:space="preserve"> is used across multiple episodes and highlighted the following items as examples: Battery-powered and spring-powered infusion pumps, Screws (kits with multiples), Nasal dressing, Drug delivery items. Some of these stakeholders noted that this is not easily identified, and noted the lack of definitive evidence.</w:t>
            </w:r>
          </w:p>
        </w:tc>
        <w:tc>
          <w:tcPr>
            <w:tcW w:w="4727" w:type="dxa"/>
            <w:vMerge/>
          </w:tcPr>
          <w:p w14:paraId="0245E1F4"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p>
        </w:tc>
      </w:tr>
      <w:tr w:rsidR="001D778B" w:rsidRPr="003A517F" w14:paraId="79879DB9" w14:textId="77777777" w:rsidTr="00131343">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61" w:type="dxa"/>
            <w:vMerge w:val="restart"/>
          </w:tcPr>
          <w:p w14:paraId="0B4BCA9A" w14:textId="77777777" w:rsidR="001D778B" w:rsidRPr="00D51DA9" w:rsidRDefault="001D778B" w:rsidP="00131343">
            <w:pPr>
              <w:spacing w:before="60" w:after="60"/>
              <w:jc w:val="center"/>
              <w:rPr>
                <w:b/>
                <w:bCs/>
                <w:sz w:val="18"/>
                <w:szCs w:val="18"/>
              </w:rPr>
            </w:pPr>
            <w:r w:rsidRPr="00D51DA9">
              <w:rPr>
                <w:sz w:val="18"/>
                <w:szCs w:val="18"/>
              </w:rPr>
              <w:t>11</w:t>
            </w:r>
          </w:p>
        </w:tc>
        <w:tc>
          <w:tcPr>
            <w:tcW w:w="2530" w:type="dxa"/>
            <w:vMerge w:val="restart"/>
          </w:tcPr>
          <w:p w14:paraId="75A82DEA"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pPr>
            <w:r w:rsidRPr="003A517F">
              <w:t>Are there any other issues of relevance to the formulation of advice on alternative bundling arrangements? If so, please provide details on these issues and their materiality with regard to the formulation of advice.</w:t>
            </w:r>
          </w:p>
        </w:tc>
        <w:tc>
          <w:tcPr>
            <w:tcW w:w="6230" w:type="dxa"/>
          </w:tcPr>
          <w:p w14:paraId="4FF65E25"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iCs/>
              </w:rPr>
            </w:pPr>
            <w:r w:rsidRPr="003A517F">
              <w:rPr>
                <w:b/>
                <w:bCs/>
                <w:iCs/>
              </w:rPr>
              <w:t>Use of the National Efficient Price Framework and median approach to usage</w:t>
            </w:r>
          </w:p>
          <w:p w14:paraId="3986A043"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Eight stakeholders recommended that the calculation of bundled benefits be based on a framework similar to the one IHACPA applies in the calculation of the National Efficient Price for public hospital services, as this would help determine what items are routinely used within a procedure. </w:t>
            </w:r>
          </w:p>
          <w:p w14:paraId="7CBEF69D" w14:textId="30ABE7B2"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pPr>
            <w:r w:rsidRPr="003A517F">
              <w:t xml:space="preserve">In addition, four of these stakeholders proposed the use of median statistics rather than averages, as this would remove the influence of inappropriately used PL-listed </w:t>
            </w:r>
            <w:r w:rsidR="009B5B2C">
              <w:t>GUI</w:t>
            </w:r>
            <w:r w:rsidRPr="003A517F">
              <w:t xml:space="preserve">s when determining bundling arrangements, with one example being high-cost consumables that have low levels of </w:t>
            </w:r>
            <w:proofErr w:type="spellStart"/>
            <w:r w:rsidRPr="003A517F">
              <w:t>utilisation</w:t>
            </w:r>
            <w:proofErr w:type="spellEnd"/>
            <w:r w:rsidRPr="003A517F">
              <w:t xml:space="preserve"> for certain procedures.</w:t>
            </w:r>
          </w:p>
        </w:tc>
        <w:tc>
          <w:tcPr>
            <w:tcW w:w="4727" w:type="dxa"/>
            <w:vMerge w:val="restart"/>
          </w:tcPr>
          <w:p w14:paraId="4507E1CA" w14:textId="65933ECE"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IHACPA notes stakeholders’ concerns surrounding the transparency around the decision-making process. </w:t>
            </w:r>
            <w:r w:rsidR="00F86743">
              <w:rPr>
                <w:bCs/>
                <w:iCs/>
              </w:rPr>
              <w:t xml:space="preserve">IHACPA’s </w:t>
            </w:r>
            <w:r w:rsidRPr="003A517F">
              <w:rPr>
                <w:bCs/>
                <w:iCs/>
              </w:rPr>
              <w:t>advice has been designed as a</w:t>
            </w:r>
            <w:r w:rsidR="0046603E" w:rsidRPr="003A517F">
              <w:rPr>
                <w:bCs/>
                <w:iCs/>
              </w:rPr>
              <w:t xml:space="preserve">n aid </w:t>
            </w:r>
            <w:r w:rsidRPr="003A517F">
              <w:rPr>
                <w:bCs/>
                <w:iCs/>
              </w:rPr>
              <w:t xml:space="preserve">that </w:t>
            </w:r>
            <w:r w:rsidR="0046603E" w:rsidRPr="003A517F">
              <w:rPr>
                <w:bCs/>
                <w:iCs/>
              </w:rPr>
              <w:t xml:space="preserve">helps </w:t>
            </w:r>
            <w:r w:rsidRPr="003A517F">
              <w:rPr>
                <w:bCs/>
                <w:iCs/>
              </w:rPr>
              <w:t>reduce information asymmetry to support the sector in establishing alternative arrangements for the payment of benefits for these items.</w:t>
            </w:r>
          </w:p>
          <w:p w14:paraId="5A6DECDB" w14:textId="1C14602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IHACPA also notes stakeholders’ concerns around issues of policy, </w:t>
            </w:r>
            <w:proofErr w:type="spellStart"/>
            <w:r w:rsidRPr="003A517F">
              <w:rPr>
                <w:bCs/>
                <w:iCs/>
              </w:rPr>
              <w:t>operationalisation</w:t>
            </w:r>
            <w:proofErr w:type="spellEnd"/>
            <w:r w:rsidRPr="003A517F">
              <w:rPr>
                <w:bCs/>
                <w:iCs/>
              </w:rPr>
              <w:t xml:space="preserve"> and implementation. IHACPA</w:t>
            </w:r>
            <w:r w:rsidR="00F86743">
              <w:rPr>
                <w:bCs/>
                <w:iCs/>
              </w:rPr>
              <w:t xml:space="preserve"> has attempted to provide advice that is amenable to different implementation approaches.</w:t>
            </w:r>
            <w:r w:rsidRPr="003A517F">
              <w:rPr>
                <w:bCs/>
                <w:iCs/>
              </w:rPr>
              <w:t xml:space="preserve"> </w:t>
            </w:r>
            <w:r w:rsidR="00F86743">
              <w:rPr>
                <w:bCs/>
                <w:iCs/>
              </w:rPr>
              <w:t>However, IHACPA notes that decisions regarding i</w:t>
            </w:r>
            <w:r w:rsidRPr="003A517F">
              <w:rPr>
                <w:bCs/>
                <w:iCs/>
              </w:rPr>
              <w:t>ssues such as mandating alternative bundling arrangements, governance</w:t>
            </w:r>
            <w:r w:rsidR="005F460F">
              <w:rPr>
                <w:bCs/>
                <w:iCs/>
              </w:rPr>
              <w:t xml:space="preserve"> arrangements</w:t>
            </w:r>
            <w:r w:rsidRPr="003A517F">
              <w:rPr>
                <w:bCs/>
                <w:iCs/>
              </w:rPr>
              <w:t xml:space="preserve">, </w:t>
            </w:r>
            <w:r w:rsidR="00F86743">
              <w:rPr>
                <w:bCs/>
                <w:iCs/>
              </w:rPr>
              <w:t xml:space="preserve">or </w:t>
            </w:r>
            <w:r w:rsidRPr="003A517F">
              <w:rPr>
                <w:bCs/>
                <w:iCs/>
              </w:rPr>
              <w:t>adjusting for clinically appropriate use</w:t>
            </w:r>
            <w:r w:rsidR="00F86743">
              <w:rPr>
                <w:bCs/>
                <w:iCs/>
              </w:rPr>
              <w:t xml:space="preserve"> of GUIs </w:t>
            </w:r>
            <w:r w:rsidR="005F460F">
              <w:rPr>
                <w:bCs/>
                <w:iCs/>
              </w:rPr>
              <w:t xml:space="preserve">are </w:t>
            </w:r>
            <w:r w:rsidR="00F86743">
              <w:rPr>
                <w:bCs/>
                <w:iCs/>
              </w:rPr>
              <w:t>beyond the scope of IHACPA’s advice</w:t>
            </w:r>
            <w:r w:rsidRPr="003A517F">
              <w:rPr>
                <w:bCs/>
                <w:iCs/>
              </w:rPr>
              <w:t>.</w:t>
            </w:r>
          </w:p>
          <w:p w14:paraId="7E435E5A" w14:textId="34545E66"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IHACPA notes stakeholders’ feedback that the bundles should be designed so that they can be updated over time to remain fit-for-purpose. </w:t>
            </w:r>
            <w:r w:rsidR="005F460F">
              <w:rPr>
                <w:bCs/>
                <w:iCs/>
              </w:rPr>
              <w:t>The GUI product classification that IHACPA has used as a basis for defining GUI bundles can be expanded or refined over time if the GUI products changes. Furthermore, IHACPA has provided a comprehensive range of statistics, such as average benefits per episode, average benefits per item, and average items per episode, that may be adjusted over time to account for changes in GUI product mix or use</w:t>
            </w:r>
            <w:r w:rsidRPr="003A517F">
              <w:rPr>
                <w:bCs/>
                <w:iCs/>
              </w:rPr>
              <w:t>.</w:t>
            </w:r>
          </w:p>
        </w:tc>
      </w:tr>
      <w:tr w:rsidR="001D778B" w:rsidRPr="003A517F" w14:paraId="12C0633C" w14:textId="77777777" w:rsidTr="00131343">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461" w:type="dxa"/>
            <w:vMerge/>
          </w:tcPr>
          <w:p w14:paraId="62BACC4C" w14:textId="77777777" w:rsidR="001D778B" w:rsidRPr="00D51DA9" w:rsidRDefault="001D778B" w:rsidP="00131343">
            <w:pPr>
              <w:spacing w:before="60" w:after="60"/>
              <w:jc w:val="center"/>
              <w:rPr>
                <w:sz w:val="18"/>
                <w:szCs w:val="18"/>
              </w:rPr>
            </w:pPr>
          </w:p>
        </w:tc>
        <w:tc>
          <w:tcPr>
            <w:tcW w:w="2530" w:type="dxa"/>
            <w:vMerge/>
          </w:tcPr>
          <w:p w14:paraId="333C76D2" w14:textId="7777777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6230" w:type="dxa"/>
          </w:tcPr>
          <w:p w14:paraId="31A72FC1"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
                <w:bCs/>
                <w:iCs/>
              </w:rPr>
              <w:t>Transparency, data sharing and information asymmetry</w:t>
            </w:r>
          </w:p>
          <w:p w14:paraId="75DFD44E" w14:textId="4F6A78F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Cs/>
                <w:iCs/>
              </w:rPr>
              <w:t xml:space="preserve">Four stakeholders have brought up the issue of information asymmetry between IHACPA and insurers and hospitals when it comes to the development of advice on alternative bundling, and the lack of transparency around the decision-making process when it comes to both bundling and removal of </w:t>
            </w:r>
            <w:r w:rsidR="009B5B2C">
              <w:rPr>
                <w:bCs/>
                <w:iCs/>
              </w:rPr>
              <w:t>GUI</w:t>
            </w:r>
            <w:r w:rsidRPr="003A517F">
              <w:rPr>
                <w:bCs/>
                <w:iCs/>
              </w:rPr>
              <w:t>s from the PL.</w:t>
            </w:r>
          </w:p>
        </w:tc>
        <w:tc>
          <w:tcPr>
            <w:tcW w:w="4727" w:type="dxa"/>
            <w:vMerge/>
          </w:tcPr>
          <w:p w14:paraId="26E0A255"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p>
        </w:tc>
      </w:tr>
      <w:tr w:rsidR="001D778B" w:rsidRPr="003A517F" w14:paraId="68C5461F" w14:textId="77777777" w:rsidTr="00131343">
        <w:trPr>
          <w:cnfStyle w:val="000000010000" w:firstRow="0" w:lastRow="0" w:firstColumn="0" w:lastColumn="0" w:oddVBand="0" w:evenVBand="0" w:oddHBand="0" w:evenHBand="1"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461" w:type="dxa"/>
            <w:vMerge/>
          </w:tcPr>
          <w:p w14:paraId="79ABABCB" w14:textId="77777777" w:rsidR="001D778B" w:rsidRPr="00D51DA9" w:rsidRDefault="001D778B" w:rsidP="00131343">
            <w:pPr>
              <w:spacing w:before="60" w:after="60"/>
              <w:jc w:val="center"/>
              <w:rPr>
                <w:sz w:val="18"/>
                <w:szCs w:val="18"/>
              </w:rPr>
            </w:pPr>
          </w:p>
        </w:tc>
        <w:tc>
          <w:tcPr>
            <w:tcW w:w="2530" w:type="dxa"/>
            <w:vMerge/>
          </w:tcPr>
          <w:p w14:paraId="49EA7106"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pPr>
          </w:p>
        </w:tc>
        <w:tc>
          <w:tcPr>
            <w:tcW w:w="6230" w:type="dxa"/>
          </w:tcPr>
          <w:p w14:paraId="41FECAC5"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r w:rsidRPr="003A517F">
              <w:rPr>
                <w:b/>
                <w:bCs/>
                <w:iCs/>
              </w:rPr>
              <w:t>Mandating of bundles and prices</w:t>
            </w:r>
          </w:p>
          <w:p w14:paraId="66B5CE5E"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A number of stakeholders noted views on the mandating of the alternative bundling arrangements, including the prices. Feedback received include:</w:t>
            </w:r>
          </w:p>
          <w:p w14:paraId="67BACE14" w14:textId="77777777" w:rsidR="001D778B" w:rsidRPr="003A517F" w:rsidRDefault="001D778B" w:rsidP="007102CA">
            <w:pPr>
              <w:pStyle w:val="ListParagraph"/>
              <w:numPr>
                <w:ilvl w:val="0"/>
                <w:numId w:val="11"/>
              </w:numPr>
              <w:spacing w:before="60" w:after="120" w:line="240" w:lineRule="auto"/>
              <w:contextualSpacing w:val="0"/>
              <w:cnfStyle w:val="000000010000" w:firstRow="0" w:lastRow="0" w:firstColumn="0" w:lastColumn="0" w:oddVBand="0" w:evenVBand="0" w:oddHBand="0" w:evenHBand="1" w:firstRowFirstColumn="0" w:firstRowLastColumn="0" w:lastRowFirstColumn="0" w:lastRowLastColumn="0"/>
              <w:rPr>
                <w:bCs/>
                <w:iCs/>
              </w:rPr>
            </w:pPr>
            <w:r w:rsidRPr="003A517F">
              <w:rPr>
                <w:bCs/>
                <w:iCs/>
              </w:rPr>
              <w:t>One stakeholder requested that IHACPA’s advice should be mandated.</w:t>
            </w:r>
          </w:p>
          <w:p w14:paraId="0480BE9E" w14:textId="77777777" w:rsidR="001D778B" w:rsidRPr="003A517F" w:rsidRDefault="001D778B" w:rsidP="007102CA">
            <w:pPr>
              <w:pStyle w:val="ListParagraph"/>
              <w:numPr>
                <w:ilvl w:val="0"/>
                <w:numId w:val="11"/>
              </w:numPr>
              <w:spacing w:before="60" w:after="120" w:line="240" w:lineRule="auto"/>
              <w:contextualSpacing w:val="0"/>
              <w:cnfStyle w:val="000000010000" w:firstRow="0" w:lastRow="0" w:firstColumn="0" w:lastColumn="0" w:oddVBand="0" w:evenVBand="0" w:oddHBand="0" w:evenHBand="1" w:firstRowFirstColumn="0" w:firstRowLastColumn="0" w:lastRowFirstColumn="0" w:lastRowLastColumn="0"/>
              <w:rPr>
                <w:bCs/>
                <w:iCs/>
              </w:rPr>
            </w:pPr>
            <w:r w:rsidRPr="003A517F">
              <w:rPr>
                <w:bCs/>
                <w:iCs/>
              </w:rPr>
              <w:t>One stakeholder requested for the construct of bundles to be mandated, and the price to be negotiated between parties.</w:t>
            </w:r>
          </w:p>
          <w:p w14:paraId="5A1D75B5" w14:textId="77777777" w:rsidR="001D778B" w:rsidRPr="003A517F" w:rsidRDefault="001D778B" w:rsidP="007102CA">
            <w:pPr>
              <w:pStyle w:val="ListParagraph"/>
              <w:numPr>
                <w:ilvl w:val="0"/>
                <w:numId w:val="11"/>
              </w:numPr>
              <w:spacing w:before="60" w:after="120" w:line="240" w:lineRule="auto"/>
              <w:contextualSpacing w:val="0"/>
              <w:cnfStyle w:val="000000010000" w:firstRow="0" w:lastRow="0" w:firstColumn="0" w:lastColumn="0" w:oddVBand="0" w:evenVBand="0" w:oddHBand="0" w:evenHBand="1" w:firstRowFirstColumn="0" w:firstRowLastColumn="0" w:lastRowFirstColumn="0" w:lastRowLastColumn="0"/>
              <w:rPr>
                <w:bCs/>
                <w:iCs/>
              </w:rPr>
            </w:pPr>
            <w:r w:rsidRPr="003A517F">
              <w:rPr>
                <w:bCs/>
                <w:iCs/>
              </w:rPr>
              <w:t>One stakeholder requested for the bundled prices to be made mandatory and not left up to negotiations, suggesting that, if insurers do not compensate or adequately compensate private hospitals for the cost of the bundles, this would lead to the hospitals passing these costs to patients. This may lead to clinical care and choice being compromised for private patients, and clinical decision making inappropriately influenced by financial considerations based on what funders will pay for or not. The stakeholder also suggested that non-mandatory prices could lead to hospitals encouraging lower cost procedures, which would direct more expensive prostheses cases towards public hospitals increasing financial burden and waiting times.</w:t>
            </w:r>
          </w:p>
          <w:p w14:paraId="37399771" w14:textId="77777777" w:rsidR="001D778B" w:rsidRPr="003A517F" w:rsidRDefault="001D778B" w:rsidP="007102CA">
            <w:pPr>
              <w:pStyle w:val="ListParagraph"/>
              <w:numPr>
                <w:ilvl w:val="0"/>
                <w:numId w:val="11"/>
              </w:numPr>
              <w:spacing w:before="60" w:after="120" w:line="240" w:lineRule="auto"/>
              <w:contextualSpacing w:val="0"/>
              <w:cnfStyle w:val="000000010000" w:firstRow="0" w:lastRow="0" w:firstColumn="0" w:lastColumn="0" w:oddVBand="0" w:evenVBand="0" w:oddHBand="0" w:evenHBand="1" w:firstRowFirstColumn="0" w:firstRowLastColumn="0" w:lastRowFirstColumn="0" w:lastRowLastColumn="0"/>
              <w:rPr>
                <w:bCs/>
                <w:iCs/>
              </w:rPr>
            </w:pPr>
            <w:r w:rsidRPr="003A517F">
              <w:rPr>
                <w:bCs/>
                <w:iCs/>
              </w:rPr>
              <w:t>One stakeholder was concerned about the non-mandatory nature of the bundles in reducing access to items that clinicians believe are most appropriate for their patients.</w:t>
            </w:r>
          </w:p>
        </w:tc>
        <w:tc>
          <w:tcPr>
            <w:tcW w:w="4727" w:type="dxa"/>
            <w:vMerge/>
          </w:tcPr>
          <w:p w14:paraId="3773991A"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p>
        </w:tc>
      </w:tr>
      <w:tr w:rsidR="001D778B" w:rsidRPr="003A517F" w14:paraId="58646587" w14:textId="77777777" w:rsidTr="00131343">
        <w:trPr>
          <w:cnfStyle w:val="000000100000" w:firstRow="0" w:lastRow="0" w:firstColumn="0" w:lastColumn="0" w:oddVBand="0" w:evenVBand="0" w:oddHBand="1" w:evenHBand="0" w:firstRowFirstColumn="0" w:firstRowLastColumn="0" w:lastRowFirstColumn="0" w:lastRowLastColumn="0"/>
          <w:trHeight w:val="3912"/>
        </w:trPr>
        <w:tc>
          <w:tcPr>
            <w:cnfStyle w:val="001000000000" w:firstRow="0" w:lastRow="0" w:firstColumn="1" w:lastColumn="0" w:oddVBand="0" w:evenVBand="0" w:oddHBand="0" w:evenHBand="0" w:firstRowFirstColumn="0" w:firstRowLastColumn="0" w:lastRowFirstColumn="0" w:lastRowLastColumn="0"/>
            <w:tcW w:w="461" w:type="dxa"/>
            <w:vMerge/>
          </w:tcPr>
          <w:p w14:paraId="731FFEA2" w14:textId="77777777" w:rsidR="001D778B" w:rsidRPr="00D51DA9" w:rsidRDefault="001D778B" w:rsidP="00131343">
            <w:pPr>
              <w:spacing w:before="60" w:after="60"/>
              <w:jc w:val="center"/>
              <w:rPr>
                <w:sz w:val="18"/>
                <w:szCs w:val="18"/>
              </w:rPr>
            </w:pPr>
          </w:p>
        </w:tc>
        <w:tc>
          <w:tcPr>
            <w:tcW w:w="2530" w:type="dxa"/>
            <w:vMerge/>
          </w:tcPr>
          <w:p w14:paraId="2D7871DB" w14:textId="7777777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6230" w:type="dxa"/>
          </w:tcPr>
          <w:p w14:paraId="00B4B2B5"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
                <w:bCs/>
                <w:iCs/>
              </w:rPr>
              <w:t>Clinically appropriate practice</w:t>
            </w:r>
          </w:p>
          <w:p w14:paraId="2F387C8F" w14:textId="631E129A"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Three stakeholders suggested that IHACPA should consider clinically appropriate use of </w:t>
            </w:r>
            <w:r w:rsidR="009B5B2C">
              <w:rPr>
                <w:bCs/>
                <w:iCs/>
              </w:rPr>
              <w:t>GUI</w:t>
            </w:r>
            <w:r w:rsidRPr="003A517F">
              <w:rPr>
                <w:bCs/>
                <w:iCs/>
              </w:rPr>
              <w:t>s. The key points raised are:</w:t>
            </w:r>
          </w:p>
          <w:p w14:paraId="250F3346"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Prosthesis </w:t>
            </w:r>
            <w:proofErr w:type="spellStart"/>
            <w:r w:rsidRPr="003A517F">
              <w:rPr>
                <w:bCs/>
                <w:iCs/>
              </w:rPr>
              <w:t>utilisation</w:t>
            </w:r>
            <w:proofErr w:type="spellEnd"/>
            <w:r w:rsidRPr="003A517F">
              <w:rPr>
                <w:bCs/>
                <w:iCs/>
              </w:rPr>
              <w:t xml:space="preserve"> not in line with clinical best practice should not be factored into bundles.</w:t>
            </w:r>
          </w:p>
          <w:p w14:paraId="532EC1AF" w14:textId="40CC0E13"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Suggested analyses include understanding </w:t>
            </w:r>
            <w:proofErr w:type="spellStart"/>
            <w:r w:rsidRPr="003A517F">
              <w:rPr>
                <w:bCs/>
                <w:iCs/>
              </w:rPr>
              <w:t>utilisation</w:t>
            </w:r>
            <w:proofErr w:type="spellEnd"/>
            <w:r w:rsidRPr="003A517F">
              <w:rPr>
                <w:bCs/>
                <w:iCs/>
              </w:rPr>
              <w:t xml:space="preserve"> of items pr</w:t>
            </w:r>
            <w:r w:rsidR="009B5B2C">
              <w:rPr>
                <w:bCs/>
                <w:iCs/>
              </w:rPr>
              <w:t>ior to listing on the PL</w:t>
            </w:r>
            <w:r w:rsidRPr="003A517F">
              <w:rPr>
                <w:bCs/>
                <w:iCs/>
              </w:rPr>
              <w:t xml:space="preserve">, and assessing the </w:t>
            </w:r>
            <w:proofErr w:type="spellStart"/>
            <w:r w:rsidRPr="003A517F">
              <w:rPr>
                <w:bCs/>
                <w:iCs/>
              </w:rPr>
              <w:t>utilisation</w:t>
            </w:r>
            <w:proofErr w:type="spellEnd"/>
            <w:r w:rsidRPr="003A517F">
              <w:rPr>
                <w:bCs/>
                <w:iCs/>
              </w:rPr>
              <w:t xml:space="preserve"> trends of </w:t>
            </w:r>
            <w:r w:rsidR="009B5B2C">
              <w:rPr>
                <w:bCs/>
                <w:iCs/>
              </w:rPr>
              <w:t>GUI</w:t>
            </w:r>
            <w:r w:rsidRPr="003A517F">
              <w:rPr>
                <w:bCs/>
                <w:iCs/>
              </w:rPr>
              <w:t xml:space="preserve">s over time, especially whether there are changes in </w:t>
            </w:r>
            <w:proofErr w:type="spellStart"/>
            <w:r w:rsidRPr="003A517F">
              <w:rPr>
                <w:bCs/>
                <w:iCs/>
              </w:rPr>
              <w:t>utilisation</w:t>
            </w:r>
            <w:proofErr w:type="spellEnd"/>
            <w:r w:rsidRPr="003A517F">
              <w:rPr>
                <w:bCs/>
                <w:iCs/>
              </w:rPr>
              <w:t xml:space="preserve"> patterns since the PL reforms were announced.</w:t>
            </w:r>
          </w:p>
          <w:p w14:paraId="43C93013"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In its current form, the PL allows hospitals to bill insurers for inappropriate and off-label use of devices.</w:t>
            </w:r>
          </w:p>
        </w:tc>
        <w:tc>
          <w:tcPr>
            <w:tcW w:w="4727" w:type="dxa"/>
            <w:vMerge/>
          </w:tcPr>
          <w:p w14:paraId="184634CD"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p>
        </w:tc>
      </w:tr>
      <w:tr w:rsidR="001D778B" w:rsidRPr="003A517F" w14:paraId="732E5354" w14:textId="77777777" w:rsidTr="00131343">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461" w:type="dxa"/>
            <w:vMerge/>
          </w:tcPr>
          <w:p w14:paraId="1E97C9B5" w14:textId="77777777" w:rsidR="001D778B" w:rsidRPr="00D51DA9" w:rsidRDefault="001D778B" w:rsidP="00131343">
            <w:pPr>
              <w:spacing w:before="60" w:after="60"/>
              <w:jc w:val="center"/>
              <w:rPr>
                <w:sz w:val="18"/>
                <w:szCs w:val="18"/>
              </w:rPr>
            </w:pPr>
          </w:p>
        </w:tc>
        <w:tc>
          <w:tcPr>
            <w:tcW w:w="2530" w:type="dxa"/>
            <w:vMerge/>
          </w:tcPr>
          <w:p w14:paraId="4021DA2E"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pPr>
          </w:p>
        </w:tc>
        <w:tc>
          <w:tcPr>
            <w:tcW w:w="6230" w:type="dxa"/>
          </w:tcPr>
          <w:p w14:paraId="6DBBDDBE"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r w:rsidRPr="003A517F">
              <w:rPr>
                <w:b/>
                <w:bCs/>
                <w:iCs/>
              </w:rPr>
              <w:t>Governance</w:t>
            </w:r>
          </w:p>
          <w:p w14:paraId="5B36A35B"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Two stakeholders </w:t>
            </w:r>
            <w:proofErr w:type="spellStart"/>
            <w:r w:rsidRPr="003A517F">
              <w:rPr>
                <w:bCs/>
                <w:iCs/>
              </w:rPr>
              <w:t>emphasised</w:t>
            </w:r>
            <w:proofErr w:type="spellEnd"/>
            <w:r w:rsidRPr="003A517F">
              <w:rPr>
                <w:bCs/>
                <w:iCs/>
              </w:rPr>
              <w:t xml:space="preserve"> the necessity for the involvement and provision of clinical oversight from the Clinical Implementation Reference Group (CIRG) and other relevant medical bodies.</w:t>
            </w:r>
          </w:p>
        </w:tc>
        <w:tc>
          <w:tcPr>
            <w:tcW w:w="4727" w:type="dxa"/>
            <w:vMerge/>
          </w:tcPr>
          <w:p w14:paraId="5A25B219"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p>
        </w:tc>
      </w:tr>
      <w:tr w:rsidR="001D778B" w:rsidRPr="003A517F" w14:paraId="113350BA" w14:textId="77777777" w:rsidTr="00131343">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461" w:type="dxa"/>
            <w:vMerge/>
          </w:tcPr>
          <w:p w14:paraId="533FAD15" w14:textId="77777777" w:rsidR="001D778B" w:rsidRPr="00D51DA9" w:rsidRDefault="001D778B" w:rsidP="00131343">
            <w:pPr>
              <w:spacing w:before="60" w:after="60"/>
              <w:jc w:val="center"/>
              <w:rPr>
                <w:sz w:val="18"/>
                <w:szCs w:val="18"/>
              </w:rPr>
            </w:pPr>
          </w:p>
        </w:tc>
        <w:tc>
          <w:tcPr>
            <w:tcW w:w="2530" w:type="dxa"/>
            <w:vMerge/>
          </w:tcPr>
          <w:p w14:paraId="4CDFEA4D" w14:textId="7777777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6230" w:type="dxa"/>
          </w:tcPr>
          <w:p w14:paraId="452C667C"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
                <w:bCs/>
                <w:iCs/>
              </w:rPr>
              <w:t>Timelines</w:t>
            </w:r>
          </w:p>
          <w:p w14:paraId="53648D12" w14:textId="6FE3BF4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There </w:t>
            </w:r>
            <w:r w:rsidR="00BC5589">
              <w:rPr>
                <w:bCs/>
                <w:iCs/>
              </w:rPr>
              <w:t xml:space="preserve">was </w:t>
            </w:r>
            <w:r w:rsidRPr="003A517F">
              <w:rPr>
                <w:bCs/>
                <w:iCs/>
              </w:rPr>
              <w:t>some commentary around timing of the advice:</w:t>
            </w:r>
          </w:p>
          <w:p w14:paraId="5384C634"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One stakeholder </w:t>
            </w:r>
            <w:proofErr w:type="spellStart"/>
            <w:r w:rsidRPr="003A517F">
              <w:rPr>
                <w:bCs/>
                <w:iCs/>
              </w:rPr>
              <w:t>emphasised</w:t>
            </w:r>
            <w:proofErr w:type="spellEnd"/>
            <w:r w:rsidRPr="003A517F">
              <w:rPr>
                <w:bCs/>
                <w:iCs/>
              </w:rPr>
              <w:t xml:space="preserve"> the importance of announcing the bundled arrangements without delay, suggesting that this would provide hospitals ample time to undertake renegotiations with insurers and work through necessary changes before the proposed implementation date of 1 July 2023.</w:t>
            </w:r>
          </w:p>
          <w:p w14:paraId="27B48A7D"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One stakeholder suggested that timelines and implementation could be impacted by non-adoption of IHACPA’s advice and that IHACPA’s advice should be mandated for adoption and implementation.</w:t>
            </w:r>
          </w:p>
        </w:tc>
        <w:tc>
          <w:tcPr>
            <w:tcW w:w="4727" w:type="dxa"/>
            <w:vMerge/>
          </w:tcPr>
          <w:p w14:paraId="5431AFD5"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p>
        </w:tc>
      </w:tr>
      <w:tr w:rsidR="001D778B" w:rsidRPr="003A517F" w14:paraId="11FBADCC" w14:textId="77777777" w:rsidTr="007175ED">
        <w:trPr>
          <w:cnfStyle w:val="000000010000" w:firstRow="0" w:lastRow="0" w:firstColumn="0" w:lastColumn="0" w:oddVBand="0" w:evenVBand="0" w:oddHBand="0" w:evenHBand="1"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461" w:type="dxa"/>
            <w:vMerge/>
          </w:tcPr>
          <w:p w14:paraId="78ACBAF2" w14:textId="77777777" w:rsidR="001D778B" w:rsidRPr="00D51DA9" w:rsidRDefault="001D778B" w:rsidP="00131343">
            <w:pPr>
              <w:spacing w:before="60" w:after="60"/>
              <w:jc w:val="center"/>
              <w:rPr>
                <w:sz w:val="18"/>
                <w:szCs w:val="18"/>
              </w:rPr>
            </w:pPr>
          </w:p>
        </w:tc>
        <w:tc>
          <w:tcPr>
            <w:tcW w:w="2530" w:type="dxa"/>
            <w:vMerge/>
          </w:tcPr>
          <w:p w14:paraId="158CCBC7"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pPr>
          </w:p>
        </w:tc>
        <w:tc>
          <w:tcPr>
            <w:tcW w:w="6230" w:type="dxa"/>
          </w:tcPr>
          <w:p w14:paraId="5572607E"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r w:rsidRPr="003A517F">
              <w:rPr>
                <w:b/>
                <w:bCs/>
                <w:iCs/>
              </w:rPr>
              <w:t xml:space="preserve">Other </w:t>
            </w:r>
            <w:proofErr w:type="spellStart"/>
            <w:r w:rsidRPr="003A517F">
              <w:rPr>
                <w:b/>
                <w:bCs/>
                <w:iCs/>
              </w:rPr>
              <w:t>operationalisation</w:t>
            </w:r>
            <w:proofErr w:type="spellEnd"/>
            <w:r w:rsidRPr="003A517F">
              <w:rPr>
                <w:b/>
                <w:bCs/>
                <w:iCs/>
              </w:rPr>
              <w:t>/implementation issues and recommendations</w:t>
            </w:r>
          </w:p>
          <w:p w14:paraId="1FEC9B64" w14:textId="3CEFD188"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A range of other issues were raised by stakeholders regarding the removal of </w:t>
            </w:r>
            <w:r w:rsidR="009B5B2C">
              <w:rPr>
                <w:bCs/>
                <w:iCs/>
              </w:rPr>
              <w:t>GUI</w:t>
            </w:r>
            <w:r w:rsidRPr="003A517F">
              <w:rPr>
                <w:bCs/>
                <w:iCs/>
              </w:rPr>
              <w:t xml:space="preserve">s from the </w:t>
            </w:r>
            <w:r w:rsidR="009B5B2C">
              <w:rPr>
                <w:bCs/>
                <w:iCs/>
              </w:rPr>
              <w:t>PL</w:t>
            </w:r>
            <w:r w:rsidRPr="003A517F">
              <w:rPr>
                <w:bCs/>
                <w:iCs/>
              </w:rPr>
              <w:t>:</w:t>
            </w:r>
          </w:p>
          <w:p w14:paraId="53120818" w14:textId="77777777" w:rsidR="001D778B" w:rsidRPr="003A517F" w:rsidRDefault="001D778B" w:rsidP="007102CA">
            <w:pPr>
              <w:pStyle w:val="ListParagraph"/>
              <w:numPr>
                <w:ilvl w:val="0"/>
                <w:numId w:val="11"/>
              </w:numPr>
              <w:spacing w:before="60" w:after="120" w:line="240" w:lineRule="auto"/>
              <w:contextualSpacing w:val="0"/>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One stakeholder recommended that IHACPA consider how multiple procedures in the same episode are managed when it comes to item </w:t>
            </w:r>
            <w:proofErr w:type="spellStart"/>
            <w:r w:rsidRPr="003A517F">
              <w:rPr>
                <w:bCs/>
                <w:iCs/>
              </w:rPr>
              <w:t>utilisation</w:t>
            </w:r>
            <w:proofErr w:type="spellEnd"/>
            <w:r w:rsidRPr="003A517F">
              <w:rPr>
                <w:bCs/>
                <w:iCs/>
              </w:rPr>
              <w:t xml:space="preserve"> and the definition of bundles.</w:t>
            </w:r>
          </w:p>
          <w:p w14:paraId="75CD6678" w14:textId="324F8C70" w:rsidR="001D778B" w:rsidRPr="003A517F" w:rsidRDefault="001D778B" w:rsidP="007102CA">
            <w:pPr>
              <w:pStyle w:val="ListParagraph"/>
              <w:numPr>
                <w:ilvl w:val="0"/>
                <w:numId w:val="11"/>
              </w:numPr>
              <w:spacing w:before="60" w:after="120" w:line="240" w:lineRule="auto"/>
              <w:contextualSpacing w:val="0"/>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One stakeholder recommended for the </w:t>
            </w:r>
            <w:r w:rsidR="009B5B2C">
              <w:rPr>
                <w:bCs/>
                <w:iCs/>
              </w:rPr>
              <w:t>GUI</w:t>
            </w:r>
            <w:r w:rsidRPr="003A517F">
              <w:rPr>
                <w:bCs/>
                <w:iCs/>
              </w:rPr>
              <w:t xml:space="preserve"> bundles to be shadow priced to ensure the reforms have the desired positive impact on patients without any unintended consequences. </w:t>
            </w:r>
          </w:p>
          <w:p w14:paraId="63E0FD0E" w14:textId="77777777" w:rsidR="001D778B" w:rsidRPr="003A517F" w:rsidRDefault="001D778B" w:rsidP="007102CA">
            <w:pPr>
              <w:pStyle w:val="ListParagraph"/>
              <w:numPr>
                <w:ilvl w:val="0"/>
                <w:numId w:val="11"/>
              </w:numPr>
              <w:spacing w:before="60" w:after="120" w:line="240" w:lineRule="auto"/>
              <w:contextualSpacing w:val="0"/>
              <w:cnfStyle w:val="000000010000" w:firstRow="0" w:lastRow="0" w:firstColumn="0" w:lastColumn="0" w:oddVBand="0" w:evenVBand="0" w:oddHBand="0" w:evenHBand="1" w:firstRowFirstColumn="0" w:firstRowLastColumn="0" w:lastRowFirstColumn="0" w:lastRowLastColumn="0"/>
              <w:rPr>
                <w:bCs/>
                <w:iCs/>
              </w:rPr>
            </w:pPr>
            <w:r w:rsidRPr="003A517F">
              <w:rPr>
                <w:bCs/>
                <w:iCs/>
              </w:rPr>
              <w:t>One stakeholder noted the need for an ongoing methodology that updates the inputs to the bundled arrangements to ensure that the bundles remain fit-for-purpose.</w:t>
            </w:r>
          </w:p>
          <w:p w14:paraId="4958FED7" w14:textId="77777777" w:rsidR="001D778B" w:rsidRPr="003A517F" w:rsidRDefault="001D778B" w:rsidP="007102CA">
            <w:pPr>
              <w:pStyle w:val="ListParagraph"/>
              <w:numPr>
                <w:ilvl w:val="0"/>
                <w:numId w:val="11"/>
              </w:numPr>
              <w:spacing w:before="60" w:after="120" w:line="240" w:lineRule="auto"/>
              <w:contextualSpacing w:val="0"/>
              <w:cnfStyle w:val="000000010000" w:firstRow="0" w:lastRow="0" w:firstColumn="0" w:lastColumn="0" w:oddVBand="0" w:evenVBand="0" w:oddHBand="0" w:evenHBand="1" w:firstRowFirstColumn="0" w:firstRowLastColumn="0" w:lastRowFirstColumn="0" w:lastRowLastColumn="0"/>
              <w:rPr>
                <w:bCs/>
                <w:iCs/>
              </w:rPr>
            </w:pPr>
            <w:r w:rsidRPr="003A517F">
              <w:rPr>
                <w:bCs/>
                <w:iCs/>
              </w:rPr>
              <w:t>One stakeholder noted that, given the bundling exercise uses the expected schedule benefits for these items as of March 2023, there is a risk that these prices are not achieved, and it is important to adjust the bundled fees accordingly.</w:t>
            </w:r>
          </w:p>
          <w:p w14:paraId="76356880" w14:textId="0B195E7D" w:rsidR="001D778B" w:rsidRPr="003A517F" w:rsidRDefault="001D778B" w:rsidP="007102CA">
            <w:pPr>
              <w:pStyle w:val="ListParagraph"/>
              <w:numPr>
                <w:ilvl w:val="0"/>
                <w:numId w:val="11"/>
              </w:numPr>
              <w:spacing w:before="60" w:after="120" w:line="240" w:lineRule="auto"/>
              <w:contextualSpacing w:val="0"/>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In regard to actions post-implementation, two stakeholders recommended that IHACPA review and monitor the </w:t>
            </w:r>
            <w:proofErr w:type="spellStart"/>
            <w:r w:rsidRPr="003A517F">
              <w:rPr>
                <w:bCs/>
                <w:iCs/>
              </w:rPr>
              <w:t>utilisation</w:t>
            </w:r>
            <w:proofErr w:type="spellEnd"/>
            <w:r w:rsidRPr="003A517F">
              <w:rPr>
                <w:bCs/>
                <w:iCs/>
              </w:rPr>
              <w:t xml:space="preserve"> of </w:t>
            </w:r>
            <w:r w:rsidR="009B5B2C">
              <w:rPr>
                <w:bCs/>
                <w:iCs/>
              </w:rPr>
              <w:t>GUI</w:t>
            </w:r>
            <w:r w:rsidRPr="003A517F">
              <w:rPr>
                <w:bCs/>
                <w:iCs/>
              </w:rPr>
              <w:t xml:space="preserve">s removed from the PL in order to examine any unintended consequences surrounding the bundling of </w:t>
            </w:r>
            <w:r w:rsidR="009B5B2C">
              <w:rPr>
                <w:bCs/>
                <w:iCs/>
              </w:rPr>
              <w:t>GUI</w:t>
            </w:r>
            <w:r w:rsidRPr="003A517F">
              <w:rPr>
                <w:bCs/>
                <w:iCs/>
              </w:rPr>
              <w:t>s.</w:t>
            </w:r>
          </w:p>
        </w:tc>
        <w:tc>
          <w:tcPr>
            <w:tcW w:w="4727" w:type="dxa"/>
            <w:vMerge/>
          </w:tcPr>
          <w:p w14:paraId="79F6F400"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p>
        </w:tc>
      </w:tr>
      <w:tr w:rsidR="001D778B" w:rsidRPr="003A517F" w14:paraId="0687F11D" w14:textId="77777777" w:rsidTr="001313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1" w:type="dxa"/>
            <w:vMerge/>
          </w:tcPr>
          <w:p w14:paraId="7F472015" w14:textId="77777777" w:rsidR="001D778B" w:rsidRPr="00D51DA9" w:rsidRDefault="001D778B" w:rsidP="00131343">
            <w:pPr>
              <w:spacing w:before="60" w:after="60"/>
              <w:jc w:val="center"/>
              <w:rPr>
                <w:sz w:val="18"/>
                <w:szCs w:val="18"/>
              </w:rPr>
            </w:pPr>
          </w:p>
        </w:tc>
        <w:tc>
          <w:tcPr>
            <w:tcW w:w="2530" w:type="dxa"/>
            <w:vMerge/>
          </w:tcPr>
          <w:p w14:paraId="66A6AF93" w14:textId="77777777" w:rsidR="001D778B" w:rsidRPr="003A517F" w:rsidRDefault="001D778B" w:rsidP="00131343">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6230" w:type="dxa"/>
          </w:tcPr>
          <w:p w14:paraId="23AA949D"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r w:rsidRPr="003A517F">
              <w:rPr>
                <w:b/>
                <w:bCs/>
                <w:iCs/>
              </w:rPr>
              <w:t>Policy issues</w:t>
            </w:r>
          </w:p>
          <w:p w14:paraId="62140853"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Cs/>
                <w:iCs/>
              </w:rPr>
            </w:pPr>
            <w:r w:rsidRPr="003A517F">
              <w:rPr>
                <w:bCs/>
                <w:iCs/>
              </w:rPr>
              <w:t>Other policy issues noted by stakeholders include:</w:t>
            </w:r>
          </w:p>
          <w:p w14:paraId="35904852"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Two stakeholders noted that there are products that were previously denied access to the PL, which should be considered in the bundling.</w:t>
            </w:r>
          </w:p>
          <w:p w14:paraId="7B334867"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One stakeholder noted that the alternative bundled arrangements should be accessed by patients using hospital substitution services. </w:t>
            </w:r>
          </w:p>
          <w:p w14:paraId="796D96B8" w14:textId="3560C191"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 xml:space="preserve">One stakeholder raised a concern regarding certain </w:t>
            </w:r>
            <w:r w:rsidR="009B5B2C">
              <w:rPr>
                <w:bCs/>
                <w:iCs/>
              </w:rPr>
              <w:t>GUI</w:t>
            </w:r>
            <w:r w:rsidRPr="003A517F">
              <w:rPr>
                <w:bCs/>
                <w:iCs/>
              </w:rPr>
              <w:t>s that have been identified for removal but are not included in development of bundling arrangements, as this will result in these items not being appropriately funded.</w:t>
            </w:r>
          </w:p>
          <w:p w14:paraId="7C3C020F" w14:textId="77777777" w:rsidR="001D778B" w:rsidRPr="003A517F" w:rsidRDefault="001D778B" w:rsidP="007102CA">
            <w:pPr>
              <w:pStyle w:val="ListParagraph"/>
              <w:numPr>
                <w:ilvl w:val="0"/>
                <w:numId w:val="11"/>
              </w:numPr>
              <w:spacing w:before="60" w:after="120" w:line="240" w:lineRule="auto"/>
              <w:contextualSpacing w:val="0"/>
              <w:cnfStyle w:val="000000100000" w:firstRow="0" w:lastRow="0" w:firstColumn="0" w:lastColumn="0" w:oddVBand="0" w:evenVBand="0" w:oddHBand="1" w:evenHBand="0" w:firstRowFirstColumn="0" w:firstRowLastColumn="0" w:lastRowFirstColumn="0" w:lastRowLastColumn="0"/>
              <w:rPr>
                <w:bCs/>
                <w:iCs/>
              </w:rPr>
            </w:pPr>
            <w:r w:rsidRPr="003A517F">
              <w:rPr>
                <w:bCs/>
                <w:iCs/>
              </w:rPr>
              <w:t>One stakeholder still considered the PL as the most appropriate funding mechanism for a number of products slated for removal.</w:t>
            </w:r>
          </w:p>
        </w:tc>
        <w:tc>
          <w:tcPr>
            <w:tcW w:w="4727" w:type="dxa"/>
            <w:vMerge/>
          </w:tcPr>
          <w:p w14:paraId="2527E4F9" w14:textId="77777777" w:rsidR="001D778B" w:rsidRPr="003A517F" w:rsidRDefault="001D778B" w:rsidP="00131343">
            <w:pPr>
              <w:spacing w:before="60" w:after="120" w:line="240" w:lineRule="auto"/>
              <w:cnfStyle w:val="000000100000" w:firstRow="0" w:lastRow="0" w:firstColumn="0" w:lastColumn="0" w:oddVBand="0" w:evenVBand="0" w:oddHBand="1" w:evenHBand="0" w:firstRowFirstColumn="0" w:firstRowLastColumn="0" w:lastRowFirstColumn="0" w:lastRowLastColumn="0"/>
              <w:rPr>
                <w:b/>
                <w:bCs/>
                <w:iCs/>
              </w:rPr>
            </w:pPr>
          </w:p>
        </w:tc>
      </w:tr>
      <w:tr w:rsidR="001D778B" w:rsidRPr="003A517F" w14:paraId="24AFD5CE" w14:textId="77777777" w:rsidTr="00131343">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461" w:type="dxa"/>
            <w:vMerge/>
          </w:tcPr>
          <w:p w14:paraId="2839920B" w14:textId="77777777" w:rsidR="001D778B" w:rsidRPr="00D51DA9" w:rsidRDefault="001D778B" w:rsidP="00131343">
            <w:pPr>
              <w:spacing w:before="60" w:after="60"/>
              <w:jc w:val="center"/>
              <w:rPr>
                <w:sz w:val="18"/>
                <w:szCs w:val="18"/>
              </w:rPr>
            </w:pPr>
          </w:p>
        </w:tc>
        <w:tc>
          <w:tcPr>
            <w:tcW w:w="2530" w:type="dxa"/>
            <w:vMerge/>
          </w:tcPr>
          <w:p w14:paraId="43A485CA"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pPr>
          </w:p>
        </w:tc>
        <w:tc>
          <w:tcPr>
            <w:tcW w:w="6230" w:type="dxa"/>
          </w:tcPr>
          <w:p w14:paraId="19AD6F66"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r w:rsidRPr="003A517F">
              <w:rPr>
                <w:b/>
                <w:bCs/>
                <w:iCs/>
              </w:rPr>
              <w:t>Structure of IHACPA’s advice</w:t>
            </w:r>
          </w:p>
          <w:p w14:paraId="2D976DCE" w14:textId="77777777" w:rsidR="001D778B" w:rsidRPr="003A517F" w:rsidRDefault="001D778B" w:rsidP="00131343">
            <w:pPr>
              <w:spacing w:after="120" w:line="240" w:lineRule="auto"/>
              <w:cnfStyle w:val="000000010000" w:firstRow="0" w:lastRow="0" w:firstColumn="0" w:lastColumn="0" w:oddVBand="0" w:evenVBand="0" w:oddHBand="0" w:evenHBand="1" w:firstRowFirstColumn="0" w:firstRowLastColumn="0" w:lastRowFirstColumn="0" w:lastRowLastColumn="0"/>
              <w:rPr>
                <w:bCs/>
                <w:iCs/>
              </w:rPr>
            </w:pPr>
            <w:r w:rsidRPr="003A517F">
              <w:rPr>
                <w:bCs/>
                <w:iCs/>
              </w:rPr>
              <w:t>Stakeholder feedback on the structure and nature of IHACPA’s advice include:</w:t>
            </w:r>
          </w:p>
          <w:p w14:paraId="255C31D5" w14:textId="6CB0028F" w:rsidR="001D778B" w:rsidRPr="003A517F" w:rsidRDefault="001D778B" w:rsidP="007102CA">
            <w:pPr>
              <w:pStyle w:val="ListParagraph"/>
              <w:numPr>
                <w:ilvl w:val="0"/>
                <w:numId w:val="11"/>
              </w:numPr>
              <w:spacing w:before="60" w:after="120" w:line="240" w:lineRule="auto"/>
              <w:contextualSpacing w:val="0"/>
              <w:cnfStyle w:val="000000010000" w:firstRow="0" w:lastRow="0" w:firstColumn="0" w:lastColumn="0" w:oddVBand="0" w:evenVBand="0" w:oddHBand="0" w:evenHBand="1" w:firstRowFirstColumn="0" w:firstRowLastColumn="0" w:lastRowFirstColumn="0" w:lastRowLastColumn="0"/>
              <w:rPr>
                <w:bCs/>
                <w:iCs/>
              </w:rPr>
            </w:pPr>
            <w:r w:rsidRPr="003A517F">
              <w:rPr>
                <w:bCs/>
                <w:iCs/>
              </w:rPr>
              <w:t xml:space="preserve">One stakeholder suggested that including measures of dispersion (such as deciles or quartiles of </w:t>
            </w:r>
            <w:r w:rsidR="009B5B2C">
              <w:rPr>
                <w:bCs/>
                <w:iCs/>
              </w:rPr>
              <w:t>GUI</w:t>
            </w:r>
            <w:r w:rsidRPr="003A517F">
              <w:rPr>
                <w:bCs/>
                <w:iCs/>
              </w:rPr>
              <w:t xml:space="preserve"> </w:t>
            </w:r>
            <w:proofErr w:type="spellStart"/>
            <w:r w:rsidRPr="003A517F">
              <w:rPr>
                <w:bCs/>
                <w:iCs/>
              </w:rPr>
              <w:t>utilisation</w:t>
            </w:r>
            <w:proofErr w:type="spellEnd"/>
            <w:r w:rsidRPr="003A517F">
              <w:rPr>
                <w:bCs/>
                <w:iCs/>
              </w:rPr>
              <w:t>) for any given treatment will assist insurers and hospitals when making transitional arrangements for future funding arrangements.</w:t>
            </w:r>
          </w:p>
          <w:p w14:paraId="5CF0827B" w14:textId="77777777" w:rsidR="001D778B" w:rsidRPr="003A517F" w:rsidRDefault="001D778B" w:rsidP="007102CA">
            <w:pPr>
              <w:pStyle w:val="ListParagraph"/>
              <w:numPr>
                <w:ilvl w:val="0"/>
                <w:numId w:val="11"/>
              </w:numPr>
              <w:spacing w:before="60" w:after="120" w:line="240" w:lineRule="auto"/>
              <w:contextualSpacing w:val="0"/>
              <w:cnfStyle w:val="000000010000" w:firstRow="0" w:lastRow="0" w:firstColumn="0" w:lastColumn="0" w:oddVBand="0" w:evenVBand="0" w:oddHBand="0" w:evenHBand="1" w:firstRowFirstColumn="0" w:firstRowLastColumn="0" w:lastRowFirstColumn="0" w:lastRowLastColumn="0"/>
              <w:rPr>
                <w:b/>
                <w:bCs/>
                <w:iCs/>
              </w:rPr>
            </w:pPr>
            <w:r w:rsidRPr="003A517F">
              <w:rPr>
                <w:bCs/>
                <w:iCs/>
              </w:rPr>
              <w:t xml:space="preserve">One stakeholder suggested that detail is included in the bundle definitions to address standard (or minimum requirements) and complex (or maximum requirements) </w:t>
            </w:r>
            <w:proofErr w:type="spellStart"/>
            <w:r w:rsidRPr="003A517F">
              <w:rPr>
                <w:bCs/>
                <w:iCs/>
              </w:rPr>
              <w:t>utilisation</w:t>
            </w:r>
            <w:proofErr w:type="spellEnd"/>
            <w:r w:rsidRPr="003A517F">
              <w:rPr>
                <w:bCs/>
                <w:iCs/>
              </w:rPr>
              <w:t>.</w:t>
            </w:r>
          </w:p>
        </w:tc>
        <w:tc>
          <w:tcPr>
            <w:tcW w:w="4727" w:type="dxa"/>
            <w:vMerge/>
          </w:tcPr>
          <w:p w14:paraId="11CA9B2D" w14:textId="77777777" w:rsidR="001D778B" w:rsidRPr="003A517F" w:rsidRDefault="001D778B" w:rsidP="00131343">
            <w:pPr>
              <w:spacing w:before="60" w:after="120" w:line="240" w:lineRule="auto"/>
              <w:cnfStyle w:val="000000010000" w:firstRow="0" w:lastRow="0" w:firstColumn="0" w:lastColumn="0" w:oddVBand="0" w:evenVBand="0" w:oddHBand="0" w:evenHBand="1" w:firstRowFirstColumn="0" w:firstRowLastColumn="0" w:lastRowFirstColumn="0" w:lastRowLastColumn="0"/>
              <w:rPr>
                <w:b/>
                <w:bCs/>
                <w:iCs/>
              </w:rPr>
            </w:pPr>
          </w:p>
        </w:tc>
      </w:tr>
    </w:tbl>
    <w:p w14:paraId="448AAD8D" w14:textId="42F13AD3" w:rsidR="00191D9E" w:rsidRDefault="00191D9E" w:rsidP="00191D9E">
      <w:pPr>
        <w:sectPr w:rsidR="00191D9E" w:rsidSect="00191D9E">
          <w:pgSz w:w="16838" w:h="11906" w:orient="landscape" w:code="9"/>
          <w:pgMar w:top="1080" w:right="1440" w:bottom="1080" w:left="1440" w:header="708" w:footer="708" w:gutter="0"/>
          <w:cols w:space="708"/>
          <w:docGrid w:linePitch="360"/>
        </w:sectPr>
      </w:pPr>
    </w:p>
    <w:p w14:paraId="39486DA7" w14:textId="7CD22F8F" w:rsidR="00E15EE9" w:rsidRDefault="00E15EE9">
      <w:pPr>
        <w:pStyle w:val="Heading1"/>
        <w:numPr>
          <w:ilvl w:val="0"/>
          <w:numId w:val="0"/>
        </w:numPr>
      </w:pPr>
      <w:bookmarkStart w:id="85" w:name="_Ref118974871"/>
      <w:bookmarkStart w:id="86" w:name="_Ref118989890"/>
      <w:bookmarkStart w:id="87" w:name="_Ref118990034"/>
      <w:bookmarkStart w:id="88" w:name="_Toc121130812"/>
      <w:r>
        <w:t xml:space="preserve">Appendix </w:t>
      </w:r>
      <w:r w:rsidR="00576672">
        <w:t>C</w:t>
      </w:r>
      <w:r>
        <w:t xml:space="preserve"> – </w:t>
      </w:r>
      <w:bookmarkEnd w:id="85"/>
      <w:bookmarkEnd w:id="86"/>
      <w:r w:rsidR="00EF4486">
        <w:t>Supporting</w:t>
      </w:r>
      <w:r w:rsidR="00CB537A">
        <w:t xml:space="preserve"> analyses</w:t>
      </w:r>
      <w:bookmarkEnd w:id="87"/>
      <w:bookmarkEnd w:id="88"/>
    </w:p>
    <w:p w14:paraId="66D83D66" w14:textId="67A8EBC7" w:rsidR="00626280" w:rsidRDefault="007F2BE1" w:rsidP="003E26F7">
      <w:pPr>
        <w:pStyle w:val="Heading2"/>
        <w:numPr>
          <w:ilvl w:val="0"/>
          <w:numId w:val="0"/>
        </w:numPr>
        <w:ind w:left="576" w:hanging="576"/>
      </w:pPr>
      <w:bookmarkStart w:id="89" w:name="_Toc118635333"/>
      <w:bookmarkStart w:id="90" w:name="_Toc121130813"/>
      <w:r>
        <w:t>C</w:t>
      </w:r>
      <w:r w:rsidR="00B87169">
        <w:t xml:space="preserve">.1 </w:t>
      </w:r>
      <w:r w:rsidR="00626280">
        <w:t>Data preparation</w:t>
      </w:r>
      <w:bookmarkEnd w:id="89"/>
      <w:bookmarkEnd w:id="90"/>
    </w:p>
    <w:p w14:paraId="0D497391" w14:textId="488DF425" w:rsidR="00626280" w:rsidRDefault="00626280" w:rsidP="00626280">
      <w:r>
        <w:t xml:space="preserve">The Independent </w:t>
      </w:r>
      <w:r w:rsidR="00D44503">
        <w:t>Health</w:t>
      </w:r>
      <w:r>
        <w:t xml:space="preserve"> and Aged Care Pricing Authority (IHACPA) primarily makes use of the Hospital </w:t>
      </w:r>
      <w:proofErr w:type="spellStart"/>
      <w:r>
        <w:t>Casemix</w:t>
      </w:r>
      <w:proofErr w:type="spellEnd"/>
      <w:r>
        <w:t xml:space="preserve"> Protocol 1 (HCP) national data collection to develop the advice on bundling arrangements for General Use Items (GUI</w:t>
      </w:r>
      <w:r w:rsidR="00B46656">
        <w:t>s</w:t>
      </w:r>
      <w:r>
        <w:t xml:space="preserve">) on the Prostheses List (PL). Preliminary preparation of the HCP data is an important component of developing the advice. This section sets out </w:t>
      </w:r>
      <w:r w:rsidR="00B87169">
        <w:t xml:space="preserve">further detail on </w:t>
      </w:r>
      <w:r>
        <w:t xml:space="preserve">the key steps performed in the data preparation process and </w:t>
      </w:r>
      <w:proofErr w:type="spellStart"/>
      <w:r>
        <w:t>summarises</w:t>
      </w:r>
      <w:proofErr w:type="spellEnd"/>
      <w:r>
        <w:t xml:space="preserve"> the results of these procedures.</w:t>
      </w:r>
    </w:p>
    <w:p w14:paraId="55E34988" w14:textId="421970E5" w:rsidR="00626280" w:rsidRPr="0005490F" w:rsidRDefault="007F2BE1" w:rsidP="003E26F7">
      <w:pPr>
        <w:pStyle w:val="Heading3"/>
        <w:numPr>
          <w:ilvl w:val="0"/>
          <w:numId w:val="0"/>
        </w:numPr>
        <w:ind w:left="720" w:hanging="720"/>
      </w:pPr>
      <w:bookmarkStart w:id="91" w:name="_Toc121130814"/>
      <w:r>
        <w:t>C</w:t>
      </w:r>
      <w:r w:rsidR="00AA4282">
        <w:t xml:space="preserve">.1.1 </w:t>
      </w:r>
      <w:r w:rsidR="00626280">
        <w:t>Data preparation procedures</w:t>
      </w:r>
      <w:bookmarkEnd w:id="91"/>
    </w:p>
    <w:p w14:paraId="0B88C7AB" w14:textId="038FAE47" w:rsidR="00626280" w:rsidRDefault="00C6089E" w:rsidP="00626280">
      <w:r>
        <w:t xml:space="preserve">Several stage of </w:t>
      </w:r>
      <w:r w:rsidR="00626280">
        <w:t xml:space="preserve">data preparation are </w:t>
      </w:r>
      <w:r>
        <w:t xml:space="preserve">undertaken </w:t>
      </w:r>
      <w:r w:rsidR="00626280">
        <w:t xml:space="preserve">on the HCP dataset to ensure that </w:t>
      </w:r>
      <w:r>
        <w:t xml:space="preserve">GUI </w:t>
      </w:r>
      <w:proofErr w:type="spellStart"/>
      <w:r>
        <w:t>utilisation</w:t>
      </w:r>
      <w:proofErr w:type="spellEnd"/>
      <w:r>
        <w:t xml:space="preserve"> can most accurately represented within it for the purpose of developing advice on GUI bundling arrangements</w:t>
      </w:r>
      <w:r w:rsidR="00626280">
        <w:t>. These steps are:</w:t>
      </w:r>
    </w:p>
    <w:p w14:paraId="196095C2" w14:textId="77777777" w:rsidR="00626280" w:rsidRPr="00E9697B" w:rsidRDefault="00626280" w:rsidP="00626280">
      <w:pPr>
        <w:rPr>
          <w:b/>
        </w:rPr>
      </w:pPr>
      <w:r w:rsidRPr="00E9697B">
        <w:rPr>
          <w:b/>
        </w:rPr>
        <w:t>Stage 1: Linking of HCP Prosthesis (PL device) records to HCP Episode records and exclusion of PL device records that do not link to an episode record</w:t>
      </w:r>
    </w:p>
    <w:p w14:paraId="295DF484" w14:textId="5CE17191" w:rsidR="00626280" w:rsidRDefault="00626280" w:rsidP="00626280">
      <w:r>
        <w:t>Only records of prosthes</w:t>
      </w:r>
      <w:r w:rsidR="00BD0508">
        <w:t>i</w:t>
      </w:r>
      <w:r>
        <w:t xml:space="preserve">s device usage that can be linked to an episode record are considered for the development of the advice. Device records without a linked episode are incomplete and missing critical </w:t>
      </w:r>
      <w:r w:rsidR="00BD0508">
        <w:t xml:space="preserve">information on the admitted services they are associated with and are </w:t>
      </w:r>
      <w:r>
        <w:t>therefore excluded.</w:t>
      </w:r>
    </w:p>
    <w:p w14:paraId="147A38E8" w14:textId="77777777" w:rsidR="00626280" w:rsidRPr="00E9697B" w:rsidRDefault="00626280" w:rsidP="00626280">
      <w:pPr>
        <w:rPr>
          <w:b/>
        </w:rPr>
      </w:pPr>
      <w:r w:rsidRPr="00E9697B">
        <w:rPr>
          <w:b/>
        </w:rPr>
        <w:t>Stage 2: Mapping of historical billing codes to August 2022 PL billing codes, where possible, and exclusion of HCP Prosthesis device records with historical billing codes that do not map to August 2022 PL billing codes</w:t>
      </w:r>
    </w:p>
    <w:p w14:paraId="5FEC06DF" w14:textId="12D5FC36" w:rsidR="00BD0508" w:rsidRDefault="00BD0508" w:rsidP="00BD0508">
      <w:r>
        <w:t xml:space="preserve">The HCP Prosthesis data captures a historical record of charge and benefit information for devices registered under billing codes on historical publications of the PL. </w:t>
      </w:r>
      <w:r w:rsidR="00DB78A9">
        <w:t xml:space="preserve">Changes to the PL are made </w:t>
      </w:r>
      <w:r>
        <w:t xml:space="preserve">regularly over time, </w:t>
      </w:r>
      <w:r w:rsidR="00DB78A9">
        <w:t xml:space="preserve">as </w:t>
      </w:r>
      <w:r>
        <w:t>new billing codes are added, existing billing codes are removed, transferred, duplicated or compressed, and scheduled benefits are adjusted.</w:t>
      </w:r>
      <w:r w:rsidR="00DB78A9">
        <w:t xml:space="preserve"> </w:t>
      </w:r>
      <w:r w:rsidR="00DB78A9" w:rsidRPr="00DB78A9">
        <w:t>As part of the data preparation process, such changes need to be accounted for.</w:t>
      </w:r>
    </w:p>
    <w:p w14:paraId="1A5E32C6" w14:textId="77777777" w:rsidR="00BD0508" w:rsidRDefault="00BD0508" w:rsidP="00BD0508">
      <w:r>
        <w:t>Where appropriate, a process of forward mapping is applied to superseded billing codes recorded in historical years of the HCP Prosthesis data to account for PL changes, such as transferred, compressed or duplicated billing codes. This process aligns the HCP data to the greatest extent possible with PL billing codes from the August 2022 publication of the PL.</w:t>
      </w:r>
    </w:p>
    <w:p w14:paraId="16224DB1" w14:textId="108DC18A" w:rsidR="00626280" w:rsidRDefault="00BD0508" w:rsidP="005A70F1">
      <w:r>
        <w:t xml:space="preserve">Device records with </w:t>
      </w:r>
      <w:r w:rsidR="005A70F1">
        <w:t xml:space="preserve">historical </w:t>
      </w:r>
      <w:r>
        <w:t xml:space="preserve">billing codes </w:t>
      </w:r>
      <w:r w:rsidR="005A70F1">
        <w:t>no</w:t>
      </w:r>
      <w:r w:rsidR="00915DE4">
        <w:t>t</w:t>
      </w:r>
      <w:r w:rsidR="005A70F1">
        <w:t xml:space="preserve"> </w:t>
      </w:r>
      <w:r w:rsidR="00915DE4">
        <w:t xml:space="preserve">present </w:t>
      </w:r>
      <w:r w:rsidR="005A70F1">
        <w:t xml:space="preserve">in the August 2022 PL and unable to be </w:t>
      </w:r>
      <w:r w:rsidR="00915DE4">
        <w:t xml:space="preserve">appropriately </w:t>
      </w:r>
      <w:r w:rsidR="005A70F1">
        <w:t xml:space="preserve">mapped forward </w:t>
      </w:r>
      <w:r w:rsidR="00915DE4">
        <w:t xml:space="preserve">billing codes present in </w:t>
      </w:r>
      <w:r w:rsidR="005A70F1">
        <w:t xml:space="preserve">the August 2022 PL are </w:t>
      </w:r>
      <w:r w:rsidR="00626280">
        <w:t>excluded.</w:t>
      </w:r>
    </w:p>
    <w:p w14:paraId="3D0B42F6" w14:textId="4AE12F64" w:rsidR="00626280" w:rsidRPr="00E9697B" w:rsidRDefault="00626280" w:rsidP="00626280">
      <w:pPr>
        <w:rPr>
          <w:b/>
        </w:rPr>
      </w:pPr>
      <w:r w:rsidRPr="00E9697B">
        <w:rPr>
          <w:b/>
        </w:rPr>
        <w:t>Stage 3: Exclusion of episode records with no benefits</w:t>
      </w:r>
    </w:p>
    <w:p w14:paraId="7414B207" w14:textId="5650414F" w:rsidR="00626280" w:rsidRDefault="00626280" w:rsidP="00626280">
      <w:r>
        <w:t>Episode</w:t>
      </w:r>
      <w:r w:rsidR="00915DE4">
        <w:t xml:space="preserve"> records are excluded if they </w:t>
      </w:r>
      <w:r>
        <w:t xml:space="preserve">do not have any non-PL benefits nor any </w:t>
      </w:r>
      <w:r w:rsidR="00915DE4">
        <w:t>remaining PL benefits</w:t>
      </w:r>
      <w:r>
        <w:t>.</w:t>
      </w:r>
      <w:r w:rsidR="00915DE4">
        <w:t xml:space="preserve"> These exclusions </w:t>
      </w:r>
      <w:r w:rsidR="00B31956">
        <w:t xml:space="preserve">are </w:t>
      </w:r>
      <w:r w:rsidR="00915DE4">
        <w:t xml:space="preserve">primarily </w:t>
      </w:r>
      <w:r w:rsidR="00B31956">
        <w:t>episode records that originally had only PL benefits (i.e. no non-PL benefits) and these benefits were all excluded at Stage 2 due to being associated with discontinued billing codes unable to be mapped to the August 2022 PL.</w:t>
      </w:r>
    </w:p>
    <w:p w14:paraId="58FEAE81" w14:textId="77777777" w:rsidR="00626280" w:rsidRPr="00E9697B" w:rsidRDefault="00626280" w:rsidP="00626280">
      <w:pPr>
        <w:rPr>
          <w:b/>
        </w:rPr>
      </w:pPr>
      <w:r w:rsidRPr="00E9697B">
        <w:rPr>
          <w:b/>
        </w:rPr>
        <w:t>Stage 4: Exclusion of episode records with invalid or missing principal diagnosis and exclusion of any corresponding linked device records</w:t>
      </w:r>
    </w:p>
    <w:p w14:paraId="3D795D5C" w14:textId="45D7F70B" w:rsidR="00626280" w:rsidRDefault="00626280" w:rsidP="00626280">
      <w:r>
        <w:t xml:space="preserve">Episodes of care </w:t>
      </w:r>
      <w:r w:rsidR="00B31956">
        <w:t xml:space="preserve">with a missing or invalid principal </w:t>
      </w:r>
      <w:r>
        <w:t xml:space="preserve">diagnosis are missing a key element of clinical information being considered in the development of advice on bundling arrangements. These are identified as episodes that are grouped to an error </w:t>
      </w:r>
      <w:r w:rsidR="00B31956">
        <w:t xml:space="preserve">class in the Australian Refined Diagnosis Group (AR-DRG) classification </w:t>
      </w:r>
      <w:r>
        <w:t xml:space="preserve">and are excluded from the analysis. All device records linked to </w:t>
      </w:r>
      <w:r w:rsidR="00B31956">
        <w:t xml:space="preserve">these </w:t>
      </w:r>
      <w:r>
        <w:t>excluded episodes are also removed.</w:t>
      </w:r>
    </w:p>
    <w:p w14:paraId="73FF6BBC" w14:textId="276006BF" w:rsidR="00626280" w:rsidRDefault="00014618" w:rsidP="00626280">
      <w:r>
        <w:t xml:space="preserve">Collectively, these four stages </w:t>
      </w:r>
      <w:r w:rsidR="00626280">
        <w:t xml:space="preserve">ensure that a complete set of relevant information is available for each episode and its related device usage, and that the </w:t>
      </w:r>
      <w:r w:rsidR="00B31956">
        <w:t>GUIs</w:t>
      </w:r>
      <w:r w:rsidR="00626280">
        <w:t xml:space="preserve"> and their related benefits being considered are relevant to the version of the PL that is expected to be in effect </w:t>
      </w:r>
      <w:r w:rsidR="00B31956">
        <w:t>prior to their removal from the PL</w:t>
      </w:r>
      <w:r w:rsidR="00626280">
        <w:t>.</w:t>
      </w:r>
    </w:p>
    <w:p w14:paraId="28D4F8EB" w14:textId="2E2EA8E1" w:rsidR="00626280" w:rsidRDefault="007F2BE1" w:rsidP="003E26F7">
      <w:pPr>
        <w:pStyle w:val="Heading3"/>
        <w:numPr>
          <w:ilvl w:val="0"/>
          <w:numId w:val="0"/>
        </w:numPr>
        <w:ind w:left="720" w:hanging="720"/>
      </w:pPr>
      <w:bookmarkStart w:id="92" w:name="_Toc118635335"/>
      <w:bookmarkStart w:id="93" w:name="_Toc121130815"/>
      <w:r>
        <w:t>C</w:t>
      </w:r>
      <w:r w:rsidR="00AA4282">
        <w:t xml:space="preserve">.1.2 </w:t>
      </w:r>
      <w:r w:rsidR="00626280">
        <w:t>Results of data preparation</w:t>
      </w:r>
      <w:bookmarkEnd w:id="92"/>
      <w:bookmarkEnd w:id="93"/>
    </w:p>
    <w:p w14:paraId="0D5E1F53" w14:textId="2FD08CA5" w:rsidR="00626280" w:rsidRDefault="00626280" w:rsidP="00626280">
      <w:r>
        <w:fldChar w:fldCharType="begin"/>
      </w:r>
      <w:r>
        <w:instrText xml:space="preserve"> REF _Ref116486348 \h </w:instrText>
      </w:r>
      <w:r>
        <w:fldChar w:fldCharType="separate"/>
      </w:r>
      <w:r w:rsidR="00106CD4">
        <w:t xml:space="preserve">Table </w:t>
      </w:r>
      <w:r w:rsidR="00106CD4">
        <w:rPr>
          <w:noProof/>
        </w:rPr>
        <w:t>12</w:t>
      </w:r>
      <w:r>
        <w:fldChar w:fldCharType="end"/>
      </w:r>
      <w:r>
        <w:t xml:space="preserve"> </w:t>
      </w:r>
      <w:proofErr w:type="spellStart"/>
      <w:r>
        <w:t>summarises</w:t>
      </w:r>
      <w:proofErr w:type="spellEnd"/>
      <w:r>
        <w:t xml:space="preserve"> the number of 2020-21 HCP Episode records remaining after each stage of data preparation an</w:t>
      </w:r>
      <w:r w:rsidR="005F2F7C">
        <w:t xml:space="preserve">d </w:t>
      </w:r>
      <w:r w:rsidR="005F2F7C">
        <w:fldChar w:fldCharType="begin"/>
      </w:r>
      <w:r w:rsidR="005F2F7C">
        <w:instrText xml:space="preserve"> REF _Ref120098473 \h </w:instrText>
      </w:r>
      <w:r w:rsidR="005F2F7C">
        <w:fldChar w:fldCharType="separate"/>
      </w:r>
      <w:r w:rsidR="00106CD4">
        <w:t xml:space="preserve">Table </w:t>
      </w:r>
      <w:r w:rsidR="00106CD4">
        <w:rPr>
          <w:noProof/>
        </w:rPr>
        <w:t>13</w:t>
      </w:r>
      <w:r w:rsidR="005F2F7C">
        <w:fldChar w:fldCharType="end"/>
      </w:r>
      <w:r w:rsidR="005F2F7C">
        <w:t xml:space="preserve"> </w:t>
      </w:r>
      <w:proofErr w:type="spellStart"/>
      <w:r>
        <w:t>summarises</w:t>
      </w:r>
      <w:proofErr w:type="spellEnd"/>
      <w:r>
        <w:t xml:space="preserve"> the remaining benefits paid on 2020-21 HCP Prosthesis device records after each stage of data preparation.</w:t>
      </w:r>
    </w:p>
    <w:p w14:paraId="6EE45F5C" w14:textId="3EB43C5F" w:rsidR="00626280" w:rsidRDefault="00626280" w:rsidP="004C0371">
      <w:pPr>
        <w:pStyle w:val="Caption"/>
      </w:pPr>
      <w:bookmarkStart w:id="94" w:name="_Ref116486348"/>
      <w:r>
        <w:t xml:space="preserve">Table </w:t>
      </w:r>
      <w:fldSimple w:instr=" SEQ Table \* ARABIC ">
        <w:r w:rsidR="00106CD4">
          <w:rPr>
            <w:noProof/>
          </w:rPr>
          <w:t>12</w:t>
        </w:r>
      </w:fldSimple>
      <w:bookmarkEnd w:id="94"/>
      <w:r>
        <w:t xml:space="preserve">: Number of privately insured admitted patient episodes by data preparation step in </w:t>
      </w:r>
      <w:r w:rsidR="00E24D47">
        <w:t>2020</w:t>
      </w:r>
      <w:r w:rsidR="00E24D47">
        <w:noBreakHyphen/>
        <w:t xml:space="preserve">21 </w:t>
      </w:r>
      <w:r>
        <w:t>HCP</w:t>
      </w:r>
    </w:p>
    <w:tbl>
      <w:tblPr>
        <w:tblStyle w:val="IHPATable"/>
        <w:tblW w:w="5000" w:type="pct"/>
        <w:tblLook w:val="0020" w:firstRow="1" w:lastRow="0" w:firstColumn="0" w:lastColumn="0" w:noHBand="0" w:noVBand="0"/>
        <w:tblDescription w:val="Table 12 shows the number of privately insured admitted patient episodes by data preparation step in 2020-21 HCP. There are five colums showing the preparation step, and detail of admitted episodes broken down by Private overnight, private day facilities, public hospitals and the total amount. "/>
      </w:tblPr>
      <w:tblGrid>
        <w:gridCol w:w="1414"/>
        <w:gridCol w:w="2389"/>
        <w:gridCol w:w="1983"/>
        <w:gridCol w:w="1982"/>
        <w:gridCol w:w="1974"/>
      </w:tblGrid>
      <w:tr w:rsidR="003F6D0D" w:rsidRPr="003F6D0D" w14:paraId="539C80F2" w14:textId="77777777" w:rsidTr="005325FC">
        <w:trPr>
          <w:cnfStyle w:val="100000000000" w:firstRow="1" w:lastRow="0" w:firstColumn="0" w:lastColumn="0" w:oddVBand="0" w:evenVBand="0" w:oddHBand="0" w:evenHBand="0" w:firstRowFirstColumn="0" w:firstRowLastColumn="0" w:lastRowFirstColumn="0" w:lastRowLastColumn="0"/>
          <w:cantSplit/>
          <w:trHeight w:val="20"/>
          <w:tblHeader/>
        </w:trPr>
        <w:tc>
          <w:tcPr>
            <w:tcW w:w="726" w:type="pct"/>
            <w:vMerge w:val="restart"/>
            <w:tcBorders>
              <w:top w:val="single" w:sz="4" w:space="0" w:color="808080" w:themeColor="background2" w:themeShade="80"/>
              <w:left w:val="single" w:sz="4" w:space="0" w:color="808080" w:themeColor="background2" w:themeShade="80"/>
              <w:right w:val="single" w:sz="4" w:space="0" w:color="FFFFFF" w:themeColor="background2"/>
            </w:tcBorders>
            <w:shd w:val="clear" w:color="auto" w:fill="104F99" w:themeFill="accent2"/>
            <w:vAlign w:val="center"/>
          </w:tcPr>
          <w:p w14:paraId="4A2B2CB4" w14:textId="41575A8F" w:rsidR="003F6D0D" w:rsidRPr="005325FC" w:rsidRDefault="003F6D0D" w:rsidP="003F6D0D">
            <w:pPr>
              <w:spacing w:before="120" w:after="120"/>
              <w:jc w:val="center"/>
              <w:rPr>
                <w:rFonts w:cs="Arial"/>
                <w:b/>
                <w:bCs/>
                <w:color w:val="FFFFFF" w:themeColor="background2"/>
                <w:szCs w:val="18"/>
                <w:lang w:val="en-US"/>
              </w:rPr>
            </w:pPr>
            <w:r w:rsidRPr="005325FC">
              <w:rPr>
                <w:rFonts w:cs="Arial"/>
                <w:b/>
                <w:bCs/>
                <w:color w:val="FFFFFF" w:themeColor="background2"/>
                <w:szCs w:val="18"/>
              </w:rPr>
              <w:t>Preparation step</w:t>
            </w:r>
          </w:p>
        </w:tc>
        <w:tc>
          <w:tcPr>
            <w:tcW w:w="4274" w:type="pct"/>
            <w:gridSpan w:val="4"/>
            <w:tcBorders>
              <w:top w:val="single" w:sz="4" w:space="0" w:color="808080" w:themeColor="background2" w:themeShade="80"/>
              <w:left w:val="single" w:sz="4" w:space="0" w:color="FFFFFF" w:themeColor="background2"/>
              <w:right w:val="single" w:sz="4" w:space="0" w:color="808080" w:themeColor="background2" w:themeShade="80"/>
            </w:tcBorders>
            <w:shd w:val="clear" w:color="auto" w:fill="104F99" w:themeFill="accent2"/>
            <w:vAlign w:val="center"/>
          </w:tcPr>
          <w:p w14:paraId="755EDEF6" w14:textId="5B67EEDD" w:rsidR="003F6D0D" w:rsidRPr="005325FC" w:rsidRDefault="003F6D0D" w:rsidP="003F6D0D">
            <w:pPr>
              <w:spacing w:before="120" w:after="120"/>
              <w:jc w:val="center"/>
              <w:rPr>
                <w:rFonts w:cs="Arial"/>
                <w:b/>
                <w:bCs/>
                <w:color w:val="FFFFFF" w:themeColor="background2"/>
                <w:szCs w:val="18"/>
                <w:lang w:val="en-US"/>
              </w:rPr>
            </w:pPr>
            <w:r w:rsidRPr="005325FC">
              <w:rPr>
                <w:rFonts w:cs="Arial"/>
                <w:b/>
                <w:bCs/>
                <w:color w:val="FFFFFF" w:themeColor="background2"/>
                <w:szCs w:val="18"/>
                <w:lang w:val="en-US"/>
              </w:rPr>
              <w:t>Number of privately insured admitted episodes</w:t>
            </w:r>
          </w:p>
        </w:tc>
      </w:tr>
      <w:tr w:rsidR="003F6D0D" w:rsidRPr="003F6D0D" w14:paraId="4E4CA5FD" w14:textId="77777777" w:rsidTr="005325FC">
        <w:trPr>
          <w:cnfStyle w:val="100000000000" w:firstRow="1" w:lastRow="0" w:firstColumn="0" w:lastColumn="0" w:oddVBand="0" w:evenVBand="0" w:oddHBand="0" w:evenHBand="0" w:firstRowFirstColumn="0" w:firstRowLastColumn="0" w:lastRowFirstColumn="0" w:lastRowLastColumn="0"/>
          <w:cantSplit/>
          <w:trHeight w:val="20"/>
          <w:tblHeader/>
        </w:trPr>
        <w:tc>
          <w:tcPr>
            <w:tcW w:w="726" w:type="pct"/>
            <w:vMerge/>
            <w:tcBorders>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vAlign w:val="center"/>
          </w:tcPr>
          <w:p w14:paraId="360BAE3D" w14:textId="79A1701F" w:rsidR="003F6D0D" w:rsidRPr="005325FC" w:rsidRDefault="003F6D0D" w:rsidP="003F6D0D">
            <w:pPr>
              <w:spacing w:before="120" w:after="120"/>
              <w:jc w:val="center"/>
              <w:rPr>
                <w:rFonts w:cs="Arial"/>
                <w:b/>
                <w:bCs/>
                <w:color w:val="FFFFFF" w:themeColor="background2"/>
                <w:szCs w:val="18"/>
                <w:lang w:val="en-US"/>
              </w:rPr>
            </w:pPr>
          </w:p>
        </w:tc>
        <w:tc>
          <w:tcPr>
            <w:tcW w:w="1226" w:type="pct"/>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79282A55" w14:textId="77777777" w:rsidR="003F6D0D" w:rsidRPr="005325FC" w:rsidRDefault="003F6D0D" w:rsidP="003F6D0D">
            <w:pPr>
              <w:spacing w:before="120" w:after="120"/>
              <w:jc w:val="center"/>
              <w:rPr>
                <w:rFonts w:cs="Arial"/>
                <w:b/>
                <w:bCs/>
                <w:color w:val="FFFFFF" w:themeColor="background2"/>
                <w:szCs w:val="18"/>
              </w:rPr>
            </w:pPr>
            <w:r w:rsidRPr="005325FC">
              <w:rPr>
                <w:rFonts w:cs="Arial"/>
                <w:b/>
                <w:bCs/>
                <w:color w:val="FFFFFF" w:themeColor="background2"/>
                <w:szCs w:val="18"/>
              </w:rPr>
              <w:t>Private overnight</w:t>
            </w:r>
          </w:p>
        </w:tc>
        <w:tc>
          <w:tcPr>
            <w:tcW w:w="1018" w:type="pct"/>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14ECE65C" w14:textId="77777777" w:rsidR="003F6D0D" w:rsidRPr="005325FC" w:rsidRDefault="003F6D0D" w:rsidP="003F6D0D">
            <w:pPr>
              <w:spacing w:before="120" w:after="120"/>
              <w:jc w:val="center"/>
              <w:rPr>
                <w:rFonts w:cs="Arial"/>
                <w:b/>
                <w:bCs/>
                <w:color w:val="FFFFFF" w:themeColor="background2"/>
                <w:szCs w:val="18"/>
              </w:rPr>
            </w:pPr>
            <w:r w:rsidRPr="005325FC">
              <w:rPr>
                <w:rFonts w:cs="Arial"/>
                <w:b/>
                <w:bCs/>
                <w:color w:val="FFFFFF" w:themeColor="background2"/>
                <w:szCs w:val="18"/>
              </w:rPr>
              <w:t>Private day facilities</w:t>
            </w:r>
          </w:p>
        </w:tc>
        <w:tc>
          <w:tcPr>
            <w:tcW w:w="1017" w:type="pct"/>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5F4E050D" w14:textId="77777777" w:rsidR="003F6D0D" w:rsidRPr="005325FC" w:rsidRDefault="003F6D0D" w:rsidP="003F6D0D">
            <w:pPr>
              <w:spacing w:before="120" w:after="120"/>
              <w:jc w:val="center"/>
              <w:rPr>
                <w:rFonts w:cs="Arial"/>
                <w:b/>
                <w:bCs/>
                <w:color w:val="FFFFFF" w:themeColor="background2"/>
                <w:szCs w:val="18"/>
              </w:rPr>
            </w:pPr>
            <w:r w:rsidRPr="005325FC">
              <w:rPr>
                <w:rFonts w:cs="Arial"/>
                <w:b/>
                <w:bCs/>
                <w:color w:val="FFFFFF" w:themeColor="background2"/>
                <w:szCs w:val="18"/>
              </w:rPr>
              <w:t>Public hospitals</w:t>
            </w:r>
          </w:p>
        </w:tc>
        <w:tc>
          <w:tcPr>
            <w:tcW w:w="1013" w:type="pct"/>
            <w:tcBorders>
              <w:left w:val="single" w:sz="4" w:space="0" w:color="FFFFFF" w:themeColor="background2"/>
              <w:bottom w:val="single" w:sz="4" w:space="0" w:color="808080" w:themeColor="background2" w:themeShade="80"/>
              <w:right w:val="single" w:sz="4" w:space="0" w:color="808080" w:themeColor="background2" w:themeShade="80"/>
            </w:tcBorders>
            <w:shd w:val="clear" w:color="auto" w:fill="104F99" w:themeFill="accent2"/>
            <w:vAlign w:val="center"/>
          </w:tcPr>
          <w:p w14:paraId="4F24B550" w14:textId="77777777" w:rsidR="003F6D0D" w:rsidRPr="005325FC" w:rsidRDefault="003F6D0D" w:rsidP="003F6D0D">
            <w:pPr>
              <w:spacing w:before="120" w:after="120"/>
              <w:jc w:val="center"/>
              <w:rPr>
                <w:rFonts w:cs="Arial"/>
                <w:b/>
                <w:bCs/>
                <w:color w:val="FFFFFF" w:themeColor="background2"/>
                <w:szCs w:val="18"/>
                <w:lang w:val="en-US"/>
              </w:rPr>
            </w:pPr>
            <w:r w:rsidRPr="005325FC">
              <w:rPr>
                <w:rFonts w:cs="Arial"/>
                <w:b/>
                <w:bCs/>
                <w:color w:val="FFFFFF" w:themeColor="background2"/>
                <w:szCs w:val="18"/>
              </w:rPr>
              <w:t>Total</w:t>
            </w:r>
          </w:p>
        </w:tc>
      </w:tr>
      <w:tr w:rsidR="00626280" w:rsidRPr="003F6D0D" w14:paraId="7245FB0B" w14:textId="77777777" w:rsidTr="003F6D0D">
        <w:trPr>
          <w:cnfStyle w:val="000000100000" w:firstRow="0" w:lastRow="0" w:firstColumn="0" w:lastColumn="0" w:oddVBand="0" w:evenVBand="0" w:oddHBand="1" w:evenHBand="0" w:firstRowFirstColumn="0" w:firstRowLastColumn="0" w:lastRowFirstColumn="0" w:lastRowLastColumn="0"/>
          <w:trHeight w:val="20"/>
        </w:trPr>
        <w:tc>
          <w:tcPr>
            <w:tcW w:w="726"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6D88B246" w14:textId="77777777" w:rsidR="00626280" w:rsidRPr="003F6D0D" w:rsidRDefault="00626280" w:rsidP="008919D7">
            <w:pPr>
              <w:spacing w:before="120" w:after="120"/>
              <w:rPr>
                <w:rFonts w:cs="Arial"/>
                <w:color w:val="000000"/>
                <w:sz w:val="18"/>
                <w:szCs w:val="18"/>
                <w:lang w:val="en-US"/>
              </w:rPr>
            </w:pPr>
            <w:r w:rsidRPr="003F6D0D">
              <w:rPr>
                <w:rFonts w:cs="Arial"/>
                <w:color w:val="1C1C1C"/>
                <w:sz w:val="18"/>
                <w:szCs w:val="18"/>
              </w:rPr>
              <w:t>Initial</w:t>
            </w:r>
          </w:p>
        </w:tc>
        <w:tc>
          <w:tcPr>
            <w:tcW w:w="1226"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302C1FB1" w14:textId="77777777" w:rsidR="00626280" w:rsidRPr="003F6D0D" w:rsidRDefault="00626280" w:rsidP="008919D7">
            <w:pPr>
              <w:spacing w:before="120" w:after="120"/>
              <w:jc w:val="right"/>
              <w:rPr>
                <w:rFonts w:cs="Arial"/>
                <w:color w:val="1C1C1C"/>
                <w:sz w:val="18"/>
                <w:szCs w:val="18"/>
              </w:rPr>
            </w:pPr>
            <w:r w:rsidRPr="003F6D0D">
              <w:rPr>
                <w:rFonts w:cs="Arial"/>
                <w:sz w:val="18"/>
                <w:szCs w:val="18"/>
              </w:rPr>
              <w:t>2,970,744  (100.0%)</w:t>
            </w:r>
          </w:p>
        </w:tc>
        <w:tc>
          <w:tcPr>
            <w:tcW w:w="101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27C8914F" w14:textId="77777777" w:rsidR="00626280" w:rsidRPr="003F6D0D" w:rsidRDefault="00626280" w:rsidP="008919D7">
            <w:pPr>
              <w:spacing w:before="120" w:after="120"/>
              <w:jc w:val="right"/>
              <w:rPr>
                <w:rFonts w:cs="Arial"/>
                <w:color w:val="1C1C1C"/>
                <w:sz w:val="18"/>
                <w:szCs w:val="18"/>
              </w:rPr>
            </w:pPr>
            <w:r w:rsidRPr="003F6D0D">
              <w:rPr>
                <w:rFonts w:cs="Arial"/>
                <w:sz w:val="18"/>
                <w:szCs w:val="18"/>
              </w:rPr>
              <w:t>673,907  (100.0%)</w:t>
            </w:r>
          </w:p>
        </w:tc>
        <w:tc>
          <w:tcPr>
            <w:tcW w:w="101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547B4C87" w14:textId="77777777" w:rsidR="00626280" w:rsidRPr="003F6D0D" w:rsidRDefault="00626280" w:rsidP="008919D7">
            <w:pPr>
              <w:spacing w:before="120" w:after="120"/>
              <w:jc w:val="right"/>
              <w:rPr>
                <w:rFonts w:cs="Arial"/>
                <w:color w:val="1C1C1C"/>
                <w:sz w:val="18"/>
                <w:szCs w:val="18"/>
              </w:rPr>
            </w:pPr>
            <w:r w:rsidRPr="003F6D0D">
              <w:rPr>
                <w:rFonts w:cs="Arial"/>
                <w:sz w:val="18"/>
                <w:szCs w:val="18"/>
              </w:rPr>
              <w:t>595,887  (100.0%)</w:t>
            </w:r>
          </w:p>
        </w:tc>
        <w:tc>
          <w:tcPr>
            <w:tcW w:w="101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1933C62A" w14:textId="77777777" w:rsidR="00626280" w:rsidRPr="003F6D0D" w:rsidRDefault="00626280" w:rsidP="008919D7">
            <w:pPr>
              <w:spacing w:before="120" w:after="120"/>
              <w:jc w:val="right"/>
              <w:rPr>
                <w:rFonts w:cs="Arial"/>
                <w:color w:val="000000"/>
                <w:sz w:val="18"/>
                <w:szCs w:val="18"/>
                <w:lang w:val="en-US"/>
              </w:rPr>
            </w:pPr>
            <w:r w:rsidRPr="003F6D0D">
              <w:rPr>
                <w:rFonts w:cs="Arial"/>
                <w:sz w:val="18"/>
                <w:szCs w:val="18"/>
              </w:rPr>
              <w:t xml:space="preserve">  4,240,538  (100.0%)</w:t>
            </w:r>
          </w:p>
        </w:tc>
      </w:tr>
      <w:tr w:rsidR="00626280" w:rsidRPr="003F6D0D" w14:paraId="0371688F" w14:textId="77777777" w:rsidTr="003F6D0D">
        <w:trPr>
          <w:cnfStyle w:val="000000010000" w:firstRow="0" w:lastRow="0" w:firstColumn="0" w:lastColumn="0" w:oddVBand="0" w:evenVBand="0" w:oddHBand="0" w:evenHBand="1" w:firstRowFirstColumn="0" w:firstRowLastColumn="0" w:lastRowFirstColumn="0" w:lastRowLastColumn="0"/>
          <w:trHeight w:val="20"/>
        </w:trPr>
        <w:tc>
          <w:tcPr>
            <w:tcW w:w="726"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01BCC146" w14:textId="77777777" w:rsidR="00626280" w:rsidRPr="003F6D0D" w:rsidRDefault="00626280" w:rsidP="008919D7">
            <w:pPr>
              <w:spacing w:before="120" w:after="120"/>
              <w:rPr>
                <w:rFonts w:cs="Arial"/>
                <w:color w:val="1C1C1C"/>
                <w:sz w:val="18"/>
                <w:szCs w:val="18"/>
              </w:rPr>
            </w:pPr>
            <w:r w:rsidRPr="003F6D0D">
              <w:rPr>
                <w:rFonts w:cs="Arial"/>
                <w:color w:val="1C1C1C"/>
                <w:sz w:val="18"/>
                <w:szCs w:val="18"/>
              </w:rPr>
              <w:t>Step 1</w:t>
            </w:r>
          </w:p>
        </w:tc>
        <w:tc>
          <w:tcPr>
            <w:tcW w:w="3261" w:type="pct"/>
            <w:gridSpan w:val="3"/>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414F39AD" w14:textId="77777777" w:rsidR="00626280" w:rsidRPr="003F6D0D" w:rsidRDefault="00626280" w:rsidP="008919D7">
            <w:pPr>
              <w:spacing w:before="120" w:after="120"/>
              <w:jc w:val="center"/>
              <w:rPr>
                <w:rFonts w:cs="Arial"/>
                <w:sz w:val="18"/>
                <w:szCs w:val="18"/>
              </w:rPr>
            </w:pPr>
            <w:r w:rsidRPr="003F6D0D">
              <w:rPr>
                <w:rFonts w:cs="Arial"/>
                <w:sz w:val="18"/>
                <w:szCs w:val="18"/>
              </w:rPr>
              <w:t>Not applicable</w:t>
            </w:r>
          </w:p>
        </w:tc>
        <w:tc>
          <w:tcPr>
            <w:tcW w:w="101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176471E0" w14:textId="77777777" w:rsidR="00626280" w:rsidRPr="003F6D0D" w:rsidRDefault="00626280" w:rsidP="008919D7">
            <w:pPr>
              <w:spacing w:before="120" w:after="120"/>
              <w:jc w:val="center"/>
              <w:rPr>
                <w:rFonts w:cs="Arial"/>
                <w:sz w:val="18"/>
                <w:szCs w:val="18"/>
              </w:rPr>
            </w:pPr>
            <w:r w:rsidRPr="003F6D0D">
              <w:rPr>
                <w:rFonts w:cs="Arial"/>
                <w:sz w:val="18"/>
                <w:szCs w:val="18"/>
              </w:rPr>
              <w:t>Not applicable</w:t>
            </w:r>
          </w:p>
        </w:tc>
      </w:tr>
      <w:tr w:rsidR="00626280" w:rsidRPr="003F6D0D" w14:paraId="7865C07A" w14:textId="77777777" w:rsidTr="003F6D0D">
        <w:trPr>
          <w:cnfStyle w:val="000000100000" w:firstRow="0" w:lastRow="0" w:firstColumn="0" w:lastColumn="0" w:oddVBand="0" w:evenVBand="0" w:oddHBand="1" w:evenHBand="0" w:firstRowFirstColumn="0" w:firstRowLastColumn="0" w:lastRowFirstColumn="0" w:lastRowLastColumn="0"/>
          <w:trHeight w:val="20"/>
        </w:trPr>
        <w:tc>
          <w:tcPr>
            <w:tcW w:w="726"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30C4E2AF" w14:textId="77777777" w:rsidR="00626280" w:rsidRPr="003F6D0D" w:rsidRDefault="00626280" w:rsidP="008919D7">
            <w:pPr>
              <w:spacing w:before="120" w:after="120"/>
              <w:rPr>
                <w:rFonts w:cs="Arial"/>
                <w:color w:val="1C1C1C"/>
                <w:sz w:val="18"/>
                <w:szCs w:val="18"/>
              </w:rPr>
            </w:pPr>
            <w:r w:rsidRPr="003F6D0D">
              <w:rPr>
                <w:rFonts w:cs="Arial"/>
                <w:color w:val="1C1C1C"/>
                <w:sz w:val="18"/>
                <w:szCs w:val="18"/>
              </w:rPr>
              <w:t>Step 2</w:t>
            </w:r>
          </w:p>
        </w:tc>
        <w:tc>
          <w:tcPr>
            <w:tcW w:w="3261" w:type="pct"/>
            <w:gridSpan w:val="3"/>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0C3917EA" w14:textId="77777777" w:rsidR="00626280" w:rsidRPr="003F6D0D" w:rsidRDefault="00626280" w:rsidP="008919D7">
            <w:pPr>
              <w:spacing w:before="120" w:after="120"/>
              <w:jc w:val="center"/>
              <w:rPr>
                <w:rFonts w:cs="Arial"/>
                <w:sz w:val="18"/>
                <w:szCs w:val="18"/>
              </w:rPr>
            </w:pPr>
            <w:r w:rsidRPr="003F6D0D">
              <w:rPr>
                <w:rFonts w:cs="Arial"/>
                <w:sz w:val="18"/>
                <w:szCs w:val="18"/>
              </w:rPr>
              <w:t>Not applicable</w:t>
            </w:r>
          </w:p>
        </w:tc>
        <w:tc>
          <w:tcPr>
            <w:tcW w:w="101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0557124D" w14:textId="77777777" w:rsidR="00626280" w:rsidRPr="003F6D0D" w:rsidRDefault="00626280" w:rsidP="008919D7">
            <w:pPr>
              <w:spacing w:before="120" w:after="120"/>
              <w:jc w:val="center"/>
              <w:rPr>
                <w:rFonts w:cs="Arial"/>
                <w:sz w:val="18"/>
                <w:szCs w:val="18"/>
              </w:rPr>
            </w:pPr>
            <w:r w:rsidRPr="003F6D0D">
              <w:rPr>
                <w:rFonts w:cs="Arial"/>
                <w:sz w:val="18"/>
                <w:szCs w:val="18"/>
              </w:rPr>
              <w:t>Not applicable</w:t>
            </w:r>
          </w:p>
        </w:tc>
      </w:tr>
      <w:tr w:rsidR="00626280" w:rsidRPr="003F6D0D" w14:paraId="381B32DB" w14:textId="77777777" w:rsidTr="003F6D0D">
        <w:trPr>
          <w:cnfStyle w:val="000000010000" w:firstRow="0" w:lastRow="0" w:firstColumn="0" w:lastColumn="0" w:oddVBand="0" w:evenVBand="0" w:oddHBand="0" w:evenHBand="1" w:firstRowFirstColumn="0" w:firstRowLastColumn="0" w:lastRowFirstColumn="0" w:lastRowLastColumn="0"/>
          <w:trHeight w:val="20"/>
        </w:trPr>
        <w:tc>
          <w:tcPr>
            <w:tcW w:w="726"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72960479" w14:textId="77777777" w:rsidR="00626280" w:rsidRPr="003F6D0D" w:rsidRDefault="00626280" w:rsidP="008919D7">
            <w:pPr>
              <w:spacing w:before="120" w:after="120"/>
              <w:rPr>
                <w:rFonts w:cs="Arial"/>
                <w:color w:val="000000"/>
                <w:sz w:val="18"/>
                <w:szCs w:val="18"/>
                <w:lang w:val="en-US"/>
              </w:rPr>
            </w:pPr>
            <w:r w:rsidRPr="003F6D0D">
              <w:rPr>
                <w:rFonts w:cs="Arial"/>
                <w:color w:val="1C1C1C"/>
                <w:sz w:val="18"/>
                <w:szCs w:val="18"/>
              </w:rPr>
              <w:t>Step 3</w:t>
            </w:r>
          </w:p>
        </w:tc>
        <w:tc>
          <w:tcPr>
            <w:tcW w:w="1226"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0036956A" w14:textId="77777777" w:rsidR="00626280" w:rsidRPr="003F6D0D" w:rsidRDefault="00626280" w:rsidP="008919D7">
            <w:pPr>
              <w:spacing w:before="120" w:after="120"/>
              <w:jc w:val="right"/>
              <w:rPr>
                <w:rFonts w:cs="Arial"/>
                <w:color w:val="1C1C1C"/>
                <w:sz w:val="18"/>
                <w:szCs w:val="18"/>
              </w:rPr>
            </w:pPr>
            <w:r w:rsidRPr="003F6D0D">
              <w:rPr>
                <w:rFonts w:cs="Arial"/>
                <w:sz w:val="18"/>
                <w:szCs w:val="18"/>
              </w:rPr>
              <w:t>2,963,876    (99.8%)</w:t>
            </w:r>
          </w:p>
        </w:tc>
        <w:tc>
          <w:tcPr>
            <w:tcW w:w="101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490EB5EF" w14:textId="77777777" w:rsidR="00626280" w:rsidRPr="003F6D0D" w:rsidRDefault="00626280" w:rsidP="008919D7">
            <w:pPr>
              <w:spacing w:before="120" w:after="120"/>
              <w:jc w:val="right"/>
              <w:rPr>
                <w:rFonts w:cs="Arial"/>
                <w:color w:val="1C1C1C"/>
                <w:sz w:val="18"/>
                <w:szCs w:val="18"/>
              </w:rPr>
            </w:pPr>
            <w:r w:rsidRPr="003F6D0D">
              <w:rPr>
                <w:rFonts w:cs="Arial"/>
                <w:sz w:val="18"/>
                <w:szCs w:val="18"/>
              </w:rPr>
              <w:t>672,470    (99.8%)</w:t>
            </w:r>
          </w:p>
        </w:tc>
        <w:tc>
          <w:tcPr>
            <w:tcW w:w="101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54667508" w14:textId="77777777" w:rsidR="00626280" w:rsidRPr="003F6D0D" w:rsidRDefault="00626280" w:rsidP="008919D7">
            <w:pPr>
              <w:spacing w:before="120" w:after="120"/>
              <w:jc w:val="right"/>
              <w:rPr>
                <w:rFonts w:cs="Arial"/>
                <w:color w:val="1C1C1C"/>
                <w:sz w:val="18"/>
                <w:szCs w:val="18"/>
              </w:rPr>
            </w:pPr>
            <w:r w:rsidRPr="003F6D0D">
              <w:rPr>
                <w:rFonts w:cs="Arial"/>
                <w:sz w:val="18"/>
                <w:szCs w:val="18"/>
              </w:rPr>
              <w:t>586,618    (98.4%)</w:t>
            </w:r>
          </w:p>
        </w:tc>
        <w:tc>
          <w:tcPr>
            <w:tcW w:w="101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79A488A6" w14:textId="77777777" w:rsidR="00626280" w:rsidRPr="003F6D0D" w:rsidRDefault="00626280" w:rsidP="008919D7">
            <w:pPr>
              <w:spacing w:before="120" w:after="120"/>
              <w:jc w:val="right"/>
              <w:rPr>
                <w:rFonts w:cs="Arial"/>
                <w:color w:val="000000"/>
                <w:sz w:val="18"/>
                <w:szCs w:val="18"/>
                <w:lang w:val="en-US"/>
              </w:rPr>
            </w:pPr>
            <w:r w:rsidRPr="003F6D0D">
              <w:rPr>
                <w:rFonts w:cs="Arial"/>
                <w:sz w:val="18"/>
                <w:szCs w:val="18"/>
              </w:rPr>
              <w:t>4,222,964    (99.6%)</w:t>
            </w:r>
          </w:p>
        </w:tc>
      </w:tr>
      <w:tr w:rsidR="00626280" w:rsidRPr="003F6D0D" w14:paraId="33505631" w14:textId="77777777" w:rsidTr="003F6D0D">
        <w:trPr>
          <w:cnfStyle w:val="000000100000" w:firstRow="0" w:lastRow="0" w:firstColumn="0" w:lastColumn="0" w:oddVBand="0" w:evenVBand="0" w:oddHBand="1" w:evenHBand="0" w:firstRowFirstColumn="0" w:firstRowLastColumn="0" w:lastRowFirstColumn="0" w:lastRowLastColumn="0"/>
          <w:trHeight w:val="20"/>
        </w:trPr>
        <w:tc>
          <w:tcPr>
            <w:tcW w:w="726"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067ABA6D" w14:textId="77777777" w:rsidR="00626280" w:rsidRPr="003F6D0D" w:rsidRDefault="00626280" w:rsidP="008919D7">
            <w:pPr>
              <w:spacing w:before="120" w:after="120"/>
              <w:rPr>
                <w:rFonts w:cs="Arial"/>
                <w:color w:val="1C1C1C"/>
                <w:sz w:val="18"/>
                <w:szCs w:val="18"/>
              </w:rPr>
            </w:pPr>
            <w:r w:rsidRPr="003F6D0D">
              <w:rPr>
                <w:rFonts w:cs="Arial"/>
                <w:color w:val="1C1C1C"/>
                <w:sz w:val="18"/>
                <w:szCs w:val="18"/>
              </w:rPr>
              <w:t>Step 4</w:t>
            </w:r>
          </w:p>
        </w:tc>
        <w:tc>
          <w:tcPr>
            <w:tcW w:w="1226"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2D4EAA49" w14:textId="77777777" w:rsidR="00626280" w:rsidRPr="003F6D0D" w:rsidRDefault="00626280" w:rsidP="008919D7">
            <w:pPr>
              <w:spacing w:before="120" w:after="120"/>
              <w:jc w:val="right"/>
              <w:rPr>
                <w:rFonts w:cs="Arial"/>
                <w:sz w:val="18"/>
                <w:szCs w:val="18"/>
              </w:rPr>
            </w:pPr>
            <w:r w:rsidRPr="003F6D0D">
              <w:rPr>
                <w:rFonts w:cs="Arial"/>
                <w:sz w:val="18"/>
                <w:szCs w:val="18"/>
              </w:rPr>
              <w:t>2,958,100    (99.6%)</w:t>
            </w:r>
          </w:p>
        </w:tc>
        <w:tc>
          <w:tcPr>
            <w:tcW w:w="101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3DE77F52" w14:textId="77777777" w:rsidR="00626280" w:rsidRPr="003F6D0D" w:rsidRDefault="00626280" w:rsidP="008919D7">
            <w:pPr>
              <w:spacing w:before="120" w:after="120"/>
              <w:jc w:val="right"/>
              <w:rPr>
                <w:rFonts w:cs="Arial"/>
                <w:sz w:val="18"/>
                <w:szCs w:val="18"/>
              </w:rPr>
            </w:pPr>
            <w:r w:rsidRPr="003F6D0D">
              <w:rPr>
                <w:rFonts w:cs="Arial"/>
                <w:sz w:val="18"/>
                <w:szCs w:val="18"/>
              </w:rPr>
              <w:t xml:space="preserve">   671,521    (99.6%)</w:t>
            </w:r>
          </w:p>
        </w:tc>
        <w:tc>
          <w:tcPr>
            <w:tcW w:w="101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750C4D98" w14:textId="77777777" w:rsidR="00626280" w:rsidRPr="003F6D0D" w:rsidRDefault="00626280" w:rsidP="008919D7">
            <w:pPr>
              <w:spacing w:before="120" w:after="120"/>
              <w:jc w:val="right"/>
              <w:rPr>
                <w:rFonts w:cs="Arial"/>
                <w:sz w:val="18"/>
                <w:szCs w:val="18"/>
              </w:rPr>
            </w:pPr>
            <w:r w:rsidRPr="003F6D0D">
              <w:rPr>
                <w:rFonts w:cs="Arial"/>
                <w:sz w:val="18"/>
                <w:szCs w:val="18"/>
              </w:rPr>
              <w:t>321,851    (54.0%)</w:t>
            </w:r>
          </w:p>
        </w:tc>
        <w:tc>
          <w:tcPr>
            <w:tcW w:w="101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7409B421" w14:textId="77777777" w:rsidR="00626280" w:rsidRPr="003F6D0D" w:rsidRDefault="00626280" w:rsidP="008919D7">
            <w:pPr>
              <w:spacing w:before="120" w:after="120"/>
              <w:jc w:val="right"/>
              <w:rPr>
                <w:rFonts w:cs="Arial"/>
                <w:sz w:val="18"/>
                <w:szCs w:val="18"/>
              </w:rPr>
            </w:pPr>
            <w:r w:rsidRPr="003F6D0D">
              <w:rPr>
                <w:rFonts w:cs="Arial"/>
                <w:sz w:val="18"/>
                <w:szCs w:val="18"/>
              </w:rPr>
              <w:t>3,951,472    (93.2%)</w:t>
            </w:r>
          </w:p>
        </w:tc>
      </w:tr>
    </w:tbl>
    <w:p w14:paraId="2ACFBDB5" w14:textId="77777777" w:rsidR="004C0371" w:rsidRDefault="004C0371" w:rsidP="004C0371">
      <w:bookmarkStart w:id="95" w:name="_Ref116999143"/>
      <w:bookmarkStart w:id="96" w:name="_Ref118730834"/>
    </w:p>
    <w:p w14:paraId="2C07678D" w14:textId="155D7B0F" w:rsidR="00626280" w:rsidRDefault="00626280" w:rsidP="004C0371">
      <w:pPr>
        <w:pStyle w:val="Caption"/>
      </w:pPr>
      <w:bookmarkStart w:id="97" w:name="_Ref120098473"/>
      <w:r>
        <w:t xml:space="preserve">Table </w:t>
      </w:r>
      <w:fldSimple w:instr=" SEQ Table \* ARABIC ">
        <w:r w:rsidR="00106CD4">
          <w:rPr>
            <w:noProof/>
          </w:rPr>
          <w:t>13</w:t>
        </w:r>
      </w:fldSimple>
      <w:bookmarkEnd w:id="95"/>
      <w:bookmarkEnd w:id="97"/>
      <w:r>
        <w:t xml:space="preserve">: </w:t>
      </w:r>
      <w:r w:rsidR="003F6D0D">
        <w:t xml:space="preserve">PL </w:t>
      </w:r>
      <w:r>
        <w:t xml:space="preserve">benefits paid by data preparation step in </w:t>
      </w:r>
      <w:r w:rsidR="00E24D47">
        <w:t xml:space="preserve">2020-21 </w:t>
      </w:r>
      <w:r>
        <w:t>HCP</w:t>
      </w:r>
      <w:bookmarkEnd w:id="96"/>
    </w:p>
    <w:tbl>
      <w:tblPr>
        <w:tblStyle w:val="IHPATable"/>
        <w:tblW w:w="5000" w:type="pct"/>
        <w:tblLook w:val="0020" w:firstRow="1" w:lastRow="0" w:firstColumn="0" w:lastColumn="0" w:noHBand="0" w:noVBand="0"/>
        <w:tblDescription w:val="Table 13 shows PL Benefits paid by data preparation step in 2020-21 HCP. There are five colums showing the PL benefits paid against the initial preparation step and by Private overnight, Private day facilities, Public Hospitals and the total. "/>
      </w:tblPr>
      <w:tblGrid>
        <w:gridCol w:w="1414"/>
        <w:gridCol w:w="2389"/>
        <w:gridCol w:w="1983"/>
        <w:gridCol w:w="1982"/>
        <w:gridCol w:w="1974"/>
      </w:tblGrid>
      <w:tr w:rsidR="003F6D0D" w:rsidRPr="003F6D0D" w14:paraId="5184B3E7" w14:textId="77777777" w:rsidTr="005325FC">
        <w:trPr>
          <w:cnfStyle w:val="100000000000" w:firstRow="1" w:lastRow="0" w:firstColumn="0" w:lastColumn="0" w:oddVBand="0" w:evenVBand="0" w:oddHBand="0" w:evenHBand="0" w:firstRowFirstColumn="0" w:firstRowLastColumn="0" w:lastRowFirstColumn="0" w:lastRowLastColumn="0"/>
          <w:cantSplit/>
          <w:trHeight w:val="20"/>
          <w:tblHeader/>
        </w:trPr>
        <w:tc>
          <w:tcPr>
            <w:tcW w:w="726" w:type="pct"/>
            <w:vMerge w:val="restar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vAlign w:val="center"/>
          </w:tcPr>
          <w:p w14:paraId="331C4638" w14:textId="6A6858D3" w:rsidR="003F6D0D" w:rsidRPr="005325FC" w:rsidRDefault="003F6D0D" w:rsidP="005325FC">
            <w:pPr>
              <w:spacing w:before="120" w:after="120"/>
              <w:jc w:val="center"/>
              <w:rPr>
                <w:rFonts w:cs="Arial"/>
                <w:b/>
                <w:bCs/>
                <w:color w:val="FFFFFF" w:themeColor="background2"/>
                <w:szCs w:val="18"/>
              </w:rPr>
            </w:pPr>
            <w:r w:rsidRPr="005325FC">
              <w:rPr>
                <w:rFonts w:cs="Arial"/>
                <w:b/>
                <w:bCs/>
                <w:color w:val="FFFFFF" w:themeColor="background2"/>
                <w:szCs w:val="18"/>
              </w:rPr>
              <w:t>Preparation step</w:t>
            </w:r>
          </w:p>
        </w:tc>
        <w:tc>
          <w:tcPr>
            <w:tcW w:w="4274" w:type="pct"/>
            <w:gridSpan w:val="4"/>
            <w:tcBorders>
              <w:top w:val="single" w:sz="4" w:space="0" w:color="808080" w:themeColor="background2" w:themeShade="80"/>
              <w:left w:val="single" w:sz="4" w:space="0" w:color="FFFFFF" w:themeColor="background2"/>
              <w:right w:val="single" w:sz="4" w:space="0" w:color="808080" w:themeColor="background2" w:themeShade="80"/>
            </w:tcBorders>
            <w:shd w:val="clear" w:color="auto" w:fill="104F99" w:themeFill="accent2"/>
          </w:tcPr>
          <w:p w14:paraId="5EBE9C72" w14:textId="17FC1616" w:rsidR="003F6D0D" w:rsidRPr="005325FC" w:rsidRDefault="003F6D0D" w:rsidP="005325FC">
            <w:pPr>
              <w:spacing w:before="120" w:after="120"/>
              <w:jc w:val="center"/>
              <w:rPr>
                <w:rFonts w:cs="Arial"/>
                <w:b/>
                <w:bCs/>
                <w:color w:val="FFFFFF" w:themeColor="background2"/>
                <w:szCs w:val="18"/>
              </w:rPr>
            </w:pPr>
            <w:r w:rsidRPr="005325FC">
              <w:rPr>
                <w:rFonts w:cs="Arial"/>
                <w:b/>
                <w:bCs/>
                <w:color w:val="FFFFFF" w:themeColor="background2"/>
                <w:szCs w:val="18"/>
              </w:rPr>
              <w:t>PL benefits paid</w:t>
            </w:r>
          </w:p>
        </w:tc>
      </w:tr>
      <w:tr w:rsidR="003F6D0D" w:rsidRPr="003F6D0D" w14:paraId="08F394D2" w14:textId="77777777" w:rsidTr="005325FC">
        <w:trPr>
          <w:cnfStyle w:val="100000000000" w:firstRow="1" w:lastRow="0" w:firstColumn="0" w:lastColumn="0" w:oddVBand="0" w:evenVBand="0" w:oddHBand="0" w:evenHBand="0" w:firstRowFirstColumn="0" w:firstRowLastColumn="0" w:lastRowFirstColumn="0" w:lastRowLastColumn="0"/>
          <w:cantSplit/>
          <w:trHeight w:val="20"/>
          <w:tblHeader/>
        </w:trPr>
        <w:tc>
          <w:tcPr>
            <w:tcW w:w="726" w:type="pct"/>
            <w:vMerge/>
            <w:tcBorders>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tcPr>
          <w:p w14:paraId="6AF693BC" w14:textId="69C94BA8" w:rsidR="003F6D0D" w:rsidRPr="005325FC" w:rsidRDefault="003F6D0D" w:rsidP="005325FC">
            <w:pPr>
              <w:spacing w:before="120" w:after="120"/>
              <w:jc w:val="center"/>
              <w:rPr>
                <w:rFonts w:cs="Arial"/>
                <w:b/>
                <w:bCs/>
                <w:color w:val="FFFFFF" w:themeColor="background2"/>
                <w:szCs w:val="18"/>
              </w:rPr>
            </w:pPr>
          </w:p>
        </w:tc>
        <w:tc>
          <w:tcPr>
            <w:tcW w:w="1226" w:type="pct"/>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tcPr>
          <w:p w14:paraId="108E85F1" w14:textId="77777777" w:rsidR="003F6D0D" w:rsidRPr="005325FC" w:rsidRDefault="003F6D0D" w:rsidP="005325FC">
            <w:pPr>
              <w:spacing w:before="120" w:after="120"/>
              <w:jc w:val="center"/>
              <w:rPr>
                <w:rFonts w:cs="Arial"/>
                <w:b/>
                <w:bCs/>
                <w:color w:val="FFFFFF" w:themeColor="background2"/>
                <w:szCs w:val="18"/>
              </w:rPr>
            </w:pPr>
            <w:r w:rsidRPr="005325FC">
              <w:rPr>
                <w:rFonts w:cs="Arial"/>
                <w:b/>
                <w:bCs/>
                <w:color w:val="FFFFFF" w:themeColor="background2"/>
                <w:szCs w:val="18"/>
              </w:rPr>
              <w:t>Private overnight</w:t>
            </w:r>
          </w:p>
        </w:tc>
        <w:tc>
          <w:tcPr>
            <w:tcW w:w="1018" w:type="pct"/>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tcPr>
          <w:p w14:paraId="46B51EBB" w14:textId="77777777" w:rsidR="003F6D0D" w:rsidRPr="005325FC" w:rsidRDefault="003F6D0D" w:rsidP="005325FC">
            <w:pPr>
              <w:spacing w:before="120" w:after="120"/>
              <w:jc w:val="center"/>
              <w:rPr>
                <w:rFonts w:cs="Arial"/>
                <w:b/>
                <w:bCs/>
                <w:color w:val="FFFFFF" w:themeColor="background2"/>
                <w:szCs w:val="18"/>
              </w:rPr>
            </w:pPr>
            <w:r w:rsidRPr="005325FC">
              <w:rPr>
                <w:rFonts w:cs="Arial"/>
                <w:b/>
                <w:bCs/>
                <w:color w:val="FFFFFF" w:themeColor="background2"/>
                <w:szCs w:val="18"/>
              </w:rPr>
              <w:t>Private day facilities</w:t>
            </w:r>
          </w:p>
        </w:tc>
        <w:tc>
          <w:tcPr>
            <w:tcW w:w="1017" w:type="pct"/>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tcPr>
          <w:p w14:paraId="2D68BDE8" w14:textId="77777777" w:rsidR="003F6D0D" w:rsidRPr="005325FC" w:rsidRDefault="003F6D0D" w:rsidP="005325FC">
            <w:pPr>
              <w:spacing w:before="120" w:after="120"/>
              <w:jc w:val="center"/>
              <w:rPr>
                <w:rFonts w:cs="Arial"/>
                <w:b/>
                <w:bCs/>
                <w:color w:val="FFFFFF" w:themeColor="background2"/>
                <w:szCs w:val="18"/>
              </w:rPr>
            </w:pPr>
            <w:r w:rsidRPr="005325FC">
              <w:rPr>
                <w:rFonts w:cs="Arial"/>
                <w:b/>
                <w:bCs/>
                <w:color w:val="FFFFFF" w:themeColor="background2"/>
                <w:szCs w:val="18"/>
              </w:rPr>
              <w:t>Public hospitals</w:t>
            </w:r>
          </w:p>
        </w:tc>
        <w:tc>
          <w:tcPr>
            <w:tcW w:w="1013" w:type="pct"/>
            <w:tcBorders>
              <w:left w:val="single" w:sz="4" w:space="0" w:color="FFFFFF" w:themeColor="background2"/>
              <w:bottom w:val="single" w:sz="4" w:space="0" w:color="808080" w:themeColor="background2" w:themeShade="80"/>
              <w:right w:val="single" w:sz="4" w:space="0" w:color="808080" w:themeColor="background2" w:themeShade="80"/>
            </w:tcBorders>
            <w:shd w:val="clear" w:color="auto" w:fill="104F99" w:themeFill="accent2"/>
          </w:tcPr>
          <w:p w14:paraId="264A3C2F" w14:textId="77777777" w:rsidR="003F6D0D" w:rsidRPr="005325FC" w:rsidRDefault="003F6D0D" w:rsidP="005325FC">
            <w:pPr>
              <w:spacing w:before="120" w:after="120"/>
              <w:jc w:val="center"/>
              <w:rPr>
                <w:rFonts w:cs="Arial"/>
                <w:b/>
                <w:bCs/>
                <w:color w:val="FFFFFF" w:themeColor="background2"/>
                <w:szCs w:val="18"/>
              </w:rPr>
            </w:pPr>
            <w:r w:rsidRPr="005325FC">
              <w:rPr>
                <w:rFonts w:cs="Arial"/>
                <w:b/>
                <w:bCs/>
                <w:color w:val="FFFFFF" w:themeColor="background2"/>
                <w:szCs w:val="18"/>
              </w:rPr>
              <w:t>Total</w:t>
            </w:r>
          </w:p>
        </w:tc>
      </w:tr>
      <w:tr w:rsidR="00626280" w:rsidRPr="003F6D0D" w14:paraId="2189F52E" w14:textId="77777777" w:rsidTr="00172A65">
        <w:trPr>
          <w:cnfStyle w:val="000000100000" w:firstRow="0" w:lastRow="0" w:firstColumn="0" w:lastColumn="0" w:oddVBand="0" w:evenVBand="0" w:oddHBand="1" w:evenHBand="0" w:firstRowFirstColumn="0" w:firstRowLastColumn="0" w:lastRowFirstColumn="0" w:lastRowLastColumn="0"/>
          <w:trHeight w:val="20"/>
        </w:trPr>
        <w:tc>
          <w:tcPr>
            <w:tcW w:w="726"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03A0E32E" w14:textId="77777777" w:rsidR="00626280" w:rsidRPr="003F6D0D" w:rsidRDefault="00626280" w:rsidP="008919D7">
            <w:pPr>
              <w:spacing w:before="120" w:after="120"/>
              <w:rPr>
                <w:rFonts w:ascii="Futura PT Book" w:hAnsi="Futura PT Book" w:cs="Futura PT Book"/>
                <w:color w:val="000000"/>
                <w:sz w:val="18"/>
                <w:szCs w:val="18"/>
                <w:lang w:val="en-US"/>
              </w:rPr>
            </w:pPr>
            <w:r w:rsidRPr="003F6D0D">
              <w:rPr>
                <w:color w:val="1C1C1C"/>
                <w:sz w:val="18"/>
                <w:szCs w:val="18"/>
              </w:rPr>
              <w:t>Initial</w:t>
            </w:r>
          </w:p>
        </w:tc>
        <w:tc>
          <w:tcPr>
            <w:tcW w:w="1226"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bottom"/>
          </w:tcPr>
          <w:p w14:paraId="4E38199A" w14:textId="3F204E4C" w:rsidR="00626280" w:rsidRPr="003F6D0D" w:rsidRDefault="00626280" w:rsidP="008919D7">
            <w:pPr>
              <w:spacing w:before="120" w:after="120"/>
              <w:jc w:val="right"/>
              <w:rPr>
                <w:color w:val="1C1C1C"/>
                <w:sz w:val="18"/>
                <w:szCs w:val="18"/>
              </w:rPr>
            </w:pPr>
            <w:r w:rsidRPr="003F6D0D">
              <w:rPr>
                <w:sz w:val="18"/>
                <w:szCs w:val="18"/>
              </w:rPr>
              <w:t>$1,875m</w:t>
            </w:r>
            <w:r w:rsidR="00995EDB" w:rsidRPr="003F6D0D">
              <w:rPr>
                <w:sz w:val="18"/>
                <w:szCs w:val="18"/>
              </w:rPr>
              <w:t xml:space="preserve">   </w:t>
            </w:r>
            <w:r w:rsidRPr="003F6D0D">
              <w:rPr>
                <w:sz w:val="18"/>
                <w:szCs w:val="18"/>
              </w:rPr>
              <w:t>(100.0%)</w:t>
            </w:r>
          </w:p>
        </w:tc>
        <w:tc>
          <w:tcPr>
            <w:tcW w:w="101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bottom"/>
          </w:tcPr>
          <w:p w14:paraId="593B0422" w14:textId="24A61A37" w:rsidR="00626280" w:rsidRPr="003F6D0D" w:rsidRDefault="00626280" w:rsidP="008919D7">
            <w:pPr>
              <w:spacing w:before="120" w:after="120"/>
              <w:jc w:val="right"/>
              <w:rPr>
                <w:color w:val="1C1C1C"/>
                <w:sz w:val="18"/>
                <w:szCs w:val="18"/>
              </w:rPr>
            </w:pPr>
            <w:r w:rsidRPr="003F6D0D">
              <w:rPr>
                <w:sz w:val="18"/>
                <w:szCs w:val="18"/>
              </w:rPr>
              <w:t>$76m</w:t>
            </w:r>
            <w:r w:rsidR="00995EDB" w:rsidRPr="003F6D0D">
              <w:rPr>
                <w:sz w:val="18"/>
                <w:szCs w:val="18"/>
              </w:rPr>
              <w:t xml:space="preserve">   </w:t>
            </w:r>
            <w:r w:rsidRPr="003F6D0D">
              <w:rPr>
                <w:sz w:val="18"/>
                <w:szCs w:val="18"/>
              </w:rPr>
              <w:t>(100.0%)</w:t>
            </w:r>
          </w:p>
        </w:tc>
        <w:tc>
          <w:tcPr>
            <w:tcW w:w="101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bottom"/>
          </w:tcPr>
          <w:p w14:paraId="481A685D" w14:textId="11FA99CB" w:rsidR="00626280" w:rsidRPr="003F6D0D" w:rsidRDefault="00626280" w:rsidP="008919D7">
            <w:pPr>
              <w:spacing w:before="120" w:after="120"/>
              <w:jc w:val="right"/>
              <w:rPr>
                <w:color w:val="1C1C1C"/>
                <w:sz w:val="18"/>
                <w:szCs w:val="18"/>
              </w:rPr>
            </w:pPr>
            <w:r w:rsidRPr="003F6D0D">
              <w:rPr>
                <w:sz w:val="18"/>
                <w:szCs w:val="18"/>
              </w:rPr>
              <w:t>$83m</w:t>
            </w:r>
            <w:r w:rsidR="00995EDB" w:rsidRPr="003F6D0D">
              <w:rPr>
                <w:sz w:val="18"/>
                <w:szCs w:val="18"/>
              </w:rPr>
              <w:t xml:space="preserve">   </w:t>
            </w:r>
            <w:r w:rsidRPr="003F6D0D">
              <w:rPr>
                <w:sz w:val="18"/>
                <w:szCs w:val="18"/>
              </w:rPr>
              <w:t>(100.0%)</w:t>
            </w:r>
          </w:p>
        </w:tc>
        <w:tc>
          <w:tcPr>
            <w:tcW w:w="101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82293B9" w14:textId="1A366103" w:rsidR="00626280" w:rsidRPr="003F6D0D" w:rsidRDefault="00626280" w:rsidP="008919D7">
            <w:pPr>
              <w:spacing w:before="120" w:after="120"/>
              <w:jc w:val="right"/>
              <w:rPr>
                <w:rFonts w:ascii="Futura PT Book" w:hAnsi="Futura PT Book" w:cs="Futura PT Book"/>
                <w:color w:val="000000"/>
                <w:sz w:val="18"/>
                <w:szCs w:val="18"/>
                <w:lang w:val="en-US"/>
              </w:rPr>
            </w:pPr>
            <w:r w:rsidRPr="003F6D0D">
              <w:rPr>
                <w:sz w:val="18"/>
                <w:szCs w:val="18"/>
              </w:rPr>
              <w:t>$2,034m</w:t>
            </w:r>
            <w:r w:rsidR="00995EDB" w:rsidRPr="003F6D0D">
              <w:rPr>
                <w:sz w:val="18"/>
                <w:szCs w:val="18"/>
              </w:rPr>
              <w:t xml:space="preserve">   </w:t>
            </w:r>
            <w:r w:rsidRPr="003F6D0D">
              <w:rPr>
                <w:sz w:val="18"/>
                <w:szCs w:val="18"/>
              </w:rPr>
              <w:t>(100.0%)</w:t>
            </w:r>
          </w:p>
        </w:tc>
      </w:tr>
      <w:tr w:rsidR="00626280" w:rsidRPr="003F6D0D" w14:paraId="456D6961" w14:textId="77777777" w:rsidTr="00172A65">
        <w:trPr>
          <w:cnfStyle w:val="000000010000" w:firstRow="0" w:lastRow="0" w:firstColumn="0" w:lastColumn="0" w:oddVBand="0" w:evenVBand="0" w:oddHBand="0" w:evenHBand="1" w:firstRowFirstColumn="0" w:firstRowLastColumn="0" w:lastRowFirstColumn="0" w:lastRowLastColumn="0"/>
          <w:trHeight w:val="20"/>
        </w:trPr>
        <w:tc>
          <w:tcPr>
            <w:tcW w:w="726"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448F9870" w14:textId="77777777" w:rsidR="00626280" w:rsidRPr="003F6D0D" w:rsidRDefault="00626280" w:rsidP="008919D7">
            <w:pPr>
              <w:spacing w:before="120" w:after="120"/>
              <w:rPr>
                <w:color w:val="1C1C1C"/>
                <w:sz w:val="18"/>
                <w:szCs w:val="18"/>
              </w:rPr>
            </w:pPr>
            <w:r w:rsidRPr="003F6D0D">
              <w:rPr>
                <w:color w:val="1C1C1C"/>
                <w:sz w:val="18"/>
                <w:szCs w:val="18"/>
              </w:rPr>
              <w:t>Step 1*</w:t>
            </w:r>
          </w:p>
        </w:tc>
        <w:tc>
          <w:tcPr>
            <w:tcW w:w="1226"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bottom"/>
          </w:tcPr>
          <w:p w14:paraId="53D7D967" w14:textId="2F0023D1" w:rsidR="00626280" w:rsidRPr="003F6D0D" w:rsidRDefault="00626280" w:rsidP="008919D7">
            <w:pPr>
              <w:spacing w:before="120" w:after="120"/>
              <w:jc w:val="right"/>
              <w:rPr>
                <w:sz w:val="18"/>
                <w:szCs w:val="18"/>
              </w:rPr>
            </w:pPr>
            <w:r w:rsidRPr="003F6D0D">
              <w:rPr>
                <w:sz w:val="18"/>
                <w:szCs w:val="18"/>
              </w:rPr>
              <w:t>$1,875m</w:t>
            </w:r>
            <w:r w:rsidR="00995EDB" w:rsidRPr="003F6D0D">
              <w:rPr>
                <w:sz w:val="18"/>
                <w:szCs w:val="18"/>
              </w:rPr>
              <w:t xml:space="preserve">   </w:t>
            </w:r>
            <w:r w:rsidRPr="003F6D0D">
              <w:rPr>
                <w:sz w:val="18"/>
                <w:szCs w:val="18"/>
              </w:rPr>
              <w:t>(100.0%)</w:t>
            </w:r>
          </w:p>
        </w:tc>
        <w:tc>
          <w:tcPr>
            <w:tcW w:w="101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bottom"/>
          </w:tcPr>
          <w:p w14:paraId="1ABC20A8" w14:textId="5D2779A3" w:rsidR="00626280" w:rsidRPr="003F6D0D" w:rsidRDefault="00626280" w:rsidP="008919D7">
            <w:pPr>
              <w:spacing w:before="120" w:after="120"/>
              <w:jc w:val="right"/>
              <w:rPr>
                <w:sz w:val="18"/>
                <w:szCs w:val="18"/>
              </w:rPr>
            </w:pPr>
            <w:r w:rsidRPr="003F6D0D">
              <w:rPr>
                <w:sz w:val="18"/>
                <w:szCs w:val="18"/>
              </w:rPr>
              <w:t>$76m</w:t>
            </w:r>
            <w:r w:rsidR="00995EDB" w:rsidRPr="003F6D0D">
              <w:rPr>
                <w:sz w:val="18"/>
                <w:szCs w:val="18"/>
              </w:rPr>
              <w:t xml:space="preserve">   </w:t>
            </w:r>
            <w:r w:rsidRPr="003F6D0D">
              <w:rPr>
                <w:sz w:val="18"/>
                <w:szCs w:val="18"/>
              </w:rPr>
              <w:t>(100.0%)</w:t>
            </w:r>
          </w:p>
        </w:tc>
        <w:tc>
          <w:tcPr>
            <w:tcW w:w="101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bottom"/>
          </w:tcPr>
          <w:p w14:paraId="3E3D9783" w14:textId="27A3854C" w:rsidR="00626280" w:rsidRPr="003F6D0D" w:rsidRDefault="00626280" w:rsidP="008919D7">
            <w:pPr>
              <w:spacing w:before="120" w:after="120"/>
              <w:jc w:val="right"/>
              <w:rPr>
                <w:sz w:val="18"/>
                <w:szCs w:val="18"/>
              </w:rPr>
            </w:pPr>
            <w:r w:rsidRPr="003F6D0D">
              <w:rPr>
                <w:sz w:val="18"/>
                <w:szCs w:val="18"/>
              </w:rPr>
              <w:t>$83m</w:t>
            </w:r>
            <w:r w:rsidR="00995EDB" w:rsidRPr="003F6D0D">
              <w:rPr>
                <w:sz w:val="18"/>
                <w:szCs w:val="18"/>
              </w:rPr>
              <w:t xml:space="preserve">   </w:t>
            </w:r>
            <w:r w:rsidRPr="003F6D0D">
              <w:rPr>
                <w:sz w:val="18"/>
                <w:szCs w:val="18"/>
              </w:rPr>
              <w:t>(100.0%)</w:t>
            </w:r>
          </w:p>
        </w:tc>
        <w:tc>
          <w:tcPr>
            <w:tcW w:w="101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BEA4532" w14:textId="7C8EBB53" w:rsidR="00626280" w:rsidRPr="003F6D0D" w:rsidRDefault="00626280" w:rsidP="008919D7">
            <w:pPr>
              <w:spacing w:before="120" w:after="120"/>
              <w:jc w:val="right"/>
              <w:rPr>
                <w:sz w:val="18"/>
                <w:szCs w:val="18"/>
              </w:rPr>
            </w:pPr>
            <w:r w:rsidRPr="003F6D0D">
              <w:rPr>
                <w:sz w:val="18"/>
                <w:szCs w:val="18"/>
              </w:rPr>
              <w:t>$2,034m</w:t>
            </w:r>
            <w:r w:rsidR="00995EDB" w:rsidRPr="003F6D0D">
              <w:rPr>
                <w:sz w:val="18"/>
                <w:szCs w:val="18"/>
              </w:rPr>
              <w:t xml:space="preserve">   </w:t>
            </w:r>
            <w:r w:rsidRPr="003F6D0D">
              <w:rPr>
                <w:sz w:val="18"/>
                <w:szCs w:val="18"/>
              </w:rPr>
              <w:t>(100.0%)</w:t>
            </w:r>
          </w:p>
        </w:tc>
      </w:tr>
      <w:tr w:rsidR="00626280" w:rsidRPr="003F6D0D" w14:paraId="19BFDA1E" w14:textId="77777777" w:rsidTr="00172A65">
        <w:trPr>
          <w:cnfStyle w:val="000000100000" w:firstRow="0" w:lastRow="0" w:firstColumn="0" w:lastColumn="0" w:oddVBand="0" w:evenVBand="0" w:oddHBand="1" w:evenHBand="0" w:firstRowFirstColumn="0" w:firstRowLastColumn="0" w:lastRowFirstColumn="0" w:lastRowLastColumn="0"/>
          <w:trHeight w:val="20"/>
        </w:trPr>
        <w:tc>
          <w:tcPr>
            <w:tcW w:w="726"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11707C64" w14:textId="77777777" w:rsidR="00626280" w:rsidRPr="003F6D0D" w:rsidRDefault="00626280" w:rsidP="008919D7">
            <w:pPr>
              <w:spacing w:before="120" w:after="120"/>
              <w:rPr>
                <w:rFonts w:ascii="Futura PT Book" w:hAnsi="Futura PT Book" w:cs="Futura PT Book"/>
                <w:color w:val="000000"/>
                <w:sz w:val="18"/>
                <w:szCs w:val="18"/>
                <w:lang w:val="en-US"/>
              </w:rPr>
            </w:pPr>
            <w:r w:rsidRPr="003F6D0D">
              <w:rPr>
                <w:color w:val="1C1C1C"/>
                <w:sz w:val="18"/>
                <w:szCs w:val="18"/>
              </w:rPr>
              <w:t>Step 2</w:t>
            </w:r>
          </w:p>
        </w:tc>
        <w:tc>
          <w:tcPr>
            <w:tcW w:w="1226"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bottom"/>
          </w:tcPr>
          <w:p w14:paraId="2360CD1D" w14:textId="1DD84B88" w:rsidR="00626280" w:rsidRPr="003F6D0D" w:rsidRDefault="00626280" w:rsidP="008919D7">
            <w:pPr>
              <w:spacing w:before="120" w:after="120"/>
              <w:jc w:val="right"/>
              <w:rPr>
                <w:sz w:val="18"/>
                <w:szCs w:val="18"/>
              </w:rPr>
            </w:pPr>
            <w:r w:rsidRPr="003F6D0D">
              <w:rPr>
                <w:sz w:val="18"/>
                <w:szCs w:val="18"/>
              </w:rPr>
              <w:t>$1,854m</w:t>
            </w:r>
            <w:r w:rsidR="00995EDB" w:rsidRPr="003F6D0D">
              <w:rPr>
                <w:sz w:val="18"/>
                <w:szCs w:val="18"/>
              </w:rPr>
              <w:t xml:space="preserve">    </w:t>
            </w:r>
            <w:r w:rsidRPr="003F6D0D">
              <w:rPr>
                <w:sz w:val="18"/>
                <w:szCs w:val="18"/>
              </w:rPr>
              <w:t>(98.9%)</w:t>
            </w:r>
          </w:p>
        </w:tc>
        <w:tc>
          <w:tcPr>
            <w:tcW w:w="101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bottom"/>
          </w:tcPr>
          <w:p w14:paraId="53A9A1A2" w14:textId="77777777" w:rsidR="00626280" w:rsidRPr="003F6D0D" w:rsidRDefault="00626280" w:rsidP="008919D7">
            <w:pPr>
              <w:spacing w:before="120" w:after="120"/>
              <w:jc w:val="right"/>
              <w:rPr>
                <w:sz w:val="18"/>
                <w:szCs w:val="18"/>
              </w:rPr>
            </w:pPr>
            <w:r w:rsidRPr="003F6D0D">
              <w:rPr>
                <w:sz w:val="18"/>
                <w:szCs w:val="18"/>
              </w:rPr>
              <w:t>$76m    (99.8%)</w:t>
            </w:r>
          </w:p>
        </w:tc>
        <w:tc>
          <w:tcPr>
            <w:tcW w:w="101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bottom"/>
          </w:tcPr>
          <w:p w14:paraId="2DAAA45C" w14:textId="77777777" w:rsidR="00626280" w:rsidRPr="003F6D0D" w:rsidRDefault="00626280" w:rsidP="008919D7">
            <w:pPr>
              <w:spacing w:before="120" w:after="120"/>
              <w:jc w:val="right"/>
              <w:rPr>
                <w:sz w:val="18"/>
                <w:szCs w:val="18"/>
              </w:rPr>
            </w:pPr>
            <w:r w:rsidRPr="003F6D0D">
              <w:rPr>
                <w:sz w:val="18"/>
                <w:szCs w:val="18"/>
              </w:rPr>
              <w:t>$82m    (99.1%)</w:t>
            </w:r>
          </w:p>
        </w:tc>
        <w:tc>
          <w:tcPr>
            <w:tcW w:w="101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bottom"/>
          </w:tcPr>
          <w:p w14:paraId="06703577" w14:textId="77777777" w:rsidR="00626280" w:rsidRPr="003F6D0D" w:rsidRDefault="00626280" w:rsidP="008919D7">
            <w:pPr>
              <w:spacing w:before="120" w:after="120"/>
              <w:jc w:val="right"/>
              <w:rPr>
                <w:sz w:val="18"/>
                <w:szCs w:val="18"/>
              </w:rPr>
            </w:pPr>
            <w:r w:rsidRPr="003F6D0D">
              <w:rPr>
                <w:sz w:val="18"/>
                <w:szCs w:val="18"/>
              </w:rPr>
              <w:t>$2,012m    (98.9%)</w:t>
            </w:r>
          </w:p>
        </w:tc>
      </w:tr>
      <w:tr w:rsidR="00626280" w:rsidRPr="003F6D0D" w14:paraId="04C80C49" w14:textId="77777777" w:rsidTr="00172A65">
        <w:trPr>
          <w:cnfStyle w:val="000000010000" w:firstRow="0" w:lastRow="0" w:firstColumn="0" w:lastColumn="0" w:oddVBand="0" w:evenVBand="0" w:oddHBand="0" w:evenHBand="1" w:firstRowFirstColumn="0" w:firstRowLastColumn="0" w:lastRowFirstColumn="0" w:lastRowLastColumn="0"/>
          <w:trHeight w:val="20"/>
        </w:trPr>
        <w:tc>
          <w:tcPr>
            <w:tcW w:w="726"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701F7A1A" w14:textId="77777777" w:rsidR="00626280" w:rsidRPr="003F6D0D" w:rsidRDefault="00626280" w:rsidP="008919D7">
            <w:pPr>
              <w:spacing w:before="120" w:after="120"/>
              <w:rPr>
                <w:color w:val="1C1C1C"/>
                <w:sz w:val="18"/>
                <w:szCs w:val="18"/>
              </w:rPr>
            </w:pPr>
            <w:r w:rsidRPr="003F6D0D">
              <w:rPr>
                <w:color w:val="1C1C1C"/>
                <w:sz w:val="18"/>
                <w:szCs w:val="18"/>
              </w:rPr>
              <w:t>Step 3</w:t>
            </w:r>
          </w:p>
        </w:tc>
        <w:tc>
          <w:tcPr>
            <w:tcW w:w="3261" w:type="pct"/>
            <w:gridSpan w:val="3"/>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bottom"/>
          </w:tcPr>
          <w:p w14:paraId="029C230C" w14:textId="77777777" w:rsidR="00626280" w:rsidRPr="003F6D0D" w:rsidRDefault="00626280" w:rsidP="008919D7">
            <w:pPr>
              <w:spacing w:before="120" w:after="120"/>
              <w:jc w:val="center"/>
              <w:rPr>
                <w:sz w:val="18"/>
                <w:szCs w:val="18"/>
              </w:rPr>
            </w:pPr>
            <w:r w:rsidRPr="003F6D0D">
              <w:rPr>
                <w:sz w:val="18"/>
                <w:szCs w:val="18"/>
              </w:rPr>
              <w:t>Not applicable</w:t>
            </w:r>
          </w:p>
        </w:tc>
        <w:tc>
          <w:tcPr>
            <w:tcW w:w="101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bottom"/>
          </w:tcPr>
          <w:p w14:paraId="3AF9308B" w14:textId="77777777" w:rsidR="00626280" w:rsidRPr="003F6D0D" w:rsidRDefault="00626280" w:rsidP="008919D7">
            <w:pPr>
              <w:spacing w:before="120" w:after="120"/>
              <w:jc w:val="center"/>
              <w:rPr>
                <w:sz w:val="18"/>
                <w:szCs w:val="18"/>
              </w:rPr>
            </w:pPr>
            <w:r w:rsidRPr="003F6D0D">
              <w:rPr>
                <w:sz w:val="18"/>
                <w:szCs w:val="18"/>
              </w:rPr>
              <w:t>Not applicable</w:t>
            </w:r>
          </w:p>
        </w:tc>
      </w:tr>
      <w:tr w:rsidR="00626280" w:rsidRPr="003F6D0D" w14:paraId="7ACE1591" w14:textId="77777777" w:rsidTr="00172A65">
        <w:trPr>
          <w:cnfStyle w:val="000000100000" w:firstRow="0" w:lastRow="0" w:firstColumn="0" w:lastColumn="0" w:oddVBand="0" w:evenVBand="0" w:oddHBand="1" w:evenHBand="0" w:firstRowFirstColumn="0" w:firstRowLastColumn="0" w:lastRowFirstColumn="0" w:lastRowLastColumn="0"/>
          <w:trHeight w:val="20"/>
        </w:trPr>
        <w:tc>
          <w:tcPr>
            <w:tcW w:w="726"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098BF117" w14:textId="77777777" w:rsidR="00626280" w:rsidRPr="003F6D0D" w:rsidRDefault="00626280" w:rsidP="008919D7">
            <w:pPr>
              <w:spacing w:before="120" w:after="120"/>
              <w:rPr>
                <w:color w:val="1C1C1C"/>
                <w:sz w:val="18"/>
                <w:szCs w:val="18"/>
              </w:rPr>
            </w:pPr>
            <w:r w:rsidRPr="003F6D0D">
              <w:rPr>
                <w:color w:val="1C1C1C"/>
                <w:sz w:val="18"/>
                <w:szCs w:val="18"/>
              </w:rPr>
              <w:t>Step 4</w:t>
            </w:r>
          </w:p>
        </w:tc>
        <w:tc>
          <w:tcPr>
            <w:tcW w:w="1226"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bottom"/>
          </w:tcPr>
          <w:p w14:paraId="58ACA50B" w14:textId="77777777" w:rsidR="00626280" w:rsidRPr="003F6D0D" w:rsidRDefault="00626280" w:rsidP="008919D7">
            <w:pPr>
              <w:spacing w:before="120" w:after="120"/>
              <w:jc w:val="right"/>
              <w:rPr>
                <w:sz w:val="18"/>
                <w:szCs w:val="18"/>
              </w:rPr>
            </w:pPr>
            <w:r w:rsidRPr="003F6D0D">
              <w:rPr>
                <w:sz w:val="18"/>
                <w:szCs w:val="18"/>
              </w:rPr>
              <w:t>$1,854m    (98.9%)</w:t>
            </w:r>
          </w:p>
        </w:tc>
        <w:tc>
          <w:tcPr>
            <w:tcW w:w="101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bottom"/>
          </w:tcPr>
          <w:p w14:paraId="72447ED8" w14:textId="77777777" w:rsidR="00626280" w:rsidRPr="003F6D0D" w:rsidRDefault="00626280" w:rsidP="008919D7">
            <w:pPr>
              <w:spacing w:before="120" w:after="120"/>
              <w:jc w:val="right"/>
              <w:rPr>
                <w:sz w:val="18"/>
                <w:szCs w:val="18"/>
              </w:rPr>
            </w:pPr>
            <w:r w:rsidRPr="003F6D0D">
              <w:rPr>
                <w:sz w:val="18"/>
                <w:szCs w:val="18"/>
              </w:rPr>
              <w:t>$76m    (99.8%)</w:t>
            </w:r>
          </w:p>
        </w:tc>
        <w:tc>
          <w:tcPr>
            <w:tcW w:w="101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bottom"/>
          </w:tcPr>
          <w:p w14:paraId="48C31B3B" w14:textId="77777777" w:rsidR="00626280" w:rsidRPr="003F6D0D" w:rsidRDefault="00626280" w:rsidP="008919D7">
            <w:pPr>
              <w:spacing w:before="120" w:after="120"/>
              <w:jc w:val="right"/>
              <w:rPr>
                <w:sz w:val="18"/>
                <w:szCs w:val="18"/>
              </w:rPr>
            </w:pPr>
            <w:r w:rsidRPr="003F6D0D">
              <w:rPr>
                <w:sz w:val="18"/>
                <w:szCs w:val="18"/>
              </w:rPr>
              <w:t>$48m    (57.5%)</w:t>
            </w:r>
          </w:p>
        </w:tc>
        <w:tc>
          <w:tcPr>
            <w:tcW w:w="101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bottom"/>
          </w:tcPr>
          <w:p w14:paraId="7FF87C86" w14:textId="77777777" w:rsidR="00626280" w:rsidRPr="003F6D0D" w:rsidRDefault="00626280" w:rsidP="008919D7">
            <w:pPr>
              <w:spacing w:before="120" w:after="120"/>
              <w:jc w:val="right"/>
              <w:rPr>
                <w:sz w:val="18"/>
                <w:szCs w:val="18"/>
              </w:rPr>
            </w:pPr>
            <w:r w:rsidRPr="003F6D0D">
              <w:rPr>
                <w:sz w:val="18"/>
                <w:szCs w:val="18"/>
              </w:rPr>
              <w:t>$1,977m    (97.2%)</w:t>
            </w:r>
          </w:p>
        </w:tc>
      </w:tr>
    </w:tbl>
    <w:p w14:paraId="4F1E434D" w14:textId="77777777" w:rsidR="00626280" w:rsidRPr="00E0206E" w:rsidRDefault="00626280" w:rsidP="00626280">
      <w:pPr>
        <w:rPr>
          <w:i/>
          <w:sz w:val="18"/>
          <w:szCs w:val="18"/>
        </w:rPr>
      </w:pPr>
      <w:bookmarkStart w:id="98" w:name="_Ref116999412"/>
      <w:r w:rsidRPr="00E0206E">
        <w:rPr>
          <w:i/>
          <w:sz w:val="18"/>
          <w:szCs w:val="18"/>
        </w:rPr>
        <w:t>* There is no impact for this step in financial year 2020-21. However, prior financial years are impacted.</w:t>
      </w:r>
    </w:p>
    <w:bookmarkEnd w:id="98"/>
    <w:p w14:paraId="5708C2E7" w14:textId="76444EF4" w:rsidR="00626280" w:rsidRDefault="00626280" w:rsidP="00626280">
      <w:r>
        <w:t xml:space="preserve">The data preparation procedures have a minimal impact on the total number of episodes and prostheses benefits recorded in HCP for private overnight hospitals and private day facilities. A larger impact is noted for privately insured patients in public hospitals, with 46% of episodes excluded (or 43% of benefits). This is due to missing </w:t>
      </w:r>
      <w:r w:rsidR="007033DC">
        <w:t>principal</w:t>
      </w:r>
      <w:r>
        <w:t xml:space="preserve"> diagnosis information for a large proportion of public hospital records.</w:t>
      </w:r>
    </w:p>
    <w:p w14:paraId="250AC2F4" w14:textId="63A7446C" w:rsidR="00CE57EA" w:rsidRDefault="00626280" w:rsidP="00F44793">
      <w:pPr>
        <w:spacing w:line="259" w:lineRule="auto"/>
      </w:pPr>
      <w:r>
        <w:t xml:space="preserve">Despite the large number of exclusions for public hospital episodes, there is no material impact detected on the composition of </w:t>
      </w:r>
      <w:r w:rsidR="007033DC">
        <w:t>GUI</w:t>
      </w:r>
      <w:r>
        <w:t xml:space="preserve"> usage and benefits. </w:t>
      </w:r>
      <w:r w:rsidR="00B87169">
        <w:t xml:space="preserve">This is discussed further in Section </w:t>
      </w:r>
      <w:r w:rsidR="00B87169">
        <w:fldChar w:fldCharType="begin"/>
      </w:r>
      <w:r w:rsidR="00B87169">
        <w:instrText xml:space="preserve"> REF _Ref119057770 \h </w:instrText>
      </w:r>
      <w:r w:rsidR="00B87169">
        <w:fldChar w:fldCharType="separate"/>
      </w:r>
      <w:r w:rsidR="00106CD4">
        <w:t>C.2 Data representativeness</w:t>
      </w:r>
      <w:r w:rsidR="00B87169">
        <w:fldChar w:fldCharType="end"/>
      </w:r>
      <w:r w:rsidR="00B87169">
        <w:t>.</w:t>
      </w:r>
      <w:bookmarkStart w:id="99" w:name="_Ref116476106"/>
      <w:bookmarkStart w:id="100" w:name="_Ref116476112"/>
    </w:p>
    <w:p w14:paraId="664610F6" w14:textId="40C6886C" w:rsidR="007033DC" w:rsidRDefault="007033DC" w:rsidP="007033DC">
      <w:pPr>
        <w:spacing w:line="259" w:lineRule="auto"/>
      </w:pPr>
      <w:r>
        <w:t>Finally, the HCP Prosthesis device records are restricted to GUIs as identified by Part D of the August 2022 PL, and the items are assigned their expected March 2023 PL scheduled benefit. No episodes are excluded in this step.</w:t>
      </w:r>
    </w:p>
    <w:p w14:paraId="147F7662" w14:textId="3595D21B" w:rsidR="00626280" w:rsidRDefault="00CE57EA" w:rsidP="00F44793">
      <w:pPr>
        <w:spacing w:line="259" w:lineRule="auto"/>
      </w:pPr>
      <w:r>
        <w:fldChar w:fldCharType="begin"/>
      </w:r>
      <w:r>
        <w:instrText xml:space="preserve"> REF _Ref119675984 \h </w:instrText>
      </w:r>
      <w:r>
        <w:fldChar w:fldCharType="separate"/>
      </w:r>
      <w:r w:rsidR="00106CD4">
        <w:t xml:space="preserve">Table </w:t>
      </w:r>
      <w:r w:rsidR="00106CD4">
        <w:rPr>
          <w:noProof/>
        </w:rPr>
        <w:t>14</w:t>
      </w:r>
      <w:r>
        <w:fldChar w:fldCharType="end"/>
      </w:r>
      <w:r>
        <w:t xml:space="preserve"> </w:t>
      </w:r>
      <w:proofErr w:type="spellStart"/>
      <w:r w:rsidR="007033DC">
        <w:t>summarises</w:t>
      </w:r>
      <w:proofErr w:type="spellEnd"/>
      <w:r w:rsidR="007033DC">
        <w:t xml:space="preserve"> the final 2020-21 HCP GUI characteristics, including items, episodes and March 2023 PL benefits.</w:t>
      </w:r>
    </w:p>
    <w:p w14:paraId="6DFA129E" w14:textId="4B2E860B" w:rsidR="00014618" w:rsidRDefault="00014618" w:rsidP="00014618">
      <w:pPr>
        <w:spacing w:line="259" w:lineRule="auto"/>
      </w:pPr>
      <w:r>
        <w:fldChar w:fldCharType="begin"/>
      </w:r>
      <w:r>
        <w:instrText xml:space="preserve"> REF _Ref120098347 \h </w:instrText>
      </w:r>
      <w:r>
        <w:fldChar w:fldCharType="separate"/>
      </w:r>
      <w:r w:rsidR="00106CD4">
        <w:t xml:space="preserve">Table </w:t>
      </w:r>
      <w:r w:rsidR="00106CD4">
        <w:rPr>
          <w:noProof/>
        </w:rPr>
        <w:t>15</w:t>
      </w:r>
      <w:r>
        <w:fldChar w:fldCharType="end"/>
      </w:r>
      <w:r>
        <w:t xml:space="preserve"> lists all GUI billing codes by their expected March 2023 PL scheduled benefit.</w:t>
      </w:r>
    </w:p>
    <w:p w14:paraId="78ED378F" w14:textId="605930C9" w:rsidR="00626280" w:rsidRPr="004F7443" w:rsidRDefault="00626280" w:rsidP="003D0C71">
      <w:pPr>
        <w:pStyle w:val="Caption"/>
      </w:pPr>
      <w:bookmarkStart w:id="101" w:name="_Ref119675984"/>
      <w:r>
        <w:t xml:space="preserve">Table </w:t>
      </w:r>
      <w:fldSimple w:instr=" SEQ Table \* ARABIC ">
        <w:r w:rsidR="00106CD4">
          <w:rPr>
            <w:noProof/>
          </w:rPr>
          <w:t>14</w:t>
        </w:r>
      </w:fldSimple>
      <w:bookmarkEnd w:id="101"/>
      <w:r>
        <w:t xml:space="preserve">: </w:t>
      </w:r>
      <w:r w:rsidR="007033DC">
        <w:t>Summary of 2020-21 HCP GUI characteristics</w:t>
      </w:r>
    </w:p>
    <w:tbl>
      <w:tblPr>
        <w:tblStyle w:val="IHPATable"/>
        <w:tblW w:w="5000" w:type="pct"/>
        <w:tblLook w:val="0020" w:firstRow="1" w:lastRow="0" w:firstColumn="0" w:lastColumn="0" w:noHBand="0" w:noVBand="0"/>
        <w:tblDescription w:val="Table 14 is a summary of 2020-21 HCP GUI characteristics. There are 5 columns in the table showing Data preparation against Private Overnight, Private day facilities,  public hospitals and the total. "/>
      </w:tblPr>
      <w:tblGrid>
        <w:gridCol w:w="1821"/>
        <w:gridCol w:w="1982"/>
        <w:gridCol w:w="1983"/>
        <w:gridCol w:w="1982"/>
        <w:gridCol w:w="1974"/>
      </w:tblGrid>
      <w:tr w:rsidR="00626280" w:rsidRPr="00172A65" w14:paraId="769B06D2" w14:textId="77777777" w:rsidTr="00172A65">
        <w:trPr>
          <w:cnfStyle w:val="100000000000" w:firstRow="1" w:lastRow="0" w:firstColumn="0" w:lastColumn="0" w:oddVBand="0" w:evenVBand="0" w:oddHBand="0" w:evenHBand="0" w:firstRowFirstColumn="0" w:firstRowLastColumn="0" w:lastRowFirstColumn="0" w:lastRowLastColumn="0"/>
          <w:trHeight w:val="20"/>
          <w:tblHeader/>
        </w:trPr>
        <w:tc>
          <w:tcPr>
            <w:tcW w:w="93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vAlign w:val="center"/>
          </w:tcPr>
          <w:p w14:paraId="3F795E5D" w14:textId="77777777" w:rsidR="00626280" w:rsidRPr="00172A65" w:rsidRDefault="00626280" w:rsidP="008919D7">
            <w:pPr>
              <w:spacing w:before="120" w:after="120"/>
              <w:rPr>
                <w:rFonts w:ascii="Futura PT Book" w:hAnsi="Futura PT Book" w:cs="Futura PT Book"/>
                <w:b/>
                <w:bCs/>
                <w:color w:val="FFFFFF" w:themeColor="background2"/>
                <w:szCs w:val="18"/>
                <w:lang w:val="en-US"/>
              </w:rPr>
            </w:pPr>
            <w:r w:rsidRPr="00172A65">
              <w:rPr>
                <w:b/>
                <w:bCs/>
                <w:color w:val="FFFFFF" w:themeColor="background2"/>
                <w:szCs w:val="18"/>
              </w:rPr>
              <w:t>Data preparation</w:t>
            </w:r>
          </w:p>
        </w:tc>
        <w:tc>
          <w:tcPr>
            <w:tcW w:w="1017" w:type="pct"/>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2E25E18A" w14:textId="77777777" w:rsidR="00626280" w:rsidRPr="00172A65" w:rsidRDefault="00626280" w:rsidP="008919D7">
            <w:pPr>
              <w:spacing w:before="120" w:after="120"/>
              <w:jc w:val="center"/>
              <w:rPr>
                <w:b/>
                <w:bCs/>
                <w:color w:val="FFFFFF" w:themeColor="background2"/>
                <w:szCs w:val="18"/>
              </w:rPr>
            </w:pPr>
            <w:r w:rsidRPr="00172A65">
              <w:rPr>
                <w:b/>
                <w:bCs/>
                <w:color w:val="FFFFFF" w:themeColor="background2"/>
                <w:szCs w:val="18"/>
              </w:rPr>
              <w:t xml:space="preserve">Private overnight </w:t>
            </w:r>
          </w:p>
        </w:tc>
        <w:tc>
          <w:tcPr>
            <w:tcW w:w="1018" w:type="pct"/>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7E4A371B" w14:textId="77777777" w:rsidR="00626280" w:rsidRPr="00172A65" w:rsidRDefault="00626280" w:rsidP="008919D7">
            <w:pPr>
              <w:spacing w:before="120" w:after="120"/>
              <w:jc w:val="center"/>
              <w:rPr>
                <w:b/>
                <w:bCs/>
                <w:color w:val="FFFFFF" w:themeColor="background2"/>
                <w:szCs w:val="18"/>
              </w:rPr>
            </w:pPr>
            <w:r w:rsidRPr="00172A65">
              <w:rPr>
                <w:b/>
                <w:bCs/>
                <w:color w:val="FFFFFF" w:themeColor="background2"/>
                <w:szCs w:val="18"/>
              </w:rPr>
              <w:t>Private day facilities</w:t>
            </w:r>
          </w:p>
        </w:tc>
        <w:tc>
          <w:tcPr>
            <w:tcW w:w="1017" w:type="pct"/>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00310E0F" w14:textId="77777777" w:rsidR="00626280" w:rsidRPr="00172A65" w:rsidRDefault="00626280" w:rsidP="008919D7">
            <w:pPr>
              <w:spacing w:before="120" w:after="120"/>
              <w:jc w:val="center"/>
              <w:rPr>
                <w:b/>
                <w:bCs/>
                <w:color w:val="FFFFFF" w:themeColor="background2"/>
                <w:szCs w:val="18"/>
              </w:rPr>
            </w:pPr>
            <w:r w:rsidRPr="00172A65">
              <w:rPr>
                <w:b/>
                <w:bCs/>
                <w:color w:val="FFFFFF" w:themeColor="background2"/>
                <w:szCs w:val="18"/>
              </w:rPr>
              <w:t>Public hospitals</w:t>
            </w:r>
          </w:p>
        </w:tc>
        <w:tc>
          <w:tcPr>
            <w:tcW w:w="1013" w:type="pct"/>
            <w:tcBorders>
              <w:top w:val="single" w:sz="4" w:space="0" w:color="808080" w:themeColor="background2" w:themeShade="80"/>
              <w:left w:val="single" w:sz="4" w:space="0" w:color="FFFFFF" w:themeColor="background2"/>
              <w:bottom w:val="single" w:sz="4" w:space="0" w:color="808080" w:themeColor="background2" w:themeShade="80"/>
              <w:right w:val="single" w:sz="4" w:space="0" w:color="808080" w:themeColor="background2" w:themeShade="80"/>
            </w:tcBorders>
            <w:shd w:val="clear" w:color="auto" w:fill="104F99" w:themeFill="accent2"/>
            <w:vAlign w:val="center"/>
          </w:tcPr>
          <w:p w14:paraId="74F503AD" w14:textId="77777777" w:rsidR="00626280" w:rsidRPr="00172A65" w:rsidRDefault="00626280" w:rsidP="008919D7">
            <w:pPr>
              <w:spacing w:before="120" w:after="120"/>
              <w:jc w:val="center"/>
              <w:rPr>
                <w:rFonts w:ascii="Futura PT Book" w:hAnsi="Futura PT Book" w:cs="Futura PT Book"/>
                <w:b/>
                <w:bCs/>
                <w:color w:val="FFFFFF" w:themeColor="background2"/>
                <w:szCs w:val="18"/>
                <w:lang w:val="en-US"/>
              </w:rPr>
            </w:pPr>
            <w:r w:rsidRPr="00172A65">
              <w:rPr>
                <w:b/>
                <w:bCs/>
                <w:color w:val="FFFFFF" w:themeColor="background2"/>
                <w:szCs w:val="18"/>
              </w:rPr>
              <w:t>Total</w:t>
            </w:r>
          </w:p>
        </w:tc>
      </w:tr>
      <w:tr w:rsidR="00626280" w:rsidRPr="00172A65" w14:paraId="4854C8A3" w14:textId="77777777" w:rsidTr="005325FC">
        <w:trPr>
          <w:cnfStyle w:val="000000100000" w:firstRow="0" w:lastRow="0" w:firstColumn="0" w:lastColumn="0" w:oddVBand="0" w:evenVBand="0" w:oddHBand="1" w:evenHBand="0" w:firstRowFirstColumn="0" w:firstRowLastColumn="0" w:lastRowFirstColumn="0" w:lastRowLastColumn="0"/>
          <w:trHeight w:val="20"/>
        </w:trPr>
        <w:tc>
          <w:tcPr>
            <w:tcW w:w="93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3461A1FF" w14:textId="77777777" w:rsidR="00626280" w:rsidRPr="00172A65" w:rsidRDefault="00626280" w:rsidP="008919D7">
            <w:pPr>
              <w:spacing w:before="120" w:after="120"/>
              <w:rPr>
                <w:color w:val="1C1C1C"/>
                <w:sz w:val="18"/>
                <w:szCs w:val="18"/>
              </w:rPr>
            </w:pPr>
            <w:r w:rsidRPr="00172A65">
              <w:rPr>
                <w:color w:val="1C1C1C"/>
                <w:sz w:val="18"/>
                <w:szCs w:val="18"/>
              </w:rPr>
              <w:t>Number of General Use Items used</w:t>
            </w:r>
          </w:p>
        </w:tc>
        <w:tc>
          <w:tcPr>
            <w:tcW w:w="101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0908948" w14:textId="77777777" w:rsidR="00626280" w:rsidRPr="00172A65" w:rsidRDefault="00626280" w:rsidP="008919D7">
            <w:pPr>
              <w:spacing w:before="120" w:after="120"/>
              <w:jc w:val="center"/>
              <w:rPr>
                <w:sz w:val="18"/>
                <w:szCs w:val="18"/>
              </w:rPr>
            </w:pPr>
            <w:r w:rsidRPr="00172A65">
              <w:rPr>
                <w:sz w:val="18"/>
                <w:szCs w:val="18"/>
              </w:rPr>
              <w:t>1,019,524</w:t>
            </w:r>
          </w:p>
        </w:tc>
        <w:tc>
          <w:tcPr>
            <w:tcW w:w="101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3EF5A3C" w14:textId="77777777" w:rsidR="00626280" w:rsidRPr="00172A65" w:rsidRDefault="00626280" w:rsidP="008919D7">
            <w:pPr>
              <w:spacing w:before="120" w:after="120"/>
              <w:jc w:val="center"/>
              <w:rPr>
                <w:sz w:val="18"/>
                <w:szCs w:val="18"/>
              </w:rPr>
            </w:pPr>
            <w:r w:rsidRPr="00172A65">
              <w:rPr>
                <w:sz w:val="18"/>
                <w:szCs w:val="18"/>
              </w:rPr>
              <w:t>14,769</w:t>
            </w:r>
          </w:p>
        </w:tc>
        <w:tc>
          <w:tcPr>
            <w:tcW w:w="101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06589C8" w14:textId="77777777" w:rsidR="00626280" w:rsidRPr="00172A65" w:rsidRDefault="00626280" w:rsidP="008919D7">
            <w:pPr>
              <w:spacing w:before="120" w:after="120"/>
              <w:jc w:val="center"/>
              <w:rPr>
                <w:sz w:val="18"/>
                <w:szCs w:val="18"/>
              </w:rPr>
            </w:pPr>
            <w:r w:rsidRPr="00172A65">
              <w:rPr>
                <w:sz w:val="18"/>
                <w:szCs w:val="18"/>
              </w:rPr>
              <w:t>26,483</w:t>
            </w:r>
          </w:p>
        </w:tc>
        <w:tc>
          <w:tcPr>
            <w:tcW w:w="101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263C3A2" w14:textId="77777777" w:rsidR="00626280" w:rsidRPr="00172A65" w:rsidRDefault="00626280" w:rsidP="008919D7">
            <w:pPr>
              <w:spacing w:before="120" w:after="120"/>
              <w:jc w:val="center"/>
              <w:rPr>
                <w:sz w:val="18"/>
                <w:szCs w:val="18"/>
              </w:rPr>
            </w:pPr>
            <w:r w:rsidRPr="00172A65">
              <w:rPr>
                <w:sz w:val="18"/>
                <w:szCs w:val="18"/>
              </w:rPr>
              <w:t>1,060,776</w:t>
            </w:r>
          </w:p>
        </w:tc>
      </w:tr>
      <w:tr w:rsidR="00626280" w:rsidRPr="00172A65" w14:paraId="044EF948" w14:textId="77777777" w:rsidTr="005325FC">
        <w:trPr>
          <w:cnfStyle w:val="000000010000" w:firstRow="0" w:lastRow="0" w:firstColumn="0" w:lastColumn="0" w:oddVBand="0" w:evenVBand="0" w:oddHBand="0" w:evenHBand="1" w:firstRowFirstColumn="0" w:firstRowLastColumn="0" w:lastRowFirstColumn="0" w:lastRowLastColumn="0"/>
          <w:trHeight w:val="20"/>
        </w:trPr>
        <w:tc>
          <w:tcPr>
            <w:tcW w:w="93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77A1E430" w14:textId="77777777" w:rsidR="00626280" w:rsidRPr="00172A65" w:rsidRDefault="00626280" w:rsidP="008919D7">
            <w:pPr>
              <w:spacing w:before="120" w:after="120"/>
              <w:rPr>
                <w:color w:val="1C1C1C"/>
                <w:sz w:val="18"/>
                <w:szCs w:val="18"/>
              </w:rPr>
            </w:pPr>
            <w:r w:rsidRPr="00172A65">
              <w:rPr>
                <w:color w:val="1C1C1C"/>
                <w:sz w:val="18"/>
                <w:szCs w:val="18"/>
              </w:rPr>
              <w:t>Episodes with General Use Items</w:t>
            </w:r>
          </w:p>
        </w:tc>
        <w:tc>
          <w:tcPr>
            <w:tcW w:w="101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8BC0784" w14:textId="77777777" w:rsidR="00626280" w:rsidRPr="00172A65" w:rsidRDefault="00626280" w:rsidP="008919D7">
            <w:pPr>
              <w:spacing w:before="120" w:after="120"/>
              <w:jc w:val="center"/>
              <w:rPr>
                <w:sz w:val="18"/>
                <w:szCs w:val="18"/>
              </w:rPr>
            </w:pPr>
            <w:r w:rsidRPr="00172A65">
              <w:rPr>
                <w:sz w:val="18"/>
                <w:szCs w:val="18"/>
              </w:rPr>
              <w:t>367,734</w:t>
            </w:r>
          </w:p>
        </w:tc>
        <w:tc>
          <w:tcPr>
            <w:tcW w:w="101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0791305" w14:textId="77777777" w:rsidR="00626280" w:rsidRPr="00172A65" w:rsidRDefault="00626280" w:rsidP="008919D7">
            <w:pPr>
              <w:spacing w:before="120" w:after="120"/>
              <w:jc w:val="center"/>
              <w:rPr>
                <w:sz w:val="18"/>
                <w:szCs w:val="18"/>
              </w:rPr>
            </w:pPr>
            <w:r w:rsidRPr="00172A65">
              <w:rPr>
                <w:sz w:val="18"/>
                <w:szCs w:val="18"/>
              </w:rPr>
              <w:t>12,987</w:t>
            </w:r>
          </w:p>
        </w:tc>
        <w:tc>
          <w:tcPr>
            <w:tcW w:w="101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FDB65E8" w14:textId="77777777" w:rsidR="00626280" w:rsidRPr="00172A65" w:rsidRDefault="00626280" w:rsidP="008919D7">
            <w:pPr>
              <w:spacing w:before="120" w:after="120"/>
              <w:jc w:val="center"/>
              <w:rPr>
                <w:sz w:val="18"/>
                <w:szCs w:val="18"/>
              </w:rPr>
            </w:pPr>
            <w:r w:rsidRPr="00172A65">
              <w:rPr>
                <w:sz w:val="18"/>
                <w:szCs w:val="18"/>
              </w:rPr>
              <w:t>9,069</w:t>
            </w:r>
          </w:p>
        </w:tc>
        <w:tc>
          <w:tcPr>
            <w:tcW w:w="101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EE14CDF" w14:textId="77777777" w:rsidR="00626280" w:rsidRPr="00172A65" w:rsidRDefault="00626280" w:rsidP="008919D7">
            <w:pPr>
              <w:spacing w:before="120" w:after="120"/>
              <w:jc w:val="center"/>
              <w:rPr>
                <w:sz w:val="18"/>
                <w:szCs w:val="18"/>
              </w:rPr>
            </w:pPr>
            <w:r w:rsidRPr="00172A65">
              <w:rPr>
                <w:sz w:val="18"/>
                <w:szCs w:val="18"/>
              </w:rPr>
              <w:t>389,790</w:t>
            </w:r>
          </w:p>
        </w:tc>
      </w:tr>
      <w:tr w:rsidR="00626280" w:rsidRPr="00172A65" w14:paraId="73E6CFE3" w14:textId="77777777" w:rsidTr="005325FC">
        <w:trPr>
          <w:cnfStyle w:val="000000100000" w:firstRow="0" w:lastRow="0" w:firstColumn="0" w:lastColumn="0" w:oddVBand="0" w:evenVBand="0" w:oddHBand="1" w:evenHBand="0" w:firstRowFirstColumn="0" w:firstRowLastColumn="0" w:lastRowFirstColumn="0" w:lastRowLastColumn="0"/>
          <w:trHeight w:val="20"/>
        </w:trPr>
        <w:tc>
          <w:tcPr>
            <w:tcW w:w="93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64BDF2B4" w14:textId="77777777" w:rsidR="00626280" w:rsidRPr="00172A65" w:rsidRDefault="00626280" w:rsidP="008919D7">
            <w:pPr>
              <w:spacing w:before="120" w:after="120"/>
              <w:rPr>
                <w:color w:val="1C1C1C"/>
                <w:sz w:val="18"/>
                <w:szCs w:val="18"/>
              </w:rPr>
            </w:pPr>
            <w:r w:rsidRPr="00172A65">
              <w:rPr>
                <w:color w:val="1C1C1C"/>
                <w:sz w:val="18"/>
                <w:szCs w:val="18"/>
              </w:rPr>
              <w:t>Benefits paid for General Use Items</w:t>
            </w:r>
          </w:p>
        </w:tc>
        <w:tc>
          <w:tcPr>
            <w:tcW w:w="101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614E264" w14:textId="77777777" w:rsidR="00626280" w:rsidRPr="00172A65" w:rsidRDefault="00626280" w:rsidP="008919D7">
            <w:pPr>
              <w:spacing w:before="120" w:after="120"/>
              <w:jc w:val="center"/>
              <w:rPr>
                <w:sz w:val="18"/>
                <w:szCs w:val="18"/>
              </w:rPr>
            </w:pPr>
            <w:r w:rsidRPr="00172A65">
              <w:rPr>
                <w:sz w:val="18"/>
                <w:szCs w:val="18"/>
              </w:rPr>
              <w:t>$200m</w:t>
            </w:r>
          </w:p>
        </w:tc>
        <w:tc>
          <w:tcPr>
            <w:tcW w:w="101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A3E11F6" w14:textId="77777777" w:rsidR="00626280" w:rsidRPr="00172A65" w:rsidRDefault="00626280" w:rsidP="008919D7">
            <w:pPr>
              <w:spacing w:before="120" w:after="120"/>
              <w:jc w:val="center"/>
              <w:rPr>
                <w:sz w:val="18"/>
                <w:szCs w:val="18"/>
              </w:rPr>
            </w:pPr>
            <w:r w:rsidRPr="00172A65">
              <w:rPr>
                <w:sz w:val="18"/>
                <w:szCs w:val="18"/>
              </w:rPr>
              <w:t>$2m</w:t>
            </w:r>
          </w:p>
        </w:tc>
        <w:tc>
          <w:tcPr>
            <w:tcW w:w="101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A43D8F7" w14:textId="77777777" w:rsidR="00626280" w:rsidRPr="00172A65" w:rsidRDefault="00626280" w:rsidP="008919D7">
            <w:pPr>
              <w:spacing w:before="120" w:after="120"/>
              <w:jc w:val="center"/>
              <w:rPr>
                <w:sz w:val="18"/>
                <w:szCs w:val="18"/>
              </w:rPr>
            </w:pPr>
            <w:r w:rsidRPr="00172A65">
              <w:rPr>
                <w:sz w:val="18"/>
                <w:szCs w:val="18"/>
              </w:rPr>
              <w:t>$4m</w:t>
            </w:r>
          </w:p>
        </w:tc>
        <w:tc>
          <w:tcPr>
            <w:tcW w:w="101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7E76A54" w14:textId="77777777" w:rsidR="00626280" w:rsidRPr="00172A65" w:rsidRDefault="00626280" w:rsidP="008919D7">
            <w:pPr>
              <w:spacing w:before="120" w:after="120"/>
              <w:jc w:val="center"/>
              <w:rPr>
                <w:sz w:val="18"/>
                <w:szCs w:val="18"/>
              </w:rPr>
            </w:pPr>
            <w:r w:rsidRPr="00172A65">
              <w:rPr>
                <w:sz w:val="18"/>
                <w:szCs w:val="18"/>
              </w:rPr>
              <w:t>$206m</w:t>
            </w:r>
          </w:p>
        </w:tc>
      </w:tr>
    </w:tbl>
    <w:p w14:paraId="16D0DC5F" w14:textId="77777777" w:rsidR="00DE3A1B" w:rsidRDefault="00DE3A1B" w:rsidP="00626280">
      <w:pPr>
        <w:spacing w:line="259" w:lineRule="auto"/>
      </w:pPr>
    </w:p>
    <w:p w14:paraId="05F4541F" w14:textId="43E49F85" w:rsidR="00DE3A1B" w:rsidRDefault="00DE3A1B" w:rsidP="00DE3A1B">
      <w:pPr>
        <w:pStyle w:val="Caption"/>
        <w:keepNext/>
      </w:pPr>
      <w:bookmarkStart w:id="102" w:name="_Ref120098347"/>
      <w:r>
        <w:t xml:space="preserve">Table </w:t>
      </w:r>
      <w:fldSimple w:instr=" SEQ Table \* ARABIC ">
        <w:r w:rsidR="00106CD4">
          <w:rPr>
            <w:noProof/>
          </w:rPr>
          <w:t>15</w:t>
        </w:r>
      </w:fldSimple>
      <w:bookmarkEnd w:id="102"/>
      <w:r>
        <w:t>: GUI billing codes by expected March 2023 PL scheduled benefit</w:t>
      </w:r>
    </w:p>
    <w:tbl>
      <w:tblPr>
        <w:tblW w:w="9634" w:type="dxa"/>
        <w:tbl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insideH w:val="single" w:sz="4" w:space="0" w:color="808080" w:themeColor="background2" w:themeShade="80"/>
          <w:insideV w:val="single" w:sz="4" w:space="0" w:color="808080" w:themeColor="background2" w:themeShade="80"/>
        </w:tblBorders>
        <w:tblLook w:val="04A0" w:firstRow="1" w:lastRow="0" w:firstColumn="1" w:lastColumn="0" w:noHBand="0" w:noVBand="1"/>
        <w:tblDescription w:val="Table 15 is the GUI billing codes by expected march 2023 Pl Scheduled Benefit. There are three columns demonstrating benefit by billing codes. "/>
      </w:tblPr>
      <w:tblGrid>
        <w:gridCol w:w="827"/>
        <w:gridCol w:w="1923"/>
        <w:gridCol w:w="283"/>
        <w:gridCol w:w="827"/>
        <w:gridCol w:w="2089"/>
        <w:gridCol w:w="367"/>
        <w:gridCol w:w="867"/>
        <w:gridCol w:w="2451"/>
      </w:tblGrid>
      <w:tr w:rsidR="00014618" w:rsidRPr="00DE3A1B" w14:paraId="0BA13383" w14:textId="77777777" w:rsidTr="00014618">
        <w:trPr>
          <w:cantSplit/>
          <w:trHeight w:val="480"/>
          <w:tblHeader/>
        </w:trPr>
        <w:tc>
          <w:tcPr>
            <w:tcW w:w="617" w:type="dxa"/>
            <w:tcBorders>
              <w:right w:val="nil"/>
            </w:tcBorders>
            <w:shd w:val="clear" w:color="auto" w:fill="104F99" w:themeFill="accent2"/>
            <w:noWrap/>
            <w:vAlign w:val="center"/>
          </w:tcPr>
          <w:p w14:paraId="14A4B66F" w14:textId="17842328" w:rsidR="00014618" w:rsidRPr="00014618" w:rsidRDefault="00014618" w:rsidP="00DE3A1B">
            <w:pPr>
              <w:spacing w:after="0" w:line="240" w:lineRule="auto"/>
              <w:rPr>
                <w:rFonts w:eastAsia="Times New Roman" w:cs="Arial"/>
                <w:b/>
                <w:bCs/>
                <w:color w:val="FFFFFF" w:themeColor="background2"/>
                <w:sz w:val="18"/>
                <w:szCs w:val="18"/>
                <w:lang w:val="en-AU" w:eastAsia="en-AU"/>
              </w:rPr>
            </w:pPr>
            <w:r w:rsidRPr="00014618">
              <w:rPr>
                <w:rFonts w:eastAsia="Times New Roman" w:cs="Arial"/>
                <w:b/>
                <w:bCs/>
                <w:color w:val="FFFFFF" w:themeColor="background2"/>
                <w:sz w:val="18"/>
                <w:szCs w:val="18"/>
                <w:lang w:val="en-AU" w:eastAsia="en-AU"/>
              </w:rPr>
              <w:t>Benefit</w:t>
            </w:r>
          </w:p>
        </w:tc>
        <w:tc>
          <w:tcPr>
            <w:tcW w:w="2072" w:type="dxa"/>
            <w:tcBorders>
              <w:left w:val="nil"/>
              <w:right w:val="single" w:sz="4" w:space="0" w:color="FFFFFF" w:themeColor="background2"/>
            </w:tcBorders>
            <w:shd w:val="clear" w:color="auto" w:fill="104F99" w:themeFill="accent2"/>
            <w:vAlign w:val="center"/>
          </w:tcPr>
          <w:p w14:paraId="0DF78736" w14:textId="1A06C240" w:rsidR="00014618" w:rsidRPr="00014618" w:rsidRDefault="00014618" w:rsidP="00DE3A1B">
            <w:pPr>
              <w:spacing w:after="0" w:line="240" w:lineRule="auto"/>
              <w:rPr>
                <w:rFonts w:eastAsia="Times New Roman" w:cs="Arial"/>
                <w:b/>
                <w:bCs/>
                <w:color w:val="FFFFFF" w:themeColor="background2"/>
                <w:sz w:val="18"/>
                <w:szCs w:val="18"/>
                <w:lang w:val="en-AU" w:eastAsia="en-AU"/>
              </w:rPr>
            </w:pPr>
            <w:r w:rsidRPr="00014618">
              <w:rPr>
                <w:rFonts w:eastAsia="Times New Roman" w:cs="Arial"/>
                <w:b/>
                <w:bCs/>
                <w:color w:val="FFFFFF" w:themeColor="background2"/>
                <w:sz w:val="18"/>
                <w:szCs w:val="18"/>
                <w:lang w:val="en-AU" w:eastAsia="en-AU"/>
              </w:rPr>
              <w:t>Billing codes</w:t>
            </w:r>
          </w:p>
        </w:tc>
        <w:tc>
          <w:tcPr>
            <w:tcW w:w="283" w:type="dxa"/>
            <w:tcBorders>
              <w:left w:val="single" w:sz="4" w:space="0" w:color="FFFFFF" w:themeColor="background2"/>
              <w:right w:val="single" w:sz="4" w:space="0" w:color="FFFFFF" w:themeColor="background2"/>
            </w:tcBorders>
            <w:shd w:val="clear" w:color="auto" w:fill="104F99" w:themeFill="accent2"/>
            <w:noWrap/>
            <w:vAlign w:val="center"/>
          </w:tcPr>
          <w:p w14:paraId="6C0ACFA6" w14:textId="77777777" w:rsidR="00014618" w:rsidRPr="00014618" w:rsidRDefault="00014618" w:rsidP="00DE3A1B">
            <w:pPr>
              <w:spacing w:after="0" w:line="240" w:lineRule="auto"/>
              <w:rPr>
                <w:rFonts w:eastAsia="Times New Roman" w:cs="Arial"/>
                <w:b/>
                <w:bCs/>
                <w:color w:val="FFFFFF" w:themeColor="background2"/>
                <w:sz w:val="18"/>
                <w:szCs w:val="18"/>
                <w:lang w:val="en-AU" w:eastAsia="en-AU"/>
              </w:rPr>
            </w:pPr>
          </w:p>
        </w:tc>
        <w:tc>
          <w:tcPr>
            <w:tcW w:w="717" w:type="dxa"/>
            <w:tcBorders>
              <w:left w:val="single" w:sz="4" w:space="0" w:color="FFFFFF" w:themeColor="background2"/>
              <w:right w:val="nil"/>
            </w:tcBorders>
            <w:shd w:val="clear" w:color="auto" w:fill="104F99" w:themeFill="accent2"/>
            <w:noWrap/>
            <w:vAlign w:val="center"/>
          </w:tcPr>
          <w:p w14:paraId="75CCF382" w14:textId="4C10264A" w:rsidR="00014618" w:rsidRPr="00014618" w:rsidRDefault="00014618" w:rsidP="00DE3A1B">
            <w:pPr>
              <w:spacing w:after="0" w:line="240" w:lineRule="auto"/>
              <w:rPr>
                <w:rFonts w:eastAsia="Times New Roman" w:cs="Arial"/>
                <w:b/>
                <w:bCs/>
                <w:color w:val="FFFFFF" w:themeColor="background2"/>
                <w:sz w:val="18"/>
                <w:szCs w:val="18"/>
                <w:lang w:val="en-AU" w:eastAsia="en-AU"/>
              </w:rPr>
            </w:pPr>
            <w:r w:rsidRPr="00014618">
              <w:rPr>
                <w:rFonts w:eastAsia="Times New Roman" w:cs="Arial"/>
                <w:b/>
                <w:bCs/>
                <w:color w:val="FFFFFF" w:themeColor="background2"/>
                <w:sz w:val="18"/>
                <w:szCs w:val="18"/>
                <w:lang w:val="en-AU" w:eastAsia="en-AU"/>
              </w:rPr>
              <w:t>Benefit</w:t>
            </w:r>
          </w:p>
        </w:tc>
        <w:tc>
          <w:tcPr>
            <w:tcW w:w="2260" w:type="dxa"/>
            <w:tcBorders>
              <w:left w:val="nil"/>
              <w:right w:val="single" w:sz="4" w:space="0" w:color="FFFFFF" w:themeColor="background2"/>
            </w:tcBorders>
            <w:shd w:val="clear" w:color="auto" w:fill="104F99" w:themeFill="accent2"/>
            <w:vAlign w:val="center"/>
          </w:tcPr>
          <w:p w14:paraId="52A6CB1F" w14:textId="0125DA6B" w:rsidR="00014618" w:rsidRPr="00014618" w:rsidRDefault="00014618" w:rsidP="00DE3A1B">
            <w:pPr>
              <w:spacing w:after="0" w:line="240" w:lineRule="auto"/>
              <w:rPr>
                <w:rFonts w:eastAsia="Times New Roman" w:cs="Arial"/>
                <w:b/>
                <w:bCs/>
                <w:color w:val="FFFFFF" w:themeColor="background2"/>
                <w:sz w:val="18"/>
                <w:szCs w:val="18"/>
                <w:lang w:val="en-AU" w:eastAsia="en-AU"/>
              </w:rPr>
            </w:pPr>
            <w:r w:rsidRPr="00014618">
              <w:rPr>
                <w:rFonts w:eastAsia="Times New Roman" w:cs="Arial"/>
                <w:b/>
                <w:bCs/>
                <w:color w:val="FFFFFF" w:themeColor="background2"/>
                <w:sz w:val="18"/>
                <w:szCs w:val="18"/>
                <w:lang w:val="en-AU" w:eastAsia="en-AU"/>
              </w:rPr>
              <w:t>Billing codes</w:t>
            </w:r>
          </w:p>
        </w:tc>
        <w:tc>
          <w:tcPr>
            <w:tcW w:w="367" w:type="dxa"/>
            <w:tcBorders>
              <w:left w:val="single" w:sz="4" w:space="0" w:color="FFFFFF" w:themeColor="background2"/>
              <w:right w:val="single" w:sz="4" w:space="0" w:color="FFFFFF" w:themeColor="background2"/>
            </w:tcBorders>
            <w:shd w:val="clear" w:color="auto" w:fill="104F99" w:themeFill="accent2"/>
            <w:noWrap/>
            <w:vAlign w:val="center"/>
          </w:tcPr>
          <w:p w14:paraId="63CB38B4" w14:textId="77777777" w:rsidR="00014618" w:rsidRPr="00014618" w:rsidRDefault="00014618" w:rsidP="00DE3A1B">
            <w:pPr>
              <w:spacing w:after="0" w:line="240" w:lineRule="auto"/>
              <w:rPr>
                <w:rFonts w:eastAsia="Times New Roman" w:cs="Arial"/>
                <w:b/>
                <w:bCs/>
                <w:color w:val="FFFFFF" w:themeColor="background2"/>
                <w:sz w:val="18"/>
                <w:szCs w:val="18"/>
                <w:lang w:val="en-AU" w:eastAsia="en-AU"/>
              </w:rPr>
            </w:pPr>
          </w:p>
        </w:tc>
        <w:tc>
          <w:tcPr>
            <w:tcW w:w="867" w:type="dxa"/>
            <w:tcBorders>
              <w:left w:val="single" w:sz="4" w:space="0" w:color="FFFFFF" w:themeColor="background2"/>
              <w:right w:val="nil"/>
            </w:tcBorders>
            <w:shd w:val="clear" w:color="auto" w:fill="104F99" w:themeFill="accent2"/>
            <w:noWrap/>
            <w:vAlign w:val="center"/>
          </w:tcPr>
          <w:p w14:paraId="064B466F" w14:textId="06E809B1" w:rsidR="00014618" w:rsidRPr="00014618" w:rsidRDefault="00014618" w:rsidP="00DE3A1B">
            <w:pPr>
              <w:spacing w:after="0" w:line="240" w:lineRule="auto"/>
              <w:rPr>
                <w:rFonts w:eastAsia="Times New Roman" w:cs="Arial"/>
                <w:b/>
                <w:bCs/>
                <w:color w:val="FFFFFF" w:themeColor="background2"/>
                <w:sz w:val="18"/>
                <w:szCs w:val="18"/>
                <w:lang w:val="en-AU" w:eastAsia="en-AU"/>
              </w:rPr>
            </w:pPr>
            <w:r w:rsidRPr="00014618">
              <w:rPr>
                <w:rFonts w:eastAsia="Times New Roman" w:cs="Arial"/>
                <w:b/>
                <w:bCs/>
                <w:color w:val="FFFFFF" w:themeColor="background2"/>
                <w:sz w:val="18"/>
                <w:szCs w:val="18"/>
                <w:lang w:val="en-AU" w:eastAsia="en-AU"/>
              </w:rPr>
              <w:t>Benefit</w:t>
            </w:r>
          </w:p>
        </w:tc>
        <w:tc>
          <w:tcPr>
            <w:tcW w:w="2451" w:type="dxa"/>
            <w:tcBorders>
              <w:left w:val="nil"/>
            </w:tcBorders>
            <w:shd w:val="clear" w:color="auto" w:fill="104F99" w:themeFill="accent2"/>
            <w:vAlign w:val="center"/>
          </w:tcPr>
          <w:p w14:paraId="10D9B92A" w14:textId="0ACD6BAB" w:rsidR="00014618" w:rsidRPr="00014618" w:rsidRDefault="00014618" w:rsidP="00DE3A1B">
            <w:pPr>
              <w:spacing w:after="0" w:line="240" w:lineRule="auto"/>
              <w:rPr>
                <w:rFonts w:eastAsia="Times New Roman" w:cs="Arial"/>
                <w:b/>
                <w:bCs/>
                <w:color w:val="FFFFFF" w:themeColor="background2"/>
                <w:sz w:val="18"/>
                <w:szCs w:val="18"/>
                <w:lang w:val="en-AU" w:eastAsia="en-AU"/>
              </w:rPr>
            </w:pPr>
            <w:r w:rsidRPr="00014618">
              <w:rPr>
                <w:rFonts w:eastAsia="Times New Roman" w:cs="Arial"/>
                <w:b/>
                <w:bCs/>
                <w:color w:val="FFFFFF" w:themeColor="background2"/>
                <w:sz w:val="18"/>
                <w:szCs w:val="18"/>
                <w:lang w:val="en-AU" w:eastAsia="en-AU"/>
              </w:rPr>
              <w:t>Billing codes</w:t>
            </w:r>
          </w:p>
        </w:tc>
      </w:tr>
      <w:tr w:rsidR="00DE3A1B" w:rsidRPr="00DE3A1B" w14:paraId="1964C398" w14:textId="77777777" w:rsidTr="00014618">
        <w:trPr>
          <w:cantSplit/>
          <w:trHeight w:val="480"/>
        </w:trPr>
        <w:tc>
          <w:tcPr>
            <w:tcW w:w="617" w:type="dxa"/>
            <w:tcBorders>
              <w:right w:val="nil"/>
            </w:tcBorders>
            <w:shd w:val="clear" w:color="auto" w:fill="auto"/>
            <w:noWrap/>
            <w:vAlign w:val="center"/>
            <w:hideMark/>
          </w:tcPr>
          <w:p w14:paraId="630DD48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w:t>
            </w:r>
          </w:p>
        </w:tc>
        <w:tc>
          <w:tcPr>
            <w:tcW w:w="2072" w:type="dxa"/>
            <w:tcBorders>
              <w:left w:val="nil"/>
            </w:tcBorders>
            <w:shd w:val="clear" w:color="auto" w:fill="auto"/>
            <w:vAlign w:val="center"/>
            <w:hideMark/>
          </w:tcPr>
          <w:p w14:paraId="24A0493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LM042</w:t>
            </w:r>
          </w:p>
        </w:tc>
        <w:tc>
          <w:tcPr>
            <w:tcW w:w="283" w:type="dxa"/>
            <w:shd w:val="clear" w:color="auto" w:fill="auto"/>
            <w:noWrap/>
            <w:vAlign w:val="center"/>
            <w:hideMark/>
          </w:tcPr>
          <w:p w14:paraId="34269A7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4800203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$104</w:t>
            </w:r>
          </w:p>
        </w:tc>
        <w:tc>
          <w:tcPr>
            <w:tcW w:w="2260" w:type="dxa"/>
            <w:tcBorders>
              <w:left w:val="nil"/>
            </w:tcBorders>
            <w:shd w:val="clear" w:color="auto" w:fill="auto"/>
            <w:vAlign w:val="center"/>
            <w:hideMark/>
          </w:tcPr>
          <w:p w14:paraId="47DFDFA7"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TX031 TX032 TX033 TX034 WC230 WC231 WC321</w:t>
            </w:r>
          </w:p>
        </w:tc>
        <w:tc>
          <w:tcPr>
            <w:tcW w:w="367" w:type="dxa"/>
            <w:shd w:val="clear" w:color="auto" w:fill="auto"/>
            <w:noWrap/>
            <w:vAlign w:val="center"/>
            <w:hideMark/>
          </w:tcPr>
          <w:p w14:paraId="7293DA10"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2D219432"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$357</w:t>
            </w:r>
          </w:p>
        </w:tc>
        <w:tc>
          <w:tcPr>
            <w:tcW w:w="2451" w:type="dxa"/>
            <w:tcBorders>
              <w:left w:val="nil"/>
            </w:tcBorders>
            <w:shd w:val="clear" w:color="auto" w:fill="auto"/>
            <w:vAlign w:val="center"/>
            <w:hideMark/>
          </w:tcPr>
          <w:p w14:paraId="7C3F09B8"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AS046 AS134 IJ020 JJ903 JJ904 MN206 OX031 ZZ068</w:t>
            </w:r>
          </w:p>
        </w:tc>
      </w:tr>
      <w:tr w:rsidR="00DE3A1B" w:rsidRPr="00DE3A1B" w14:paraId="657BB058" w14:textId="77777777" w:rsidTr="00014618">
        <w:trPr>
          <w:cantSplit/>
          <w:trHeight w:val="480"/>
        </w:trPr>
        <w:tc>
          <w:tcPr>
            <w:tcW w:w="617" w:type="dxa"/>
            <w:tcBorders>
              <w:right w:val="nil"/>
            </w:tcBorders>
            <w:shd w:val="clear" w:color="auto" w:fill="auto"/>
            <w:noWrap/>
            <w:vAlign w:val="center"/>
            <w:hideMark/>
          </w:tcPr>
          <w:p w14:paraId="49B0597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$7</w:t>
            </w:r>
          </w:p>
        </w:tc>
        <w:tc>
          <w:tcPr>
            <w:tcW w:w="2072" w:type="dxa"/>
            <w:tcBorders>
              <w:left w:val="nil"/>
            </w:tcBorders>
            <w:shd w:val="clear" w:color="auto" w:fill="auto"/>
            <w:vAlign w:val="center"/>
            <w:hideMark/>
          </w:tcPr>
          <w:p w14:paraId="0D65DDE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RX003 SI026 SI028 SI040</w:t>
            </w:r>
          </w:p>
        </w:tc>
        <w:tc>
          <w:tcPr>
            <w:tcW w:w="283" w:type="dxa"/>
            <w:shd w:val="clear" w:color="auto" w:fill="auto"/>
            <w:noWrap/>
            <w:vAlign w:val="center"/>
            <w:hideMark/>
          </w:tcPr>
          <w:p w14:paraId="17FE2043"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0B28792B"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$107</w:t>
            </w:r>
          </w:p>
        </w:tc>
        <w:tc>
          <w:tcPr>
            <w:tcW w:w="2260" w:type="dxa"/>
            <w:tcBorders>
              <w:left w:val="nil"/>
            </w:tcBorders>
            <w:shd w:val="clear" w:color="auto" w:fill="auto"/>
            <w:vAlign w:val="center"/>
            <w:hideMark/>
          </w:tcPr>
          <w:p w14:paraId="2ABD1D65"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BX336</w:t>
            </w:r>
          </w:p>
        </w:tc>
        <w:tc>
          <w:tcPr>
            <w:tcW w:w="367" w:type="dxa"/>
            <w:shd w:val="clear" w:color="auto" w:fill="auto"/>
            <w:noWrap/>
            <w:vAlign w:val="center"/>
            <w:hideMark/>
          </w:tcPr>
          <w:p w14:paraId="341D7D1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6A53B2B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$367</w:t>
            </w:r>
          </w:p>
        </w:tc>
        <w:tc>
          <w:tcPr>
            <w:tcW w:w="2451" w:type="dxa"/>
            <w:tcBorders>
              <w:left w:val="nil"/>
            </w:tcBorders>
            <w:shd w:val="clear" w:color="auto" w:fill="auto"/>
            <w:vAlign w:val="center"/>
            <w:hideMark/>
          </w:tcPr>
          <w:p w14:paraId="27FB0F03"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BU025 BX249 BX330 CU005 RN007 SQ037 TX059</w:t>
            </w:r>
          </w:p>
        </w:tc>
      </w:tr>
      <w:tr w:rsidR="00DE3A1B" w:rsidRPr="00DE3A1B" w14:paraId="42A43914" w14:textId="77777777" w:rsidTr="00014618">
        <w:trPr>
          <w:cantSplit/>
          <w:trHeight w:val="720"/>
        </w:trPr>
        <w:tc>
          <w:tcPr>
            <w:tcW w:w="617" w:type="dxa"/>
            <w:tcBorders>
              <w:right w:val="nil"/>
            </w:tcBorders>
            <w:shd w:val="clear" w:color="auto" w:fill="auto"/>
            <w:noWrap/>
            <w:vAlign w:val="center"/>
            <w:hideMark/>
          </w:tcPr>
          <w:p w14:paraId="5528FA08"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$8</w:t>
            </w:r>
          </w:p>
        </w:tc>
        <w:tc>
          <w:tcPr>
            <w:tcW w:w="2072" w:type="dxa"/>
            <w:tcBorders>
              <w:left w:val="nil"/>
            </w:tcBorders>
            <w:shd w:val="clear" w:color="auto" w:fill="auto"/>
            <w:vAlign w:val="center"/>
            <w:hideMark/>
          </w:tcPr>
          <w:p w14:paraId="200CEB7C"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AN016 JJ003 JJ005 JJ015 LH405 LH410 LH411 LH412 LH414 LH424 LM487 RX002</w:t>
            </w:r>
          </w:p>
        </w:tc>
        <w:tc>
          <w:tcPr>
            <w:tcW w:w="283" w:type="dxa"/>
            <w:shd w:val="clear" w:color="auto" w:fill="auto"/>
            <w:noWrap/>
            <w:vAlign w:val="center"/>
            <w:hideMark/>
          </w:tcPr>
          <w:p w14:paraId="2AB2C113"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26A5C54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$122</w:t>
            </w:r>
          </w:p>
        </w:tc>
        <w:tc>
          <w:tcPr>
            <w:tcW w:w="2260" w:type="dxa"/>
            <w:tcBorders>
              <w:left w:val="nil"/>
            </w:tcBorders>
            <w:shd w:val="clear" w:color="auto" w:fill="auto"/>
            <w:vAlign w:val="center"/>
            <w:hideMark/>
          </w:tcPr>
          <w:p w14:paraId="408D0FC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AN009</w:t>
            </w:r>
          </w:p>
        </w:tc>
        <w:tc>
          <w:tcPr>
            <w:tcW w:w="367" w:type="dxa"/>
            <w:shd w:val="clear" w:color="auto" w:fill="auto"/>
            <w:noWrap/>
            <w:vAlign w:val="center"/>
            <w:hideMark/>
          </w:tcPr>
          <w:p w14:paraId="7EA4065B"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7594DDEC"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$374</w:t>
            </w:r>
          </w:p>
        </w:tc>
        <w:tc>
          <w:tcPr>
            <w:tcW w:w="2451" w:type="dxa"/>
            <w:tcBorders>
              <w:left w:val="nil"/>
            </w:tcBorders>
            <w:shd w:val="clear" w:color="auto" w:fill="auto"/>
            <w:vAlign w:val="center"/>
            <w:hideMark/>
          </w:tcPr>
          <w:p w14:paraId="6B129327"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AS045 BA203</w:t>
            </w:r>
          </w:p>
        </w:tc>
      </w:tr>
      <w:tr w:rsidR="00DE3A1B" w:rsidRPr="00DE3A1B" w14:paraId="7CD0CC20" w14:textId="77777777" w:rsidTr="00014618">
        <w:trPr>
          <w:cantSplit/>
          <w:trHeight w:val="240"/>
        </w:trPr>
        <w:tc>
          <w:tcPr>
            <w:tcW w:w="617" w:type="dxa"/>
            <w:tcBorders>
              <w:right w:val="nil"/>
            </w:tcBorders>
            <w:shd w:val="clear" w:color="auto" w:fill="auto"/>
            <w:noWrap/>
            <w:vAlign w:val="center"/>
            <w:hideMark/>
          </w:tcPr>
          <w:p w14:paraId="312E7C20"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$9</w:t>
            </w:r>
          </w:p>
        </w:tc>
        <w:tc>
          <w:tcPr>
            <w:tcW w:w="2072" w:type="dxa"/>
            <w:tcBorders>
              <w:left w:val="nil"/>
            </w:tcBorders>
            <w:shd w:val="clear" w:color="auto" w:fill="auto"/>
            <w:vAlign w:val="center"/>
            <w:hideMark/>
          </w:tcPr>
          <w:p w14:paraId="5F5C928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DE618 EB138</w:t>
            </w:r>
          </w:p>
        </w:tc>
        <w:tc>
          <w:tcPr>
            <w:tcW w:w="283" w:type="dxa"/>
            <w:shd w:val="clear" w:color="auto" w:fill="auto"/>
            <w:noWrap/>
            <w:vAlign w:val="center"/>
            <w:hideMark/>
          </w:tcPr>
          <w:p w14:paraId="7D6DC94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77D0E97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$125</w:t>
            </w:r>
          </w:p>
        </w:tc>
        <w:tc>
          <w:tcPr>
            <w:tcW w:w="2260" w:type="dxa"/>
            <w:tcBorders>
              <w:left w:val="nil"/>
            </w:tcBorders>
            <w:shd w:val="clear" w:color="auto" w:fill="auto"/>
            <w:vAlign w:val="center"/>
            <w:hideMark/>
          </w:tcPr>
          <w:p w14:paraId="2499472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AK012 LV081 WA011</w:t>
            </w:r>
          </w:p>
        </w:tc>
        <w:tc>
          <w:tcPr>
            <w:tcW w:w="367" w:type="dxa"/>
            <w:shd w:val="clear" w:color="auto" w:fill="auto"/>
            <w:noWrap/>
            <w:vAlign w:val="center"/>
            <w:hideMark/>
          </w:tcPr>
          <w:p w14:paraId="274C9E88"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416A93A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$394</w:t>
            </w:r>
          </w:p>
        </w:tc>
        <w:tc>
          <w:tcPr>
            <w:tcW w:w="2451" w:type="dxa"/>
            <w:tcBorders>
              <w:left w:val="nil"/>
            </w:tcBorders>
            <w:shd w:val="clear" w:color="auto" w:fill="auto"/>
            <w:vAlign w:val="center"/>
            <w:hideMark/>
          </w:tcPr>
          <w:p w14:paraId="30B076F8"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BX258 FY001</w:t>
            </w:r>
          </w:p>
        </w:tc>
      </w:tr>
      <w:tr w:rsidR="00DE3A1B" w:rsidRPr="00DE3A1B" w14:paraId="5178D004" w14:textId="77777777" w:rsidTr="00014618">
        <w:trPr>
          <w:cantSplit/>
          <w:trHeight w:val="480"/>
        </w:trPr>
        <w:tc>
          <w:tcPr>
            <w:tcW w:w="617" w:type="dxa"/>
            <w:tcBorders>
              <w:right w:val="nil"/>
            </w:tcBorders>
            <w:shd w:val="clear" w:color="auto" w:fill="auto"/>
            <w:noWrap/>
            <w:vAlign w:val="center"/>
            <w:hideMark/>
          </w:tcPr>
          <w:p w14:paraId="7133E52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$10</w:t>
            </w:r>
          </w:p>
        </w:tc>
        <w:tc>
          <w:tcPr>
            <w:tcW w:w="2072" w:type="dxa"/>
            <w:tcBorders>
              <w:left w:val="nil"/>
            </w:tcBorders>
            <w:shd w:val="clear" w:color="auto" w:fill="auto"/>
            <w:vAlign w:val="center"/>
            <w:hideMark/>
          </w:tcPr>
          <w:p w14:paraId="6EEA066A"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BB294 BB297 BB299 BB300 DE724 JJ033 JJ034</w:t>
            </w:r>
          </w:p>
        </w:tc>
        <w:tc>
          <w:tcPr>
            <w:tcW w:w="283" w:type="dxa"/>
            <w:shd w:val="clear" w:color="auto" w:fill="auto"/>
            <w:noWrap/>
            <w:vAlign w:val="center"/>
            <w:hideMark/>
          </w:tcPr>
          <w:p w14:paraId="2305123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14986548"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$128</w:t>
            </w:r>
          </w:p>
        </w:tc>
        <w:tc>
          <w:tcPr>
            <w:tcW w:w="2260" w:type="dxa"/>
            <w:tcBorders>
              <w:left w:val="nil"/>
            </w:tcBorders>
            <w:shd w:val="clear" w:color="auto" w:fill="auto"/>
            <w:vAlign w:val="center"/>
            <w:hideMark/>
          </w:tcPr>
          <w:p w14:paraId="35722F75"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BX252 DE720 JJ037 JJ038 JJ039 LH597 MI217 MN229 MN230</w:t>
            </w:r>
          </w:p>
        </w:tc>
        <w:tc>
          <w:tcPr>
            <w:tcW w:w="367" w:type="dxa"/>
            <w:shd w:val="clear" w:color="auto" w:fill="auto"/>
            <w:noWrap/>
            <w:vAlign w:val="center"/>
            <w:hideMark/>
          </w:tcPr>
          <w:p w14:paraId="78936D19"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4ACD50D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$407</w:t>
            </w:r>
          </w:p>
        </w:tc>
        <w:tc>
          <w:tcPr>
            <w:tcW w:w="2451" w:type="dxa"/>
            <w:tcBorders>
              <w:left w:val="nil"/>
            </w:tcBorders>
            <w:shd w:val="clear" w:color="auto" w:fill="auto"/>
            <w:vAlign w:val="center"/>
            <w:hideMark/>
          </w:tcPr>
          <w:p w14:paraId="41A426F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DQ002 FX003 FX004</w:t>
            </w:r>
          </w:p>
        </w:tc>
      </w:tr>
      <w:tr w:rsidR="00DE3A1B" w:rsidRPr="00DE3A1B" w14:paraId="5385ED3B" w14:textId="77777777" w:rsidTr="00014618">
        <w:trPr>
          <w:cantSplit/>
          <w:trHeight w:val="240"/>
        </w:trPr>
        <w:tc>
          <w:tcPr>
            <w:tcW w:w="617" w:type="dxa"/>
            <w:tcBorders>
              <w:right w:val="nil"/>
            </w:tcBorders>
            <w:shd w:val="clear" w:color="auto" w:fill="auto"/>
            <w:noWrap/>
            <w:vAlign w:val="center"/>
            <w:hideMark/>
          </w:tcPr>
          <w:p w14:paraId="22D0F8F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$11</w:t>
            </w:r>
          </w:p>
        </w:tc>
        <w:tc>
          <w:tcPr>
            <w:tcW w:w="2072" w:type="dxa"/>
            <w:tcBorders>
              <w:left w:val="nil"/>
            </w:tcBorders>
            <w:shd w:val="clear" w:color="auto" w:fill="auto"/>
            <w:vAlign w:val="center"/>
            <w:hideMark/>
          </w:tcPr>
          <w:p w14:paraId="45EB77C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DE616 TX006 TX008 TX010 TX012</w:t>
            </w:r>
          </w:p>
        </w:tc>
        <w:tc>
          <w:tcPr>
            <w:tcW w:w="283" w:type="dxa"/>
            <w:shd w:val="clear" w:color="auto" w:fill="auto"/>
            <w:noWrap/>
            <w:vAlign w:val="center"/>
            <w:hideMark/>
          </w:tcPr>
          <w:p w14:paraId="755E6CD9"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4282A815"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$129</w:t>
            </w:r>
          </w:p>
        </w:tc>
        <w:tc>
          <w:tcPr>
            <w:tcW w:w="2260" w:type="dxa"/>
            <w:tcBorders>
              <w:left w:val="nil"/>
            </w:tcBorders>
            <w:shd w:val="clear" w:color="auto" w:fill="auto"/>
            <w:vAlign w:val="center"/>
            <w:hideMark/>
          </w:tcPr>
          <w:p w14:paraId="29771329"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JI006</w:t>
            </w:r>
          </w:p>
        </w:tc>
        <w:tc>
          <w:tcPr>
            <w:tcW w:w="367" w:type="dxa"/>
            <w:shd w:val="clear" w:color="auto" w:fill="auto"/>
            <w:noWrap/>
            <w:vAlign w:val="center"/>
            <w:hideMark/>
          </w:tcPr>
          <w:p w14:paraId="5826C417"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623D8909"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$411</w:t>
            </w:r>
          </w:p>
        </w:tc>
        <w:tc>
          <w:tcPr>
            <w:tcW w:w="2451" w:type="dxa"/>
            <w:tcBorders>
              <w:left w:val="nil"/>
            </w:tcBorders>
            <w:shd w:val="clear" w:color="auto" w:fill="auto"/>
            <w:vAlign w:val="center"/>
            <w:hideMark/>
          </w:tcPr>
          <w:p w14:paraId="6DBF0093"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FJ003</w:t>
            </w:r>
          </w:p>
        </w:tc>
      </w:tr>
      <w:tr w:rsidR="00DE3A1B" w:rsidRPr="00DE3A1B" w14:paraId="288714CC" w14:textId="77777777" w:rsidTr="00014618">
        <w:trPr>
          <w:cantSplit/>
          <w:trHeight w:val="720"/>
        </w:trPr>
        <w:tc>
          <w:tcPr>
            <w:tcW w:w="617" w:type="dxa"/>
            <w:tcBorders>
              <w:right w:val="nil"/>
            </w:tcBorders>
            <w:shd w:val="clear" w:color="auto" w:fill="auto"/>
            <w:noWrap/>
            <w:vAlign w:val="center"/>
            <w:hideMark/>
          </w:tcPr>
          <w:p w14:paraId="53EAC49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$15</w:t>
            </w:r>
          </w:p>
        </w:tc>
        <w:tc>
          <w:tcPr>
            <w:tcW w:w="2072" w:type="dxa"/>
            <w:tcBorders>
              <w:left w:val="nil"/>
            </w:tcBorders>
            <w:shd w:val="clear" w:color="auto" w:fill="auto"/>
            <w:vAlign w:val="center"/>
            <w:hideMark/>
          </w:tcPr>
          <w:p w14:paraId="70843AE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JJ006 JJ007 PU059</w:t>
            </w:r>
          </w:p>
        </w:tc>
        <w:tc>
          <w:tcPr>
            <w:tcW w:w="283" w:type="dxa"/>
            <w:shd w:val="clear" w:color="auto" w:fill="auto"/>
            <w:noWrap/>
            <w:vAlign w:val="center"/>
            <w:hideMark/>
          </w:tcPr>
          <w:p w14:paraId="1BD59C2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6CD40FA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$130</w:t>
            </w:r>
          </w:p>
        </w:tc>
        <w:tc>
          <w:tcPr>
            <w:tcW w:w="2260" w:type="dxa"/>
            <w:tcBorders>
              <w:left w:val="nil"/>
            </w:tcBorders>
            <w:shd w:val="clear" w:color="auto" w:fill="auto"/>
            <w:vAlign w:val="center"/>
            <w:hideMark/>
          </w:tcPr>
          <w:p w14:paraId="1E688BA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BA184 BA212 BA220 BA268 BA273 BA282 BA302 BA308 MS067 MS069 MS074 MS075 MS078 TX036 TX061 WC279</w:t>
            </w:r>
          </w:p>
        </w:tc>
        <w:tc>
          <w:tcPr>
            <w:tcW w:w="367" w:type="dxa"/>
            <w:shd w:val="clear" w:color="auto" w:fill="auto"/>
            <w:noWrap/>
            <w:vAlign w:val="center"/>
            <w:hideMark/>
          </w:tcPr>
          <w:p w14:paraId="2BC32CD0"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799AED8B"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$412</w:t>
            </w:r>
          </w:p>
        </w:tc>
        <w:tc>
          <w:tcPr>
            <w:tcW w:w="2451" w:type="dxa"/>
            <w:tcBorders>
              <w:left w:val="nil"/>
            </w:tcBorders>
            <w:shd w:val="clear" w:color="auto" w:fill="auto"/>
            <w:vAlign w:val="center"/>
            <w:hideMark/>
          </w:tcPr>
          <w:p w14:paraId="4797E05C"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AS213 KF002</w:t>
            </w:r>
          </w:p>
        </w:tc>
      </w:tr>
      <w:tr w:rsidR="00DE3A1B" w:rsidRPr="00DE3A1B" w14:paraId="70A57301" w14:textId="77777777" w:rsidTr="00014618">
        <w:trPr>
          <w:cantSplit/>
          <w:trHeight w:val="720"/>
        </w:trPr>
        <w:tc>
          <w:tcPr>
            <w:tcW w:w="617" w:type="dxa"/>
            <w:tcBorders>
              <w:right w:val="nil"/>
            </w:tcBorders>
            <w:shd w:val="clear" w:color="auto" w:fill="auto"/>
            <w:noWrap/>
            <w:vAlign w:val="center"/>
            <w:hideMark/>
          </w:tcPr>
          <w:p w14:paraId="613594B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$19</w:t>
            </w:r>
          </w:p>
        </w:tc>
        <w:tc>
          <w:tcPr>
            <w:tcW w:w="2072" w:type="dxa"/>
            <w:tcBorders>
              <w:left w:val="nil"/>
            </w:tcBorders>
            <w:shd w:val="clear" w:color="auto" w:fill="auto"/>
            <w:vAlign w:val="center"/>
            <w:hideMark/>
          </w:tcPr>
          <w:p w14:paraId="5F985DE5"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BG002 JJ013 JJ014</w:t>
            </w:r>
          </w:p>
        </w:tc>
        <w:tc>
          <w:tcPr>
            <w:tcW w:w="283" w:type="dxa"/>
            <w:shd w:val="clear" w:color="auto" w:fill="auto"/>
            <w:noWrap/>
            <w:vAlign w:val="center"/>
            <w:hideMark/>
          </w:tcPr>
          <w:p w14:paraId="7356F35A"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69C2C9B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$131</w:t>
            </w:r>
          </w:p>
        </w:tc>
        <w:tc>
          <w:tcPr>
            <w:tcW w:w="2260" w:type="dxa"/>
            <w:tcBorders>
              <w:left w:val="nil"/>
            </w:tcBorders>
            <w:shd w:val="clear" w:color="auto" w:fill="auto"/>
            <w:vAlign w:val="center"/>
            <w:hideMark/>
          </w:tcPr>
          <w:p w14:paraId="70C2563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BA183 BA213 BA274 BA283 BA298 BA299 BA300 BA303 MS071 MS076 MS077 MS080 TX035 TX043 TX056 TX062 WC280 WC297</w:t>
            </w:r>
          </w:p>
        </w:tc>
        <w:tc>
          <w:tcPr>
            <w:tcW w:w="367" w:type="dxa"/>
            <w:shd w:val="clear" w:color="auto" w:fill="auto"/>
            <w:noWrap/>
            <w:vAlign w:val="center"/>
            <w:hideMark/>
          </w:tcPr>
          <w:p w14:paraId="6A724DC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3E1F98C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$417</w:t>
            </w:r>
          </w:p>
        </w:tc>
        <w:tc>
          <w:tcPr>
            <w:tcW w:w="2451" w:type="dxa"/>
            <w:tcBorders>
              <w:left w:val="nil"/>
            </w:tcBorders>
            <w:shd w:val="clear" w:color="auto" w:fill="auto"/>
            <w:vAlign w:val="center"/>
            <w:hideMark/>
          </w:tcPr>
          <w:p w14:paraId="5D35B67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BX343 LH719 LH720 LH721 LH723</w:t>
            </w:r>
          </w:p>
        </w:tc>
      </w:tr>
      <w:tr w:rsidR="00DE3A1B" w:rsidRPr="00DE3A1B" w14:paraId="68B6EA63" w14:textId="77777777" w:rsidTr="00014618">
        <w:trPr>
          <w:cantSplit/>
          <w:trHeight w:val="240"/>
        </w:trPr>
        <w:tc>
          <w:tcPr>
            <w:tcW w:w="617" w:type="dxa"/>
            <w:tcBorders>
              <w:right w:val="nil"/>
            </w:tcBorders>
            <w:shd w:val="clear" w:color="auto" w:fill="auto"/>
            <w:noWrap/>
            <w:vAlign w:val="center"/>
            <w:hideMark/>
          </w:tcPr>
          <w:p w14:paraId="1639D8AA"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$22</w:t>
            </w:r>
          </w:p>
        </w:tc>
        <w:tc>
          <w:tcPr>
            <w:tcW w:w="2072" w:type="dxa"/>
            <w:tcBorders>
              <w:left w:val="nil"/>
            </w:tcBorders>
            <w:shd w:val="clear" w:color="auto" w:fill="auto"/>
            <w:vAlign w:val="center"/>
            <w:hideMark/>
          </w:tcPr>
          <w:p w14:paraId="4439A96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AB008 BA267 BX266 BX270 DE722</w:t>
            </w:r>
          </w:p>
        </w:tc>
        <w:tc>
          <w:tcPr>
            <w:tcW w:w="283" w:type="dxa"/>
            <w:shd w:val="clear" w:color="auto" w:fill="auto"/>
            <w:noWrap/>
            <w:vAlign w:val="center"/>
            <w:hideMark/>
          </w:tcPr>
          <w:p w14:paraId="7325B939"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093FBED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$132</w:t>
            </w:r>
          </w:p>
        </w:tc>
        <w:tc>
          <w:tcPr>
            <w:tcW w:w="2260" w:type="dxa"/>
            <w:tcBorders>
              <w:left w:val="nil"/>
            </w:tcBorders>
            <w:shd w:val="clear" w:color="auto" w:fill="auto"/>
            <w:vAlign w:val="center"/>
            <w:hideMark/>
          </w:tcPr>
          <w:p w14:paraId="6D89E133"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BA261 BF024 BX345 BX347 MN234</w:t>
            </w:r>
          </w:p>
        </w:tc>
        <w:tc>
          <w:tcPr>
            <w:tcW w:w="367" w:type="dxa"/>
            <w:shd w:val="clear" w:color="auto" w:fill="auto"/>
            <w:noWrap/>
            <w:vAlign w:val="center"/>
            <w:hideMark/>
          </w:tcPr>
          <w:p w14:paraId="5D915537"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2B7F0A3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$447</w:t>
            </w:r>
          </w:p>
        </w:tc>
        <w:tc>
          <w:tcPr>
            <w:tcW w:w="2451" w:type="dxa"/>
            <w:tcBorders>
              <w:left w:val="nil"/>
            </w:tcBorders>
            <w:shd w:val="clear" w:color="auto" w:fill="auto"/>
            <w:vAlign w:val="center"/>
            <w:hideMark/>
          </w:tcPr>
          <w:p w14:paraId="43B743F5"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DE683 MI227 MN215</w:t>
            </w:r>
          </w:p>
        </w:tc>
      </w:tr>
      <w:tr w:rsidR="00DE3A1B" w:rsidRPr="00DE3A1B" w14:paraId="33FC4E7E" w14:textId="77777777" w:rsidTr="00014618">
        <w:trPr>
          <w:cantSplit/>
          <w:trHeight w:val="480"/>
        </w:trPr>
        <w:tc>
          <w:tcPr>
            <w:tcW w:w="617" w:type="dxa"/>
            <w:tcBorders>
              <w:right w:val="nil"/>
            </w:tcBorders>
            <w:shd w:val="clear" w:color="auto" w:fill="auto"/>
            <w:noWrap/>
            <w:vAlign w:val="center"/>
            <w:hideMark/>
          </w:tcPr>
          <w:p w14:paraId="4C4AD6B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$23</w:t>
            </w:r>
          </w:p>
        </w:tc>
        <w:tc>
          <w:tcPr>
            <w:tcW w:w="2072" w:type="dxa"/>
            <w:tcBorders>
              <w:left w:val="nil"/>
            </w:tcBorders>
            <w:shd w:val="clear" w:color="auto" w:fill="auto"/>
            <w:vAlign w:val="center"/>
            <w:hideMark/>
          </w:tcPr>
          <w:p w14:paraId="6E1D1DB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BB382 BB383 DE721 LH596 MI286 MI317</w:t>
            </w:r>
          </w:p>
        </w:tc>
        <w:tc>
          <w:tcPr>
            <w:tcW w:w="283" w:type="dxa"/>
            <w:shd w:val="clear" w:color="auto" w:fill="auto"/>
            <w:noWrap/>
            <w:vAlign w:val="center"/>
            <w:hideMark/>
          </w:tcPr>
          <w:p w14:paraId="6E0B29B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3D4C18B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$142</w:t>
            </w:r>
          </w:p>
        </w:tc>
        <w:tc>
          <w:tcPr>
            <w:tcW w:w="2260" w:type="dxa"/>
            <w:tcBorders>
              <w:left w:val="nil"/>
            </w:tcBorders>
            <w:shd w:val="clear" w:color="auto" w:fill="auto"/>
            <w:vAlign w:val="center"/>
            <w:hideMark/>
          </w:tcPr>
          <w:p w14:paraId="2B5DDA9C"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RN004 SI051 TX060</w:t>
            </w:r>
          </w:p>
        </w:tc>
        <w:tc>
          <w:tcPr>
            <w:tcW w:w="367" w:type="dxa"/>
            <w:shd w:val="clear" w:color="auto" w:fill="auto"/>
            <w:noWrap/>
            <w:vAlign w:val="center"/>
            <w:hideMark/>
          </w:tcPr>
          <w:p w14:paraId="4A98653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5370DBC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$451</w:t>
            </w:r>
          </w:p>
        </w:tc>
        <w:tc>
          <w:tcPr>
            <w:tcW w:w="2451" w:type="dxa"/>
            <w:tcBorders>
              <w:left w:val="nil"/>
            </w:tcBorders>
            <w:shd w:val="clear" w:color="auto" w:fill="auto"/>
            <w:vAlign w:val="center"/>
            <w:hideMark/>
          </w:tcPr>
          <w:p w14:paraId="2BAD575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FK009 FK010 FK014 FK015 FK016 KI014 KI016 KI017</w:t>
            </w:r>
          </w:p>
        </w:tc>
      </w:tr>
      <w:tr w:rsidR="00DE3A1B" w:rsidRPr="00DE3A1B" w14:paraId="467E6C82" w14:textId="77777777" w:rsidTr="00014618">
        <w:trPr>
          <w:cantSplit/>
          <w:trHeight w:val="720"/>
        </w:trPr>
        <w:tc>
          <w:tcPr>
            <w:tcW w:w="617" w:type="dxa"/>
            <w:tcBorders>
              <w:right w:val="nil"/>
            </w:tcBorders>
            <w:shd w:val="clear" w:color="auto" w:fill="auto"/>
            <w:noWrap/>
            <w:vAlign w:val="center"/>
            <w:hideMark/>
          </w:tcPr>
          <w:p w14:paraId="715BFFDA"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$25</w:t>
            </w:r>
          </w:p>
        </w:tc>
        <w:tc>
          <w:tcPr>
            <w:tcW w:w="2072" w:type="dxa"/>
            <w:tcBorders>
              <w:left w:val="nil"/>
            </w:tcBorders>
            <w:shd w:val="clear" w:color="auto" w:fill="auto"/>
            <w:vAlign w:val="center"/>
            <w:hideMark/>
          </w:tcPr>
          <w:p w14:paraId="7173445B"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AB009 AB010 AB076 BX261 BX262 BX263 BX264 BX269 BX271 BX272 BX275 BX282 DE619 DE723</w:t>
            </w:r>
          </w:p>
        </w:tc>
        <w:tc>
          <w:tcPr>
            <w:tcW w:w="283" w:type="dxa"/>
            <w:shd w:val="clear" w:color="auto" w:fill="auto"/>
            <w:noWrap/>
            <w:vAlign w:val="center"/>
            <w:hideMark/>
          </w:tcPr>
          <w:p w14:paraId="6E12422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4D7FDB8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$146</w:t>
            </w:r>
          </w:p>
        </w:tc>
        <w:tc>
          <w:tcPr>
            <w:tcW w:w="2260" w:type="dxa"/>
            <w:tcBorders>
              <w:left w:val="nil"/>
            </w:tcBorders>
            <w:shd w:val="clear" w:color="auto" w:fill="auto"/>
            <w:vAlign w:val="center"/>
            <w:hideMark/>
          </w:tcPr>
          <w:p w14:paraId="3D16C242"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BA049 BA125 BA129 BA291 BA292 BA296</w:t>
            </w:r>
          </w:p>
        </w:tc>
        <w:tc>
          <w:tcPr>
            <w:tcW w:w="367" w:type="dxa"/>
            <w:shd w:val="clear" w:color="auto" w:fill="auto"/>
            <w:noWrap/>
            <w:vAlign w:val="center"/>
            <w:hideMark/>
          </w:tcPr>
          <w:p w14:paraId="2D27387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54AEFD6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$463</w:t>
            </w:r>
          </w:p>
        </w:tc>
        <w:tc>
          <w:tcPr>
            <w:tcW w:w="2451" w:type="dxa"/>
            <w:tcBorders>
              <w:left w:val="nil"/>
            </w:tcBorders>
            <w:shd w:val="clear" w:color="auto" w:fill="auto"/>
            <w:vAlign w:val="center"/>
            <w:hideMark/>
          </w:tcPr>
          <w:p w14:paraId="583D65FC"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WL001</w:t>
            </w:r>
          </w:p>
        </w:tc>
      </w:tr>
      <w:tr w:rsidR="00DE3A1B" w:rsidRPr="00DE3A1B" w14:paraId="16123A4A" w14:textId="77777777" w:rsidTr="00014618">
        <w:trPr>
          <w:cantSplit/>
          <w:trHeight w:val="480"/>
        </w:trPr>
        <w:tc>
          <w:tcPr>
            <w:tcW w:w="617" w:type="dxa"/>
            <w:tcBorders>
              <w:right w:val="nil"/>
            </w:tcBorders>
            <w:shd w:val="clear" w:color="auto" w:fill="auto"/>
            <w:noWrap/>
            <w:vAlign w:val="center"/>
            <w:hideMark/>
          </w:tcPr>
          <w:p w14:paraId="7B1589A5"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$26</w:t>
            </w:r>
          </w:p>
        </w:tc>
        <w:tc>
          <w:tcPr>
            <w:tcW w:w="2072" w:type="dxa"/>
            <w:tcBorders>
              <w:left w:val="nil"/>
            </w:tcBorders>
            <w:shd w:val="clear" w:color="auto" w:fill="auto"/>
            <w:vAlign w:val="center"/>
            <w:hideMark/>
          </w:tcPr>
          <w:p w14:paraId="044E77A8"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BX245 DE777 FX001 LH423 LM486 RE003 SI024</w:t>
            </w:r>
          </w:p>
        </w:tc>
        <w:tc>
          <w:tcPr>
            <w:tcW w:w="283" w:type="dxa"/>
            <w:shd w:val="clear" w:color="auto" w:fill="auto"/>
            <w:noWrap/>
            <w:vAlign w:val="center"/>
            <w:hideMark/>
          </w:tcPr>
          <w:p w14:paraId="51510D1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2D7134BB"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$154</w:t>
            </w:r>
          </w:p>
        </w:tc>
        <w:tc>
          <w:tcPr>
            <w:tcW w:w="2260" w:type="dxa"/>
            <w:tcBorders>
              <w:left w:val="nil"/>
            </w:tcBorders>
            <w:shd w:val="clear" w:color="auto" w:fill="auto"/>
            <w:vAlign w:val="center"/>
            <w:hideMark/>
          </w:tcPr>
          <w:p w14:paraId="6B00B4E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VM001 WC098 WC099</w:t>
            </w:r>
          </w:p>
        </w:tc>
        <w:tc>
          <w:tcPr>
            <w:tcW w:w="367" w:type="dxa"/>
            <w:shd w:val="clear" w:color="auto" w:fill="auto"/>
            <w:noWrap/>
            <w:vAlign w:val="center"/>
            <w:hideMark/>
          </w:tcPr>
          <w:p w14:paraId="152A2E3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0E3B8AF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$473</w:t>
            </w:r>
          </w:p>
        </w:tc>
        <w:tc>
          <w:tcPr>
            <w:tcW w:w="2451" w:type="dxa"/>
            <w:tcBorders>
              <w:left w:val="nil"/>
            </w:tcBorders>
            <w:shd w:val="clear" w:color="auto" w:fill="auto"/>
            <w:vAlign w:val="center"/>
            <w:hideMark/>
          </w:tcPr>
          <w:p w14:paraId="1D4FB652"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AS075 AS077 AS246 BA204 BA269 JJ184 MN115 MN175</w:t>
            </w:r>
          </w:p>
        </w:tc>
      </w:tr>
      <w:tr w:rsidR="00DE3A1B" w:rsidRPr="00DE3A1B" w14:paraId="63CFFB75" w14:textId="77777777" w:rsidTr="00014618">
        <w:trPr>
          <w:cantSplit/>
          <w:trHeight w:val="240"/>
        </w:trPr>
        <w:tc>
          <w:tcPr>
            <w:tcW w:w="617" w:type="dxa"/>
            <w:tcBorders>
              <w:right w:val="nil"/>
            </w:tcBorders>
            <w:shd w:val="clear" w:color="auto" w:fill="auto"/>
            <w:noWrap/>
            <w:vAlign w:val="center"/>
            <w:hideMark/>
          </w:tcPr>
          <w:p w14:paraId="5452DBD5"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$27</w:t>
            </w:r>
          </w:p>
        </w:tc>
        <w:tc>
          <w:tcPr>
            <w:tcW w:w="2072" w:type="dxa"/>
            <w:tcBorders>
              <w:left w:val="nil"/>
            </w:tcBorders>
            <w:shd w:val="clear" w:color="auto" w:fill="auto"/>
            <w:vAlign w:val="center"/>
            <w:hideMark/>
          </w:tcPr>
          <w:p w14:paraId="09C8680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JJ004</w:t>
            </w:r>
          </w:p>
        </w:tc>
        <w:tc>
          <w:tcPr>
            <w:tcW w:w="283" w:type="dxa"/>
            <w:shd w:val="clear" w:color="auto" w:fill="auto"/>
            <w:noWrap/>
            <w:vAlign w:val="center"/>
            <w:hideMark/>
          </w:tcPr>
          <w:p w14:paraId="684A97D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10B137FB"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$158</w:t>
            </w:r>
          </w:p>
        </w:tc>
        <w:tc>
          <w:tcPr>
            <w:tcW w:w="2260" w:type="dxa"/>
            <w:tcBorders>
              <w:left w:val="nil"/>
            </w:tcBorders>
            <w:shd w:val="clear" w:color="auto" w:fill="auto"/>
            <w:vAlign w:val="center"/>
            <w:hideMark/>
          </w:tcPr>
          <w:p w14:paraId="79BD5639"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BX337 JJ010 JJ464</w:t>
            </w:r>
          </w:p>
        </w:tc>
        <w:tc>
          <w:tcPr>
            <w:tcW w:w="367" w:type="dxa"/>
            <w:shd w:val="clear" w:color="auto" w:fill="auto"/>
            <w:noWrap/>
            <w:vAlign w:val="center"/>
            <w:hideMark/>
          </w:tcPr>
          <w:p w14:paraId="6FA1B1D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29300C3A"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$497</w:t>
            </w:r>
          </w:p>
        </w:tc>
        <w:tc>
          <w:tcPr>
            <w:tcW w:w="2451" w:type="dxa"/>
            <w:tcBorders>
              <w:left w:val="nil"/>
            </w:tcBorders>
            <w:shd w:val="clear" w:color="auto" w:fill="auto"/>
            <w:vAlign w:val="center"/>
            <w:hideMark/>
          </w:tcPr>
          <w:p w14:paraId="3351CA70"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WA004</w:t>
            </w:r>
          </w:p>
        </w:tc>
      </w:tr>
      <w:tr w:rsidR="00DE3A1B" w:rsidRPr="00DE3A1B" w14:paraId="208A0D12" w14:textId="77777777" w:rsidTr="00014618">
        <w:trPr>
          <w:cantSplit/>
          <w:trHeight w:val="480"/>
        </w:trPr>
        <w:tc>
          <w:tcPr>
            <w:tcW w:w="617" w:type="dxa"/>
            <w:tcBorders>
              <w:right w:val="nil"/>
            </w:tcBorders>
            <w:shd w:val="clear" w:color="auto" w:fill="auto"/>
            <w:noWrap/>
            <w:vAlign w:val="center"/>
            <w:hideMark/>
          </w:tcPr>
          <w:p w14:paraId="3CEEB05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$28</w:t>
            </w:r>
          </w:p>
        </w:tc>
        <w:tc>
          <w:tcPr>
            <w:tcW w:w="2072" w:type="dxa"/>
            <w:tcBorders>
              <w:left w:val="nil"/>
            </w:tcBorders>
            <w:shd w:val="clear" w:color="auto" w:fill="auto"/>
            <w:vAlign w:val="center"/>
            <w:hideMark/>
          </w:tcPr>
          <w:p w14:paraId="2BF0B91A"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BB349 FY003 MN154 RN006 SI049 SI050 TX057 TX058 TY001 VB001</w:t>
            </w:r>
          </w:p>
        </w:tc>
        <w:tc>
          <w:tcPr>
            <w:tcW w:w="283" w:type="dxa"/>
            <w:shd w:val="clear" w:color="auto" w:fill="auto"/>
            <w:noWrap/>
            <w:vAlign w:val="center"/>
            <w:hideMark/>
          </w:tcPr>
          <w:p w14:paraId="4CF9E1B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2954864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$161</w:t>
            </w:r>
          </w:p>
        </w:tc>
        <w:tc>
          <w:tcPr>
            <w:tcW w:w="2260" w:type="dxa"/>
            <w:tcBorders>
              <w:left w:val="nil"/>
            </w:tcBorders>
            <w:shd w:val="clear" w:color="auto" w:fill="auto"/>
            <w:vAlign w:val="center"/>
            <w:hideMark/>
          </w:tcPr>
          <w:p w14:paraId="2AAFAA4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KI010</w:t>
            </w:r>
          </w:p>
        </w:tc>
        <w:tc>
          <w:tcPr>
            <w:tcW w:w="367" w:type="dxa"/>
            <w:shd w:val="clear" w:color="auto" w:fill="auto"/>
            <w:noWrap/>
            <w:vAlign w:val="center"/>
            <w:hideMark/>
          </w:tcPr>
          <w:p w14:paraId="302556B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237D79C9"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$516</w:t>
            </w:r>
          </w:p>
        </w:tc>
        <w:tc>
          <w:tcPr>
            <w:tcW w:w="2451" w:type="dxa"/>
            <w:tcBorders>
              <w:left w:val="nil"/>
            </w:tcBorders>
            <w:shd w:val="clear" w:color="auto" w:fill="auto"/>
            <w:vAlign w:val="center"/>
            <w:hideMark/>
          </w:tcPr>
          <w:p w14:paraId="1FB5E7CB"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BX253</w:t>
            </w:r>
          </w:p>
        </w:tc>
      </w:tr>
      <w:tr w:rsidR="00DE3A1B" w:rsidRPr="00DE3A1B" w14:paraId="1311FED3" w14:textId="77777777" w:rsidTr="00014618">
        <w:trPr>
          <w:cantSplit/>
          <w:trHeight w:val="240"/>
        </w:trPr>
        <w:tc>
          <w:tcPr>
            <w:tcW w:w="617" w:type="dxa"/>
            <w:tcBorders>
              <w:right w:val="nil"/>
            </w:tcBorders>
            <w:shd w:val="clear" w:color="auto" w:fill="auto"/>
            <w:noWrap/>
            <w:vAlign w:val="center"/>
            <w:hideMark/>
          </w:tcPr>
          <w:p w14:paraId="6B24397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$29</w:t>
            </w:r>
          </w:p>
        </w:tc>
        <w:tc>
          <w:tcPr>
            <w:tcW w:w="2072" w:type="dxa"/>
            <w:tcBorders>
              <w:left w:val="nil"/>
            </w:tcBorders>
            <w:shd w:val="clear" w:color="auto" w:fill="auto"/>
            <w:vAlign w:val="center"/>
            <w:hideMark/>
          </w:tcPr>
          <w:p w14:paraId="67BD6079"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EB137</w:t>
            </w:r>
          </w:p>
        </w:tc>
        <w:tc>
          <w:tcPr>
            <w:tcW w:w="283" w:type="dxa"/>
            <w:shd w:val="clear" w:color="auto" w:fill="auto"/>
            <w:noWrap/>
            <w:vAlign w:val="center"/>
            <w:hideMark/>
          </w:tcPr>
          <w:p w14:paraId="672ADE7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72A66E1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$162</w:t>
            </w:r>
          </w:p>
        </w:tc>
        <w:tc>
          <w:tcPr>
            <w:tcW w:w="2260" w:type="dxa"/>
            <w:tcBorders>
              <w:left w:val="nil"/>
            </w:tcBorders>
            <w:shd w:val="clear" w:color="auto" w:fill="auto"/>
            <w:vAlign w:val="center"/>
            <w:hideMark/>
          </w:tcPr>
          <w:p w14:paraId="75DBA01B"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AS228 MI304</w:t>
            </w:r>
          </w:p>
        </w:tc>
        <w:tc>
          <w:tcPr>
            <w:tcW w:w="367" w:type="dxa"/>
            <w:shd w:val="clear" w:color="auto" w:fill="auto"/>
            <w:noWrap/>
            <w:vAlign w:val="center"/>
            <w:hideMark/>
          </w:tcPr>
          <w:p w14:paraId="059A2DF7"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06E1FD7A"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$521</w:t>
            </w:r>
          </w:p>
        </w:tc>
        <w:tc>
          <w:tcPr>
            <w:tcW w:w="2451" w:type="dxa"/>
            <w:tcBorders>
              <w:left w:val="nil"/>
            </w:tcBorders>
            <w:shd w:val="clear" w:color="auto" w:fill="auto"/>
            <w:vAlign w:val="center"/>
            <w:hideMark/>
          </w:tcPr>
          <w:p w14:paraId="26C5F342"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AS209 MI287</w:t>
            </w:r>
          </w:p>
        </w:tc>
      </w:tr>
      <w:tr w:rsidR="00DE3A1B" w:rsidRPr="00DE3A1B" w14:paraId="4BB0EAFD" w14:textId="77777777" w:rsidTr="00014618">
        <w:trPr>
          <w:cantSplit/>
          <w:trHeight w:val="480"/>
        </w:trPr>
        <w:tc>
          <w:tcPr>
            <w:tcW w:w="617" w:type="dxa"/>
            <w:tcBorders>
              <w:right w:val="nil"/>
            </w:tcBorders>
            <w:shd w:val="clear" w:color="auto" w:fill="auto"/>
            <w:noWrap/>
            <w:vAlign w:val="center"/>
            <w:hideMark/>
          </w:tcPr>
          <w:p w14:paraId="3469A1F2"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$30</w:t>
            </w:r>
          </w:p>
        </w:tc>
        <w:tc>
          <w:tcPr>
            <w:tcW w:w="2072" w:type="dxa"/>
            <w:tcBorders>
              <w:left w:val="nil"/>
            </w:tcBorders>
            <w:shd w:val="clear" w:color="auto" w:fill="auto"/>
            <w:vAlign w:val="center"/>
            <w:hideMark/>
          </w:tcPr>
          <w:p w14:paraId="53768AB8"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JJ035</w:t>
            </w:r>
          </w:p>
        </w:tc>
        <w:tc>
          <w:tcPr>
            <w:tcW w:w="283" w:type="dxa"/>
            <w:shd w:val="clear" w:color="auto" w:fill="auto"/>
            <w:noWrap/>
            <w:vAlign w:val="center"/>
            <w:hideMark/>
          </w:tcPr>
          <w:p w14:paraId="05B48B77"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7A5706C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$180</w:t>
            </w:r>
          </w:p>
        </w:tc>
        <w:tc>
          <w:tcPr>
            <w:tcW w:w="2260" w:type="dxa"/>
            <w:tcBorders>
              <w:left w:val="nil"/>
            </w:tcBorders>
            <w:shd w:val="clear" w:color="auto" w:fill="auto"/>
            <w:vAlign w:val="center"/>
            <w:hideMark/>
          </w:tcPr>
          <w:p w14:paraId="77ACFDF9"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AS074 CK003 JJ186 JJ482 LV076 LV086 MH015 MI213 TX024</w:t>
            </w:r>
          </w:p>
        </w:tc>
        <w:tc>
          <w:tcPr>
            <w:tcW w:w="367" w:type="dxa"/>
            <w:shd w:val="clear" w:color="auto" w:fill="auto"/>
            <w:noWrap/>
            <w:vAlign w:val="center"/>
            <w:hideMark/>
          </w:tcPr>
          <w:p w14:paraId="42984473"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6686C78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$559</w:t>
            </w:r>
          </w:p>
        </w:tc>
        <w:tc>
          <w:tcPr>
            <w:tcW w:w="2451" w:type="dxa"/>
            <w:tcBorders>
              <w:left w:val="nil"/>
            </w:tcBorders>
            <w:shd w:val="clear" w:color="auto" w:fill="auto"/>
            <w:vAlign w:val="center"/>
            <w:hideMark/>
          </w:tcPr>
          <w:p w14:paraId="5BA107B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JJ812</w:t>
            </w:r>
          </w:p>
        </w:tc>
      </w:tr>
      <w:tr w:rsidR="00DE3A1B" w:rsidRPr="00DE3A1B" w14:paraId="5A2F133C" w14:textId="77777777" w:rsidTr="00014618">
        <w:trPr>
          <w:cantSplit/>
          <w:trHeight w:val="720"/>
        </w:trPr>
        <w:tc>
          <w:tcPr>
            <w:tcW w:w="617" w:type="dxa"/>
            <w:tcBorders>
              <w:right w:val="nil"/>
            </w:tcBorders>
            <w:shd w:val="clear" w:color="auto" w:fill="auto"/>
            <w:noWrap/>
            <w:vAlign w:val="center"/>
            <w:hideMark/>
          </w:tcPr>
          <w:p w14:paraId="5D33D602"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$33</w:t>
            </w:r>
          </w:p>
        </w:tc>
        <w:tc>
          <w:tcPr>
            <w:tcW w:w="2072" w:type="dxa"/>
            <w:tcBorders>
              <w:left w:val="nil"/>
            </w:tcBorders>
            <w:shd w:val="clear" w:color="auto" w:fill="auto"/>
            <w:vAlign w:val="center"/>
            <w:hideMark/>
          </w:tcPr>
          <w:p w14:paraId="28A5EC5C"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BG001 JJ023 JJ432</w:t>
            </w:r>
          </w:p>
        </w:tc>
        <w:tc>
          <w:tcPr>
            <w:tcW w:w="283" w:type="dxa"/>
            <w:shd w:val="clear" w:color="auto" w:fill="auto"/>
            <w:noWrap/>
            <w:vAlign w:val="center"/>
            <w:hideMark/>
          </w:tcPr>
          <w:p w14:paraId="006952E7"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639E1459"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$185</w:t>
            </w:r>
          </w:p>
        </w:tc>
        <w:tc>
          <w:tcPr>
            <w:tcW w:w="2260" w:type="dxa"/>
            <w:tcBorders>
              <w:left w:val="nil"/>
            </w:tcBorders>
            <w:shd w:val="clear" w:color="auto" w:fill="auto"/>
            <w:vAlign w:val="center"/>
            <w:hideMark/>
          </w:tcPr>
          <w:p w14:paraId="427F8F8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BA047 BS141 DE536 DE541 DE546 DE564 DO020 DO022 DO023 FK008 FK011 FK013 FK018 KI001 KI002 KI004 WC072 WC185</w:t>
            </w:r>
          </w:p>
        </w:tc>
        <w:tc>
          <w:tcPr>
            <w:tcW w:w="367" w:type="dxa"/>
            <w:shd w:val="clear" w:color="auto" w:fill="auto"/>
            <w:noWrap/>
            <w:vAlign w:val="center"/>
            <w:hideMark/>
          </w:tcPr>
          <w:p w14:paraId="32B1CCD7"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6A0C20A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$580</w:t>
            </w:r>
          </w:p>
        </w:tc>
        <w:tc>
          <w:tcPr>
            <w:tcW w:w="2451" w:type="dxa"/>
            <w:tcBorders>
              <w:left w:val="nil"/>
            </w:tcBorders>
            <w:shd w:val="clear" w:color="auto" w:fill="auto"/>
            <w:vAlign w:val="center"/>
            <w:hideMark/>
          </w:tcPr>
          <w:p w14:paraId="6E4EA579"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HW659 HW660 IG141 MN203</w:t>
            </w:r>
          </w:p>
        </w:tc>
      </w:tr>
      <w:tr w:rsidR="00DE3A1B" w:rsidRPr="00DE3A1B" w14:paraId="69401713" w14:textId="77777777" w:rsidTr="00014618">
        <w:trPr>
          <w:cantSplit/>
          <w:trHeight w:val="240"/>
        </w:trPr>
        <w:tc>
          <w:tcPr>
            <w:tcW w:w="617" w:type="dxa"/>
            <w:tcBorders>
              <w:right w:val="nil"/>
            </w:tcBorders>
            <w:shd w:val="clear" w:color="auto" w:fill="auto"/>
            <w:noWrap/>
            <w:vAlign w:val="center"/>
            <w:hideMark/>
          </w:tcPr>
          <w:p w14:paraId="5B01BD70"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$34</w:t>
            </w:r>
          </w:p>
        </w:tc>
        <w:tc>
          <w:tcPr>
            <w:tcW w:w="2072" w:type="dxa"/>
            <w:tcBorders>
              <w:left w:val="nil"/>
            </w:tcBorders>
            <w:shd w:val="clear" w:color="auto" w:fill="auto"/>
            <w:vAlign w:val="center"/>
            <w:hideMark/>
          </w:tcPr>
          <w:p w14:paraId="6CCD46F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JJ009 JJ012 MN112</w:t>
            </w:r>
          </w:p>
        </w:tc>
        <w:tc>
          <w:tcPr>
            <w:tcW w:w="283" w:type="dxa"/>
            <w:shd w:val="clear" w:color="auto" w:fill="auto"/>
            <w:noWrap/>
            <w:vAlign w:val="center"/>
            <w:hideMark/>
          </w:tcPr>
          <w:p w14:paraId="1A27F39B"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09B9499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$186</w:t>
            </w:r>
          </w:p>
        </w:tc>
        <w:tc>
          <w:tcPr>
            <w:tcW w:w="2260" w:type="dxa"/>
            <w:tcBorders>
              <w:left w:val="nil"/>
            </w:tcBorders>
            <w:shd w:val="clear" w:color="auto" w:fill="auto"/>
            <w:vAlign w:val="center"/>
            <w:hideMark/>
          </w:tcPr>
          <w:p w14:paraId="2449F0B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BX344</w:t>
            </w:r>
          </w:p>
        </w:tc>
        <w:tc>
          <w:tcPr>
            <w:tcW w:w="367" w:type="dxa"/>
            <w:shd w:val="clear" w:color="auto" w:fill="auto"/>
            <w:noWrap/>
            <w:vAlign w:val="center"/>
            <w:hideMark/>
          </w:tcPr>
          <w:p w14:paraId="43A5614B"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3A9263E5"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$588</w:t>
            </w:r>
          </w:p>
        </w:tc>
        <w:tc>
          <w:tcPr>
            <w:tcW w:w="2451" w:type="dxa"/>
            <w:tcBorders>
              <w:left w:val="nil"/>
            </w:tcBorders>
            <w:shd w:val="clear" w:color="auto" w:fill="auto"/>
            <w:vAlign w:val="center"/>
            <w:hideMark/>
          </w:tcPr>
          <w:p w14:paraId="1D0F266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AB003 BX215 BX284</w:t>
            </w:r>
          </w:p>
        </w:tc>
      </w:tr>
      <w:tr w:rsidR="00DE3A1B" w:rsidRPr="00DE3A1B" w14:paraId="76D452AC" w14:textId="77777777" w:rsidTr="00014618">
        <w:trPr>
          <w:cantSplit/>
          <w:trHeight w:val="240"/>
        </w:trPr>
        <w:tc>
          <w:tcPr>
            <w:tcW w:w="617" w:type="dxa"/>
            <w:tcBorders>
              <w:right w:val="nil"/>
            </w:tcBorders>
            <w:shd w:val="clear" w:color="auto" w:fill="auto"/>
            <w:noWrap/>
            <w:vAlign w:val="center"/>
            <w:hideMark/>
          </w:tcPr>
          <w:p w14:paraId="5AC22AD0"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$39</w:t>
            </w:r>
          </w:p>
        </w:tc>
        <w:tc>
          <w:tcPr>
            <w:tcW w:w="2072" w:type="dxa"/>
            <w:tcBorders>
              <w:left w:val="nil"/>
            </w:tcBorders>
            <w:shd w:val="clear" w:color="auto" w:fill="auto"/>
            <w:vAlign w:val="center"/>
            <w:hideMark/>
          </w:tcPr>
          <w:p w14:paraId="65F1518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JJ008</w:t>
            </w:r>
          </w:p>
        </w:tc>
        <w:tc>
          <w:tcPr>
            <w:tcW w:w="283" w:type="dxa"/>
            <w:shd w:val="clear" w:color="auto" w:fill="auto"/>
            <w:noWrap/>
            <w:vAlign w:val="center"/>
            <w:hideMark/>
          </w:tcPr>
          <w:p w14:paraId="75D11AA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71F77EFB"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$198</w:t>
            </w:r>
          </w:p>
        </w:tc>
        <w:tc>
          <w:tcPr>
            <w:tcW w:w="2260" w:type="dxa"/>
            <w:tcBorders>
              <w:left w:val="nil"/>
            </w:tcBorders>
            <w:shd w:val="clear" w:color="auto" w:fill="auto"/>
            <w:vAlign w:val="center"/>
            <w:hideMark/>
          </w:tcPr>
          <w:p w14:paraId="3ECF63FC"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GT224 GT228</w:t>
            </w:r>
          </w:p>
        </w:tc>
        <w:tc>
          <w:tcPr>
            <w:tcW w:w="367" w:type="dxa"/>
            <w:shd w:val="clear" w:color="auto" w:fill="auto"/>
            <w:noWrap/>
            <w:vAlign w:val="center"/>
            <w:hideMark/>
          </w:tcPr>
          <w:p w14:paraId="353B9DA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4B1CDB9A"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$595</w:t>
            </w:r>
          </w:p>
        </w:tc>
        <w:tc>
          <w:tcPr>
            <w:tcW w:w="2451" w:type="dxa"/>
            <w:tcBorders>
              <w:left w:val="nil"/>
            </w:tcBorders>
            <w:shd w:val="clear" w:color="auto" w:fill="auto"/>
            <w:vAlign w:val="center"/>
            <w:hideMark/>
          </w:tcPr>
          <w:p w14:paraId="2D21700C"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LH534</w:t>
            </w:r>
          </w:p>
        </w:tc>
      </w:tr>
      <w:tr w:rsidR="00DE3A1B" w:rsidRPr="00DE3A1B" w14:paraId="4985FC73" w14:textId="77777777" w:rsidTr="00014618">
        <w:trPr>
          <w:cantSplit/>
          <w:trHeight w:val="240"/>
        </w:trPr>
        <w:tc>
          <w:tcPr>
            <w:tcW w:w="617" w:type="dxa"/>
            <w:tcBorders>
              <w:right w:val="nil"/>
            </w:tcBorders>
            <w:shd w:val="clear" w:color="auto" w:fill="auto"/>
            <w:noWrap/>
            <w:vAlign w:val="center"/>
            <w:hideMark/>
          </w:tcPr>
          <w:p w14:paraId="4A749A47"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$40</w:t>
            </w:r>
          </w:p>
        </w:tc>
        <w:tc>
          <w:tcPr>
            <w:tcW w:w="2072" w:type="dxa"/>
            <w:tcBorders>
              <w:left w:val="nil"/>
            </w:tcBorders>
            <w:shd w:val="clear" w:color="auto" w:fill="auto"/>
            <w:vAlign w:val="center"/>
            <w:hideMark/>
          </w:tcPr>
          <w:p w14:paraId="764F712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DE698 EB136 TX023 TX025</w:t>
            </w:r>
          </w:p>
        </w:tc>
        <w:tc>
          <w:tcPr>
            <w:tcW w:w="283" w:type="dxa"/>
            <w:shd w:val="clear" w:color="auto" w:fill="auto"/>
            <w:noWrap/>
            <w:vAlign w:val="center"/>
            <w:hideMark/>
          </w:tcPr>
          <w:p w14:paraId="60B3E8E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70FC1308"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$208</w:t>
            </w:r>
          </w:p>
        </w:tc>
        <w:tc>
          <w:tcPr>
            <w:tcW w:w="2260" w:type="dxa"/>
            <w:tcBorders>
              <w:left w:val="nil"/>
            </w:tcBorders>
            <w:shd w:val="clear" w:color="auto" w:fill="auto"/>
            <w:vAlign w:val="center"/>
            <w:hideMark/>
          </w:tcPr>
          <w:p w14:paraId="1172FD90"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KF003</w:t>
            </w:r>
          </w:p>
        </w:tc>
        <w:tc>
          <w:tcPr>
            <w:tcW w:w="367" w:type="dxa"/>
            <w:shd w:val="clear" w:color="auto" w:fill="auto"/>
            <w:noWrap/>
            <w:vAlign w:val="center"/>
            <w:hideMark/>
          </w:tcPr>
          <w:p w14:paraId="03764745"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6B98E04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$608</w:t>
            </w:r>
          </w:p>
        </w:tc>
        <w:tc>
          <w:tcPr>
            <w:tcW w:w="2451" w:type="dxa"/>
            <w:tcBorders>
              <w:left w:val="nil"/>
            </w:tcBorders>
            <w:shd w:val="clear" w:color="auto" w:fill="auto"/>
            <w:vAlign w:val="center"/>
            <w:hideMark/>
          </w:tcPr>
          <w:p w14:paraId="62E014AC"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SJ451</w:t>
            </w:r>
          </w:p>
        </w:tc>
      </w:tr>
      <w:tr w:rsidR="00DE3A1B" w:rsidRPr="00DE3A1B" w14:paraId="37584A49" w14:textId="77777777" w:rsidTr="00014618">
        <w:trPr>
          <w:cantSplit/>
          <w:trHeight w:val="720"/>
        </w:trPr>
        <w:tc>
          <w:tcPr>
            <w:tcW w:w="617" w:type="dxa"/>
            <w:tcBorders>
              <w:right w:val="nil"/>
            </w:tcBorders>
            <w:shd w:val="clear" w:color="auto" w:fill="auto"/>
            <w:noWrap/>
            <w:vAlign w:val="center"/>
            <w:hideMark/>
          </w:tcPr>
          <w:p w14:paraId="3432AC2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$41</w:t>
            </w:r>
          </w:p>
        </w:tc>
        <w:tc>
          <w:tcPr>
            <w:tcW w:w="2072" w:type="dxa"/>
            <w:tcBorders>
              <w:left w:val="nil"/>
            </w:tcBorders>
            <w:shd w:val="clear" w:color="auto" w:fill="auto"/>
            <w:vAlign w:val="center"/>
            <w:hideMark/>
          </w:tcPr>
          <w:p w14:paraId="170449D7"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BB298 DE617 DE725 TX007 TX009 TX011 TX013</w:t>
            </w:r>
          </w:p>
        </w:tc>
        <w:tc>
          <w:tcPr>
            <w:tcW w:w="283" w:type="dxa"/>
            <w:shd w:val="clear" w:color="auto" w:fill="auto"/>
            <w:noWrap/>
            <w:vAlign w:val="center"/>
            <w:hideMark/>
          </w:tcPr>
          <w:p w14:paraId="1A916A8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57B0004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$210</w:t>
            </w:r>
          </w:p>
        </w:tc>
        <w:tc>
          <w:tcPr>
            <w:tcW w:w="2260" w:type="dxa"/>
            <w:tcBorders>
              <w:left w:val="nil"/>
            </w:tcBorders>
            <w:shd w:val="clear" w:color="auto" w:fill="auto"/>
            <w:vAlign w:val="center"/>
            <w:hideMark/>
          </w:tcPr>
          <w:p w14:paraId="160771B9"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AS076 AS081 AS092 IJ017 IJ019 MI215 MI216 MI455 MN213 MN218 MN220 OB003 OB006 OB010 OX038 OX039 OX040</w:t>
            </w:r>
          </w:p>
        </w:tc>
        <w:tc>
          <w:tcPr>
            <w:tcW w:w="367" w:type="dxa"/>
            <w:shd w:val="clear" w:color="auto" w:fill="auto"/>
            <w:noWrap/>
            <w:vAlign w:val="center"/>
            <w:hideMark/>
          </w:tcPr>
          <w:p w14:paraId="36A2761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11990675"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$629</w:t>
            </w:r>
          </w:p>
        </w:tc>
        <w:tc>
          <w:tcPr>
            <w:tcW w:w="2451" w:type="dxa"/>
            <w:tcBorders>
              <w:left w:val="nil"/>
            </w:tcBorders>
            <w:shd w:val="clear" w:color="auto" w:fill="auto"/>
            <w:vAlign w:val="center"/>
            <w:hideMark/>
          </w:tcPr>
          <w:p w14:paraId="36996F8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IG142 MN202</w:t>
            </w:r>
          </w:p>
        </w:tc>
      </w:tr>
      <w:tr w:rsidR="00DE3A1B" w:rsidRPr="00DE3A1B" w14:paraId="1008BE3E" w14:textId="77777777" w:rsidTr="00014618">
        <w:trPr>
          <w:cantSplit/>
          <w:trHeight w:val="480"/>
        </w:trPr>
        <w:tc>
          <w:tcPr>
            <w:tcW w:w="617" w:type="dxa"/>
            <w:tcBorders>
              <w:right w:val="nil"/>
            </w:tcBorders>
            <w:shd w:val="clear" w:color="auto" w:fill="auto"/>
            <w:noWrap/>
            <w:vAlign w:val="center"/>
            <w:hideMark/>
          </w:tcPr>
          <w:p w14:paraId="5126ADDB"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$45</w:t>
            </w:r>
          </w:p>
        </w:tc>
        <w:tc>
          <w:tcPr>
            <w:tcW w:w="2072" w:type="dxa"/>
            <w:tcBorders>
              <w:left w:val="nil"/>
            </w:tcBorders>
            <w:shd w:val="clear" w:color="auto" w:fill="auto"/>
            <w:vAlign w:val="center"/>
            <w:hideMark/>
          </w:tcPr>
          <w:p w14:paraId="53E89482"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BA260 BA301 BX346 JJ636 LH408 SI046 SQ069 SV053</w:t>
            </w:r>
          </w:p>
        </w:tc>
        <w:tc>
          <w:tcPr>
            <w:tcW w:w="283" w:type="dxa"/>
            <w:shd w:val="clear" w:color="auto" w:fill="auto"/>
            <w:noWrap/>
            <w:vAlign w:val="center"/>
            <w:hideMark/>
          </w:tcPr>
          <w:p w14:paraId="1C9612E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4460BD7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$211</w:t>
            </w:r>
          </w:p>
        </w:tc>
        <w:tc>
          <w:tcPr>
            <w:tcW w:w="2260" w:type="dxa"/>
            <w:tcBorders>
              <w:left w:val="nil"/>
            </w:tcBorders>
            <w:shd w:val="clear" w:color="auto" w:fill="auto"/>
            <w:vAlign w:val="center"/>
            <w:hideMark/>
          </w:tcPr>
          <w:p w14:paraId="4E50DD30"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DE726 ER280</w:t>
            </w:r>
          </w:p>
        </w:tc>
        <w:tc>
          <w:tcPr>
            <w:tcW w:w="367" w:type="dxa"/>
            <w:shd w:val="clear" w:color="auto" w:fill="auto"/>
            <w:noWrap/>
            <w:vAlign w:val="center"/>
            <w:hideMark/>
          </w:tcPr>
          <w:p w14:paraId="0F42504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7E0FA05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$640</w:t>
            </w:r>
          </w:p>
        </w:tc>
        <w:tc>
          <w:tcPr>
            <w:tcW w:w="2451" w:type="dxa"/>
            <w:tcBorders>
              <w:left w:val="nil"/>
            </w:tcBorders>
            <w:shd w:val="clear" w:color="auto" w:fill="auto"/>
            <w:vAlign w:val="center"/>
            <w:hideMark/>
          </w:tcPr>
          <w:p w14:paraId="3886376A"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BX259 MN172</w:t>
            </w:r>
          </w:p>
        </w:tc>
      </w:tr>
      <w:tr w:rsidR="00DE3A1B" w:rsidRPr="00DE3A1B" w14:paraId="4D6E063D" w14:textId="77777777" w:rsidTr="00014618">
        <w:trPr>
          <w:cantSplit/>
          <w:trHeight w:val="480"/>
        </w:trPr>
        <w:tc>
          <w:tcPr>
            <w:tcW w:w="617" w:type="dxa"/>
            <w:tcBorders>
              <w:right w:val="nil"/>
            </w:tcBorders>
            <w:shd w:val="clear" w:color="auto" w:fill="auto"/>
            <w:noWrap/>
            <w:vAlign w:val="center"/>
            <w:hideMark/>
          </w:tcPr>
          <w:p w14:paraId="3A77171B"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$46</w:t>
            </w:r>
          </w:p>
        </w:tc>
        <w:tc>
          <w:tcPr>
            <w:tcW w:w="2072" w:type="dxa"/>
            <w:tcBorders>
              <w:left w:val="nil"/>
            </w:tcBorders>
            <w:shd w:val="clear" w:color="auto" w:fill="auto"/>
            <w:vAlign w:val="center"/>
            <w:hideMark/>
          </w:tcPr>
          <w:p w14:paraId="05BE44B3"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BA284 BA285</w:t>
            </w:r>
          </w:p>
        </w:tc>
        <w:tc>
          <w:tcPr>
            <w:tcW w:w="283" w:type="dxa"/>
            <w:shd w:val="clear" w:color="auto" w:fill="auto"/>
            <w:noWrap/>
            <w:vAlign w:val="center"/>
            <w:hideMark/>
          </w:tcPr>
          <w:p w14:paraId="6F5E2AF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0AA4334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$217</w:t>
            </w:r>
          </w:p>
        </w:tc>
        <w:tc>
          <w:tcPr>
            <w:tcW w:w="2260" w:type="dxa"/>
            <w:tcBorders>
              <w:left w:val="nil"/>
            </w:tcBorders>
            <w:shd w:val="clear" w:color="auto" w:fill="auto"/>
            <w:vAlign w:val="center"/>
            <w:hideMark/>
          </w:tcPr>
          <w:p w14:paraId="585119D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AB083 BA262 BX348 SV055</w:t>
            </w:r>
          </w:p>
        </w:tc>
        <w:tc>
          <w:tcPr>
            <w:tcW w:w="367" w:type="dxa"/>
            <w:shd w:val="clear" w:color="auto" w:fill="auto"/>
            <w:noWrap/>
            <w:vAlign w:val="center"/>
            <w:hideMark/>
          </w:tcPr>
          <w:p w14:paraId="3A5A2E05"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30A43D8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$648</w:t>
            </w:r>
          </w:p>
        </w:tc>
        <w:tc>
          <w:tcPr>
            <w:tcW w:w="2451" w:type="dxa"/>
            <w:tcBorders>
              <w:left w:val="nil"/>
            </w:tcBorders>
            <w:shd w:val="clear" w:color="auto" w:fill="auto"/>
            <w:vAlign w:val="center"/>
            <w:hideMark/>
          </w:tcPr>
          <w:p w14:paraId="27D91100"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AS179 IJ014 IJ016 JJ443 OB004 OB007 OX035 OX036</w:t>
            </w:r>
          </w:p>
        </w:tc>
      </w:tr>
      <w:tr w:rsidR="00DE3A1B" w:rsidRPr="00DE3A1B" w14:paraId="0426C73A" w14:textId="77777777" w:rsidTr="00014618">
        <w:trPr>
          <w:cantSplit/>
          <w:trHeight w:val="240"/>
        </w:trPr>
        <w:tc>
          <w:tcPr>
            <w:tcW w:w="617" w:type="dxa"/>
            <w:tcBorders>
              <w:right w:val="nil"/>
            </w:tcBorders>
            <w:shd w:val="clear" w:color="auto" w:fill="auto"/>
            <w:noWrap/>
            <w:vAlign w:val="center"/>
            <w:hideMark/>
          </w:tcPr>
          <w:p w14:paraId="10F238D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$50</w:t>
            </w:r>
          </w:p>
        </w:tc>
        <w:tc>
          <w:tcPr>
            <w:tcW w:w="2072" w:type="dxa"/>
            <w:tcBorders>
              <w:left w:val="nil"/>
            </w:tcBorders>
            <w:shd w:val="clear" w:color="auto" w:fill="auto"/>
            <w:vAlign w:val="center"/>
            <w:hideMark/>
          </w:tcPr>
          <w:p w14:paraId="377A578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DE610</w:t>
            </w:r>
          </w:p>
        </w:tc>
        <w:tc>
          <w:tcPr>
            <w:tcW w:w="283" w:type="dxa"/>
            <w:shd w:val="clear" w:color="auto" w:fill="auto"/>
            <w:noWrap/>
            <w:vAlign w:val="center"/>
            <w:hideMark/>
          </w:tcPr>
          <w:p w14:paraId="6B7DD42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5541AA4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$226</w:t>
            </w:r>
          </w:p>
        </w:tc>
        <w:tc>
          <w:tcPr>
            <w:tcW w:w="2260" w:type="dxa"/>
            <w:tcBorders>
              <w:left w:val="nil"/>
            </w:tcBorders>
            <w:shd w:val="clear" w:color="auto" w:fill="auto"/>
            <w:vAlign w:val="center"/>
            <w:hideMark/>
          </w:tcPr>
          <w:p w14:paraId="532E16D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BX260 JJ475</w:t>
            </w:r>
          </w:p>
        </w:tc>
        <w:tc>
          <w:tcPr>
            <w:tcW w:w="367" w:type="dxa"/>
            <w:shd w:val="clear" w:color="auto" w:fill="auto"/>
            <w:noWrap/>
            <w:vAlign w:val="center"/>
            <w:hideMark/>
          </w:tcPr>
          <w:p w14:paraId="2A3041E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185C188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$653</w:t>
            </w:r>
          </w:p>
        </w:tc>
        <w:tc>
          <w:tcPr>
            <w:tcW w:w="2451" w:type="dxa"/>
            <w:tcBorders>
              <w:left w:val="nil"/>
            </w:tcBorders>
            <w:shd w:val="clear" w:color="auto" w:fill="auto"/>
            <w:vAlign w:val="center"/>
            <w:hideMark/>
          </w:tcPr>
          <w:p w14:paraId="20269B7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AS227 MI303</w:t>
            </w:r>
          </w:p>
        </w:tc>
      </w:tr>
      <w:tr w:rsidR="00DE3A1B" w:rsidRPr="00DE3A1B" w14:paraId="4DCC6777" w14:textId="77777777" w:rsidTr="00014618">
        <w:trPr>
          <w:cantSplit/>
          <w:trHeight w:val="480"/>
        </w:trPr>
        <w:tc>
          <w:tcPr>
            <w:tcW w:w="617" w:type="dxa"/>
            <w:tcBorders>
              <w:right w:val="nil"/>
            </w:tcBorders>
            <w:shd w:val="clear" w:color="auto" w:fill="auto"/>
            <w:noWrap/>
            <w:vAlign w:val="center"/>
            <w:hideMark/>
          </w:tcPr>
          <w:p w14:paraId="5EB5A8E0"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$52</w:t>
            </w:r>
          </w:p>
        </w:tc>
        <w:tc>
          <w:tcPr>
            <w:tcW w:w="2072" w:type="dxa"/>
            <w:tcBorders>
              <w:left w:val="nil"/>
            </w:tcBorders>
            <w:shd w:val="clear" w:color="auto" w:fill="auto"/>
            <w:vAlign w:val="center"/>
            <w:hideMark/>
          </w:tcPr>
          <w:p w14:paraId="7A1C8B0A"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AS212 BB016 BB301 BB321 CK001 CK002 GQ006 GQ007 JJ040 KF001</w:t>
            </w:r>
          </w:p>
        </w:tc>
        <w:tc>
          <w:tcPr>
            <w:tcW w:w="283" w:type="dxa"/>
            <w:shd w:val="clear" w:color="auto" w:fill="auto"/>
            <w:noWrap/>
            <w:vAlign w:val="center"/>
            <w:hideMark/>
          </w:tcPr>
          <w:p w14:paraId="340EED87"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3BBB274A"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$233</w:t>
            </w:r>
          </w:p>
        </w:tc>
        <w:tc>
          <w:tcPr>
            <w:tcW w:w="2260" w:type="dxa"/>
            <w:tcBorders>
              <w:left w:val="nil"/>
            </w:tcBorders>
            <w:shd w:val="clear" w:color="auto" w:fill="auto"/>
            <w:vAlign w:val="center"/>
            <w:hideMark/>
          </w:tcPr>
          <w:p w14:paraId="15DF1428"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CU001 CU002 DQ001 LE002</w:t>
            </w:r>
          </w:p>
        </w:tc>
        <w:tc>
          <w:tcPr>
            <w:tcW w:w="367" w:type="dxa"/>
            <w:shd w:val="clear" w:color="auto" w:fill="auto"/>
            <w:noWrap/>
            <w:vAlign w:val="center"/>
            <w:hideMark/>
          </w:tcPr>
          <w:p w14:paraId="2A1506F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03B81F2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$662</w:t>
            </w:r>
          </w:p>
        </w:tc>
        <w:tc>
          <w:tcPr>
            <w:tcW w:w="2451" w:type="dxa"/>
            <w:tcBorders>
              <w:left w:val="nil"/>
            </w:tcBorders>
            <w:shd w:val="clear" w:color="auto" w:fill="auto"/>
            <w:vAlign w:val="center"/>
            <w:hideMark/>
          </w:tcPr>
          <w:p w14:paraId="4990A9BC"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JJ056</w:t>
            </w:r>
          </w:p>
        </w:tc>
      </w:tr>
      <w:tr w:rsidR="00DE3A1B" w:rsidRPr="00DE3A1B" w14:paraId="6D3A4978" w14:textId="77777777" w:rsidTr="00014618">
        <w:trPr>
          <w:cantSplit/>
          <w:trHeight w:val="240"/>
        </w:trPr>
        <w:tc>
          <w:tcPr>
            <w:tcW w:w="617" w:type="dxa"/>
            <w:tcBorders>
              <w:right w:val="nil"/>
            </w:tcBorders>
            <w:shd w:val="clear" w:color="auto" w:fill="auto"/>
            <w:noWrap/>
            <w:vAlign w:val="center"/>
            <w:hideMark/>
          </w:tcPr>
          <w:p w14:paraId="35AA15B9"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$53</w:t>
            </w:r>
          </w:p>
        </w:tc>
        <w:tc>
          <w:tcPr>
            <w:tcW w:w="2072" w:type="dxa"/>
            <w:tcBorders>
              <w:left w:val="nil"/>
            </w:tcBorders>
            <w:shd w:val="clear" w:color="auto" w:fill="auto"/>
            <w:vAlign w:val="center"/>
            <w:hideMark/>
          </w:tcPr>
          <w:p w14:paraId="59103DB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AB065 BX268 BX277 BX279 BX280</w:t>
            </w:r>
          </w:p>
        </w:tc>
        <w:tc>
          <w:tcPr>
            <w:tcW w:w="283" w:type="dxa"/>
            <w:shd w:val="clear" w:color="auto" w:fill="auto"/>
            <w:noWrap/>
            <w:vAlign w:val="center"/>
            <w:hideMark/>
          </w:tcPr>
          <w:p w14:paraId="5F1C5159"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5C69A23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$234</w:t>
            </w:r>
          </w:p>
        </w:tc>
        <w:tc>
          <w:tcPr>
            <w:tcW w:w="2260" w:type="dxa"/>
            <w:tcBorders>
              <w:left w:val="nil"/>
            </w:tcBorders>
            <w:shd w:val="clear" w:color="auto" w:fill="auto"/>
            <w:vAlign w:val="center"/>
            <w:hideMark/>
          </w:tcPr>
          <w:p w14:paraId="5B8009F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AS091 AS095</w:t>
            </w:r>
          </w:p>
        </w:tc>
        <w:tc>
          <w:tcPr>
            <w:tcW w:w="367" w:type="dxa"/>
            <w:shd w:val="clear" w:color="auto" w:fill="auto"/>
            <w:noWrap/>
            <w:vAlign w:val="center"/>
            <w:hideMark/>
          </w:tcPr>
          <w:p w14:paraId="5A0C2718"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1F44AB0C"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$671</w:t>
            </w:r>
          </w:p>
        </w:tc>
        <w:tc>
          <w:tcPr>
            <w:tcW w:w="2451" w:type="dxa"/>
            <w:tcBorders>
              <w:left w:val="nil"/>
            </w:tcBorders>
            <w:shd w:val="clear" w:color="auto" w:fill="auto"/>
            <w:vAlign w:val="center"/>
            <w:hideMark/>
          </w:tcPr>
          <w:p w14:paraId="2862B158"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MI219 MI281 MN216</w:t>
            </w:r>
          </w:p>
        </w:tc>
      </w:tr>
      <w:tr w:rsidR="00DE3A1B" w:rsidRPr="00DE3A1B" w14:paraId="0355CB6D" w14:textId="77777777" w:rsidTr="00014618">
        <w:trPr>
          <w:cantSplit/>
          <w:trHeight w:val="240"/>
        </w:trPr>
        <w:tc>
          <w:tcPr>
            <w:tcW w:w="617" w:type="dxa"/>
            <w:tcBorders>
              <w:right w:val="nil"/>
            </w:tcBorders>
            <w:shd w:val="clear" w:color="auto" w:fill="auto"/>
            <w:noWrap/>
            <w:vAlign w:val="center"/>
            <w:hideMark/>
          </w:tcPr>
          <w:p w14:paraId="70216BE3"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$64</w:t>
            </w:r>
          </w:p>
        </w:tc>
        <w:tc>
          <w:tcPr>
            <w:tcW w:w="2072" w:type="dxa"/>
            <w:tcBorders>
              <w:left w:val="nil"/>
            </w:tcBorders>
            <w:shd w:val="clear" w:color="auto" w:fill="auto"/>
            <w:vAlign w:val="center"/>
            <w:hideMark/>
          </w:tcPr>
          <w:p w14:paraId="4D34E7D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PU060</w:t>
            </w:r>
          </w:p>
        </w:tc>
        <w:tc>
          <w:tcPr>
            <w:tcW w:w="283" w:type="dxa"/>
            <w:shd w:val="clear" w:color="auto" w:fill="auto"/>
            <w:noWrap/>
            <w:vAlign w:val="center"/>
            <w:hideMark/>
          </w:tcPr>
          <w:p w14:paraId="01AFE1A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536F96E2"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$249</w:t>
            </w:r>
          </w:p>
        </w:tc>
        <w:tc>
          <w:tcPr>
            <w:tcW w:w="2260" w:type="dxa"/>
            <w:tcBorders>
              <w:left w:val="nil"/>
            </w:tcBorders>
            <w:shd w:val="clear" w:color="auto" w:fill="auto"/>
            <w:vAlign w:val="center"/>
            <w:hideMark/>
          </w:tcPr>
          <w:p w14:paraId="7AFC3B2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DE606 DE609</w:t>
            </w:r>
          </w:p>
        </w:tc>
        <w:tc>
          <w:tcPr>
            <w:tcW w:w="367" w:type="dxa"/>
            <w:shd w:val="clear" w:color="auto" w:fill="auto"/>
            <w:noWrap/>
            <w:vAlign w:val="center"/>
            <w:hideMark/>
          </w:tcPr>
          <w:p w14:paraId="39777E2C"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383040D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$680</w:t>
            </w:r>
          </w:p>
        </w:tc>
        <w:tc>
          <w:tcPr>
            <w:tcW w:w="2451" w:type="dxa"/>
            <w:tcBorders>
              <w:left w:val="nil"/>
            </w:tcBorders>
            <w:shd w:val="clear" w:color="auto" w:fill="auto"/>
            <w:vAlign w:val="center"/>
            <w:hideMark/>
          </w:tcPr>
          <w:p w14:paraId="2E335BC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FQ002</w:t>
            </w:r>
          </w:p>
        </w:tc>
      </w:tr>
      <w:tr w:rsidR="00DE3A1B" w:rsidRPr="00DE3A1B" w14:paraId="19AC7BEC" w14:textId="77777777" w:rsidTr="00014618">
        <w:trPr>
          <w:cantSplit/>
          <w:trHeight w:val="720"/>
        </w:trPr>
        <w:tc>
          <w:tcPr>
            <w:tcW w:w="617" w:type="dxa"/>
            <w:tcBorders>
              <w:right w:val="nil"/>
            </w:tcBorders>
            <w:shd w:val="clear" w:color="auto" w:fill="auto"/>
            <w:noWrap/>
            <w:vAlign w:val="center"/>
            <w:hideMark/>
          </w:tcPr>
          <w:p w14:paraId="0D69C30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$68</w:t>
            </w:r>
          </w:p>
        </w:tc>
        <w:tc>
          <w:tcPr>
            <w:tcW w:w="2072" w:type="dxa"/>
            <w:tcBorders>
              <w:left w:val="nil"/>
            </w:tcBorders>
            <w:shd w:val="clear" w:color="auto" w:fill="auto"/>
            <w:vAlign w:val="center"/>
            <w:hideMark/>
          </w:tcPr>
          <w:p w14:paraId="2D6CBB3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BA266 BX265 BX267 BX273 BX340 BX341 DE727 ET065 FY002 MN041 MN153</w:t>
            </w:r>
          </w:p>
        </w:tc>
        <w:tc>
          <w:tcPr>
            <w:tcW w:w="283" w:type="dxa"/>
            <w:shd w:val="clear" w:color="auto" w:fill="auto"/>
            <w:noWrap/>
            <w:vAlign w:val="center"/>
            <w:hideMark/>
          </w:tcPr>
          <w:p w14:paraId="3F57F41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2C3CFE63"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$258</w:t>
            </w:r>
          </w:p>
        </w:tc>
        <w:tc>
          <w:tcPr>
            <w:tcW w:w="2260" w:type="dxa"/>
            <w:tcBorders>
              <w:left w:val="nil"/>
            </w:tcBorders>
            <w:shd w:val="clear" w:color="auto" w:fill="auto"/>
            <w:vAlign w:val="center"/>
            <w:hideMark/>
          </w:tcPr>
          <w:p w14:paraId="3AF7ED7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MI305</w:t>
            </w:r>
          </w:p>
        </w:tc>
        <w:tc>
          <w:tcPr>
            <w:tcW w:w="367" w:type="dxa"/>
            <w:shd w:val="clear" w:color="auto" w:fill="auto"/>
            <w:noWrap/>
            <w:vAlign w:val="center"/>
            <w:hideMark/>
          </w:tcPr>
          <w:p w14:paraId="545E9FD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4D27B7C0"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$718</w:t>
            </w:r>
          </w:p>
        </w:tc>
        <w:tc>
          <w:tcPr>
            <w:tcW w:w="2451" w:type="dxa"/>
            <w:tcBorders>
              <w:left w:val="nil"/>
            </w:tcBorders>
            <w:shd w:val="clear" w:color="auto" w:fill="auto"/>
            <w:vAlign w:val="center"/>
            <w:hideMark/>
          </w:tcPr>
          <w:p w14:paraId="07C1321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BA265</w:t>
            </w:r>
          </w:p>
        </w:tc>
      </w:tr>
      <w:tr w:rsidR="00DE3A1B" w:rsidRPr="00DE3A1B" w14:paraId="0344877C" w14:textId="77777777" w:rsidTr="00014618">
        <w:trPr>
          <w:cantSplit/>
          <w:trHeight w:val="240"/>
        </w:trPr>
        <w:tc>
          <w:tcPr>
            <w:tcW w:w="617" w:type="dxa"/>
            <w:tcBorders>
              <w:right w:val="nil"/>
            </w:tcBorders>
            <w:shd w:val="clear" w:color="auto" w:fill="auto"/>
            <w:noWrap/>
            <w:vAlign w:val="center"/>
            <w:hideMark/>
          </w:tcPr>
          <w:p w14:paraId="091ACA1B"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$69</w:t>
            </w:r>
          </w:p>
        </w:tc>
        <w:tc>
          <w:tcPr>
            <w:tcW w:w="2072" w:type="dxa"/>
            <w:tcBorders>
              <w:left w:val="nil"/>
            </w:tcBorders>
            <w:shd w:val="clear" w:color="auto" w:fill="auto"/>
            <w:vAlign w:val="center"/>
            <w:hideMark/>
          </w:tcPr>
          <w:p w14:paraId="63C81837"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JJ030 MN116 MN214</w:t>
            </w:r>
          </w:p>
        </w:tc>
        <w:tc>
          <w:tcPr>
            <w:tcW w:w="283" w:type="dxa"/>
            <w:shd w:val="clear" w:color="auto" w:fill="auto"/>
            <w:noWrap/>
            <w:vAlign w:val="center"/>
            <w:hideMark/>
          </w:tcPr>
          <w:p w14:paraId="0E55EED8"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11B8876C"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$260</w:t>
            </w:r>
          </w:p>
        </w:tc>
        <w:tc>
          <w:tcPr>
            <w:tcW w:w="2260" w:type="dxa"/>
            <w:tcBorders>
              <w:left w:val="nil"/>
            </w:tcBorders>
            <w:shd w:val="clear" w:color="auto" w:fill="auto"/>
            <w:vAlign w:val="center"/>
            <w:hideMark/>
          </w:tcPr>
          <w:p w14:paraId="6F30017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UX003</w:t>
            </w:r>
          </w:p>
        </w:tc>
        <w:tc>
          <w:tcPr>
            <w:tcW w:w="367" w:type="dxa"/>
            <w:shd w:val="clear" w:color="auto" w:fill="auto"/>
            <w:noWrap/>
            <w:vAlign w:val="center"/>
            <w:hideMark/>
          </w:tcPr>
          <w:p w14:paraId="1FB60EA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265CC20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$903</w:t>
            </w:r>
          </w:p>
        </w:tc>
        <w:tc>
          <w:tcPr>
            <w:tcW w:w="2451" w:type="dxa"/>
            <w:tcBorders>
              <w:left w:val="nil"/>
            </w:tcBorders>
            <w:shd w:val="clear" w:color="auto" w:fill="auto"/>
            <w:vAlign w:val="center"/>
            <w:hideMark/>
          </w:tcPr>
          <w:p w14:paraId="4F8D856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VB002</w:t>
            </w:r>
          </w:p>
        </w:tc>
      </w:tr>
      <w:tr w:rsidR="00DE3A1B" w:rsidRPr="00DE3A1B" w14:paraId="48A15274" w14:textId="77777777" w:rsidTr="00014618">
        <w:trPr>
          <w:cantSplit/>
          <w:trHeight w:val="240"/>
        </w:trPr>
        <w:tc>
          <w:tcPr>
            <w:tcW w:w="617" w:type="dxa"/>
            <w:tcBorders>
              <w:right w:val="nil"/>
            </w:tcBorders>
            <w:shd w:val="clear" w:color="auto" w:fill="auto"/>
            <w:noWrap/>
            <w:vAlign w:val="center"/>
            <w:hideMark/>
          </w:tcPr>
          <w:p w14:paraId="770E4E33"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$71</w:t>
            </w:r>
          </w:p>
        </w:tc>
        <w:tc>
          <w:tcPr>
            <w:tcW w:w="2072" w:type="dxa"/>
            <w:tcBorders>
              <w:left w:val="nil"/>
            </w:tcBorders>
            <w:shd w:val="clear" w:color="auto" w:fill="auto"/>
            <w:vAlign w:val="center"/>
            <w:hideMark/>
          </w:tcPr>
          <w:p w14:paraId="7ADAF688"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TX030</w:t>
            </w:r>
          </w:p>
        </w:tc>
        <w:tc>
          <w:tcPr>
            <w:tcW w:w="283" w:type="dxa"/>
            <w:shd w:val="clear" w:color="auto" w:fill="auto"/>
            <w:noWrap/>
            <w:vAlign w:val="center"/>
            <w:hideMark/>
          </w:tcPr>
          <w:p w14:paraId="3D30C7DA"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136FC732"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$277</w:t>
            </w:r>
          </w:p>
        </w:tc>
        <w:tc>
          <w:tcPr>
            <w:tcW w:w="2260" w:type="dxa"/>
            <w:tcBorders>
              <w:left w:val="nil"/>
            </w:tcBorders>
            <w:shd w:val="clear" w:color="auto" w:fill="auto"/>
            <w:vAlign w:val="center"/>
            <w:hideMark/>
          </w:tcPr>
          <w:p w14:paraId="42398A3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AN008</w:t>
            </w:r>
          </w:p>
        </w:tc>
        <w:tc>
          <w:tcPr>
            <w:tcW w:w="367" w:type="dxa"/>
            <w:shd w:val="clear" w:color="auto" w:fill="auto"/>
            <w:noWrap/>
            <w:vAlign w:val="center"/>
            <w:hideMark/>
          </w:tcPr>
          <w:p w14:paraId="3477B9D8"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70215BD9"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$963</w:t>
            </w:r>
          </w:p>
        </w:tc>
        <w:tc>
          <w:tcPr>
            <w:tcW w:w="2451" w:type="dxa"/>
            <w:tcBorders>
              <w:left w:val="nil"/>
            </w:tcBorders>
            <w:shd w:val="clear" w:color="auto" w:fill="auto"/>
            <w:vAlign w:val="center"/>
            <w:hideMark/>
          </w:tcPr>
          <w:p w14:paraId="4ACD7F8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BX254</w:t>
            </w:r>
          </w:p>
        </w:tc>
      </w:tr>
      <w:tr w:rsidR="00DE3A1B" w:rsidRPr="00DE3A1B" w14:paraId="2CCCD67A" w14:textId="77777777" w:rsidTr="00014618">
        <w:trPr>
          <w:cantSplit/>
          <w:trHeight w:val="480"/>
        </w:trPr>
        <w:tc>
          <w:tcPr>
            <w:tcW w:w="617" w:type="dxa"/>
            <w:tcBorders>
              <w:right w:val="nil"/>
            </w:tcBorders>
            <w:shd w:val="clear" w:color="auto" w:fill="auto"/>
            <w:noWrap/>
            <w:vAlign w:val="center"/>
            <w:hideMark/>
          </w:tcPr>
          <w:p w14:paraId="6FE4F6C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$72</w:t>
            </w:r>
          </w:p>
        </w:tc>
        <w:tc>
          <w:tcPr>
            <w:tcW w:w="2072" w:type="dxa"/>
            <w:tcBorders>
              <w:left w:val="nil"/>
            </w:tcBorders>
            <w:shd w:val="clear" w:color="auto" w:fill="auto"/>
            <w:vAlign w:val="center"/>
            <w:hideMark/>
          </w:tcPr>
          <w:p w14:paraId="3DDBBA1C"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BX286 SQ070 SQ142</w:t>
            </w:r>
          </w:p>
        </w:tc>
        <w:tc>
          <w:tcPr>
            <w:tcW w:w="283" w:type="dxa"/>
            <w:shd w:val="clear" w:color="auto" w:fill="auto"/>
            <w:noWrap/>
            <w:vAlign w:val="center"/>
            <w:hideMark/>
          </w:tcPr>
          <w:p w14:paraId="317F9638"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06B2B837"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$286</w:t>
            </w:r>
          </w:p>
        </w:tc>
        <w:tc>
          <w:tcPr>
            <w:tcW w:w="2260" w:type="dxa"/>
            <w:tcBorders>
              <w:left w:val="nil"/>
            </w:tcBorders>
            <w:shd w:val="clear" w:color="auto" w:fill="auto"/>
            <w:vAlign w:val="center"/>
            <w:hideMark/>
          </w:tcPr>
          <w:p w14:paraId="1151CF9A"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PV001</w:t>
            </w:r>
          </w:p>
        </w:tc>
        <w:tc>
          <w:tcPr>
            <w:tcW w:w="367" w:type="dxa"/>
            <w:shd w:val="clear" w:color="auto" w:fill="auto"/>
            <w:noWrap/>
            <w:vAlign w:val="center"/>
            <w:hideMark/>
          </w:tcPr>
          <w:p w14:paraId="0A961493"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3AA005C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$1,173</w:t>
            </w:r>
          </w:p>
        </w:tc>
        <w:tc>
          <w:tcPr>
            <w:tcW w:w="2451" w:type="dxa"/>
            <w:tcBorders>
              <w:left w:val="nil"/>
            </w:tcBorders>
            <w:shd w:val="clear" w:color="auto" w:fill="auto"/>
            <w:vAlign w:val="center"/>
            <w:hideMark/>
          </w:tcPr>
          <w:p w14:paraId="280A438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ET051 FJ001 FJ002 FJ004 LH001 LM084 MC618</w:t>
            </w:r>
          </w:p>
        </w:tc>
      </w:tr>
      <w:tr w:rsidR="00DE3A1B" w:rsidRPr="00DE3A1B" w14:paraId="04EFEFF4" w14:textId="77777777" w:rsidTr="00014618">
        <w:trPr>
          <w:cantSplit/>
          <w:trHeight w:val="480"/>
        </w:trPr>
        <w:tc>
          <w:tcPr>
            <w:tcW w:w="617" w:type="dxa"/>
            <w:tcBorders>
              <w:right w:val="nil"/>
            </w:tcBorders>
            <w:shd w:val="clear" w:color="auto" w:fill="auto"/>
            <w:noWrap/>
            <w:vAlign w:val="center"/>
            <w:hideMark/>
          </w:tcPr>
          <w:p w14:paraId="494CD0A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$76</w:t>
            </w:r>
          </w:p>
        </w:tc>
        <w:tc>
          <w:tcPr>
            <w:tcW w:w="2072" w:type="dxa"/>
            <w:tcBorders>
              <w:left w:val="nil"/>
            </w:tcBorders>
            <w:shd w:val="clear" w:color="auto" w:fill="auto"/>
            <w:vAlign w:val="center"/>
            <w:hideMark/>
          </w:tcPr>
          <w:p w14:paraId="22ED5157"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BX326</w:t>
            </w:r>
          </w:p>
        </w:tc>
        <w:tc>
          <w:tcPr>
            <w:tcW w:w="283" w:type="dxa"/>
            <w:shd w:val="clear" w:color="auto" w:fill="auto"/>
            <w:noWrap/>
            <w:vAlign w:val="center"/>
            <w:hideMark/>
          </w:tcPr>
          <w:p w14:paraId="055632B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56E3CA6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$290</w:t>
            </w:r>
          </w:p>
        </w:tc>
        <w:tc>
          <w:tcPr>
            <w:tcW w:w="2260" w:type="dxa"/>
            <w:tcBorders>
              <w:left w:val="nil"/>
            </w:tcBorders>
            <w:shd w:val="clear" w:color="auto" w:fill="auto"/>
            <w:vAlign w:val="center"/>
            <w:hideMark/>
          </w:tcPr>
          <w:p w14:paraId="7BD9A9C9"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DO009 DO012 DO025 SJ452 SJ459 SJ463 TU061 TU067</w:t>
            </w:r>
          </w:p>
        </w:tc>
        <w:tc>
          <w:tcPr>
            <w:tcW w:w="367" w:type="dxa"/>
            <w:shd w:val="clear" w:color="auto" w:fill="auto"/>
            <w:noWrap/>
            <w:vAlign w:val="center"/>
            <w:hideMark/>
          </w:tcPr>
          <w:p w14:paraId="68537D5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65FBDC5A"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$1,177</w:t>
            </w:r>
          </w:p>
        </w:tc>
        <w:tc>
          <w:tcPr>
            <w:tcW w:w="2451" w:type="dxa"/>
            <w:tcBorders>
              <w:left w:val="nil"/>
            </w:tcBorders>
            <w:shd w:val="clear" w:color="auto" w:fill="auto"/>
            <w:vAlign w:val="center"/>
            <w:hideMark/>
          </w:tcPr>
          <w:p w14:paraId="0A414490"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AB004 BX216 BX285 MN204</w:t>
            </w:r>
          </w:p>
        </w:tc>
      </w:tr>
      <w:tr w:rsidR="00DE3A1B" w:rsidRPr="00DE3A1B" w14:paraId="1657C2F0" w14:textId="77777777" w:rsidTr="00014618">
        <w:trPr>
          <w:cantSplit/>
          <w:trHeight w:val="720"/>
        </w:trPr>
        <w:tc>
          <w:tcPr>
            <w:tcW w:w="617" w:type="dxa"/>
            <w:tcBorders>
              <w:right w:val="nil"/>
            </w:tcBorders>
            <w:shd w:val="clear" w:color="auto" w:fill="auto"/>
            <w:noWrap/>
            <w:vAlign w:val="center"/>
            <w:hideMark/>
          </w:tcPr>
          <w:p w14:paraId="03D51A7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$81</w:t>
            </w:r>
          </w:p>
        </w:tc>
        <w:tc>
          <w:tcPr>
            <w:tcW w:w="2072" w:type="dxa"/>
            <w:tcBorders>
              <w:left w:val="nil"/>
            </w:tcBorders>
            <w:shd w:val="clear" w:color="auto" w:fill="auto"/>
            <w:vAlign w:val="center"/>
            <w:hideMark/>
          </w:tcPr>
          <w:p w14:paraId="216605C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JJ036</w:t>
            </w:r>
          </w:p>
        </w:tc>
        <w:tc>
          <w:tcPr>
            <w:tcW w:w="283" w:type="dxa"/>
            <w:shd w:val="clear" w:color="auto" w:fill="auto"/>
            <w:noWrap/>
            <w:vAlign w:val="center"/>
            <w:hideMark/>
          </w:tcPr>
          <w:p w14:paraId="61F77682"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6D8A384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$292</w:t>
            </w:r>
          </w:p>
        </w:tc>
        <w:tc>
          <w:tcPr>
            <w:tcW w:w="2260" w:type="dxa"/>
            <w:tcBorders>
              <w:left w:val="nil"/>
            </w:tcBorders>
            <w:shd w:val="clear" w:color="auto" w:fill="auto"/>
            <w:vAlign w:val="center"/>
            <w:hideMark/>
          </w:tcPr>
          <w:p w14:paraId="6A9F1BCB"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AS110 ET066 IJ015 IJ018 JJ050 MI212 MI214 MI456 MN217 OB002 OB005 OB009 OX032 OX033 OX034</w:t>
            </w:r>
          </w:p>
        </w:tc>
        <w:tc>
          <w:tcPr>
            <w:tcW w:w="367" w:type="dxa"/>
            <w:shd w:val="clear" w:color="auto" w:fill="auto"/>
            <w:noWrap/>
            <w:vAlign w:val="center"/>
            <w:hideMark/>
          </w:tcPr>
          <w:p w14:paraId="74FA269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3BA67120"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$1,473</w:t>
            </w:r>
          </w:p>
        </w:tc>
        <w:tc>
          <w:tcPr>
            <w:tcW w:w="2451" w:type="dxa"/>
            <w:tcBorders>
              <w:left w:val="nil"/>
            </w:tcBorders>
            <w:shd w:val="clear" w:color="auto" w:fill="auto"/>
            <w:vAlign w:val="center"/>
            <w:hideMark/>
          </w:tcPr>
          <w:p w14:paraId="7B4EBA8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ER279</w:t>
            </w:r>
          </w:p>
        </w:tc>
      </w:tr>
      <w:tr w:rsidR="00DE3A1B" w:rsidRPr="00DE3A1B" w14:paraId="655CCAE7" w14:textId="77777777" w:rsidTr="00014618">
        <w:trPr>
          <w:cantSplit/>
          <w:trHeight w:val="480"/>
        </w:trPr>
        <w:tc>
          <w:tcPr>
            <w:tcW w:w="617" w:type="dxa"/>
            <w:tcBorders>
              <w:right w:val="nil"/>
            </w:tcBorders>
            <w:shd w:val="clear" w:color="auto" w:fill="auto"/>
            <w:noWrap/>
            <w:vAlign w:val="center"/>
            <w:hideMark/>
          </w:tcPr>
          <w:p w14:paraId="3FDE33A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$82</w:t>
            </w:r>
          </w:p>
        </w:tc>
        <w:tc>
          <w:tcPr>
            <w:tcW w:w="2072" w:type="dxa"/>
            <w:tcBorders>
              <w:left w:val="nil"/>
            </w:tcBorders>
            <w:shd w:val="clear" w:color="auto" w:fill="auto"/>
            <w:vAlign w:val="center"/>
            <w:hideMark/>
          </w:tcPr>
          <w:p w14:paraId="4A704590"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BS142 DO021 DO024 FK012 KI005 KI007 NF001 WC070 WC334</w:t>
            </w:r>
          </w:p>
        </w:tc>
        <w:tc>
          <w:tcPr>
            <w:tcW w:w="283" w:type="dxa"/>
            <w:shd w:val="clear" w:color="auto" w:fill="auto"/>
            <w:noWrap/>
            <w:vAlign w:val="center"/>
            <w:hideMark/>
          </w:tcPr>
          <w:p w14:paraId="5029927B"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65E56B79"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$293</w:t>
            </w:r>
          </w:p>
        </w:tc>
        <w:tc>
          <w:tcPr>
            <w:tcW w:w="2260" w:type="dxa"/>
            <w:tcBorders>
              <w:left w:val="nil"/>
            </w:tcBorders>
            <w:shd w:val="clear" w:color="auto" w:fill="auto"/>
            <w:vAlign w:val="center"/>
            <w:hideMark/>
          </w:tcPr>
          <w:p w14:paraId="2D58E54A"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BA051 BA126 BA209 BA289 BA290 BA293 BA294 BA295</w:t>
            </w:r>
          </w:p>
        </w:tc>
        <w:tc>
          <w:tcPr>
            <w:tcW w:w="367" w:type="dxa"/>
            <w:shd w:val="clear" w:color="auto" w:fill="auto"/>
            <w:noWrap/>
            <w:vAlign w:val="center"/>
            <w:hideMark/>
          </w:tcPr>
          <w:p w14:paraId="466103A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right w:val="nil"/>
            </w:tcBorders>
            <w:shd w:val="clear" w:color="auto" w:fill="auto"/>
            <w:noWrap/>
            <w:vAlign w:val="center"/>
            <w:hideMark/>
          </w:tcPr>
          <w:p w14:paraId="12D6DBB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$2,283</w:t>
            </w:r>
          </w:p>
        </w:tc>
        <w:tc>
          <w:tcPr>
            <w:tcW w:w="2451" w:type="dxa"/>
            <w:tcBorders>
              <w:left w:val="nil"/>
            </w:tcBorders>
            <w:shd w:val="clear" w:color="auto" w:fill="auto"/>
            <w:vAlign w:val="center"/>
            <w:hideMark/>
          </w:tcPr>
          <w:p w14:paraId="57B8BDF8"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ER650</w:t>
            </w:r>
          </w:p>
        </w:tc>
      </w:tr>
      <w:tr w:rsidR="00DE3A1B" w:rsidRPr="00DE3A1B" w14:paraId="517507D8" w14:textId="77777777" w:rsidTr="00014618">
        <w:trPr>
          <w:cantSplit/>
          <w:trHeight w:val="480"/>
        </w:trPr>
        <w:tc>
          <w:tcPr>
            <w:tcW w:w="617" w:type="dxa"/>
            <w:tcBorders>
              <w:right w:val="nil"/>
            </w:tcBorders>
            <w:shd w:val="clear" w:color="auto" w:fill="auto"/>
            <w:noWrap/>
            <w:vAlign w:val="center"/>
            <w:hideMark/>
          </w:tcPr>
          <w:p w14:paraId="33E0EAC4"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$90</w:t>
            </w:r>
          </w:p>
        </w:tc>
        <w:tc>
          <w:tcPr>
            <w:tcW w:w="2072" w:type="dxa"/>
            <w:tcBorders>
              <w:left w:val="nil"/>
            </w:tcBorders>
            <w:shd w:val="clear" w:color="auto" w:fill="auto"/>
            <w:vAlign w:val="center"/>
            <w:hideMark/>
          </w:tcPr>
          <w:p w14:paraId="569B3BCA"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AB084 SV054</w:t>
            </w:r>
          </w:p>
        </w:tc>
        <w:tc>
          <w:tcPr>
            <w:tcW w:w="283" w:type="dxa"/>
            <w:shd w:val="clear" w:color="auto" w:fill="auto"/>
            <w:noWrap/>
            <w:vAlign w:val="center"/>
            <w:hideMark/>
          </w:tcPr>
          <w:p w14:paraId="1C51A56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03422A6C"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$301</w:t>
            </w:r>
          </w:p>
        </w:tc>
        <w:tc>
          <w:tcPr>
            <w:tcW w:w="2260" w:type="dxa"/>
            <w:tcBorders>
              <w:left w:val="nil"/>
            </w:tcBorders>
            <w:shd w:val="clear" w:color="auto" w:fill="auto"/>
            <w:vAlign w:val="center"/>
            <w:hideMark/>
          </w:tcPr>
          <w:p w14:paraId="1C621CD8"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BX334 BX335</w:t>
            </w:r>
          </w:p>
        </w:tc>
        <w:tc>
          <w:tcPr>
            <w:tcW w:w="367" w:type="dxa"/>
            <w:tcBorders>
              <w:bottom w:val="single" w:sz="4" w:space="0" w:color="808080" w:themeColor="background2" w:themeShade="80"/>
            </w:tcBorders>
            <w:shd w:val="clear" w:color="auto" w:fill="auto"/>
            <w:noWrap/>
            <w:vAlign w:val="center"/>
            <w:hideMark/>
          </w:tcPr>
          <w:p w14:paraId="7AF9595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867" w:type="dxa"/>
            <w:tcBorders>
              <w:bottom w:val="single" w:sz="4" w:space="0" w:color="808080" w:themeColor="background2" w:themeShade="80"/>
              <w:right w:val="nil"/>
            </w:tcBorders>
            <w:shd w:val="clear" w:color="auto" w:fill="auto"/>
            <w:noWrap/>
            <w:vAlign w:val="center"/>
            <w:hideMark/>
          </w:tcPr>
          <w:p w14:paraId="4AE6664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$2,805</w:t>
            </w:r>
          </w:p>
        </w:tc>
        <w:tc>
          <w:tcPr>
            <w:tcW w:w="2451" w:type="dxa"/>
            <w:tcBorders>
              <w:left w:val="nil"/>
              <w:bottom w:val="single" w:sz="4" w:space="0" w:color="808080" w:themeColor="background2" w:themeShade="80"/>
            </w:tcBorders>
            <w:shd w:val="clear" w:color="auto" w:fill="auto"/>
            <w:vAlign w:val="center"/>
            <w:hideMark/>
          </w:tcPr>
          <w:p w14:paraId="03EDB63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DE776 FK017 FX002 RE001 RE002 SI034 SI045 SI052</w:t>
            </w:r>
          </w:p>
        </w:tc>
      </w:tr>
      <w:tr w:rsidR="00DE3A1B" w:rsidRPr="00DE3A1B" w14:paraId="02FA04AA" w14:textId="77777777" w:rsidTr="00014618">
        <w:trPr>
          <w:cantSplit/>
          <w:trHeight w:val="240"/>
        </w:trPr>
        <w:tc>
          <w:tcPr>
            <w:tcW w:w="617" w:type="dxa"/>
            <w:tcBorders>
              <w:right w:val="nil"/>
            </w:tcBorders>
            <w:shd w:val="clear" w:color="auto" w:fill="auto"/>
            <w:noWrap/>
            <w:vAlign w:val="center"/>
            <w:hideMark/>
          </w:tcPr>
          <w:p w14:paraId="11BAC077"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$91</w:t>
            </w:r>
          </w:p>
        </w:tc>
        <w:tc>
          <w:tcPr>
            <w:tcW w:w="2072" w:type="dxa"/>
            <w:tcBorders>
              <w:left w:val="nil"/>
            </w:tcBorders>
            <w:shd w:val="clear" w:color="auto" w:fill="auto"/>
            <w:vAlign w:val="center"/>
            <w:hideMark/>
          </w:tcPr>
          <w:p w14:paraId="44764449"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JJ433</w:t>
            </w:r>
          </w:p>
        </w:tc>
        <w:tc>
          <w:tcPr>
            <w:tcW w:w="283" w:type="dxa"/>
            <w:shd w:val="clear" w:color="auto" w:fill="auto"/>
            <w:noWrap/>
            <w:vAlign w:val="center"/>
            <w:hideMark/>
          </w:tcPr>
          <w:p w14:paraId="0826810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4831DC70"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$308</w:t>
            </w:r>
          </w:p>
        </w:tc>
        <w:tc>
          <w:tcPr>
            <w:tcW w:w="2260" w:type="dxa"/>
            <w:tcBorders>
              <w:left w:val="nil"/>
            </w:tcBorders>
            <w:shd w:val="clear" w:color="auto" w:fill="auto"/>
            <w:vAlign w:val="center"/>
            <w:hideMark/>
          </w:tcPr>
          <w:p w14:paraId="3BE2932C"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DE611</w:t>
            </w:r>
          </w:p>
        </w:tc>
        <w:tc>
          <w:tcPr>
            <w:tcW w:w="3685" w:type="dxa"/>
            <w:gridSpan w:val="3"/>
            <w:vMerge w:val="restart"/>
            <w:tcBorders>
              <w:right w:val="nil"/>
            </w:tcBorders>
            <w:shd w:val="clear" w:color="auto" w:fill="auto"/>
            <w:noWrap/>
            <w:vAlign w:val="center"/>
            <w:hideMark/>
          </w:tcPr>
          <w:p w14:paraId="3453A885" w14:textId="729A912D" w:rsidR="00DE3A1B" w:rsidRPr="00DE3A1B" w:rsidRDefault="00DE3A1B" w:rsidP="00DE3A1B">
            <w:pPr>
              <w:spacing w:after="0" w:line="240" w:lineRule="auto"/>
              <w:rPr>
                <w:rFonts w:eastAsia="Times New Roman" w:cs="Arial"/>
                <w:color w:val="000000"/>
                <w:sz w:val="18"/>
                <w:szCs w:val="18"/>
                <w:lang w:val="en-AU" w:eastAsia="en-AU"/>
              </w:rPr>
            </w:pPr>
          </w:p>
          <w:p w14:paraId="1AB3E8E3" w14:textId="0874B569"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r>
      <w:tr w:rsidR="00DE3A1B" w:rsidRPr="00DE3A1B" w14:paraId="0A82909D" w14:textId="77777777" w:rsidTr="00014618">
        <w:trPr>
          <w:cantSplit/>
          <w:trHeight w:val="480"/>
        </w:trPr>
        <w:tc>
          <w:tcPr>
            <w:tcW w:w="617" w:type="dxa"/>
            <w:tcBorders>
              <w:right w:val="nil"/>
            </w:tcBorders>
            <w:shd w:val="clear" w:color="auto" w:fill="auto"/>
            <w:noWrap/>
            <w:vAlign w:val="center"/>
            <w:hideMark/>
          </w:tcPr>
          <w:p w14:paraId="4C91AA13"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$92</w:t>
            </w:r>
          </w:p>
        </w:tc>
        <w:tc>
          <w:tcPr>
            <w:tcW w:w="2072" w:type="dxa"/>
            <w:tcBorders>
              <w:left w:val="nil"/>
            </w:tcBorders>
            <w:shd w:val="clear" w:color="auto" w:fill="auto"/>
            <w:vAlign w:val="center"/>
            <w:hideMark/>
          </w:tcPr>
          <w:p w14:paraId="0B367D37"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BU024 BX247 BX281 BX287 BX327 BX328 CU003 SQ146 UX001 UX002</w:t>
            </w:r>
          </w:p>
        </w:tc>
        <w:tc>
          <w:tcPr>
            <w:tcW w:w="283" w:type="dxa"/>
            <w:shd w:val="clear" w:color="auto" w:fill="auto"/>
            <w:noWrap/>
            <w:vAlign w:val="center"/>
            <w:hideMark/>
          </w:tcPr>
          <w:p w14:paraId="446E571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580FB1F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$312</w:t>
            </w:r>
          </w:p>
        </w:tc>
        <w:tc>
          <w:tcPr>
            <w:tcW w:w="2260" w:type="dxa"/>
            <w:tcBorders>
              <w:left w:val="nil"/>
            </w:tcBorders>
            <w:shd w:val="clear" w:color="auto" w:fill="auto"/>
            <w:vAlign w:val="center"/>
            <w:hideMark/>
          </w:tcPr>
          <w:p w14:paraId="6D2C56A8"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BX342</w:t>
            </w:r>
          </w:p>
        </w:tc>
        <w:tc>
          <w:tcPr>
            <w:tcW w:w="3685" w:type="dxa"/>
            <w:gridSpan w:val="3"/>
            <w:vMerge/>
            <w:tcBorders>
              <w:right w:val="nil"/>
            </w:tcBorders>
            <w:shd w:val="clear" w:color="auto" w:fill="auto"/>
            <w:noWrap/>
            <w:vAlign w:val="center"/>
            <w:hideMark/>
          </w:tcPr>
          <w:p w14:paraId="3882BC67" w14:textId="50083C8F" w:rsidR="00DE3A1B" w:rsidRPr="00DE3A1B" w:rsidRDefault="00DE3A1B" w:rsidP="00DE3A1B">
            <w:pPr>
              <w:spacing w:after="0" w:line="240" w:lineRule="auto"/>
              <w:rPr>
                <w:rFonts w:eastAsia="Times New Roman" w:cs="Arial"/>
                <w:color w:val="000000"/>
                <w:sz w:val="18"/>
                <w:szCs w:val="18"/>
                <w:lang w:val="en-AU" w:eastAsia="en-AU"/>
              </w:rPr>
            </w:pPr>
          </w:p>
        </w:tc>
      </w:tr>
      <w:tr w:rsidR="00DE3A1B" w:rsidRPr="00DE3A1B" w14:paraId="4767663D" w14:textId="77777777" w:rsidTr="00014618">
        <w:trPr>
          <w:cantSplit/>
          <w:trHeight w:val="480"/>
        </w:trPr>
        <w:tc>
          <w:tcPr>
            <w:tcW w:w="617" w:type="dxa"/>
            <w:tcBorders>
              <w:right w:val="nil"/>
            </w:tcBorders>
            <w:shd w:val="clear" w:color="auto" w:fill="auto"/>
            <w:noWrap/>
            <w:vAlign w:val="center"/>
            <w:hideMark/>
          </w:tcPr>
          <w:p w14:paraId="4DF29EAB"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$93</w:t>
            </w:r>
          </w:p>
        </w:tc>
        <w:tc>
          <w:tcPr>
            <w:tcW w:w="2072" w:type="dxa"/>
            <w:tcBorders>
              <w:left w:val="nil"/>
            </w:tcBorders>
            <w:shd w:val="clear" w:color="auto" w:fill="auto"/>
            <w:vAlign w:val="center"/>
            <w:hideMark/>
          </w:tcPr>
          <w:p w14:paraId="6FBDD278"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BF021 HW582 ME230 SL081 SL083</w:t>
            </w:r>
          </w:p>
        </w:tc>
        <w:tc>
          <w:tcPr>
            <w:tcW w:w="283" w:type="dxa"/>
            <w:shd w:val="clear" w:color="auto" w:fill="auto"/>
            <w:noWrap/>
            <w:vAlign w:val="center"/>
            <w:hideMark/>
          </w:tcPr>
          <w:p w14:paraId="6040495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1D498EDB"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$318</w:t>
            </w:r>
          </w:p>
        </w:tc>
        <w:tc>
          <w:tcPr>
            <w:tcW w:w="2260" w:type="dxa"/>
            <w:tcBorders>
              <w:left w:val="nil"/>
            </w:tcBorders>
            <w:shd w:val="clear" w:color="auto" w:fill="auto"/>
            <w:vAlign w:val="center"/>
            <w:hideMark/>
          </w:tcPr>
          <w:p w14:paraId="29FA26A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AS186 DE472 DE560 IJ021 MI282 MN219 OX037 ZZ069</w:t>
            </w:r>
          </w:p>
        </w:tc>
        <w:tc>
          <w:tcPr>
            <w:tcW w:w="3685" w:type="dxa"/>
            <w:gridSpan w:val="3"/>
            <w:vMerge/>
            <w:tcBorders>
              <w:right w:val="nil"/>
            </w:tcBorders>
            <w:shd w:val="clear" w:color="auto" w:fill="auto"/>
            <w:noWrap/>
            <w:vAlign w:val="center"/>
            <w:hideMark/>
          </w:tcPr>
          <w:p w14:paraId="40CE5A34" w14:textId="0D2E5FC7" w:rsidR="00DE3A1B" w:rsidRPr="00DE3A1B" w:rsidRDefault="00DE3A1B" w:rsidP="00DE3A1B">
            <w:pPr>
              <w:spacing w:after="0" w:line="240" w:lineRule="auto"/>
              <w:rPr>
                <w:rFonts w:eastAsia="Times New Roman" w:cs="Arial"/>
                <w:color w:val="000000"/>
                <w:sz w:val="18"/>
                <w:szCs w:val="18"/>
                <w:lang w:val="en-AU" w:eastAsia="en-AU"/>
              </w:rPr>
            </w:pPr>
          </w:p>
        </w:tc>
      </w:tr>
      <w:tr w:rsidR="00DE3A1B" w:rsidRPr="00DE3A1B" w14:paraId="4F160C65" w14:textId="77777777" w:rsidTr="00014618">
        <w:trPr>
          <w:cantSplit/>
          <w:trHeight w:val="240"/>
        </w:trPr>
        <w:tc>
          <w:tcPr>
            <w:tcW w:w="617" w:type="dxa"/>
            <w:tcBorders>
              <w:right w:val="nil"/>
            </w:tcBorders>
            <w:shd w:val="clear" w:color="auto" w:fill="auto"/>
            <w:noWrap/>
            <w:vAlign w:val="center"/>
            <w:hideMark/>
          </w:tcPr>
          <w:p w14:paraId="64CA1AD5"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$94</w:t>
            </w:r>
          </w:p>
        </w:tc>
        <w:tc>
          <w:tcPr>
            <w:tcW w:w="2072" w:type="dxa"/>
            <w:tcBorders>
              <w:left w:val="nil"/>
            </w:tcBorders>
            <w:shd w:val="clear" w:color="auto" w:fill="auto"/>
            <w:vAlign w:val="center"/>
            <w:hideMark/>
          </w:tcPr>
          <w:p w14:paraId="3874541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ET082</w:t>
            </w:r>
          </w:p>
        </w:tc>
        <w:tc>
          <w:tcPr>
            <w:tcW w:w="283" w:type="dxa"/>
            <w:shd w:val="clear" w:color="auto" w:fill="auto"/>
            <w:noWrap/>
            <w:vAlign w:val="center"/>
            <w:hideMark/>
          </w:tcPr>
          <w:p w14:paraId="61C9DF39"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18857FC0"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$319</w:t>
            </w:r>
          </w:p>
        </w:tc>
        <w:tc>
          <w:tcPr>
            <w:tcW w:w="2260" w:type="dxa"/>
            <w:tcBorders>
              <w:left w:val="nil"/>
            </w:tcBorders>
            <w:shd w:val="clear" w:color="auto" w:fill="auto"/>
            <w:vAlign w:val="center"/>
            <w:hideMark/>
          </w:tcPr>
          <w:p w14:paraId="5482ADC2"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CU004 SQ035 UX004</w:t>
            </w:r>
          </w:p>
        </w:tc>
        <w:tc>
          <w:tcPr>
            <w:tcW w:w="3685" w:type="dxa"/>
            <w:gridSpan w:val="3"/>
            <w:vMerge/>
            <w:tcBorders>
              <w:right w:val="nil"/>
            </w:tcBorders>
            <w:shd w:val="clear" w:color="auto" w:fill="auto"/>
            <w:noWrap/>
            <w:vAlign w:val="center"/>
            <w:hideMark/>
          </w:tcPr>
          <w:p w14:paraId="0656E82F" w14:textId="3626B2F0" w:rsidR="00DE3A1B" w:rsidRPr="00DE3A1B" w:rsidRDefault="00DE3A1B" w:rsidP="00DE3A1B">
            <w:pPr>
              <w:spacing w:after="0" w:line="240" w:lineRule="auto"/>
              <w:rPr>
                <w:rFonts w:eastAsia="Times New Roman" w:cs="Arial"/>
                <w:color w:val="000000"/>
                <w:sz w:val="18"/>
                <w:szCs w:val="18"/>
                <w:lang w:val="en-AU" w:eastAsia="en-AU"/>
              </w:rPr>
            </w:pPr>
          </w:p>
        </w:tc>
      </w:tr>
      <w:tr w:rsidR="00DE3A1B" w:rsidRPr="00DE3A1B" w14:paraId="7457126A" w14:textId="77777777" w:rsidTr="00014618">
        <w:trPr>
          <w:cantSplit/>
          <w:trHeight w:val="480"/>
        </w:trPr>
        <w:tc>
          <w:tcPr>
            <w:tcW w:w="617" w:type="dxa"/>
            <w:tcBorders>
              <w:right w:val="nil"/>
            </w:tcBorders>
            <w:shd w:val="clear" w:color="auto" w:fill="auto"/>
            <w:noWrap/>
            <w:vAlign w:val="center"/>
            <w:hideMark/>
          </w:tcPr>
          <w:p w14:paraId="1BE656C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$96</w:t>
            </w:r>
          </w:p>
        </w:tc>
        <w:tc>
          <w:tcPr>
            <w:tcW w:w="2072" w:type="dxa"/>
            <w:tcBorders>
              <w:left w:val="nil"/>
            </w:tcBorders>
            <w:shd w:val="clear" w:color="auto" w:fill="auto"/>
            <w:vAlign w:val="center"/>
            <w:hideMark/>
          </w:tcPr>
          <w:p w14:paraId="6E9D0E0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BA130 TX026 TX027 TX028 WC111 WC201 WC204 WC205</w:t>
            </w:r>
          </w:p>
        </w:tc>
        <w:tc>
          <w:tcPr>
            <w:tcW w:w="283" w:type="dxa"/>
            <w:shd w:val="clear" w:color="auto" w:fill="auto"/>
            <w:noWrap/>
            <w:vAlign w:val="center"/>
            <w:hideMark/>
          </w:tcPr>
          <w:p w14:paraId="1A30F42C"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631401B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$320</w:t>
            </w:r>
          </w:p>
        </w:tc>
        <w:tc>
          <w:tcPr>
            <w:tcW w:w="2260" w:type="dxa"/>
            <w:tcBorders>
              <w:left w:val="nil"/>
            </w:tcBorders>
            <w:shd w:val="clear" w:color="auto" w:fill="auto"/>
            <w:vAlign w:val="center"/>
            <w:hideMark/>
          </w:tcPr>
          <w:p w14:paraId="1193B3F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WC197</w:t>
            </w:r>
          </w:p>
        </w:tc>
        <w:tc>
          <w:tcPr>
            <w:tcW w:w="3685" w:type="dxa"/>
            <w:gridSpan w:val="3"/>
            <w:vMerge/>
            <w:tcBorders>
              <w:right w:val="nil"/>
            </w:tcBorders>
            <w:shd w:val="clear" w:color="auto" w:fill="auto"/>
            <w:noWrap/>
            <w:vAlign w:val="center"/>
            <w:hideMark/>
          </w:tcPr>
          <w:p w14:paraId="14008E12" w14:textId="78EC5737" w:rsidR="00DE3A1B" w:rsidRPr="00DE3A1B" w:rsidRDefault="00DE3A1B" w:rsidP="00DE3A1B">
            <w:pPr>
              <w:spacing w:after="0" w:line="240" w:lineRule="auto"/>
              <w:rPr>
                <w:rFonts w:eastAsia="Times New Roman" w:cs="Arial"/>
                <w:color w:val="000000"/>
                <w:sz w:val="18"/>
                <w:szCs w:val="18"/>
                <w:lang w:val="en-AU" w:eastAsia="en-AU"/>
              </w:rPr>
            </w:pPr>
          </w:p>
        </w:tc>
      </w:tr>
      <w:tr w:rsidR="00DE3A1B" w:rsidRPr="00DE3A1B" w14:paraId="0A2D41B4" w14:textId="77777777" w:rsidTr="00014618">
        <w:trPr>
          <w:cantSplit/>
          <w:trHeight w:val="240"/>
        </w:trPr>
        <w:tc>
          <w:tcPr>
            <w:tcW w:w="617" w:type="dxa"/>
            <w:tcBorders>
              <w:right w:val="nil"/>
            </w:tcBorders>
            <w:shd w:val="clear" w:color="auto" w:fill="auto"/>
            <w:noWrap/>
            <w:vAlign w:val="center"/>
            <w:hideMark/>
          </w:tcPr>
          <w:p w14:paraId="4B6A7075"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$98</w:t>
            </w:r>
          </w:p>
        </w:tc>
        <w:tc>
          <w:tcPr>
            <w:tcW w:w="2072" w:type="dxa"/>
            <w:tcBorders>
              <w:left w:val="nil"/>
            </w:tcBorders>
            <w:shd w:val="clear" w:color="auto" w:fill="auto"/>
            <w:vAlign w:val="center"/>
            <w:hideMark/>
          </w:tcPr>
          <w:p w14:paraId="4D690D66"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JJ029 MN117</w:t>
            </w:r>
          </w:p>
        </w:tc>
        <w:tc>
          <w:tcPr>
            <w:tcW w:w="283" w:type="dxa"/>
            <w:shd w:val="clear" w:color="auto" w:fill="auto"/>
            <w:noWrap/>
            <w:vAlign w:val="center"/>
            <w:hideMark/>
          </w:tcPr>
          <w:p w14:paraId="5233D42D"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295F9F2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$323</w:t>
            </w:r>
          </w:p>
        </w:tc>
        <w:tc>
          <w:tcPr>
            <w:tcW w:w="2260" w:type="dxa"/>
            <w:tcBorders>
              <w:left w:val="nil"/>
            </w:tcBorders>
            <w:shd w:val="clear" w:color="auto" w:fill="auto"/>
            <w:vAlign w:val="center"/>
            <w:hideMark/>
          </w:tcPr>
          <w:p w14:paraId="546AA9EF"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AB075 AS229 BX214 BX283</w:t>
            </w:r>
          </w:p>
        </w:tc>
        <w:tc>
          <w:tcPr>
            <w:tcW w:w="3685" w:type="dxa"/>
            <w:gridSpan w:val="3"/>
            <w:vMerge/>
            <w:tcBorders>
              <w:right w:val="nil"/>
            </w:tcBorders>
            <w:shd w:val="clear" w:color="auto" w:fill="auto"/>
            <w:noWrap/>
            <w:vAlign w:val="center"/>
            <w:hideMark/>
          </w:tcPr>
          <w:p w14:paraId="065BC8A6" w14:textId="1B04E36F" w:rsidR="00DE3A1B" w:rsidRPr="00DE3A1B" w:rsidRDefault="00DE3A1B" w:rsidP="00DE3A1B">
            <w:pPr>
              <w:spacing w:after="0" w:line="240" w:lineRule="auto"/>
              <w:rPr>
                <w:rFonts w:eastAsia="Times New Roman" w:cs="Arial"/>
                <w:color w:val="000000"/>
                <w:sz w:val="18"/>
                <w:szCs w:val="18"/>
                <w:lang w:val="en-AU" w:eastAsia="en-AU"/>
              </w:rPr>
            </w:pPr>
          </w:p>
        </w:tc>
      </w:tr>
      <w:tr w:rsidR="00DE3A1B" w:rsidRPr="00DE3A1B" w14:paraId="021F5EE5" w14:textId="77777777" w:rsidTr="00014618">
        <w:trPr>
          <w:cantSplit/>
          <w:trHeight w:val="240"/>
        </w:trPr>
        <w:tc>
          <w:tcPr>
            <w:tcW w:w="617" w:type="dxa"/>
            <w:tcBorders>
              <w:right w:val="nil"/>
            </w:tcBorders>
            <w:shd w:val="clear" w:color="auto" w:fill="auto"/>
            <w:noWrap/>
            <w:vAlign w:val="center"/>
            <w:hideMark/>
          </w:tcPr>
          <w:p w14:paraId="053E4F1E"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$99</w:t>
            </w:r>
          </w:p>
        </w:tc>
        <w:tc>
          <w:tcPr>
            <w:tcW w:w="2072" w:type="dxa"/>
            <w:tcBorders>
              <w:left w:val="nil"/>
            </w:tcBorders>
            <w:shd w:val="clear" w:color="auto" w:fill="auto"/>
            <w:vAlign w:val="center"/>
            <w:hideMark/>
          </w:tcPr>
          <w:p w14:paraId="426DD245"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WC335</w:t>
            </w:r>
          </w:p>
        </w:tc>
        <w:tc>
          <w:tcPr>
            <w:tcW w:w="283" w:type="dxa"/>
            <w:shd w:val="clear" w:color="auto" w:fill="auto"/>
            <w:noWrap/>
            <w:vAlign w:val="center"/>
            <w:hideMark/>
          </w:tcPr>
          <w:p w14:paraId="0A286687"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 </w:t>
            </w:r>
          </w:p>
        </w:tc>
        <w:tc>
          <w:tcPr>
            <w:tcW w:w="717" w:type="dxa"/>
            <w:tcBorders>
              <w:right w:val="nil"/>
            </w:tcBorders>
            <w:shd w:val="clear" w:color="auto" w:fill="auto"/>
            <w:noWrap/>
            <w:vAlign w:val="center"/>
            <w:hideMark/>
          </w:tcPr>
          <w:p w14:paraId="4AF20B21"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$343</w:t>
            </w:r>
          </w:p>
        </w:tc>
        <w:tc>
          <w:tcPr>
            <w:tcW w:w="2260" w:type="dxa"/>
            <w:tcBorders>
              <w:left w:val="nil"/>
            </w:tcBorders>
            <w:shd w:val="clear" w:color="auto" w:fill="auto"/>
            <w:vAlign w:val="center"/>
            <w:hideMark/>
          </w:tcPr>
          <w:p w14:paraId="42A1D2C5" w14:textId="77777777" w:rsidR="00DE3A1B" w:rsidRPr="00DE3A1B" w:rsidRDefault="00DE3A1B" w:rsidP="00DE3A1B">
            <w:pPr>
              <w:spacing w:after="0" w:line="240" w:lineRule="auto"/>
              <w:rPr>
                <w:rFonts w:eastAsia="Times New Roman" w:cs="Arial"/>
                <w:color w:val="000000"/>
                <w:sz w:val="18"/>
                <w:szCs w:val="18"/>
                <w:lang w:val="en-AU" w:eastAsia="en-AU"/>
              </w:rPr>
            </w:pPr>
            <w:r w:rsidRPr="00DE3A1B">
              <w:rPr>
                <w:rFonts w:eastAsia="Times New Roman" w:cs="Arial"/>
                <w:color w:val="000000"/>
                <w:sz w:val="18"/>
                <w:szCs w:val="18"/>
                <w:lang w:val="en-AU" w:eastAsia="en-AU"/>
              </w:rPr>
              <w:t>JJ640</w:t>
            </w:r>
          </w:p>
        </w:tc>
        <w:tc>
          <w:tcPr>
            <w:tcW w:w="3685" w:type="dxa"/>
            <w:gridSpan w:val="3"/>
            <w:vMerge/>
            <w:tcBorders>
              <w:bottom w:val="nil"/>
              <w:right w:val="nil"/>
            </w:tcBorders>
            <w:shd w:val="clear" w:color="auto" w:fill="auto"/>
            <w:noWrap/>
            <w:vAlign w:val="center"/>
            <w:hideMark/>
          </w:tcPr>
          <w:p w14:paraId="0421073D" w14:textId="65291299" w:rsidR="00DE3A1B" w:rsidRPr="00DE3A1B" w:rsidRDefault="00DE3A1B" w:rsidP="00DE3A1B">
            <w:pPr>
              <w:spacing w:after="0" w:line="240" w:lineRule="auto"/>
              <w:rPr>
                <w:rFonts w:eastAsia="Times New Roman" w:cs="Arial"/>
                <w:color w:val="000000"/>
                <w:sz w:val="18"/>
                <w:szCs w:val="18"/>
                <w:lang w:val="en-AU" w:eastAsia="en-AU"/>
              </w:rPr>
            </w:pPr>
          </w:p>
        </w:tc>
      </w:tr>
    </w:tbl>
    <w:p w14:paraId="796D0BA0" w14:textId="77777777" w:rsidR="00DE3A1B" w:rsidRDefault="00DE3A1B" w:rsidP="00626280">
      <w:pPr>
        <w:spacing w:line="259" w:lineRule="auto"/>
      </w:pPr>
    </w:p>
    <w:p w14:paraId="78C21A38" w14:textId="3C67E947" w:rsidR="00626280" w:rsidRDefault="00626280" w:rsidP="00626280">
      <w:pPr>
        <w:spacing w:line="259" w:lineRule="auto"/>
        <w:rPr>
          <w:rFonts w:eastAsiaTheme="majorEastAsia" w:cstheme="majorBidi"/>
          <w:b/>
          <w:sz w:val="72"/>
          <w:szCs w:val="32"/>
        </w:rPr>
      </w:pPr>
      <w:r>
        <w:br w:type="page"/>
      </w:r>
    </w:p>
    <w:p w14:paraId="4974BFC5" w14:textId="627A9AD9" w:rsidR="00626280" w:rsidRDefault="007F2BE1" w:rsidP="003E26F7">
      <w:pPr>
        <w:pStyle w:val="Heading2"/>
        <w:numPr>
          <w:ilvl w:val="0"/>
          <w:numId w:val="0"/>
        </w:numPr>
        <w:ind w:left="576" w:hanging="576"/>
      </w:pPr>
      <w:bookmarkStart w:id="103" w:name="_Toc118635336"/>
      <w:bookmarkStart w:id="104" w:name="_Ref118722687"/>
      <w:bookmarkStart w:id="105" w:name="_Ref118722693"/>
      <w:bookmarkStart w:id="106" w:name="_Ref119057770"/>
      <w:bookmarkStart w:id="107" w:name="_Ref120103476"/>
      <w:bookmarkStart w:id="108" w:name="_Ref120103853"/>
      <w:bookmarkStart w:id="109" w:name="_Toc121130816"/>
      <w:r>
        <w:t>C</w:t>
      </w:r>
      <w:r w:rsidR="00B87169">
        <w:t xml:space="preserve">.2 </w:t>
      </w:r>
      <w:r w:rsidR="00626280">
        <w:t>Data representativeness</w:t>
      </w:r>
      <w:bookmarkEnd w:id="99"/>
      <w:bookmarkEnd w:id="100"/>
      <w:bookmarkEnd w:id="103"/>
      <w:bookmarkEnd w:id="104"/>
      <w:bookmarkEnd w:id="105"/>
      <w:bookmarkEnd w:id="106"/>
      <w:bookmarkEnd w:id="107"/>
      <w:bookmarkEnd w:id="108"/>
      <w:bookmarkEnd w:id="109"/>
    </w:p>
    <w:p w14:paraId="4FA5A5B4" w14:textId="5C204389" w:rsidR="00F26E72" w:rsidRDefault="00F26E72" w:rsidP="00F26E72">
      <w:r>
        <w:t xml:space="preserve">The Stage 4 prepared HCP data is compared against alternative sources of information to examine the extent to which it is representative of the population of privately insured admitted episodes and associated PL device </w:t>
      </w:r>
      <w:proofErr w:type="spellStart"/>
      <w:r>
        <w:t>utilisation</w:t>
      </w:r>
      <w:proofErr w:type="spellEnd"/>
      <w:r>
        <w:t xml:space="preserve"> and benefits paid. The following alternative data sources are used for this purpose:</w:t>
      </w:r>
    </w:p>
    <w:p w14:paraId="3B79E423" w14:textId="77777777" w:rsidR="00F26E72" w:rsidRDefault="00F26E72" w:rsidP="00F26E72">
      <w:pPr>
        <w:pStyle w:val="ListParagraph"/>
        <w:numPr>
          <w:ilvl w:val="0"/>
          <w:numId w:val="11"/>
        </w:numPr>
      </w:pPr>
      <w:r>
        <w:t>The Private Hospital Data Bureau (PHDB) data collection</w:t>
      </w:r>
    </w:p>
    <w:p w14:paraId="398E5340" w14:textId="77777777" w:rsidR="00F26E72" w:rsidRDefault="00F26E72" w:rsidP="00F26E72">
      <w:pPr>
        <w:pStyle w:val="ListParagraph"/>
        <w:numPr>
          <w:ilvl w:val="0"/>
          <w:numId w:val="11"/>
        </w:numPr>
      </w:pPr>
      <w:r>
        <w:t>The IHACPA Admitted Patient Care (APC) activity data collection</w:t>
      </w:r>
    </w:p>
    <w:p w14:paraId="7787E196" w14:textId="77777777" w:rsidR="00F26E72" w:rsidRDefault="00F26E72" w:rsidP="00F26E72">
      <w:pPr>
        <w:pStyle w:val="ListParagraph"/>
        <w:numPr>
          <w:ilvl w:val="0"/>
          <w:numId w:val="11"/>
        </w:numPr>
      </w:pPr>
      <w:r>
        <w:t>The Australian Prudential Regulatory Authority (APRA) Quarterly Private Health Insurance Statistics report.</w:t>
      </w:r>
    </w:p>
    <w:p w14:paraId="781F033D" w14:textId="524F71FF" w:rsidR="00B87169" w:rsidRDefault="00626280" w:rsidP="00F26E72">
      <w:r>
        <w:t xml:space="preserve">A number of checks were performed on the prepared HCP data to estimate the extent to which the data </w:t>
      </w:r>
      <w:r w:rsidR="00F26E72">
        <w:t xml:space="preserve">was </w:t>
      </w:r>
      <w:r>
        <w:t xml:space="preserve">representative of the profile of </w:t>
      </w:r>
      <w:r w:rsidR="00F26E72">
        <w:t xml:space="preserve">PL device </w:t>
      </w:r>
      <w:proofErr w:type="spellStart"/>
      <w:r w:rsidR="00F26E72">
        <w:t>utilisation</w:t>
      </w:r>
      <w:proofErr w:type="spellEnd"/>
      <w:r w:rsidR="00F26E72">
        <w:t xml:space="preserve"> </w:t>
      </w:r>
      <w:r>
        <w:t xml:space="preserve">in privately insured episodes in financial year 2020-21, as observed from </w:t>
      </w:r>
      <w:r w:rsidR="00F26E72">
        <w:t xml:space="preserve">the </w:t>
      </w:r>
      <w:r>
        <w:t>alternative data sources.</w:t>
      </w:r>
    </w:p>
    <w:p w14:paraId="60B23A77" w14:textId="4ECB8A72" w:rsidR="00626280" w:rsidRDefault="007F2BE1" w:rsidP="003E26F7">
      <w:pPr>
        <w:pStyle w:val="Heading3"/>
        <w:numPr>
          <w:ilvl w:val="0"/>
          <w:numId w:val="0"/>
        </w:numPr>
        <w:ind w:left="720" w:hanging="720"/>
      </w:pPr>
      <w:bookmarkStart w:id="110" w:name="_Toc118635338"/>
      <w:bookmarkStart w:id="111" w:name="_Toc121130817"/>
      <w:r>
        <w:t>C</w:t>
      </w:r>
      <w:r w:rsidR="00AA4282">
        <w:t>.2.</w:t>
      </w:r>
      <w:r w:rsidR="00F26E72">
        <w:t>1</w:t>
      </w:r>
      <w:r w:rsidR="00AA4282">
        <w:t xml:space="preserve"> </w:t>
      </w:r>
      <w:r w:rsidR="00626280">
        <w:t>Results of data representativeness</w:t>
      </w:r>
      <w:bookmarkEnd w:id="110"/>
      <w:bookmarkEnd w:id="111"/>
    </w:p>
    <w:bookmarkStart w:id="112" w:name="_Toc116632860"/>
    <w:bookmarkStart w:id="113" w:name="_Toc116632861"/>
    <w:bookmarkStart w:id="114" w:name="_Toc116632862"/>
    <w:bookmarkEnd w:id="112"/>
    <w:bookmarkEnd w:id="113"/>
    <w:bookmarkEnd w:id="114"/>
    <w:p w14:paraId="3079C14C" w14:textId="5B0E8414" w:rsidR="00626280" w:rsidRDefault="00AC4CDE" w:rsidP="00626280">
      <w:r>
        <w:fldChar w:fldCharType="begin"/>
      </w:r>
      <w:r>
        <w:instrText xml:space="preserve"> REF _Ref119676114 \h </w:instrText>
      </w:r>
      <w:r>
        <w:fldChar w:fldCharType="separate"/>
      </w:r>
      <w:r w:rsidR="00106CD4">
        <w:t xml:space="preserve">Table </w:t>
      </w:r>
      <w:r w:rsidR="00106CD4">
        <w:rPr>
          <w:noProof/>
        </w:rPr>
        <w:t>16</w:t>
      </w:r>
      <w:r>
        <w:fldChar w:fldCharType="end"/>
      </w:r>
      <w:r>
        <w:t xml:space="preserve"> and </w:t>
      </w:r>
      <w:r>
        <w:fldChar w:fldCharType="begin"/>
      </w:r>
      <w:r>
        <w:instrText xml:space="preserve"> REF _Ref120048690 \h </w:instrText>
      </w:r>
      <w:r>
        <w:fldChar w:fldCharType="separate"/>
      </w:r>
      <w:r w:rsidR="00106CD4">
        <w:t xml:space="preserve">Table </w:t>
      </w:r>
      <w:r w:rsidR="00106CD4">
        <w:rPr>
          <w:noProof/>
        </w:rPr>
        <w:t>17</w:t>
      </w:r>
      <w:r>
        <w:fldChar w:fldCharType="end"/>
      </w:r>
      <w:r>
        <w:t xml:space="preserve"> </w:t>
      </w:r>
      <w:r w:rsidR="00626280">
        <w:t xml:space="preserve">below show the completeness of the prepared HCP data for </w:t>
      </w:r>
      <w:r w:rsidR="00D44498">
        <w:t xml:space="preserve">the </w:t>
      </w:r>
      <w:r w:rsidR="00626280">
        <w:t>count of privately insured episodes (measured against PHDB and IHACPA APC data) and prosthes</w:t>
      </w:r>
      <w:r>
        <w:t>i</w:t>
      </w:r>
      <w:r w:rsidR="00626280">
        <w:t xml:space="preserve">s devices (measured against APRA data). </w:t>
      </w:r>
    </w:p>
    <w:p w14:paraId="37B624D4" w14:textId="497436E7" w:rsidR="000E7BBC" w:rsidRDefault="000E7BBC" w:rsidP="003D0C71">
      <w:pPr>
        <w:pStyle w:val="Caption"/>
      </w:pPr>
      <w:bookmarkStart w:id="115" w:name="_Ref119676114"/>
      <w:r>
        <w:t xml:space="preserve">Table </w:t>
      </w:r>
      <w:fldSimple w:instr=" SEQ Table \* ARABIC ">
        <w:r w:rsidR="00106CD4">
          <w:rPr>
            <w:noProof/>
          </w:rPr>
          <w:t>16</w:t>
        </w:r>
      </w:fldSimple>
      <w:bookmarkEnd w:id="115"/>
      <w:r>
        <w:t xml:space="preserve">: </w:t>
      </w:r>
      <w:r w:rsidR="00242315">
        <w:t xml:space="preserve">Admitted episode comparison - Prepared </w:t>
      </w:r>
      <w:r w:rsidR="00E24D47">
        <w:t xml:space="preserve">2020-21 </w:t>
      </w:r>
      <w:r w:rsidR="00242315">
        <w:t xml:space="preserve">HCP to </w:t>
      </w:r>
      <w:r>
        <w:t>PHDB and IHACPA APC</w:t>
      </w:r>
    </w:p>
    <w:tbl>
      <w:tblPr>
        <w:tblStyle w:val="IHPATable"/>
        <w:tblW w:w="5000" w:type="pct"/>
        <w:tblLook w:val="0020" w:firstRow="1" w:lastRow="0" w:firstColumn="0" w:lastColumn="0" w:noHBand="0" w:noVBand="0"/>
        <w:tblDescription w:val="Table 16 shws admitted episode comparison - prepared 2020/21 HCP to PHDB and IHACPA APC. There are 5 columns with Hospital type, comparison source, HCP episodes, Comparison episodes, and Completeness. "/>
      </w:tblPr>
      <w:tblGrid>
        <w:gridCol w:w="1757"/>
        <w:gridCol w:w="2202"/>
        <w:gridCol w:w="1670"/>
        <w:gridCol w:w="2412"/>
        <w:gridCol w:w="1701"/>
      </w:tblGrid>
      <w:tr w:rsidR="00242315" w:rsidRPr="00172A65" w14:paraId="0A9C9F4D" w14:textId="77777777" w:rsidTr="00D44498">
        <w:trPr>
          <w:cnfStyle w:val="100000000000" w:firstRow="1" w:lastRow="0" w:firstColumn="0" w:lastColumn="0" w:oddVBand="0" w:evenVBand="0" w:oddHBand="0" w:evenHBand="0" w:firstRowFirstColumn="0" w:firstRowLastColumn="0" w:lastRowFirstColumn="0" w:lastRowLastColumn="0"/>
          <w:cantSplit/>
          <w:trHeight w:val="20"/>
          <w:tblHeader/>
        </w:trPr>
        <w:tc>
          <w:tcPr>
            <w:tcW w:w="90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vAlign w:val="center"/>
          </w:tcPr>
          <w:p w14:paraId="4D4E9355" w14:textId="77777777" w:rsidR="00626280" w:rsidRPr="00172A65" w:rsidRDefault="00626280" w:rsidP="00242315">
            <w:pPr>
              <w:spacing w:before="120" w:after="120"/>
              <w:jc w:val="center"/>
              <w:rPr>
                <w:rFonts w:ascii="Futura PT Book" w:hAnsi="Futura PT Book" w:cs="Futura PT Book"/>
                <w:b/>
                <w:bCs/>
                <w:color w:val="FFFFFF" w:themeColor="background2"/>
                <w:szCs w:val="18"/>
                <w:lang w:val="en-US"/>
              </w:rPr>
            </w:pPr>
            <w:r w:rsidRPr="00172A65">
              <w:rPr>
                <w:b/>
                <w:bCs/>
                <w:color w:val="FFFFFF" w:themeColor="background2"/>
                <w:szCs w:val="18"/>
              </w:rPr>
              <w:t>Hospital Type</w:t>
            </w:r>
          </w:p>
        </w:tc>
        <w:tc>
          <w:tcPr>
            <w:tcW w:w="1130" w:type="pct"/>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5A770D3A" w14:textId="77777777" w:rsidR="00626280" w:rsidRPr="00172A65" w:rsidRDefault="00626280" w:rsidP="00242315">
            <w:pPr>
              <w:spacing w:before="120" w:after="120"/>
              <w:jc w:val="center"/>
              <w:rPr>
                <w:b/>
                <w:bCs/>
                <w:color w:val="FFFFFF" w:themeColor="background2"/>
                <w:szCs w:val="18"/>
              </w:rPr>
            </w:pPr>
            <w:r w:rsidRPr="00172A65">
              <w:rPr>
                <w:b/>
                <w:bCs/>
                <w:color w:val="FFFFFF" w:themeColor="background2"/>
                <w:szCs w:val="18"/>
              </w:rPr>
              <w:t>Comparison source</w:t>
            </w:r>
          </w:p>
        </w:tc>
        <w:tc>
          <w:tcPr>
            <w:tcW w:w="857" w:type="pct"/>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244352BF" w14:textId="31C12FAE" w:rsidR="00626280" w:rsidRPr="00172A65" w:rsidRDefault="00242315" w:rsidP="00242315">
            <w:pPr>
              <w:spacing w:before="120" w:after="120"/>
              <w:jc w:val="center"/>
              <w:rPr>
                <w:b/>
                <w:bCs/>
                <w:color w:val="FFFFFF" w:themeColor="background2"/>
                <w:szCs w:val="18"/>
              </w:rPr>
            </w:pPr>
            <w:r w:rsidRPr="00172A65">
              <w:rPr>
                <w:b/>
                <w:bCs/>
                <w:color w:val="FFFFFF" w:themeColor="background2"/>
                <w:szCs w:val="18"/>
              </w:rPr>
              <w:t>HCP e</w:t>
            </w:r>
            <w:r w:rsidR="00626280" w:rsidRPr="00172A65">
              <w:rPr>
                <w:b/>
                <w:bCs/>
                <w:color w:val="FFFFFF" w:themeColor="background2"/>
                <w:szCs w:val="18"/>
              </w:rPr>
              <w:t>pisodes</w:t>
            </w:r>
          </w:p>
        </w:tc>
        <w:tc>
          <w:tcPr>
            <w:tcW w:w="1238" w:type="pct"/>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45CA39B6" w14:textId="383E3215" w:rsidR="00626280" w:rsidRPr="00172A65" w:rsidRDefault="00626280" w:rsidP="00242315">
            <w:pPr>
              <w:spacing w:before="120" w:after="120"/>
              <w:jc w:val="center"/>
              <w:rPr>
                <w:b/>
                <w:bCs/>
                <w:color w:val="FFFFFF" w:themeColor="background2"/>
                <w:szCs w:val="18"/>
              </w:rPr>
            </w:pPr>
            <w:r w:rsidRPr="00172A65">
              <w:rPr>
                <w:b/>
                <w:bCs/>
                <w:color w:val="FFFFFF" w:themeColor="background2"/>
                <w:szCs w:val="18"/>
              </w:rPr>
              <w:t>Comparison</w:t>
            </w:r>
            <w:r w:rsidR="00242315" w:rsidRPr="00172A65">
              <w:rPr>
                <w:b/>
                <w:bCs/>
                <w:color w:val="FFFFFF" w:themeColor="background2"/>
                <w:szCs w:val="18"/>
              </w:rPr>
              <w:t xml:space="preserve"> episodes</w:t>
            </w:r>
          </w:p>
        </w:tc>
        <w:tc>
          <w:tcPr>
            <w:tcW w:w="873" w:type="pct"/>
            <w:tcBorders>
              <w:top w:val="single" w:sz="4" w:space="0" w:color="808080" w:themeColor="background2" w:themeShade="80"/>
              <w:left w:val="single" w:sz="4" w:space="0" w:color="FFFFFF" w:themeColor="background2"/>
              <w:bottom w:val="single" w:sz="4" w:space="0" w:color="808080" w:themeColor="background2" w:themeShade="80"/>
              <w:right w:val="single" w:sz="4" w:space="0" w:color="808080" w:themeColor="background2" w:themeShade="80"/>
            </w:tcBorders>
            <w:shd w:val="clear" w:color="auto" w:fill="104F99" w:themeFill="accent2"/>
            <w:vAlign w:val="center"/>
          </w:tcPr>
          <w:p w14:paraId="7A14CA2A" w14:textId="77777777" w:rsidR="00626280" w:rsidRPr="00172A65" w:rsidRDefault="00626280" w:rsidP="00242315">
            <w:pPr>
              <w:spacing w:before="120" w:after="120"/>
              <w:jc w:val="center"/>
              <w:rPr>
                <w:rFonts w:ascii="Futura PT Book" w:hAnsi="Futura PT Book" w:cs="Futura PT Book"/>
                <w:b/>
                <w:bCs/>
                <w:color w:val="FFFFFF" w:themeColor="background2"/>
                <w:szCs w:val="18"/>
                <w:lang w:val="en-US"/>
              </w:rPr>
            </w:pPr>
            <w:r w:rsidRPr="00172A65">
              <w:rPr>
                <w:b/>
                <w:bCs/>
                <w:color w:val="FFFFFF" w:themeColor="background2"/>
                <w:szCs w:val="18"/>
              </w:rPr>
              <w:t>Completeness</w:t>
            </w:r>
          </w:p>
        </w:tc>
      </w:tr>
      <w:tr w:rsidR="00242315" w:rsidRPr="00172A65" w14:paraId="5AD88177" w14:textId="77777777" w:rsidTr="00D44498">
        <w:trPr>
          <w:cnfStyle w:val="000000100000" w:firstRow="0" w:lastRow="0" w:firstColumn="0" w:lastColumn="0" w:oddVBand="0" w:evenVBand="0" w:oddHBand="1" w:evenHBand="0" w:firstRowFirstColumn="0" w:firstRowLastColumn="0" w:lastRowFirstColumn="0" w:lastRowLastColumn="0"/>
          <w:cantSplit/>
          <w:trHeight w:val="20"/>
        </w:trPr>
        <w:tc>
          <w:tcPr>
            <w:tcW w:w="90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5981222" w14:textId="77777777" w:rsidR="00626280" w:rsidRPr="00172A65" w:rsidRDefault="00626280" w:rsidP="00242315">
            <w:pPr>
              <w:spacing w:before="120" w:after="120"/>
              <w:rPr>
                <w:rFonts w:ascii="Futura PT Book" w:hAnsi="Futura PT Book" w:cs="Futura PT Book"/>
                <w:color w:val="000000"/>
                <w:sz w:val="18"/>
                <w:szCs w:val="18"/>
                <w:lang w:val="en-US"/>
              </w:rPr>
            </w:pPr>
            <w:r w:rsidRPr="00172A65">
              <w:rPr>
                <w:color w:val="1C1C1C"/>
                <w:sz w:val="18"/>
                <w:szCs w:val="18"/>
              </w:rPr>
              <w:t>Private overnight</w:t>
            </w:r>
          </w:p>
        </w:tc>
        <w:tc>
          <w:tcPr>
            <w:tcW w:w="113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5FC6EEE" w14:textId="77777777" w:rsidR="00626280" w:rsidRPr="00172A65" w:rsidRDefault="00626280" w:rsidP="00242315">
            <w:pPr>
              <w:spacing w:before="120" w:after="120"/>
              <w:rPr>
                <w:color w:val="1C1C1C"/>
                <w:sz w:val="18"/>
                <w:szCs w:val="18"/>
              </w:rPr>
            </w:pPr>
            <w:r w:rsidRPr="00172A65">
              <w:rPr>
                <w:sz w:val="18"/>
                <w:szCs w:val="18"/>
              </w:rPr>
              <w:t>PHDB</w:t>
            </w:r>
          </w:p>
        </w:tc>
        <w:tc>
          <w:tcPr>
            <w:tcW w:w="85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60386C5D" w14:textId="77777777" w:rsidR="00626280" w:rsidRPr="00172A65" w:rsidRDefault="00626280" w:rsidP="00242315">
            <w:pPr>
              <w:spacing w:before="120" w:after="120"/>
              <w:jc w:val="right"/>
              <w:rPr>
                <w:color w:val="1C1C1C"/>
                <w:sz w:val="18"/>
                <w:szCs w:val="18"/>
              </w:rPr>
            </w:pPr>
            <w:r w:rsidRPr="00172A65">
              <w:rPr>
                <w:sz w:val="18"/>
                <w:szCs w:val="18"/>
              </w:rPr>
              <w:t>2,956,035</w:t>
            </w:r>
          </w:p>
        </w:tc>
        <w:tc>
          <w:tcPr>
            <w:tcW w:w="123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6FA205B2" w14:textId="77777777" w:rsidR="00626280" w:rsidRPr="00172A65" w:rsidRDefault="00626280" w:rsidP="00242315">
            <w:pPr>
              <w:spacing w:before="120" w:after="120"/>
              <w:jc w:val="right"/>
              <w:rPr>
                <w:color w:val="1C1C1C"/>
                <w:sz w:val="18"/>
                <w:szCs w:val="18"/>
              </w:rPr>
            </w:pPr>
            <w:r w:rsidRPr="00172A65">
              <w:rPr>
                <w:sz w:val="18"/>
                <w:szCs w:val="18"/>
              </w:rPr>
              <w:t>2,994,162</w:t>
            </w:r>
          </w:p>
        </w:tc>
        <w:tc>
          <w:tcPr>
            <w:tcW w:w="87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35C17CAB" w14:textId="77777777" w:rsidR="00626280" w:rsidRPr="00172A65" w:rsidRDefault="00626280" w:rsidP="00242315">
            <w:pPr>
              <w:spacing w:before="120" w:after="120"/>
              <w:jc w:val="right"/>
              <w:rPr>
                <w:rFonts w:ascii="Futura PT Book" w:hAnsi="Futura PT Book" w:cs="Futura PT Book"/>
                <w:color w:val="000000"/>
                <w:sz w:val="18"/>
                <w:szCs w:val="18"/>
                <w:lang w:val="en-US"/>
              </w:rPr>
            </w:pPr>
            <w:r w:rsidRPr="00172A65">
              <w:rPr>
                <w:sz w:val="18"/>
                <w:szCs w:val="18"/>
              </w:rPr>
              <w:t>99%</w:t>
            </w:r>
          </w:p>
        </w:tc>
      </w:tr>
      <w:tr w:rsidR="00242315" w:rsidRPr="00172A65" w14:paraId="3FC3D3DF" w14:textId="77777777" w:rsidTr="00D44498">
        <w:trPr>
          <w:cnfStyle w:val="000000010000" w:firstRow="0" w:lastRow="0" w:firstColumn="0" w:lastColumn="0" w:oddVBand="0" w:evenVBand="0" w:oddHBand="0" w:evenHBand="1" w:firstRowFirstColumn="0" w:firstRowLastColumn="0" w:lastRowFirstColumn="0" w:lastRowLastColumn="0"/>
          <w:cantSplit/>
          <w:trHeight w:val="20"/>
        </w:trPr>
        <w:tc>
          <w:tcPr>
            <w:tcW w:w="90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EEB87CD" w14:textId="77777777" w:rsidR="00626280" w:rsidRPr="00172A65" w:rsidRDefault="00626280" w:rsidP="00242315">
            <w:pPr>
              <w:spacing w:before="120" w:after="120"/>
              <w:rPr>
                <w:rFonts w:ascii="Futura PT Book" w:hAnsi="Futura PT Book" w:cs="Futura PT Book"/>
                <w:color w:val="000000"/>
                <w:sz w:val="18"/>
                <w:szCs w:val="18"/>
                <w:lang w:val="en-US"/>
              </w:rPr>
            </w:pPr>
            <w:r w:rsidRPr="00172A65">
              <w:rPr>
                <w:color w:val="1C1C1C"/>
                <w:sz w:val="18"/>
                <w:szCs w:val="18"/>
              </w:rPr>
              <w:t>Private day</w:t>
            </w:r>
          </w:p>
        </w:tc>
        <w:tc>
          <w:tcPr>
            <w:tcW w:w="113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CC58794" w14:textId="77777777" w:rsidR="00626280" w:rsidRPr="00172A65" w:rsidRDefault="00626280" w:rsidP="00242315">
            <w:pPr>
              <w:spacing w:before="120" w:after="120"/>
              <w:rPr>
                <w:color w:val="1C1C1C"/>
                <w:sz w:val="18"/>
                <w:szCs w:val="18"/>
              </w:rPr>
            </w:pPr>
            <w:r w:rsidRPr="00172A65">
              <w:rPr>
                <w:sz w:val="18"/>
                <w:szCs w:val="18"/>
              </w:rPr>
              <w:t>PHDB</w:t>
            </w:r>
          </w:p>
        </w:tc>
        <w:tc>
          <w:tcPr>
            <w:tcW w:w="85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70EF3D3C" w14:textId="77777777" w:rsidR="00626280" w:rsidRPr="00172A65" w:rsidRDefault="00626280" w:rsidP="00242315">
            <w:pPr>
              <w:spacing w:before="120" w:after="120"/>
              <w:jc w:val="right"/>
              <w:rPr>
                <w:color w:val="1C1C1C"/>
                <w:sz w:val="18"/>
                <w:szCs w:val="18"/>
              </w:rPr>
            </w:pPr>
            <w:r w:rsidRPr="00172A65">
              <w:rPr>
                <w:sz w:val="18"/>
                <w:szCs w:val="18"/>
              </w:rPr>
              <w:t>671,514</w:t>
            </w:r>
          </w:p>
        </w:tc>
        <w:tc>
          <w:tcPr>
            <w:tcW w:w="123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250D2C65" w14:textId="77777777" w:rsidR="00626280" w:rsidRPr="00172A65" w:rsidRDefault="00626280" w:rsidP="00242315">
            <w:pPr>
              <w:spacing w:before="120" w:after="120"/>
              <w:jc w:val="right"/>
              <w:rPr>
                <w:color w:val="1C1C1C"/>
                <w:sz w:val="18"/>
                <w:szCs w:val="18"/>
              </w:rPr>
            </w:pPr>
            <w:r w:rsidRPr="00172A65">
              <w:rPr>
                <w:sz w:val="18"/>
                <w:szCs w:val="18"/>
              </w:rPr>
              <w:t>691,848</w:t>
            </w:r>
          </w:p>
        </w:tc>
        <w:tc>
          <w:tcPr>
            <w:tcW w:w="87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056CF370" w14:textId="77777777" w:rsidR="00626280" w:rsidRPr="00172A65" w:rsidRDefault="00626280" w:rsidP="00242315">
            <w:pPr>
              <w:spacing w:before="120" w:after="120"/>
              <w:jc w:val="right"/>
              <w:rPr>
                <w:rFonts w:ascii="Futura PT Book" w:hAnsi="Futura PT Book" w:cs="Futura PT Book"/>
                <w:color w:val="000000"/>
                <w:sz w:val="18"/>
                <w:szCs w:val="18"/>
                <w:lang w:val="en-US"/>
              </w:rPr>
            </w:pPr>
            <w:r w:rsidRPr="00172A65">
              <w:rPr>
                <w:sz w:val="18"/>
                <w:szCs w:val="18"/>
              </w:rPr>
              <w:t>97%</w:t>
            </w:r>
          </w:p>
        </w:tc>
      </w:tr>
      <w:tr w:rsidR="00242315" w:rsidRPr="00172A65" w14:paraId="76AF03AE" w14:textId="77777777" w:rsidTr="00D44498">
        <w:trPr>
          <w:cnfStyle w:val="000000100000" w:firstRow="0" w:lastRow="0" w:firstColumn="0" w:lastColumn="0" w:oddVBand="0" w:evenVBand="0" w:oddHBand="1" w:evenHBand="0" w:firstRowFirstColumn="0" w:firstRowLastColumn="0" w:lastRowFirstColumn="0" w:lastRowLastColumn="0"/>
          <w:cantSplit/>
          <w:trHeight w:val="20"/>
        </w:trPr>
        <w:tc>
          <w:tcPr>
            <w:tcW w:w="902"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6A3F717" w14:textId="77777777" w:rsidR="00626280" w:rsidRPr="00172A65" w:rsidRDefault="00626280" w:rsidP="00242315">
            <w:pPr>
              <w:spacing w:before="120" w:after="120"/>
              <w:rPr>
                <w:rFonts w:ascii="Futura PT Book" w:hAnsi="Futura PT Book" w:cs="Futura PT Book"/>
                <w:color w:val="000000"/>
                <w:sz w:val="18"/>
                <w:szCs w:val="18"/>
                <w:lang w:val="en-US"/>
              </w:rPr>
            </w:pPr>
            <w:r w:rsidRPr="00172A65">
              <w:rPr>
                <w:color w:val="1C1C1C"/>
                <w:sz w:val="18"/>
                <w:szCs w:val="18"/>
              </w:rPr>
              <w:t>Public hospital</w:t>
            </w:r>
          </w:p>
        </w:tc>
        <w:tc>
          <w:tcPr>
            <w:tcW w:w="113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B4B0877" w14:textId="77777777" w:rsidR="00626280" w:rsidRPr="00172A65" w:rsidRDefault="00626280" w:rsidP="00242315">
            <w:pPr>
              <w:spacing w:before="120" w:after="120"/>
              <w:rPr>
                <w:color w:val="1C1C1C"/>
                <w:sz w:val="18"/>
                <w:szCs w:val="18"/>
              </w:rPr>
            </w:pPr>
            <w:r w:rsidRPr="00172A65">
              <w:rPr>
                <w:sz w:val="18"/>
                <w:szCs w:val="18"/>
              </w:rPr>
              <w:t>IHACPA APC</w:t>
            </w:r>
          </w:p>
        </w:tc>
        <w:tc>
          <w:tcPr>
            <w:tcW w:w="85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3890B8A3" w14:textId="77777777" w:rsidR="00626280" w:rsidRPr="00172A65" w:rsidRDefault="00626280" w:rsidP="00242315">
            <w:pPr>
              <w:spacing w:before="120" w:after="120"/>
              <w:jc w:val="right"/>
              <w:rPr>
                <w:color w:val="1C1C1C"/>
                <w:sz w:val="18"/>
                <w:szCs w:val="18"/>
              </w:rPr>
            </w:pPr>
            <w:r w:rsidRPr="00172A65">
              <w:rPr>
                <w:sz w:val="18"/>
                <w:szCs w:val="18"/>
              </w:rPr>
              <w:t>321,482</w:t>
            </w:r>
          </w:p>
        </w:tc>
        <w:tc>
          <w:tcPr>
            <w:tcW w:w="123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2308255A" w14:textId="77777777" w:rsidR="00626280" w:rsidRPr="00172A65" w:rsidRDefault="00626280" w:rsidP="00242315">
            <w:pPr>
              <w:spacing w:before="120" w:after="120"/>
              <w:jc w:val="right"/>
              <w:rPr>
                <w:color w:val="1C1C1C"/>
                <w:sz w:val="18"/>
                <w:szCs w:val="18"/>
              </w:rPr>
            </w:pPr>
            <w:r w:rsidRPr="00172A65">
              <w:rPr>
                <w:sz w:val="18"/>
                <w:szCs w:val="18"/>
              </w:rPr>
              <w:t>809,764</w:t>
            </w:r>
          </w:p>
        </w:tc>
        <w:tc>
          <w:tcPr>
            <w:tcW w:w="873"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0A8DA2E6" w14:textId="77777777" w:rsidR="00626280" w:rsidRPr="00172A65" w:rsidRDefault="00626280" w:rsidP="00242315">
            <w:pPr>
              <w:spacing w:before="120" w:after="120"/>
              <w:jc w:val="right"/>
              <w:rPr>
                <w:rFonts w:ascii="Futura PT Book" w:hAnsi="Futura PT Book" w:cs="Futura PT Book"/>
                <w:color w:val="000000"/>
                <w:sz w:val="18"/>
                <w:szCs w:val="18"/>
                <w:lang w:val="en-US"/>
              </w:rPr>
            </w:pPr>
            <w:r w:rsidRPr="00172A65">
              <w:rPr>
                <w:sz w:val="18"/>
                <w:szCs w:val="18"/>
              </w:rPr>
              <w:t>40%</w:t>
            </w:r>
          </w:p>
        </w:tc>
      </w:tr>
    </w:tbl>
    <w:p w14:paraId="10A7E6D5" w14:textId="77777777" w:rsidR="003D0C71" w:rsidRDefault="003D0C71" w:rsidP="003D0C71">
      <w:bookmarkStart w:id="116" w:name="_Ref119506571"/>
    </w:p>
    <w:p w14:paraId="6A60DAE6" w14:textId="445A58AD" w:rsidR="000E7BBC" w:rsidRDefault="000E7BBC" w:rsidP="003D0C71">
      <w:pPr>
        <w:pStyle w:val="Caption"/>
      </w:pPr>
      <w:bookmarkStart w:id="117" w:name="_Ref120048690"/>
      <w:r>
        <w:t xml:space="preserve">Table </w:t>
      </w:r>
      <w:fldSimple w:instr=" SEQ Table \* ARABIC ">
        <w:r w:rsidR="00106CD4">
          <w:rPr>
            <w:noProof/>
          </w:rPr>
          <w:t>17</w:t>
        </w:r>
      </w:fldSimple>
      <w:bookmarkEnd w:id="116"/>
      <w:bookmarkEnd w:id="117"/>
      <w:r>
        <w:t>: Device usage and benefit comparison</w:t>
      </w:r>
      <w:r w:rsidR="00242315">
        <w:t xml:space="preserve"> - Prepared </w:t>
      </w:r>
      <w:r w:rsidR="00E24D47">
        <w:t xml:space="preserve">2020-21 </w:t>
      </w:r>
      <w:r>
        <w:t>HCP to APRA</w:t>
      </w:r>
    </w:p>
    <w:tbl>
      <w:tblPr>
        <w:tblStyle w:val="IHPATable"/>
        <w:tblW w:w="5121" w:type="pct"/>
        <w:tblLayout w:type="fixed"/>
        <w:tblLook w:val="0020" w:firstRow="1" w:lastRow="0" w:firstColumn="0" w:lastColumn="0" w:noHBand="0" w:noVBand="0"/>
        <w:tblDescription w:val="Table 17 shows device usuage and benefit comparison. There are three main colums defined by Hospital type, HCP totals relative to APRA and Average benefits per item. Within these colums there are percentages and benefit amounts per item. "/>
      </w:tblPr>
      <w:tblGrid>
        <w:gridCol w:w="1907"/>
        <w:gridCol w:w="1613"/>
        <w:gridCol w:w="1614"/>
        <w:gridCol w:w="1614"/>
        <w:gridCol w:w="1612"/>
        <w:gridCol w:w="1618"/>
      </w:tblGrid>
      <w:tr w:rsidR="00191EF7" w:rsidRPr="00172A65" w14:paraId="761288D4" w14:textId="77777777" w:rsidTr="00D44498">
        <w:trPr>
          <w:cnfStyle w:val="100000000000" w:firstRow="1" w:lastRow="0" w:firstColumn="0" w:lastColumn="0" w:oddVBand="0" w:evenVBand="0" w:oddHBand="0" w:evenHBand="0" w:firstRowFirstColumn="0" w:firstRowLastColumn="0" w:lastRowFirstColumn="0" w:lastRowLastColumn="0"/>
          <w:cantSplit/>
          <w:trHeight w:val="20"/>
          <w:tblHeader/>
        </w:trPr>
        <w:tc>
          <w:tcPr>
            <w:tcW w:w="955" w:type="pct"/>
            <w:vMerge w:val="restar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vAlign w:val="center"/>
          </w:tcPr>
          <w:p w14:paraId="64EAF859" w14:textId="2B508566" w:rsidR="00191EF7" w:rsidRPr="00172A65" w:rsidRDefault="00191EF7" w:rsidP="00242315">
            <w:pPr>
              <w:spacing w:before="120" w:after="120"/>
              <w:jc w:val="center"/>
              <w:rPr>
                <w:b/>
                <w:bCs/>
                <w:color w:val="FFFFFF" w:themeColor="background2"/>
                <w:szCs w:val="18"/>
              </w:rPr>
            </w:pPr>
            <w:r w:rsidRPr="00172A65">
              <w:rPr>
                <w:b/>
                <w:bCs/>
                <w:color w:val="FFFFFF" w:themeColor="background2"/>
                <w:szCs w:val="18"/>
              </w:rPr>
              <w:t>Hospital type</w:t>
            </w:r>
          </w:p>
        </w:tc>
        <w:tc>
          <w:tcPr>
            <w:tcW w:w="1617" w:type="pct"/>
            <w:gridSpan w:val="2"/>
            <w:tcBorders>
              <w:top w:val="single" w:sz="4" w:space="0" w:color="808080" w:themeColor="background2" w:themeShade="80"/>
              <w:left w:val="single" w:sz="4" w:space="0" w:color="FFFFFF" w:themeColor="background2"/>
              <w:bottom w:val="single" w:sz="4" w:space="0" w:color="FFFFFF" w:themeColor="background2"/>
              <w:right w:val="single" w:sz="4" w:space="0" w:color="FFFFFF" w:themeColor="background2"/>
            </w:tcBorders>
            <w:shd w:val="clear" w:color="auto" w:fill="104F99" w:themeFill="accent2"/>
            <w:vAlign w:val="center"/>
          </w:tcPr>
          <w:p w14:paraId="19AF5395" w14:textId="4DC30BCD" w:rsidR="00191EF7" w:rsidRPr="00172A65" w:rsidRDefault="00191EF7" w:rsidP="00242315">
            <w:pPr>
              <w:spacing w:before="120" w:after="120"/>
              <w:jc w:val="center"/>
              <w:rPr>
                <w:b/>
                <w:bCs/>
                <w:color w:val="FFFFFF" w:themeColor="background2"/>
                <w:szCs w:val="18"/>
              </w:rPr>
            </w:pPr>
            <w:r w:rsidRPr="00172A65">
              <w:rPr>
                <w:b/>
                <w:bCs/>
                <w:color w:val="FFFFFF" w:themeColor="background2"/>
                <w:szCs w:val="18"/>
              </w:rPr>
              <w:t>HCP totals relative to APRA</w:t>
            </w:r>
          </w:p>
        </w:tc>
        <w:tc>
          <w:tcPr>
            <w:tcW w:w="2428" w:type="pct"/>
            <w:gridSpan w:val="3"/>
            <w:tcBorders>
              <w:top w:val="single" w:sz="4" w:space="0" w:color="808080" w:themeColor="background2" w:themeShade="80"/>
              <w:left w:val="single" w:sz="4" w:space="0" w:color="FFFFFF" w:themeColor="background2"/>
              <w:bottom w:val="single" w:sz="4" w:space="0" w:color="FFFFFF" w:themeColor="background2"/>
              <w:right w:val="single" w:sz="4" w:space="0" w:color="808080" w:themeColor="background2" w:themeShade="80"/>
            </w:tcBorders>
            <w:shd w:val="clear" w:color="auto" w:fill="104F99" w:themeFill="accent2"/>
            <w:vAlign w:val="center"/>
          </w:tcPr>
          <w:p w14:paraId="7ED2BFBC" w14:textId="1C79E744" w:rsidR="00191EF7" w:rsidRPr="00172A65" w:rsidRDefault="00191EF7" w:rsidP="00242315">
            <w:pPr>
              <w:spacing w:before="120" w:after="120"/>
              <w:jc w:val="center"/>
              <w:rPr>
                <w:b/>
                <w:bCs/>
                <w:color w:val="FFFFFF" w:themeColor="background2"/>
                <w:szCs w:val="18"/>
              </w:rPr>
            </w:pPr>
            <w:r w:rsidRPr="00172A65">
              <w:rPr>
                <w:b/>
                <w:bCs/>
                <w:color w:val="FFFFFF" w:themeColor="background2"/>
                <w:szCs w:val="18"/>
              </w:rPr>
              <w:t>Average benefits per item</w:t>
            </w:r>
          </w:p>
        </w:tc>
      </w:tr>
      <w:tr w:rsidR="00191EF7" w:rsidRPr="00172A65" w14:paraId="5BD16DCB" w14:textId="77777777" w:rsidTr="00D44498">
        <w:trPr>
          <w:cnfStyle w:val="100000000000" w:firstRow="1" w:lastRow="0" w:firstColumn="0" w:lastColumn="0" w:oddVBand="0" w:evenVBand="0" w:oddHBand="0" w:evenHBand="0" w:firstRowFirstColumn="0" w:firstRowLastColumn="0" w:lastRowFirstColumn="0" w:lastRowLastColumn="0"/>
          <w:cantSplit/>
          <w:trHeight w:val="20"/>
          <w:tblHeader/>
        </w:trPr>
        <w:tc>
          <w:tcPr>
            <w:tcW w:w="955" w:type="pct"/>
            <w:vMerge/>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vAlign w:val="center"/>
          </w:tcPr>
          <w:p w14:paraId="2154C919" w14:textId="14E4DF20" w:rsidR="00191EF7" w:rsidRPr="00172A65" w:rsidRDefault="00191EF7" w:rsidP="00242315">
            <w:pPr>
              <w:spacing w:before="120" w:after="120"/>
              <w:jc w:val="center"/>
              <w:rPr>
                <w:rFonts w:ascii="Futura PT Book" w:hAnsi="Futura PT Book" w:cs="Futura PT Book"/>
                <w:b/>
                <w:bCs/>
                <w:color w:val="FFFFFF" w:themeColor="background2"/>
                <w:szCs w:val="18"/>
                <w:lang w:val="en-US"/>
              </w:rPr>
            </w:pPr>
          </w:p>
        </w:tc>
        <w:tc>
          <w:tcPr>
            <w:tcW w:w="808" w:type="pct"/>
            <w:tcBorders>
              <w:top w:val="single" w:sz="4" w:space="0" w:color="FFFFFF" w:themeColor="background2"/>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4CB3833F" w14:textId="4DD3A55C" w:rsidR="00191EF7" w:rsidRPr="00172A65" w:rsidRDefault="00191EF7" w:rsidP="00242315">
            <w:pPr>
              <w:spacing w:before="120" w:after="120"/>
              <w:jc w:val="center"/>
              <w:rPr>
                <w:b/>
                <w:bCs/>
                <w:color w:val="FFFFFF" w:themeColor="background2"/>
                <w:szCs w:val="18"/>
              </w:rPr>
            </w:pPr>
            <w:r w:rsidRPr="00172A65">
              <w:rPr>
                <w:b/>
                <w:bCs/>
                <w:color w:val="FFFFFF" w:themeColor="background2"/>
                <w:szCs w:val="18"/>
              </w:rPr>
              <w:t>Items</w:t>
            </w:r>
          </w:p>
        </w:tc>
        <w:tc>
          <w:tcPr>
            <w:tcW w:w="808" w:type="pct"/>
            <w:tcBorders>
              <w:top w:val="single" w:sz="4" w:space="0" w:color="FFFFFF" w:themeColor="background2"/>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1DBEE673" w14:textId="4B7BAA24" w:rsidR="00191EF7" w:rsidRPr="00172A65" w:rsidRDefault="00191EF7" w:rsidP="00242315">
            <w:pPr>
              <w:spacing w:before="120" w:after="120"/>
              <w:jc w:val="center"/>
              <w:rPr>
                <w:b/>
                <w:bCs/>
                <w:color w:val="FFFFFF" w:themeColor="background2"/>
                <w:szCs w:val="18"/>
              </w:rPr>
            </w:pPr>
            <w:r w:rsidRPr="00172A65">
              <w:rPr>
                <w:b/>
                <w:bCs/>
                <w:color w:val="FFFFFF" w:themeColor="background2"/>
                <w:szCs w:val="18"/>
              </w:rPr>
              <w:t>Benefits</w:t>
            </w:r>
          </w:p>
        </w:tc>
        <w:tc>
          <w:tcPr>
            <w:tcW w:w="809" w:type="pct"/>
            <w:tcBorders>
              <w:top w:val="single" w:sz="4" w:space="0" w:color="FFFFFF" w:themeColor="background2"/>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3F9B8618" w14:textId="0B9F348E" w:rsidR="00191EF7" w:rsidRPr="00172A65" w:rsidRDefault="00191EF7" w:rsidP="00242315">
            <w:pPr>
              <w:spacing w:before="120" w:after="120"/>
              <w:jc w:val="center"/>
              <w:rPr>
                <w:b/>
                <w:bCs/>
                <w:color w:val="FFFFFF" w:themeColor="background2"/>
                <w:szCs w:val="18"/>
              </w:rPr>
            </w:pPr>
            <w:r w:rsidRPr="00172A65">
              <w:rPr>
                <w:b/>
                <w:bCs/>
                <w:color w:val="FFFFFF" w:themeColor="background2"/>
                <w:szCs w:val="18"/>
              </w:rPr>
              <w:t>HCP</w:t>
            </w:r>
          </w:p>
        </w:tc>
        <w:tc>
          <w:tcPr>
            <w:tcW w:w="808" w:type="pct"/>
            <w:tcBorders>
              <w:top w:val="single" w:sz="4" w:space="0" w:color="FFFFFF" w:themeColor="background2"/>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4C742906" w14:textId="0FA2C52D" w:rsidR="00191EF7" w:rsidRPr="00172A65" w:rsidRDefault="00191EF7" w:rsidP="00242315">
            <w:pPr>
              <w:spacing w:before="120" w:after="120"/>
              <w:jc w:val="center"/>
              <w:rPr>
                <w:b/>
                <w:bCs/>
                <w:color w:val="FFFFFF" w:themeColor="background2"/>
                <w:szCs w:val="18"/>
              </w:rPr>
            </w:pPr>
            <w:r w:rsidRPr="00172A65">
              <w:rPr>
                <w:b/>
                <w:bCs/>
                <w:color w:val="FFFFFF" w:themeColor="background2"/>
                <w:szCs w:val="18"/>
              </w:rPr>
              <w:t>APRA</w:t>
            </w:r>
          </w:p>
        </w:tc>
        <w:tc>
          <w:tcPr>
            <w:tcW w:w="810" w:type="pct"/>
            <w:tcBorders>
              <w:top w:val="single" w:sz="4" w:space="0" w:color="FFFFFF" w:themeColor="background2"/>
              <w:left w:val="single" w:sz="4" w:space="0" w:color="FFFFFF" w:themeColor="background2"/>
              <w:bottom w:val="single" w:sz="4" w:space="0" w:color="808080" w:themeColor="background2" w:themeShade="80"/>
              <w:right w:val="single" w:sz="4" w:space="0" w:color="808080" w:themeColor="background2" w:themeShade="80"/>
            </w:tcBorders>
            <w:shd w:val="clear" w:color="auto" w:fill="104F99" w:themeFill="accent2"/>
            <w:vAlign w:val="center"/>
          </w:tcPr>
          <w:p w14:paraId="1F56B102" w14:textId="0BA9E42A" w:rsidR="00191EF7" w:rsidRPr="00172A65" w:rsidRDefault="00191EF7" w:rsidP="00242315">
            <w:pPr>
              <w:spacing w:before="120" w:after="120"/>
              <w:jc w:val="center"/>
              <w:rPr>
                <w:b/>
                <w:bCs/>
                <w:color w:val="FFFFFF" w:themeColor="background2"/>
                <w:szCs w:val="18"/>
              </w:rPr>
            </w:pPr>
            <w:r w:rsidRPr="00172A65">
              <w:rPr>
                <w:b/>
                <w:bCs/>
                <w:color w:val="FFFFFF" w:themeColor="background2"/>
                <w:szCs w:val="18"/>
              </w:rPr>
              <w:t>Difference</w:t>
            </w:r>
          </w:p>
        </w:tc>
      </w:tr>
      <w:tr w:rsidR="00626280" w:rsidRPr="00172A65" w14:paraId="75DDB46C" w14:textId="77777777" w:rsidTr="00D44498">
        <w:trPr>
          <w:cnfStyle w:val="000000100000" w:firstRow="0" w:lastRow="0" w:firstColumn="0" w:lastColumn="0" w:oddVBand="0" w:evenVBand="0" w:oddHBand="1" w:evenHBand="0" w:firstRowFirstColumn="0" w:firstRowLastColumn="0" w:lastRowFirstColumn="0" w:lastRowLastColumn="0"/>
          <w:cantSplit/>
          <w:trHeight w:val="737"/>
        </w:trPr>
        <w:tc>
          <w:tcPr>
            <w:tcW w:w="95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C6DFD4F" w14:textId="77777777" w:rsidR="00626280" w:rsidRPr="00172A65" w:rsidRDefault="00626280" w:rsidP="008919D7">
            <w:pPr>
              <w:spacing w:before="120" w:after="120"/>
              <w:rPr>
                <w:rFonts w:ascii="Futura PT Book" w:hAnsi="Futura PT Book" w:cs="Futura PT Book"/>
                <w:color w:val="000000"/>
                <w:sz w:val="18"/>
                <w:szCs w:val="18"/>
                <w:lang w:val="en-US"/>
              </w:rPr>
            </w:pPr>
            <w:r w:rsidRPr="00172A65">
              <w:rPr>
                <w:color w:val="1C1C1C"/>
                <w:sz w:val="18"/>
                <w:szCs w:val="18"/>
              </w:rPr>
              <w:t>Private overnight and day hospitals</w:t>
            </w:r>
          </w:p>
        </w:tc>
        <w:tc>
          <w:tcPr>
            <w:tcW w:w="8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29B7D23" w14:textId="77777777" w:rsidR="00626280" w:rsidRPr="00172A65" w:rsidRDefault="00626280" w:rsidP="008919D7">
            <w:pPr>
              <w:spacing w:before="120" w:after="120"/>
              <w:jc w:val="center"/>
              <w:rPr>
                <w:color w:val="1C1C1C"/>
                <w:sz w:val="18"/>
                <w:szCs w:val="18"/>
              </w:rPr>
            </w:pPr>
            <w:r w:rsidRPr="00172A65">
              <w:rPr>
                <w:sz w:val="18"/>
                <w:szCs w:val="18"/>
              </w:rPr>
              <w:t>93%</w:t>
            </w:r>
          </w:p>
        </w:tc>
        <w:tc>
          <w:tcPr>
            <w:tcW w:w="8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21CA5D2" w14:textId="77777777" w:rsidR="00626280" w:rsidRPr="00172A65" w:rsidRDefault="00626280" w:rsidP="008919D7">
            <w:pPr>
              <w:spacing w:before="120" w:after="120"/>
              <w:jc w:val="center"/>
              <w:rPr>
                <w:color w:val="1C1C1C"/>
                <w:sz w:val="18"/>
                <w:szCs w:val="18"/>
              </w:rPr>
            </w:pPr>
            <w:r w:rsidRPr="00172A65">
              <w:rPr>
                <w:sz w:val="18"/>
                <w:szCs w:val="18"/>
              </w:rPr>
              <w:t>92%</w:t>
            </w:r>
          </w:p>
        </w:tc>
        <w:tc>
          <w:tcPr>
            <w:tcW w:w="809"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01237BE" w14:textId="77777777" w:rsidR="00626280" w:rsidRPr="00172A65" w:rsidRDefault="00626280" w:rsidP="008919D7">
            <w:pPr>
              <w:spacing w:before="120" w:after="120"/>
              <w:jc w:val="center"/>
              <w:rPr>
                <w:sz w:val="18"/>
                <w:szCs w:val="18"/>
              </w:rPr>
            </w:pPr>
            <w:r w:rsidRPr="00172A65">
              <w:rPr>
                <w:sz w:val="18"/>
                <w:szCs w:val="18"/>
              </w:rPr>
              <w:t>$677</w:t>
            </w:r>
          </w:p>
        </w:tc>
        <w:tc>
          <w:tcPr>
            <w:tcW w:w="8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5F12E51" w14:textId="77777777" w:rsidR="00626280" w:rsidRPr="00172A65" w:rsidRDefault="00626280" w:rsidP="008919D7">
            <w:pPr>
              <w:spacing w:before="120" w:after="120"/>
              <w:jc w:val="center"/>
              <w:rPr>
                <w:color w:val="1C1C1C"/>
                <w:sz w:val="18"/>
                <w:szCs w:val="18"/>
              </w:rPr>
            </w:pPr>
            <w:r w:rsidRPr="00172A65">
              <w:rPr>
                <w:sz w:val="18"/>
                <w:szCs w:val="18"/>
              </w:rPr>
              <w:t>$684</w:t>
            </w:r>
          </w:p>
        </w:tc>
        <w:tc>
          <w:tcPr>
            <w:tcW w:w="81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08ABF67" w14:textId="77777777" w:rsidR="00626280" w:rsidRPr="00172A65" w:rsidRDefault="00626280" w:rsidP="008919D7">
            <w:pPr>
              <w:spacing w:before="120" w:after="120"/>
              <w:jc w:val="center"/>
              <w:rPr>
                <w:rFonts w:ascii="Futura PT Book" w:hAnsi="Futura PT Book" w:cs="Futura PT Book"/>
                <w:color w:val="000000"/>
                <w:sz w:val="18"/>
                <w:szCs w:val="18"/>
                <w:lang w:val="en-US"/>
              </w:rPr>
            </w:pPr>
            <w:r w:rsidRPr="00172A65">
              <w:rPr>
                <w:sz w:val="18"/>
                <w:szCs w:val="18"/>
              </w:rPr>
              <w:t>-1%</w:t>
            </w:r>
          </w:p>
        </w:tc>
      </w:tr>
      <w:tr w:rsidR="00626280" w:rsidRPr="00172A65" w14:paraId="5E5A906B" w14:textId="77777777" w:rsidTr="00D44498">
        <w:trPr>
          <w:cnfStyle w:val="000000010000" w:firstRow="0" w:lastRow="0" w:firstColumn="0" w:lastColumn="0" w:oddVBand="0" w:evenVBand="0" w:oddHBand="0" w:evenHBand="1" w:firstRowFirstColumn="0" w:firstRowLastColumn="0" w:lastRowFirstColumn="0" w:lastRowLastColumn="0"/>
          <w:cantSplit/>
          <w:trHeight w:val="438"/>
        </w:trPr>
        <w:tc>
          <w:tcPr>
            <w:tcW w:w="95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55F838D" w14:textId="77777777" w:rsidR="00626280" w:rsidRPr="00172A65" w:rsidRDefault="00626280" w:rsidP="008919D7">
            <w:pPr>
              <w:spacing w:before="120" w:after="120"/>
              <w:rPr>
                <w:rFonts w:ascii="Futura PT Book" w:hAnsi="Futura PT Book" w:cs="Futura PT Book"/>
                <w:color w:val="000000"/>
                <w:sz w:val="18"/>
                <w:szCs w:val="18"/>
                <w:lang w:val="en-US"/>
              </w:rPr>
            </w:pPr>
            <w:r w:rsidRPr="00172A65">
              <w:rPr>
                <w:color w:val="1C1C1C"/>
                <w:sz w:val="18"/>
                <w:szCs w:val="18"/>
              </w:rPr>
              <w:t>Public hospitals</w:t>
            </w:r>
          </w:p>
        </w:tc>
        <w:tc>
          <w:tcPr>
            <w:tcW w:w="8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C469CDA" w14:textId="77777777" w:rsidR="00626280" w:rsidRPr="00172A65" w:rsidRDefault="00626280" w:rsidP="008919D7">
            <w:pPr>
              <w:spacing w:before="120" w:after="120"/>
              <w:jc w:val="center"/>
              <w:rPr>
                <w:color w:val="1C1C1C"/>
                <w:sz w:val="18"/>
                <w:szCs w:val="18"/>
              </w:rPr>
            </w:pPr>
            <w:r w:rsidRPr="00172A65">
              <w:rPr>
                <w:sz w:val="18"/>
                <w:szCs w:val="18"/>
              </w:rPr>
              <w:t>37%</w:t>
            </w:r>
          </w:p>
        </w:tc>
        <w:tc>
          <w:tcPr>
            <w:tcW w:w="8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BFC2EDC" w14:textId="77777777" w:rsidR="00626280" w:rsidRPr="00172A65" w:rsidRDefault="00626280" w:rsidP="008919D7">
            <w:pPr>
              <w:spacing w:before="120" w:after="120"/>
              <w:jc w:val="center"/>
              <w:rPr>
                <w:color w:val="1C1C1C"/>
                <w:sz w:val="18"/>
                <w:szCs w:val="18"/>
              </w:rPr>
            </w:pPr>
            <w:r w:rsidRPr="00172A65">
              <w:rPr>
                <w:sz w:val="18"/>
                <w:szCs w:val="18"/>
              </w:rPr>
              <w:t>35%</w:t>
            </w:r>
          </w:p>
        </w:tc>
        <w:tc>
          <w:tcPr>
            <w:tcW w:w="809"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49E9BB2" w14:textId="77777777" w:rsidR="00626280" w:rsidRPr="00172A65" w:rsidRDefault="00626280" w:rsidP="008919D7">
            <w:pPr>
              <w:spacing w:before="120" w:after="120"/>
              <w:jc w:val="center"/>
              <w:rPr>
                <w:sz w:val="18"/>
                <w:szCs w:val="18"/>
              </w:rPr>
            </w:pPr>
            <w:r w:rsidRPr="00172A65">
              <w:rPr>
                <w:sz w:val="18"/>
                <w:szCs w:val="18"/>
              </w:rPr>
              <w:t>$520</w:t>
            </w:r>
          </w:p>
        </w:tc>
        <w:tc>
          <w:tcPr>
            <w:tcW w:w="8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3C7B31C" w14:textId="77777777" w:rsidR="00626280" w:rsidRPr="00172A65" w:rsidRDefault="00626280" w:rsidP="008919D7">
            <w:pPr>
              <w:spacing w:before="120" w:after="120"/>
              <w:jc w:val="center"/>
              <w:rPr>
                <w:color w:val="1C1C1C"/>
                <w:sz w:val="18"/>
                <w:szCs w:val="18"/>
              </w:rPr>
            </w:pPr>
            <w:r w:rsidRPr="00172A65">
              <w:rPr>
                <w:sz w:val="18"/>
                <w:szCs w:val="18"/>
              </w:rPr>
              <w:t>$547</w:t>
            </w:r>
          </w:p>
        </w:tc>
        <w:tc>
          <w:tcPr>
            <w:tcW w:w="81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F2F22E5" w14:textId="77777777" w:rsidR="00626280" w:rsidRPr="00172A65" w:rsidRDefault="00626280" w:rsidP="008919D7">
            <w:pPr>
              <w:spacing w:before="120" w:after="120"/>
              <w:jc w:val="center"/>
              <w:rPr>
                <w:rFonts w:ascii="Futura PT Book" w:hAnsi="Futura PT Book" w:cs="Futura PT Book"/>
                <w:color w:val="000000"/>
                <w:sz w:val="18"/>
                <w:szCs w:val="18"/>
                <w:lang w:val="en-US"/>
              </w:rPr>
            </w:pPr>
            <w:r w:rsidRPr="00172A65">
              <w:rPr>
                <w:sz w:val="18"/>
                <w:szCs w:val="18"/>
              </w:rPr>
              <w:t>-5%</w:t>
            </w:r>
          </w:p>
        </w:tc>
      </w:tr>
      <w:tr w:rsidR="00626280" w:rsidRPr="00172A65" w14:paraId="63B93B5F" w14:textId="77777777" w:rsidTr="00D44498">
        <w:trPr>
          <w:cnfStyle w:val="000000100000" w:firstRow="0" w:lastRow="0" w:firstColumn="0" w:lastColumn="0" w:oddVBand="0" w:evenVBand="0" w:oddHBand="1" w:evenHBand="0" w:firstRowFirstColumn="0" w:firstRowLastColumn="0" w:lastRowFirstColumn="0" w:lastRowLastColumn="0"/>
          <w:cantSplit/>
          <w:trHeight w:val="374"/>
        </w:trPr>
        <w:tc>
          <w:tcPr>
            <w:tcW w:w="95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36341EB" w14:textId="77777777" w:rsidR="00626280" w:rsidRPr="00172A65" w:rsidRDefault="00626280" w:rsidP="008919D7">
            <w:pPr>
              <w:spacing w:before="120" w:after="120"/>
              <w:rPr>
                <w:rFonts w:ascii="Futura PT Book" w:hAnsi="Futura PT Book" w:cs="Futura PT Book"/>
                <w:color w:val="000000"/>
                <w:sz w:val="18"/>
                <w:szCs w:val="18"/>
                <w:lang w:val="en-US"/>
              </w:rPr>
            </w:pPr>
            <w:r w:rsidRPr="00172A65">
              <w:rPr>
                <w:color w:val="1C1C1C"/>
                <w:sz w:val="18"/>
                <w:szCs w:val="18"/>
              </w:rPr>
              <w:t>Totals</w:t>
            </w:r>
          </w:p>
        </w:tc>
        <w:tc>
          <w:tcPr>
            <w:tcW w:w="8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1E4C78A" w14:textId="77777777" w:rsidR="00626280" w:rsidRPr="00172A65" w:rsidRDefault="00626280" w:rsidP="008919D7">
            <w:pPr>
              <w:spacing w:before="120" w:after="120"/>
              <w:jc w:val="center"/>
              <w:rPr>
                <w:sz w:val="18"/>
                <w:szCs w:val="18"/>
              </w:rPr>
            </w:pPr>
            <w:r w:rsidRPr="00172A65">
              <w:rPr>
                <w:sz w:val="18"/>
                <w:szCs w:val="18"/>
              </w:rPr>
              <w:t>89%</w:t>
            </w:r>
          </w:p>
        </w:tc>
        <w:tc>
          <w:tcPr>
            <w:tcW w:w="8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0C7B393" w14:textId="77777777" w:rsidR="00626280" w:rsidRPr="00172A65" w:rsidRDefault="00626280" w:rsidP="008919D7">
            <w:pPr>
              <w:spacing w:before="120" w:after="120"/>
              <w:jc w:val="center"/>
              <w:rPr>
                <w:sz w:val="18"/>
                <w:szCs w:val="18"/>
              </w:rPr>
            </w:pPr>
            <w:r w:rsidRPr="00172A65">
              <w:rPr>
                <w:sz w:val="18"/>
                <w:szCs w:val="18"/>
              </w:rPr>
              <w:t>88%</w:t>
            </w:r>
          </w:p>
        </w:tc>
        <w:tc>
          <w:tcPr>
            <w:tcW w:w="809"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8410250" w14:textId="77777777" w:rsidR="00626280" w:rsidRPr="00172A65" w:rsidRDefault="00626280" w:rsidP="008919D7">
            <w:pPr>
              <w:spacing w:before="120" w:after="120"/>
              <w:jc w:val="center"/>
              <w:rPr>
                <w:sz w:val="18"/>
                <w:szCs w:val="18"/>
              </w:rPr>
            </w:pPr>
            <w:r w:rsidRPr="00172A65">
              <w:rPr>
                <w:sz w:val="18"/>
                <w:szCs w:val="18"/>
              </w:rPr>
              <w:t>$672</w:t>
            </w:r>
          </w:p>
        </w:tc>
        <w:tc>
          <w:tcPr>
            <w:tcW w:w="808"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102B731" w14:textId="77777777" w:rsidR="00626280" w:rsidRPr="00172A65" w:rsidRDefault="00626280" w:rsidP="008919D7">
            <w:pPr>
              <w:spacing w:before="120" w:after="120"/>
              <w:jc w:val="center"/>
              <w:rPr>
                <w:color w:val="1C1C1C"/>
                <w:sz w:val="18"/>
                <w:szCs w:val="18"/>
              </w:rPr>
            </w:pPr>
            <w:r w:rsidRPr="00172A65">
              <w:rPr>
                <w:sz w:val="18"/>
                <w:szCs w:val="18"/>
              </w:rPr>
              <w:t>$673</w:t>
            </w:r>
          </w:p>
        </w:tc>
        <w:tc>
          <w:tcPr>
            <w:tcW w:w="81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03A9D82" w14:textId="77777777" w:rsidR="00626280" w:rsidRPr="00172A65" w:rsidRDefault="00626280" w:rsidP="008919D7">
            <w:pPr>
              <w:spacing w:before="120" w:after="120"/>
              <w:jc w:val="center"/>
              <w:rPr>
                <w:rFonts w:ascii="Futura PT Book" w:hAnsi="Futura PT Book" w:cs="Futura PT Book"/>
                <w:color w:val="000000"/>
                <w:sz w:val="18"/>
                <w:szCs w:val="18"/>
                <w:lang w:val="en-US"/>
              </w:rPr>
            </w:pPr>
            <w:r w:rsidRPr="00172A65">
              <w:rPr>
                <w:sz w:val="18"/>
                <w:szCs w:val="18"/>
              </w:rPr>
              <w:t>0%</w:t>
            </w:r>
          </w:p>
        </w:tc>
      </w:tr>
    </w:tbl>
    <w:p w14:paraId="54279FBA" w14:textId="77777777" w:rsidR="00626280" w:rsidRDefault="00626280" w:rsidP="00626280">
      <w:bookmarkStart w:id="118" w:name="_Toc116998524"/>
      <w:bookmarkStart w:id="119" w:name="_Toc116998527"/>
      <w:bookmarkStart w:id="120" w:name="_Toc116998528"/>
      <w:bookmarkStart w:id="121" w:name="_Toc116998529"/>
      <w:bookmarkStart w:id="122" w:name="_Toc116998530"/>
      <w:bookmarkStart w:id="123" w:name="_Toc116998531"/>
      <w:bookmarkStart w:id="124" w:name="_Toc116998655"/>
      <w:bookmarkStart w:id="125" w:name="_Toc116998656"/>
      <w:bookmarkStart w:id="126" w:name="_Toc116998657"/>
      <w:bookmarkEnd w:id="118"/>
      <w:bookmarkEnd w:id="119"/>
      <w:bookmarkEnd w:id="120"/>
      <w:bookmarkEnd w:id="121"/>
      <w:bookmarkEnd w:id="122"/>
      <w:bookmarkEnd w:id="123"/>
      <w:bookmarkEnd w:id="124"/>
      <w:bookmarkEnd w:id="125"/>
      <w:bookmarkEnd w:id="126"/>
    </w:p>
    <w:p w14:paraId="0F27803C" w14:textId="77777777" w:rsidR="00626280" w:rsidRDefault="00626280" w:rsidP="00626280">
      <w:r>
        <w:t xml:space="preserve">High levels of completeness are seen for the number of episodes and prostheses benefits in private overnight hospital and private day facilities, and high degree of similarity in average benefits paid per device. </w:t>
      </w:r>
    </w:p>
    <w:p w14:paraId="796F3338" w14:textId="2A1B40C6" w:rsidR="00626280" w:rsidRDefault="00626280" w:rsidP="00626280">
      <w:r>
        <w:t xml:space="preserve">Significantly lower completeness is seen for public hospitals, due to both the exclusion of episodes through the data preparation process and known limitations of the HCP collection. In particular, privately insured episodes in public hospitals are known to be systematically underreported in HCP. </w:t>
      </w:r>
    </w:p>
    <w:p w14:paraId="4DFC3673" w14:textId="1E12775D" w:rsidR="000E7BBC" w:rsidRDefault="00D51E0E" w:rsidP="00A34B3F">
      <w:r>
        <w:fldChar w:fldCharType="begin"/>
      </w:r>
      <w:r>
        <w:instrText xml:space="preserve"> REF _Ref120048690 \h </w:instrText>
      </w:r>
      <w:r>
        <w:fldChar w:fldCharType="separate"/>
      </w:r>
      <w:r w:rsidR="00106CD4">
        <w:t xml:space="preserve">Table </w:t>
      </w:r>
      <w:r w:rsidR="00106CD4">
        <w:rPr>
          <w:noProof/>
        </w:rPr>
        <w:t>17</w:t>
      </w:r>
      <w:r>
        <w:fldChar w:fldCharType="end"/>
      </w:r>
      <w:r>
        <w:t xml:space="preserve"> above </w:t>
      </w:r>
      <w:r w:rsidR="00A34B3F">
        <w:t>shows that the average benefits paid per device is still relatively similar to that reported by APRA.</w:t>
      </w:r>
      <w:r w:rsidR="000E7BBC">
        <w:t xml:space="preserve"> However, there is a greater degree of difference seen between the HCP data and that reported in APRA’s statistics when drilling down further by category of prosthesis, even for Private overnight and day hospitals. In particular, there are offsetting effects observed where the HCP data reports a higher number of episodes than APRA for some categories and the opposite for others, with a varying degree of correspondence in average benefits.</w:t>
      </w:r>
    </w:p>
    <w:p w14:paraId="1BA49887" w14:textId="76DB1191" w:rsidR="000E7BBC" w:rsidRDefault="000E7BBC" w:rsidP="00A34B3F">
      <w:r>
        <w:t xml:space="preserve">It </w:t>
      </w:r>
      <w:r w:rsidR="00D51E0E">
        <w:t xml:space="preserve">appears that there </w:t>
      </w:r>
      <w:r w:rsidR="002C059D">
        <w:t xml:space="preserve">may be </w:t>
      </w:r>
      <w:r w:rsidR="00D51E0E">
        <w:t xml:space="preserve">misalignment between the </w:t>
      </w:r>
      <w:proofErr w:type="spellStart"/>
      <w:r w:rsidR="00D51E0E">
        <w:t>categorisation</w:t>
      </w:r>
      <w:proofErr w:type="spellEnd"/>
      <w:r w:rsidR="00D51E0E">
        <w:t xml:space="preserve"> of items and benefits within the </w:t>
      </w:r>
      <w:r>
        <w:t xml:space="preserve">APRA </w:t>
      </w:r>
      <w:r w:rsidR="00D51E0E">
        <w:t>data and the HCP data, potentially limiting the comparability of statistics between two data sources</w:t>
      </w:r>
      <w:r w:rsidR="00D95177">
        <w:t>. L</w:t>
      </w:r>
      <w:r>
        <w:t xml:space="preserve">imitations in the APRA data </w:t>
      </w:r>
      <w:r w:rsidR="00D95177">
        <w:t>were also raised through submission to the consultation paper, in particular that APRA data understates volumes of General Miscellaneous usage. As General Miscellaneous makes up 95% of all GUI usage, this is by far the most important category of interest.</w:t>
      </w:r>
      <w:r w:rsidR="004E6918">
        <w:t xml:space="preserve"> </w:t>
      </w:r>
    </w:p>
    <w:p w14:paraId="0FD21560" w14:textId="3507DA15" w:rsidR="00A34B3F" w:rsidRDefault="00A34B3F" w:rsidP="003F5252">
      <w:pPr>
        <w:pStyle w:val="Caption"/>
      </w:pPr>
      <w:bookmarkStart w:id="127" w:name="_Ref117065446"/>
      <w:r>
        <w:t xml:space="preserve">Table </w:t>
      </w:r>
      <w:fldSimple w:instr=" SEQ Table \* ARABIC ">
        <w:r w:rsidR="00106CD4">
          <w:rPr>
            <w:noProof/>
          </w:rPr>
          <w:t>18</w:t>
        </w:r>
      </w:fldSimple>
      <w:bookmarkEnd w:id="127"/>
      <w:r>
        <w:t>: Completeness and difference of average benefits by category and hospital type</w:t>
      </w:r>
      <w:r w:rsidR="00D95177">
        <w:t xml:space="preserve"> (</w:t>
      </w:r>
      <w:r w:rsidR="00D51E0E">
        <w:t xml:space="preserve">PL </w:t>
      </w:r>
      <w:r w:rsidR="00D95177">
        <w:t xml:space="preserve">categories </w:t>
      </w:r>
      <w:r w:rsidR="00D51E0E">
        <w:t xml:space="preserve">containing GUIs highlighted </w:t>
      </w:r>
      <w:r w:rsidR="00D95177">
        <w:t>blue)</w:t>
      </w:r>
    </w:p>
    <w:tbl>
      <w:tblPr>
        <w:tblStyle w:val="IHPATable"/>
        <w:tblW w:w="9982" w:type="dxa"/>
        <w:tblLayout w:type="fixed"/>
        <w:tblLook w:val="0020" w:firstRow="1" w:lastRow="0" w:firstColumn="0" w:lastColumn="0" w:noHBand="0" w:noVBand="0"/>
        <w:tblDescription w:val="Table 18 shows completeness and difference of average benefits by category and hosptial type. There are three main columns showing the PL product category against Private overnight and day hospitals and public hospitals. Within these columns there is data showing percentages of completeness and difference between benefits. "/>
      </w:tblPr>
      <w:tblGrid>
        <w:gridCol w:w="2931"/>
        <w:gridCol w:w="902"/>
        <w:gridCol w:w="1117"/>
        <w:gridCol w:w="1431"/>
        <w:gridCol w:w="850"/>
        <w:gridCol w:w="1117"/>
        <w:gridCol w:w="1634"/>
      </w:tblGrid>
      <w:tr w:rsidR="005325FC" w:rsidRPr="006F7E30" w14:paraId="7DF04CB0" w14:textId="77777777" w:rsidTr="00D44498">
        <w:trPr>
          <w:cnfStyle w:val="100000000000" w:firstRow="1" w:lastRow="0" w:firstColumn="0" w:lastColumn="0" w:oddVBand="0" w:evenVBand="0" w:oddHBand="0" w:evenHBand="0" w:firstRowFirstColumn="0" w:firstRowLastColumn="0" w:lastRowFirstColumn="0" w:lastRowLastColumn="0"/>
          <w:cantSplit/>
          <w:trHeight w:val="20"/>
          <w:tblHeader/>
        </w:trPr>
        <w:tc>
          <w:tcPr>
            <w:tcW w:w="2931" w:type="dxa"/>
            <w:vMerge w:val="restart"/>
            <w:tcBorders>
              <w:top w:val="single" w:sz="4" w:space="0" w:color="808080" w:themeColor="background2" w:themeShade="80"/>
              <w:left w:val="single" w:sz="4" w:space="0" w:color="808080" w:themeColor="background2" w:themeShade="80"/>
              <w:right w:val="single" w:sz="4" w:space="0" w:color="FFFFFF" w:themeColor="background2"/>
            </w:tcBorders>
            <w:shd w:val="clear" w:color="auto" w:fill="104F99" w:themeFill="accent2"/>
            <w:vAlign w:val="center"/>
          </w:tcPr>
          <w:p w14:paraId="4C8B1832" w14:textId="19DE98B4" w:rsidR="005325FC" w:rsidRPr="006F7E30" w:rsidRDefault="005325FC" w:rsidP="006F7E30">
            <w:pPr>
              <w:spacing w:before="120" w:after="120"/>
              <w:jc w:val="center"/>
              <w:rPr>
                <w:rFonts w:ascii="Futura PT Book" w:hAnsi="Futura PT Book" w:cs="Futura PT Book"/>
                <w:b/>
                <w:bCs/>
                <w:color w:val="FFFFFF" w:themeColor="background2"/>
                <w:sz w:val="20"/>
                <w:szCs w:val="20"/>
                <w:lang w:val="en-US"/>
              </w:rPr>
            </w:pPr>
            <w:bookmarkStart w:id="128" w:name="_Toc118635339"/>
            <w:r>
              <w:rPr>
                <w:b/>
                <w:bCs/>
                <w:color w:val="FFFFFF" w:themeColor="background2"/>
                <w:sz w:val="20"/>
                <w:szCs w:val="20"/>
              </w:rPr>
              <w:t>PL product c</w:t>
            </w:r>
            <w:r w:rsidRPr="005325FC">
              <w:rPr>
                <w:b/>
                <w:bCs/>
                <w:color w:val="FFFFFF" w:themeColor="background2"/>
                <w:sz w:val="20"/>
                <w:szCs w:val="20"/>
              </w:rPr>
              <w:t>ategory</w:t>
            </w:r>
          </w:p>
        </w:tc>
        <w:tc>
          <w:tcPr>
            <w:tcW w:w="3450" w:type="dxa"/>
            <w:gridSpan w:val="3"/>
            <w:tcBorders>
              <w:top w:val="single" w:sz="4" w:space="0" w:color="808080" w:themeColor="background2" w:themeShade="80"/>
              <w:left w:val="single" w:sz="4" w:space="0" w:color="FFFFFF" w:themeColor="background2"/>
              <w:right w:val="single" w:sz="4" w:space="0" w:color="FFFFFF" w:themeColor="background2"/>
            </w:tcBorders>
            <w:shd w:val="clear" w:color="auto" w:fill="104F99" w:themeFill="accent2"/>
            <w:vAlign w:val="center"/>
          </w:tcPr>
          <w:p w14:paraId="0F2C115B" w14:textId="7644E24E" w:rsidR="005325FC" w:rsidRPr="006F7E30" w:rsidRDefault="005325FC" w:rsidP="006F7E30">
            <w:pPr>
              <w:spacing w:before="120" w:after="120"/>
              <w:jc w:val="center"/>
              <w:rPr>
                <w:rFonts w:ascii="Futura PT Book" w:hAnsi="Futura PT Book" w:cs="Futura PT Book"/>
                <w:b/>
                <w:bCs/>
                <w:color w:val="FFFFFF" w:themeColor="background2"/>
                <w:sz w:val="20"/>
                <w:szCs w:val="20"/>
                <w:lang w:val="en-US"/>
              </w:rPr>
            </w:pPr>
            <w:r w:rsidRPr="006F7E30">
              <w:rPr>
                <w:b/>
                <w:bCs/>
                <w:color w:val="FFFFFF" w:themeColor="background2"/>
                <w:sz w:val="20"/>
                <w:szCs w:val="20"/>
                <w:lang w:val="en-US"/>
              </w:rPr>
              <w:t xml:space="preserve">Private </w:t>
            </w:r>
            <w:r>
              <w:rPr>
                <w:b/>
                <w:bCs/>
                <w:color w:val="FFFFFF" w:themeColor="background2"/>
                <w:sz w:val="20"/>
                <w:szCs w:val="20"/>
                <w:lang w:val="en-US"/>
              </w:rPr>
              <w:t>o</w:t>
            </w:r>
            <w:r w:rsidRPr="006F7E30">
              <w:rPr>
                <w:b/>
                <w:bCs/>
                <w:color w:val="FFFFFF" w:themeColor="background2"/>
                <w:sz w:val="20"/>
                <w:szCs w:val="20"/>
                <w:lang w:val="en-US"/>
              </w:rPr>
              <w:t xml:space="preserve">vernight and </w:t>
            </w:r>
            <w:r>
              <w:rPr>
                <w:b/>
                <w:bCs/>
                <w:color w:val="FFFFFF" w:themeColor="background2"/>
                <w:sz w:val="20"/>
                <w:szCs w:val="20"/>
                <w:lang w:val="en-US"/>
              </w:rPr>
              <w:t>d</w:t>
            </w:r>
            <w:r w:rsidRPr="006F7E30">
              <w:rPr>
                <w:b/>
                <w:bCs/>
                <w:color w:val="FFFFFF" w:themeColor="background2"/>
                <w:sz w:val="20"/>
                <w:szCs w:val="20"/>
                <w:lang w:val="en-US"/>
              </w:rPr>
              <w:t xml:space="preserve">ay </w:t>
            </w:r>
            <w:r>
              <w:rPr>
                <w:b/>
                <w:bCs/>
                <w:color w:val="FFFFFF" w:themeColor="background2"/>
                <w:sz w:val="20"/>
                <w:szCs w:val="20"/>
                <w:lang w:val="en-US"/>
              </w:rPr>
              <w:t>h</w:t>
            </w:r>
            <w:r w:rsidRPr="006F7E30">
              <w:rPr>
                <w:b/>
                <w:bCs/>
                <w:color w:val="FFFFFF" w:themeColor="background2"/>
                <w:sz w:val="20"/>
                <w:szCs w:val="20"/>
                <w:lang w:val="en-US"/>
              </w:rPr>
              <w:t>ospitals</w:t>
            </w:r>
          </w:p>
        </w:tc>
        <w:tc>
          <w:tcPr>
            <w:tcW w:w="3601" w:type="dxa"/>
            <w:gridSpan w:val="3"/>
            <w:tcBorders>
              <w:top w:val="single" w:sz="4" w:space="0" w:color="808080" w:themeColor="background2" w:themeShade="80"/>
              <w:left w:val="single" w:sz="4" w:space="0" w:color="FFFFFF" w:themeColor="background2"/>
              <w:right w:val="single" w:sz="4" w:space="0" w:color="808080" w:themeColor="background2" w:themeShade="80"/>
            </w:tcBorders>
            <w:shd w:val="clear" w:color="auto" w:fill="104F99" w:themeFill="accent2"/>
            <w:vAlign w:val="center"/>
          </w:tcPr>
          <w:p w14:paraId="28A285B6" w14:textId="6F462330" w:rsidR="005325FC" w:rsidRPr="006F7E30" w:rsidRDefault="005325FC" w:rsidP="006F7E30">
            <w:pPr>
              <w:spacing w:before="120" w:after="120"/>
              <w:jc w:val="center"/>
              <w:rPr>
                <w:rFonts w:ascii="Futura PT Book" w:hAnsi="Futura PT Book" w:cs="Futura PT Book"/>
                <w:b/>
                <w:bCs/>
                <w:color w:val="FFFFFF" w:themeColor="background2"/>
                <w:sz w:val="20"/>
                <w:szCs w:val="20"/>
                <w:lang w:val="en-US"/>
              </w:rPr>
            </w:pPr>
            <w:r w:rsidRPr="006F7E30">
              <w:rPr>
                <w:b/>
                <w:bCs/>
                <w:color w:val="FFFFFF" w:themeColor="background2"/>
                <w:sz w:val="20"/>
                <w:szCs w:val="20"/>
                <w:lang w:val="en-US"/>
              </w:rPr>
              <w:t xml:space="preserve">Public </w:t>
            </w:r>
            <w:r>
              <w:rPr>
                <w:b/>
                <w:bCs/>
                <w:color w:val="FFFFFF" w:themeColor="background2"/>
                <w:sz w:val="20"/>
                <w:szCs w:val="20"/>
                <w:lang w:val="en-US"/>
              </w:rPr>
              <w:t>h</w:t>
            </w:r>
            <w:r w:rsidRPr="006F7E30">
              <w:rPr>
                <w:b/>
                <w:bCs/>
                <w:color w:val="FFFFFF" w:themeColor="background2"/>
                <w:sz w:val="20"/>
                <w:szCs w:val="20"/>
                <w:lang w:val="en-US"/>
              </w:rPr>
              <w:t>ospitals</w:t>
            </w:r>
          </w:p>
        </w:tc>
      </w:tr>
      <w:tr w:rsidR="005325FC" w:rsidRPr="006F7E30" w14:paraId="5013AA97" w14:textId="77777777" w:rsidTr="00D44498">
        <w:trPr>
          <w:cnfStyle w:val="100000000000" w:firstRow="1" w:lastRow="0" w:firstColumn="0" w:lastColumn="0" w:oddVBand="0" w:evenVBand="0" w:oddHBand="0" w:evenHBand="0" w:firstRowFirstColumn="0" w:firstRowLastColumn="0" w:lastRowFirstColumn="0" w:lastRowLastColumn="0"/>
          <w:cantSplit/>
          <w:trHeight w:val="673"/>
          <w:tblHeader/>
        </w:trPr>
        <w:tc>
          <w:tcPr>
            <w:tcW w:w="2931" w:type="dxa"/>
            <w:vMerge/>
            <w:tcBorders>
              <w:left w:val="single" w:sz="4" w:space="0" w:color="808080" w:themeColor="background2" w:themeShade="80"/>
              <w:right w:val="single" w:sz="4" w:space="0" w:color="FFFFFF" w:themeColor="background2"/>
            </w:tcBorders>
            <w:shd w:val="clear" w:color="auto" w:fill="104F99" w:themeFill="accent2"/>
            <w:vAlign w:val="center"/>
          </w:tcPr>
          <w:p w14:paraId="7145A415" w14:textId="26EF7266" w:rsidR="005325FC" w:rsidRPr="005325FC" w:rsidRDefault="005325FC" w:rsidP="006F7E30">
            <w:pPr>
              <w:spacing w:before="120" w:after="120"/>
              <w:jc w:val="center"/>
              <w:rPr>
                <w:b/>
                <w:bCs/>
                <w:color w:val="FFFFFF" w:themeColor="background2"/>
                <w:sz w:val="20"/>
                <w:szCs w:val="20"/>
              </w:rPr>
            </w:pPr>
          </w:p>
        </w:tc>
        <w:tc>
          <w:tcPr>
            <w:tcW w:w="2019" w:type="dxa"/>
            <w:gridSpan w:val="2"/>
            <w:tcBorders>
              <w:left w:val="single" w:sz="4" w:space="0" w:color="FFFFFF" w:themeColor="background2"/>
              <w:right w:val="single" w:sz="4" w:space="0" w:color="FFFFFF" w:themeColor="background2"/>
            </w:tcBorders>
            <w:shd w:val="clear" w:color="auto" w:fill="104F99" w:themeFill="accent2"/>
            <w:vAlign w:val="center"/>
          </w:tcPr>
          <w:p w14:paraId="069E27EE" w14:textId="19706E74" w:rsidR="005325FC" w:rsidRPr="005325FC" w:rsidRDefault="005325FC" w:rsidP="006F7E30">
            <w:pPr>
              <w:spacing w:before="120" w:after="120"/>
              <w:jc w:val="center"/>
              <w:rPr>
                <w:b/>
                <w:color w:val="FFFFFF" w:themeColor="background2"/>
                <w:sz w:val="20"/>
                <w:szCs w:val="20"/>
              </w:rPr>
            </w:pPr>
            <w:r w:rsidRPr="005325FC">
              <w:rPr>
                <w:b/>
                <w:color w:val="FFFFFF" w:themeColor="background2"/>
                <w:sz w:val="20"/>
                <w:szCs w:val="20"/>
              </w:rPr>
              <w:t>Completeness</w:t>
            </w:r>
          </w:p>
        </w:tc>
        <w:tc>
          <w:tcPr>
            <w:tcW w:w="1431" w:type="dxa"/>
            <w:vMerge w:val="restart"/>
            <w:tcBorders>
              <w:left w:val="single" w:sz="4" w:space="0" w:color="FFFFFF" w:themeColor="background2"/>
              <w:right w:val="single" w:sz="4" w:space="0" w:color="FFFFFF" w:themeColor="background2"/>
            </w:tcBorders>
            <w:shd w:val="clear" w:color="auto" w:fill="104F99" w:themeFill="accent2"/>
            <w:vAlign w:val="center"/>
          </w:tcPr>
          <w:p w14:paraId="7C6E8377" w14:textId="0E8B7225" w:rsidR="005325FC" w:rsidRPr="005325FC" w:rsidRDefault="005325FC" w:rsidP="006F7E30">
            <w:pPr>
              <w:spacing w:before="120" w:after="120"/>
              <w:jc w:val="center"/>
              <w:rPr>
                <w:b/>
                <w:color w:val="FFFFFF" w:themeColor="background2"/>
                <w:sz w:val="20"/>
                <w:szCs w:val="20"/>
              </w:rPr>
            </w:pPr>
            <w:r w:rsidRPr="005325FC">
              <w:rPr>
                <w:b/>
                <w:color w:val="FFFFFF" w:themeColor="background2"/>
                <w:sz w:val="20"/>
                <w:szCs w:val="20"/>
              </w:rPr>
              <w:t>Difference average benefits</w:t>
            </w:r>
          </w:p>
        </w:tc>
        <w:tc>
          <w:tcPr>
            <w:tcW w:w="1967" w:type="dxa"/>
            <w:gridSpan w:val="2"/>
            <w:tcBorders>
              <w:left w:val="single" w:sz="4" w:space="0" w:color="FFFFFF" w:themeColor="background2"/>
              <w:right w:val="single" w:sz="4" w:space="0" w:color="FFFFFF" w:themeColor="background2"/>
            </w:tcBorders>
            <w:shd w:val="clear" w:color="auto" w:fill="104F99" w:themeFill="accent2"/>
            <w:vAlign w:val="center"/>
          </w:tcPr>
          <w:p w14:paraId="0CB30F5F" w14:textId="1F844C61" w:rsidR="005325FC" w:rsidRPr="005325FC" w:rsidRDefault="005325FC" w:rsidP="006F7E30">
            <w:pPr>
              <w:spacing w:before="120" w:after="120"/>
              <w:jc w:val="center"/>
              <w:rPr>
                <w:b/>
                <w:color w:val="FFFFFF" w:themeColor="background2"/>
                <w:sz w:val="20"/>
                <w:szCs w:val="20"/>
              </w:rPr>
            </w:pPr>
            <w:r w:rsidRPr="005325FC">
              <w:rPr>
                <w:b/>
                <w:color w:val="FFFFFF" w:themeColor="background2"/>
                <w:sz w:val="20"/>
                <w:szCs w:val="20"/>
              </w:rPr>
              <w:t>Completeness</w:t>
            </w:r>
          </w:p>
        </w:tc>
        <w:tc>
          <w:tcPr>
            <w:tcW w:w="1634" w:type="dxa"/>
            <w:vMerge w:val="restart"/>
            <w:tcBorders>
              <w:left w:val="single" w:sz="4" w:space="0" w:color="FFFFFF" w:themeColor="background2"/>
              <w:right w:val="single" w:sz="4" w:space="0" w:color="808080" w:themeColor="background2" w:themeShade="80"/>
            </w:tcBorders>
            <w:shd w:val="clear" w:color="auto" w:fill="104F99" w:themeFill="accent2"/>
            <w:vAlign w:val="center"/>
          </w:tcPr>
          <w:p w14:paraId="4C61695B" w14:textId="4A70DEEA" w:rsidR="005325FC" w:rsidRPr="005325FC" w:rsidRDefault="005325FC" w:rsidP="006F7E30">
            <w:pPr>
              <w:spacing w:before="120" w:after="120"/>
              <w:jc w:val="center"/>
              <w:rPr>
                <w:b/>
                <w:color w:val="FFFFFF" w:themeColor="background2"/>
                <w:sz w:val="20"/>
                <w:szCs w:val="20"/>
              </w:rPr>
            </w:pPr>
            <w:r w:rsidRPr="005325FC">
              <w:rPr>
                <w:b/>
                <w:color w:val="FFFFFF" w:themeColor="background2"/>
                <w:sz w:val="20"/>
                <w:szCs w:val="20"/>
              </w:rPr>
              <w:t>Difference average benefits</w:t>
            </w:r>
          </w:p>
        </w:tc>
      </w:tr>
      <w:tr w:rsidR="005325FC" w:rsidRPr="006F7E30" w14:paraId="5B90E0DE" w14:textId="77777777" w:rsidTr="00D44498">
        <w:trPr>
          <w:cnfStyle w:val="100000000000" w:firstRow="1" w:lastRow="0" w:firstColumn="0" w:lastColumn="0" w:oddVBand="0" w:evenVBand="0" w:oddHBand="0" w:evenHBand="0" w:firstRowFirstColumn="0" w:firstRowLastColumn="0" w:lastRowFirstColumn="0" w:lastRowLastColumn="0"/>
          <w:cantSplit/>
          <w:trHeight w:val="409"/>
          <w:tblHeader/>
        </w:trPr>
        <w:tc>
          <w:tcPr>
            <w:tcW w:w="2931" w:type="dxa"/>
            <w:vMerge/>
            <w:tcBorders>
              <w:left w:val="single" w:sz="4" w:space="0" w:color="808080" w:themeColor="background2" w:themeShade="80"/>
              <w:bottom w:val="single" w:sz="4" w:space="0" w:color="808080" w:themeColor="background2" w:themeShade="80"/>
              <w:right w:val="single" w:sz="4" w:space="0" w:color="FFFFFF" w:themeColor="background2"/>
            </w:tcBorders>
            <w:shd w:val="clear" w:color="auto" w:fill="C1DAF8" w:themeFill="accent2" w:themeFillTint="33"/>
            <w:vAlign w:val="center"/>
          </w:tcPr>
          <w:p w14:paraId="06BAF746" w14:textId="2DA63AD5" w:rsidR="005325FC" w:rsidRPr="005325FC" w:rsidRDefault="005325FC" w:rsidP="006F7E30">
            <w:pPr>
              <w:spacing w:before="120" w:after="120"/>
              <w:jc w:val="center"/>
              <w:rPr>
                <w:rFonts w:ascii="Futura PT Book" w:hAnsi="Futura PT Book" w:cs="Futura PT Book"/>
                <w:b/>
                <w:bCs/>
                <w:color w:val="FFFFFF" w:themeColor="background2"/>
                <w:sz w:val="20"/>
                <w:szCs w:val="20"/>
                <w:lang w:val="en-US"/>
              </w:rPr>
            </w:pPr>
          </w:p>
        </w:tc>
        <w:tc>
          <w:tcPr>
            <w:tcW w:w="902" w:type="dxa"/>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4DACEB4E" w14:textId="79D1B0E0" w:rsidR="005325FC" w:rsidRPr="005325FC" w:rsidRDefault="005325FC" w:rsidP="006F7E30">
            <w:pPr>
              <w:spacing w:before="120" w:after="120"/>
              <w:jc w:val="center"/>
              <w:rPr>
                <w:b/>
                <w:bCs/>
                <w:color w:val="FFFFFF" w:themeColor="background2"/>
                <w:sz w:val="20"/>
                <w:szCs w:val="20"/>
              </w:rPr>
            </w:pPr>
            <w:r w:rsidRPr="005325FC">
              <w:rPr>
                <w:b/>
                <w:color w:val="FFFFFF" w:themeColor="background2"/>
                <w:sz w:val="20"/>
                <w:szCs w:val="20"/>
              </w:rPr>
              <w:t>Items</w:t>
            </w:r>
          </w:p>
        </w:tc>
        <w:tc>
          <w:tcPr>
            <w:tcW w:w="1117" w:type="dxa"/>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7DCBF5FC" w14:textId="094A1343" w:rsidR="005325FC" w:rsidRPr="005325FC" w:rsidRDefault="005325FC" w:rsidP="006F7E30">
            <w:pPr>
              <w:spacing w:before="120" w:after="120"/>
              <w:jc w:val="center"/>
              <w:rPr>
                <w:b/>
                <w:bCs/>
                <w:color w:val="FFFFFF" w:themeColor="background2"/>
                <w:sz w:val="20"/>
                <w:szCs w:val="20"/>
              </w:rPr>
            </w:pPr>
            <w:r w:rsidRPr="005325FC">
              <w:rPr>
                <w:b/>
                <w:color w:val="FFFFFF" w:themeColor="background2"/>
                <w:sz w:val="20"/>
                <w:szCs w:val="20"/>
              </w:rPr>
              <w:t>Benefits</w:t>
            </w:r>
          </w:p>
        </w:tc>
        <w:tc>
          <w:tcPr>
            <w:tcW w:w="1431" w:type="dxa"/>
            <w:vMerge/>
            <w:tcBorders>
              <w:left w:val="single" w:sz="4" w:space="0" w:color="FFFFFF" w:themeColor="background2"/>
              <w:bottom w:val="single" w:sz="4" w:space="0" w:color="808080" w:themeColor="background2" w:themeShade="80"/>
              <w:right w:val="single" w:sz="4" w:space="0" w:color="FFFFFF" w:themeColor="background2"/>
            </w:tcBorders>
            <w:shd w:val="clear" w:color="auto" w:fill="C1DAF8" w:themeFill="accent2" w:themeFillTint="33"/>
            <w:vAlign w:val="center"/>
          </w:tcPr>
          <w:p w14:paraId="14A8BEE8" w14:textId="6BE6C11D" w:rsidR="005325FC" w:rsidRPr="005325FC" w:rsidRDefault="005325FC" w:rsidP="006F7E30">
            <w:pPr>
              <w:spacing w:before="120" w:after="120"/>
              <w:jc w:val="center"/>
              <w:rPr>
                <w:b/>
                <w:bCs/>
                <w:color w:val="FFFFFF" w:themeColor="background2"/>
                <w:sz w:val="20"/>
                <w:szCs w:val="20"/>
              </w:rPr>
            </w:pPr>
          </w:p>
        </w:tc>
        <w:tc>
          <w:tcPr>
            <w:tcW w:w="850" w:type="dxa"/>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28B09596" w14:textId="3172EC7F" w:rsidR="005325FC" w:rsidRPr="005325FC" w:rsidRDefault="005325FC" w:rsidP="006F7E30">
            <w:pPr>
              <w:spacing w:before="120" w:after="120"/>
              <w:jc w:val="center"/>
              <w:rPr>
                <w:b/>
                <w:bCs/>
                <w:color w:val="FFFFFF" w:themeColor="background2"/>
                <w:sz w:val="20"/>
                <w:szCs w:val="20"/>
              </w:rPr>
            </w:pPr>
            <w:r w:rsidRPr="005325FC">
              <w:rPr>
                <w:b/>
                <w:color w:val="FFFFFF" w:themeColor="background2"/>
                <w:sz w:val="20"/>
                <w:szCs w:val="20"/>
              </w:rPr>
              <w:t>Items</w:t>
            </w:r>
          </w:p>
        </w:tc>
        <w:tc>
          <w:tcPr>
            <w:tcW w:w="1117" w:type="dxa"/>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19676407" w14:textId="20E79403" w:rsidR="005325FC" w:rsidRPr="005325FC" w:rsidRDefault="005325FC" w:rsidP="006F7E30">
            <w:pPr>
              <w:spacing w:before="120" w:after="120"/>
              <w:jc w:val="center"/>
              <w:rPr>
                <w:b/>
                <w:bCs/>
                <w:color w:val="FFFFFF" w:themeColor="background2"/>
                <w:sz w:val="20"/>
                <w:szCs w:val="20"/>
              </w:rPr>
            </w:pPr>
            <w:r w:rsidRPr="005325FC">
              <w:rPr>
                <w:b/>
                <w:color w:val="FFFFFF" w:themeColor="background2"/>
                <w:sz w:val="20"/>
                <w:szCs w:val="20"/>
              </w:rPr>
              <w:t>Benefits</w:t>
            </w:r>
          </w:p>
        </w:tc>
        <w:tc>
          <w:tcPr>
            <w:tcW w:w="1634" w:type="dxa"/>
            <w:vMerge/>
            <w:tcBorders>
              <w:left w:val="single" w:sz="4" w:space="0" w:color="FFFFFF" w:themeColor="background2"/>
              <w:bottom w:val="single" w:sz="4" w:space="0" w:color="808080" w:themeColor="background2" w:themeShade="80"/>
              <w:right w:val="single" w:sz="4" w:space="0" w:color="808080" w:themeColor="background2" w:themeShade="80"/>
            </w:tcBorders>
            <w:shd w:val="clear" w:color="auto" w:fill="C1DAF8" w:themeFill="accent2" w:themeFillTint="33"/>
            <w:vAlign w:val="center"/>
          </w:tcPr>
          <w:p w14:paraId="2E750D6D" w14:textId="205A7CC2" w:rsidR="005325FC" w:rsidRPr="005325FC" w:rsidRDefault="005325FC" w:rsidP="006F7E30">
            <w:pPr>
              <w:spacing w:before="120" w:after="120"/>
              <w:jc w:val="center"/>
              <w:rPr>
                <w:b/>
                <w:bCs/>
                <w:color w:val="FFFFFF" w:themeColor="background2"/>
                <w:sz w:val="20"/>
                <w:szCs w:val="20"/>
              </w:rPr>
            </w:pPr>
          </w:p>
        </w:tc>
      </w:tr>
      <w:tr w:rsidR="00AA4282" w:rsidRPr="006F7E30" w14:paraId="0A94C949" w14:textId="77777777" w:rsidTr="00D44498">
        <w:trPr>
          <w:cnfStyle w:val="000000100000" w:firstRow="0" w:lastRow="0" w:firstColumn="0" w:lastColumn="0" w:oddVBand="0" w:evenVBand="0" w:oddHBand="1" w:evenHBand="0" w:firstRowFirstColumn="0" w:firstRowLastColumn="0" w:lastRowFirstColumn="0" w:lastRowLastColumn="0"/>
          <w:cantSplit/>
          <w:trHeight w:val="567"/>
        </w:trPr>
        <w:tc>
          <w:tcPr>
            <w:tcW w:w="29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00F8F6B" w14:textId="77777777" w:rsidR="000E7BBC" w:rsidRPr="006F7E30" w:rsidRDefault="000E7BBC" w:rsidP="006F7E30">
            <w:pPr>
              <w:spacing w:before="120" w:after="120"/>
              <w:rPr>
                <w:rFonts w:cs="Arial"/>
                <w:color w:val="000000"/>
                <w:sz w:val="20"/>
                <w:szCs w:val="20"/>
                <w:lang w:val="en-US"/>
              </w:rPr>
            </w:pPr>
            <w:r w:rsidRPr="006F7E30">
              <w:rPr>
                <w:rFonts w:cs="Arial"/>
                <w:sz w:val="20"/>
                <w:szCs w:val="20"/>
              </w:rPr>
              <w:t>Ophthalmic</w:t>
            </w:r>
          </w:p>
        </w:tc>
        <w:tc>
          <w:tcPr>
            <w:tcW w:w="90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FFDF5DB" w14:textId="77777777" w:rsidR="000E7BBC" w:rsidRPr="006F7E30" w:rsidRDefault="000E7BBC" w:rsidP="006F7E30">
            <w:pPr>
              <w:spacing w:before="120" w:after="120"/>
              <w:jc w:val="right"/>
              <w:rPr>
                <w:rFonts w:cs="Arial"/>
                <w:color w:val="1C1C1C"/>
                <w:sz w:val="20"/>
                <w:szCs w:val="20"/>
              </w:rPr>
            </w:pPr>
            <w:r w:rsidRPr="006F7E30">
              <w:rPr>
                <w:rFonts w:cs="Arial"/>
                <w:sz w:val="20"/>
                <w:szCs w:val="20"/>
              </w:rPr>
              <w:t>92%</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CCDA14F" w14:textId="77777777" w:rsidR="000E7BBC" w:rsidRPr="006F7E30" w:rsidRDefault="000E7BBC" w:rsidP="006F7E30">
            <w:pPr>
              <w:spacing w:before="120" w:after="120"/>
              <w:jc w:val="right"/>
              <w:rPr>
                <w:rFonts w:cs="Arial"/>
                <w:color w:val="1C1C1C"/>
                <w:sz w:val="20"/>
                <w:szCs w:val="20"/>
              </w:rPr>
            </w:pPr>
            <w:r w:rsidRPr="006F7E30">
              <w:rPr>
                <w:rFonts w:cs="Arial"/>
                <w:sz w:val="20"/>
                <w:szCs w:val="20"/>
              </w:rPr>
              <w:t>97%</w:t>
            </w:r>
          </w:p>
        </w:tc>
        <w:tc>
          <w:tcPr>
            <w:tcW w:w="14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7B229DE" w14:textId="77777777" w:rsidR="000E7BBC" w:rsidRPr="006F7E30" w:rsidRDefault="000E7BBC" w:rsidP="006F7E30">
            <w:pPr>
              <w:spacing w:before="120" w:after="120"/>
              <w:jc w:val="right"/>
              <w:rPr>
                <w:rFonts w:cs="Arial"/>
                <w:sz w:val="20"/>
                <w:szCs w:val="20"/>
              </w:rPr>
            </w:pPr>
            <w:r w:rsidRPr="006F7E30">
              <w:rPr>
                <w:rFonts w:cs="Arial"/>
                <w:sz w:val="20"/>
                <w:szCs w:val="20"/>
              </w:rPr>
              <w:t>5%</w:t>
            </w:r>
          </w:p>
        </w:tc>
        <w:tc>
          <w:tcPr>
            <w:tcW w:w="85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8FCFF24" w14:textId="77777777" w:rsidR="000E7BBC" w:rsidRPr="006F7E30" w:rsidRDefault="000E7BBC" w:rsidP="006F7E30">
            <w:pPr>
              <w:spacing w:before="120" w:after="120"/>
              <w:jc w:val="right"/>
              <w:rPr>
                <w:rFonts w:cs="Arial"/>
                <w:sz w:val="20"/>
                <w:szCs w:val="20"/>
              </w:rPr>
            </w:pPr>
            <w:r w:rsidRPr="006F7E30">
              <w:rPr>
                <w:rFonts w:cs="Arial"/>
                <w:sz w:val="20"/>
                <w:szCs w:val="20"/>
              </w:rPr>
              <w:t>36%</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CD4EB95" w14:textId="77777777" w:rsidR="000E7BBC" w:rsidRPr="006F7E30" w:rsidRDefault="000E7BBC" w:rsidP="006F7E30">
            <w:pPr>
              <w:spacing w:before="120" w:after="120"/>
              <w:jc w:val="right"/>
              <w:rPr>
                <w:rFonts w:cs="Arial"/>
                <w:color w:val="1C1C1C"/>
                <w:sz w:val="20"/>
                <w:szCs w:val="20"/>
              </w:rPr>
            </w:pPr>
            <w:r w:rsidRPr="006F7E30">
              <w:rPr>
                <w:rFonts w:cs="Arial"/>
                <w:sz w:val="20"/>
                <w:szCs w:val="20"/>
              </w:rPr>
              <w:t>37%</w:t>
            </w:r>
          </w:p>
        </w:tc>
        <w:tc>
          <w:tcPr>
            <w:tcW w:w="163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F5E955D" w14:textId="77777777" w:rsidR="000E7BBC" w:rsidRPr="006F7E30" w:rsidRDefault="000E7BBC" w:rsidP="006F7E30">
            <w:pPr>
              <w:spacing w:before="120" w:after="120"/>
              <w:jc w:val="right"/>
              <w:rPr>
                <w:rFonts w:cs="Arial"/>
                <w:color w:val="000000"/>
                <w:sz w:val="20"/>
                <w:szCs w:val="20"/>
                <w:lang w:val="en-US"/>
              </w:rPr>
            </w:pPr>
            <w:r w:rsidRPr="006F7E30">
              <w:rPr>
                <w:rFonts w:cs="Arial"/>
                <w:sz w:val="20"/>
                <w:szCs w:val="20"/>
              </w:rPr>
              <w:t>5%</w:t>
            </w:r>
          </w:p>
        </w:tc>
      </w:tr>
      <w:tr w:rsidR="0061483A" w:rsidRPr="006F7E30" w14:paraId="53CDDF04" w14:textId="77777777" w:rsidTr="00D44498">
        <w:trPr>
          <w:cnfStyle w:val="000000010000" w:firstRow="0" w:lastRow="0" w:firstColumn="0" w:lastColumn="0" w:oddVBand="0" w:evenVBand="0" w:oddHBand="0" w:evenHBand="1" w:firstRowFirstColumn="0" w:firstRowLastColumn="0" w:lastRowFirstColumn="0" w:lastRowLastColumn="0"/>
          <w:cantSplit/>
          <w:trHeight w:val="567"/>
        </w:trPr>
        <w:tc>
          <w:tcPr>
            <w:tcW w:w="29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8FAA75A" w14:textId="77777777" w:rsidR="000E7BBC" w:rsidRPr="006F7E30" w:rsidRDefault="000E7BBC" w:rsidP="006F7E30">
            <w:pPr>
              <w:spacing w:before="120" w:after="120"/>
              <w:rPr>
                <w:rFonts w:cs="Arial"/>
                <w:color w:val="000000"/>
                <w:sz w:val="20"/>
                <w:szCs w:val="20"/>
                <w:lang w:val="en-US"/>
              </w:rPr>
            </w:pPr>
            <w:r w:rsidRPr="006F7E30">
              <w:rPr>
                <w:rFonts w:cs="Arial"/>
                <w:sz w:val="20"/>
                <w:szCs w:val="20"/>
              </w:rPr>
              <w:t>Ear, Nose &amp; Throat</w:t>
            </w:r>
          </w:p>
        </w:tc>
        <w:tc>
          <w:tcPr>
            <w:tcW w:w="90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2F2D328" w14:textId="77777777" w:rsidR="000E7BBC" w:rsidRPr="006F7E30" w:rsidRDefault="000E7BBC" w:rsidP="006F7E30">
            <w:pPr>
              <w:spacing w:before="120" w:after="120"/>
              <w:jc w:val="right"/>
              <w:rPr>
                <w:rFonts w:cs="Arial"/>
                <w:color w:val="1C1C1C"/>
                <w:sz w:val="20"/>
                <w:szCs w:val="20"/>
              </w:rPr>
            </w:pPr>
            <w:r w:rsidRPr="006F7E30">
              <w:rPr>
                <w:rFonts w:cs="Arial"/>
                <w:sz w:val="20"/>
                <w:szCs w:val="20"/>
              </w:rPr>
              <w:t>105%</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89B667F" w14:textId="77777777" w:rsidR="000E7BBC" w:rsidRPr="006F7E30" w:rsidRDefault="000E7BBC" w:rsidP="006F7E30">
            <w:pPr>
              <w:spacing w:before="120" w:after="120"/>
              <w:jc w:val="right"/>
              <w:rPr>
                <w:rFonts w:cs="Arial"/>
                <w:color w:val="1C1C1C"/>
                <w:sz w:val="20"/>
                <w:szCs w:val="20"/>
              </w:rPr>
            </w:pPr>
            <w:r w:rsidRPr="006F7E30">
              <w:rPr>
                <w:rFonts w:cs="Arial"/>
                <w:sz w:val="20"/>
                <w:szCs w:val="20"/>
              </w:rPr>
              <w:t>78%</w:t>
            </w:r>
          </w:p>
        </w:tc>
        <w:tc>
          <w:tcPr>
            <w:tcW w:w="14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CB7DC1F" w14:textId="77777777" w:rsidR="000E7BBC" w:rsidRPr="006F7E30" w:rsidRDefault="000E7BBC" w:rsidP="006F7E30">
            <w:pPr>
              <w:spacing w:before="120" w:after="120"/>
              <w:jc w:val="right"/>
              <w:rPr>
                <w:rFonts w:cs="Arial"/>
                <w:sz w:val="20"/>
                <w:szCs w:val="20"/>
              </w:rPr>
            </w:pPr>
            <w:r w:rsidRPr="006F7E30">
              <w:rPr>
                <w:rFonts w:cs="Arial"/>
                <w:sz w:val="20"/>
                <w:szCs w:val="20"/>
              </w:rPr>
              <w:t>-26%</w:t>
            </w:r>
          </w:p>
        </w:tc>
        <w:tc>
          <w:tcPr>
            <w:tcW w:w="85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4845DC3" w14:textId="77777777" w:rsidR="000E7BBC" w:rsidRPr="006F7E30" w:rsidRDefault="000E7BBC" w:rsidP="006F7E30">
            <w:pPr>
              <w:spacing w:before="120" w:after="120"/>
              <w:jc w:val="right"/>
              <w:rPr>
                <w:rFonts w:cs="Arial"/>
                <w:sz w:val="20"/>
                <w:szCs w:val="20"/>
              </w:rPr>
            </w:pPr>
            <w:r w:rsidRPr="006F7E30">
              <w:rPr>
                <w:rFonts w:cs="Arial"/>
                <w:sz w:val="20"/>
                <w:szCs w:val="20"/>
              </w:rPr>
              <w:t>44%</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50DED24" w14:textId="77777777" w:rsidR="000E7BBC" w:rsidRPr="006F7E30" w:rsidRDefault="000E7BBC" w:rsidP="006F7E30">
            <w:pPr>
              <w:spacing w:before="120" w:after="120"/>
              <w:jc w:val="right"/>
              <w:rPr>
                <w:rFonts w:cs="Arial"/>
                <w:color w:val="1C1C1C"/>
                <w:sz w:val="20"/>
                <w:szCs w:val="20"/>
              </w:rPr>
            </w:pPr>
            <w:r w:rsidRPr="006F7E30">
              <w:rPr>
                <w:rFonts w:cs="Arial"/>
                <w:sz w:val="20"/>
                <w:szCs w:val="20"/>
              </w:rPr>
              <w:t>27%</w:t>
            </w:r>
          </w:p>
        </w:tc>
        <w:tc>
          <w:tcPr>
            <w:tcW w:w="163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24F35C1" w14:textId="77777777" w:rsidR="000E7BBC" w:rsidRPr="006F7E30" w:rsidRDefault="000E7BBC" w:rsidP="006F7E30">
            <w:pPr>
              <w:spacing w:before="120" w:after="120"/>
              <w:jc w:val="right"/>
              <w:rPr>
                <w:rFonts w:cs="Arial"/>
                <w:color w:val="000000"/>
                <w:sz w:val="20"/>
                <w:szCs w:val="20"/>
                <w:lang w:val="en-US"/>
              </w:rPr>
            </w:pPr>
            <w:r w:rsidRPr="006F7E30">
              <w:rPr>
                <w:rFonts w:cs="Arial"/>
                <w:sz w:val="20"/>
                <w:szCs w:val="20"/>
              </w:rPr>
              <w:t>-38%</w:t>
            </w:r>
          </w:p>
        </w:tc>
      </w:tr>
      <w:tr w:rsidR="00E42CC0" w:rsidRPr="006F7E30" w14:paraId="35E491A3" w14:textId="77777777" w:rsidTr="00D44498">
        <w:trPr>
          <w:cnfStyle w:val="000000100000" w:firstRow="0" w:lastRow="0" w:firstColumn="0" w:lastColumn="0" w:oddVBand="0" w:evenVBand="0" w:oddHBand="1" w:evenHBand="0" w:firstRowFirstColumn="0" w:firstRowLastColumn="0" w:lastRowFirstColumn="0" w:lastRowLastColumn="0"/>
          <w:cantSplit/>
          <w:trHeight w:val="567"/>
        </w:trPr>
        <w:tc>
          <w:tcPr>
            <w:tcW w:w="29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FEBF1" w:themeFill="accent1" w:themeFillTint="1A"/>
            <w:vAlign w:val="center"/>
          </w:tcPr>
          <w:p w14:paraId="1BF1753F" w14:textId="77777777" w:rsidR="000E7BBC" w:rsidRPr="006F7E30" w:rsidRDefault="000E7BBC" w:rsidP="006F7E30">
            <w:pPr>
              <w:spacing w:before="120" w:after="120"/>
              <w:rPr>
                <w:rFonts w:cs="Arial"/>
                <w:color w:val="1C1C1C"/>
                <w:sz w:val="20"/>
                <w:szCs w:val="20"/>
              </w:rPr>
            </w:pPr>
            <w:r w:rsidRPr="006F7E30">
              <w:rPr>
                <w:rFonts w:cs="Arial"/>
                <w:sz w:val="20"/>
                <w:szCs w:val="20"/>
              </w:rPr>
              <w:t>General Miscellaneous</w:t>
            </w:r>
          </w:p>
        </w:tc>
        <w:tc>
          <w:tcPr>
            <w:tcW w:w="90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FEBF1" w:themeFill="accent1" w:themeFillTint="1A"/>
            <w:vAlign w:val="center"/>
          </w:tcPr>
          <w:p w14:paraId="192BAEBB" w14:textId="77777777" w:rsidR="000E7BBC" w:rsidRPr="006F7E30" w:rsidRDefault="000E7BBC" w:rsidP="006F7E30">
            <w:pPr>
              <w:spacing w:before="120" w:after="120"/>
              <w:jc w:val="right"/>
              <w:rPr>
                <w:rFonts w:cs="Arial"/>
                <w:sz w:val="20"/>
                <w:szCs w:val="20"/>
              </w:rPr>
            </w:pPr>
            <w:r w:rsidRPr="006F7E30">
              <w:rPr>
                <w:rFonts w:cs="Arial"/>
                <w:sz w:val="20"/>
                <w:szCs w:val="20"/>
              </w:rPr>
              <w:t>106%</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FEBF1" w:themeFill="accent1" w:themeFillTint="1A"/>
            <w:vAlign w:val="center"/>
          </w:tcPr>
          <w:p w14:paraId="3BDB024B" w14:textId="77777777" w:rsidR="000E7BBC" w:rsidRPr="006F7E30" w:rsidRDefault="000E7BBC" w:rsidP="006F7E30">
            <w:pPr>
              <w:spacing w:before="120" w:after="120"/>
              <w:jc w:val="right"/>
              <w:rPr>
                <w:rFonts w:cs="Arial"/>
                <w:sz w:val="20"/>
                <w:szCs w:val="20"/>
              </w:rPr>
            </w:pPr>
            <w:r w:rsidRPr="006F7E30">
              <w:rPr>
                <w:rFonts w:cs="Arial"/>
                <w:sz w:val="20"/>
                <w:szCs w:val="20"/>
              </w:rPr>
              <w:t>94%</w:t>
            </w:r>
          </w:p>
        </w:tc>
        <w:tc>
          <w:tcPr>
            <w:tcW w:w="14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FEBF1" w:themeFill="accent1" w:themeFillTint="1A"/>
            <w:vAlign w:val="center"/>
          </w:tcPr>
          <w:p w14:paraId="5BF3C03A" w14:textId="77777777" w:rsidR="000E7BBC" w:rsidRPr="006F7E30" w:rsidRDefault="000E7BBC" w:rsidP="006F7E30">
            <w:pPr>
              <w:spacing w:before="120" w:after="120"/>
              <w:jc w:val="right"/>
              <w:rPr>
                <w:rFonts w:cs="Arial"/>
                <w:sz w:val="20"/>
                <w:szCs w:val="20"/>
              </w:rPr>
            </w:pPr>
            <w:r w:rsidRPr="006F7E30">
              <w:rPr>
                <w:rFonts w:cs="Arial"/>
                <w:sz w:val="20"/>
                <w:szCs w:val="20"/>
              </w:rPr>
              <w:t>-12%</w:t>
            </w:r>
          </w:p>
        </w:tc>
        <w:tc>
          <w:tcPr>
            <w:tcW w:w="85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FEBF1" w:themeFill="accent1" w:themeFillTint="1A"/>
            <w:vAlign w:val="center"/>
          </w:tcPr>
          <w:p w14:paraId="312247C3" w14:textId="77777777" w:rsidR="000E7BBC" w:rsidRPr="006F7E30" w:rsidRDefault="000E7BBC" w:rsidP="006F7E30">
            <w:pPr>
              <w:spacing w:before="120" w:after="120"/>
              <w:jc w:val="right"/>
              <w:rPr>
                <w:rFonts w:cs="Arial"/>
                <w:sz w:val="20"/>
                <w:szCs w:val="20"/>
              </w:rPr>
            </w:pPr>
            <w:r w:rsidRPr="006F7E30">
              <w:rPr>
                <w:rFonts w:cs="Arial"/>
                <w:sz w:val="20"/>
                <w:szCs w:val="20"/>
              </w:rPr>
              <w:t>40%</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FEBF1" w:themeFill="accent1" w:themeFillTint="1A"/>
            <w:vAlign w:val="center"/>
          </w:tcPr>
          <w:p w14:paraId="0B27E3C0" w14:textId="77777777" w:rsidR="000E7BBC" w:rsidRPr="006F7E30" w:rsidRDefault="000E7BBC" w:rsidP="006F7E30">
            <w:pPr>
              <w:spacing w:before="120" w:after="120"/>
              <w:jc w:val="right"/>
              <w:rPr>
                <w:rFonts w:cs="Arial"/>
                <w:sz w:val="20"/>
                <w:szCs w:val="20"/>
              </w:rPr>
            </w:pPr>
            <w:r w:rsidRPr="006F7E30">
              <w:rPr>
                <w:rFonts w:cs="Arial"/>
                <w:sz w:val="20"/>
                <w:szCs w:val="20"/>
              </w:rPr>
              <w:t>37%</w:t>
            </w:r>
          </w:p>
        </w:tc>
        <w:tc>
          <w:tcPr>
            <w:tcW w:w="163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FEBF1" w:themeFill="accent1" w:themeFillTint="1A"/>
            <w:vAlign w:val="center"/>
          </w:tcPr>
          <w:p w14:paraId="14590369" w14:textId="77777777" w:rsidR="000E7BBC" w:rsidRPr="006F7E30" w:rsidRDefault="000E7BBC" w:rsidP="006F7E30">
            <w:pPr>
              <w:spacing w:before="120" w:after="120"/>
              <w:jc w:val="right"/>
              <w:rPr>
                <w:rFonts w:cs="Arial"/>
                <w:sz w:val="20"/>
                <w:szCs w:val="20"/>
              </w:rPr>
            </w:pPr>
            <w:r w:rsidRPr="006F7E30">
              <w:rPr>
                <w:rFonts w:cs="Arial"/>
                <w:sz w:val="20"/>
                <w:szCs w:val="20"/>
              </w:rPr>
              <w:t>-6%</w:t>
            </w:r>
          </w:p>
        </w:tc>
      </w:tr>
      <w:tr w:rsidR="00E42CC0" w:rsidRPr="006F7E30" w14:paraId="1E3EF498" w14:textId="77777777" w:rsidTr="00D44498">
        <w:trPr>
          <w:cnfStyle w:val="000000010000" w:firstRow="0" w:lastRow="0" w:firstColumn="0" w:lastColumn="0" w:oddVBand="0" w:evenVBand="0" w:oddHBand="0" w:evenHBand="1" w:firstRowFirstColumn="0" w:firstRowLastColumn="0" w:lastRowFirstColumn="0" w:lastRowLastColumn="0"/>
          <w:cantSplit/>
          <w:trHeight w:val="567"/>
        </w:trPr>
        <w:tc>
          <w:tcPr>
            <w:tcW w:w="29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FEBF1" w:themeFill="accent1" w:themeFillTint="1A"/>
            <w:vAlign w:val="center"/>
          </w:tcPr>
          <w:p w14:paraId="1CB3E06D" w14:textId="77777777" w:rsidR="000E7BBC" w:rsidRPr="006F7E30" w:rsidRDefault="000E7BBC" w:rsidP="006F7E30">
            <w:pPr>
              <w:spacing w:before="120" w:after="120"/>
              <w:rPr>
                <w:rFonts w:cs="Arial"/>
                <w:color w:val="1C1C1C"/>
                <w:sz w:val="20"/>
                <w:szCs w:val="20"/>
              </w:rPr>
            </w:pPr>
            <w:r w:rsidRPr="006F7E30">
              <w:rPr>
                <w:rFonts w:cs="Arial"/>
                <w:sz w:val="20"/>
                <w:szCs w:val="20"/>
              </w:rPr>
              <w:t>Neurosurgical</w:t>
            </w:r>
          </w:p>
        </w:tc>
        <w:tc>
          <w:tcPr>
            <w:tcW w:w="90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FEBF1" w:themeFill="accent1" w:themeFillTint="1A"/>
            <w:vAlign w:val="center"/>
          </w:tcPr>
          <w:p w14:paraId="3BB570A4" w14:textId="77777777" w:rsidR="000E7BBC" w:rsidRPr="006F7E30" w:rsidRDefault="000E7BBC" w:rsidP="006F7E30">
            <w:pPr>
              <w:spacing w:before="120" w:after="120"/>
              <w:jc w:val="right"/>
              <w:rPr>
                <w:rFonts w:cs="Arial"/>
                <w:sz w:val="20"/>
                <w:szCs w:val="20"/>
              </w:rPr>
            </w:pPr>
            <w:r w:rsidRPr="006F7E30">
              <w:rPr>
                <w:rFonts w:cs="Arial"/>
                <w:sz w:val="20"/>
                <w:szCs w:val="20"/>
              </w:rPr>
              <w:t>108%</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FEBF1" w:themeFill="accent1" w:themeFillTint="1A"/>
            <w:vAlign w:val="center"/>
          </w:tcPr>
          <w:p w14:paraId="3AAF2283" w14:textId="77777777" w:rsidR="000E7BBC" w:rsidRPr="006F7E30" w:rsidRDefault="000E7BBC" w:rsidP="006F7E30">
            <w:pPr>
              <w:spacing w:before="120" w:after="120"/>
              <w:jc w:val="right"/>
              <w:rPr>
                <w:rFonts w:cs="Arial"/>
                <w:sz w:val="20"/>
                <w:szCs w:val="20"/>
              </w:rPr>
            </w:pPr>
            <w:r w:rsidRPr="006F7E30">
              <w:rPr>
                <w:rFonts w:cs="Arial"/>
                <w:sz w:val="20"/>
                <w:szCs w:val="20"/>
              </w:rPr>
              <w:t>113%</w:t>
            </w:r>
          </w:p>
        </w:tc>
        <w:tc>
          <w:tcPr>
            <w:tcW w:w="14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FEBF1" w:themeFill="accent1" w:themeFillTint="1A"/>
            <w:vAlign w:val="center"/>
          </w:tcPr>
          <w:p w14:paraId="6BCBDABF" w14:textId="77777777" w:rsidR="000E7BBC" w:rsidRPr="006F7E30" w:rsidRDefault="000E7BBC" w:rsidP="006F7E30">
            <w:pPr>
              <w:spacing w:before="120" w:after="120"/>
              <w:jc w:val="right"/>
              <w:rPr>
                <w:rFonts w:cs="Arial"/>
                <w:sz w:val="20"/>
                <w:szCs w:val="20"/>
              </w:rPr>
            </w:pPr>
            <w:r w:rsidRPr="006F7E30">
              <w:rPr>
                <w:rFonts w:cs="Arial"/>
                <w:sz w:val="20"/>
                <w:szCs w:val="20"/>
              </w:rPr>
              <w:t>4%</w:t>
            </w:r>
          </w:p>
        </w:tc>
        <w:tc>
          <w:tcPr>
            <w:tcW w:w="85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FEBF1" w:themeFill="accent1" w:themeFillTint="1A"/>
            <w:vAlign w:val="center"/>
          </w:tcPr>
          <w:p w14:paraId="0693C574" w14:textId="77777777" w:rsidR="000E7BBC" w:rsidRPr="006F7E30" w:rsidRDefault="000E7BBC" w:rsidP="006F7E30">
            <w:pPr>
              <w:spacing w:before="120" w:after="120"/>
              <w:jc w:val="right"/>
              <w:rPr>
                <w:rFonts w:cs="Arial"/>
                <w:sz w:val="20"/>
                <w:szCs w:val="20"/>
              </w:rPr>
            </w:pPr>
            <w:r w:rsidRPr="006F7E30">
              <w:rPr>
                <w:rFonts w:cs="Arial"/>
                <w:sz w:val="20"/>
                <w:szCs w:val="20"/>
              </w:rPr>
              <w:t>34%</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FEBF1" w:themeFill="accent1" w:themeFillTint="1A"/>
            <w:vAlign w:val="center"/>
          </w:tcPr>
          <w:p w14:paraId="6E0AB48D" w14:textId="77777777" w:rsidR="000E7BBC" w:rsidRPr="006F7E30" w:rsidRDefault="000E7BBC" w:rsidP="006F7E30">
            <w:pPr>
              <w:spacing w:before="120" w:after="120"/>
              <w:jc w:val="right"/>
              <w:rPr>
                <w:rFonts w:cs="Arial"/>
                <w:sz w:val="20"/>
                <w:szCs w:val="20"/>
              </w:rPr>
            </w:pPr>
            <w:r w:rsidRPr="006F7E30">
              <w:rPr>
                <w:rFonts w:cs="Arial"/>
                <w:sz w:val="20"/>
                <w:szCs w:val="20"/>
              </w:rPr>
              <w:t>31%</w:t>
            </w:r>
          </w:p>
        </w:tc>
        <w:tc>
          <w:tcPr>
            <w:tcW w:w="163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FEBF1" w:themeFill="accent1" w:themeFillTint="1A"/>
            <w:vAlign w:val="center"/>
          </w:tcPr>
          <w:p w14:paraId="2BBD7504" w14:textId="77777777" w:rsidR="000E7BBC" w:rsidRPr="006F7E30" w:rsidRDefault="000E7BBC" w:rsidP="006F7E30">
            <w:pPr>
              <w:spacing w:before="120" w:after="120"/>
              <w:jc w:val="right"/>
              <w:rPr>
                <w:rFonts w:cs="Arial"/>
                <w:sz w:val="20"/>
                <w:szCs w:val="20"/>
              </w:rPr>
            </w:pPr>
            <w:r w:rsidRPr="006F7E30">
              <w:rPr>
                <w:rFonts w:cs="Arial"/>
                <w:sz w:val="20"/>
                <w:szCs w:val="20"/>
              </w:rPr>
              <w:t>-8%</w:t>
            </w:r>
          </w:p>
        </w:tc>
      </w:tr>
      <w:tr w:rsidR="0061483A" w:rsidRPr="006F7E30" w14:paraId="2CF4F395" w14:textId="77777777" w:rsidTr="00D44498">
        <w:trPr>
          <w:cnfStyle w:val="000000100000" w:firstRow="0" w:lastRow="0" w:firstColumn="0" w:lastColumn="0" w:oddVBand="0" w:evenVBand="0" w:oddHBand="1" w:evenHBand="0" w:firstRowFirstColumn="0" w:firstRowLastColumn="0" w:lastRowFirstColumn="0" w:lastRowLastColumn="0"/>
          <w:cantSplit/>
          <w:trHeight w:val="567"/>
        </w:trPr>
        <w:tc>
          <w:tcPr>
            <w:tcW w:w="29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03A3266" w14:textId="77777777" w:rsidR="000E7BBC" w:rsidRPr="006F7E30" w:rsidRDefault="000E7BBC" w:rsidP="006F7E30">
            <w:pPr>
              <w:spacing w:before="120" w:after="120"/>
              <w:rPr>
                <w:rFonts w:cs="Arial"/>
                <w:color w:val="1C1C1C"/>
                <w:sz w:val="20"/>
                <w:szCs w:val="20"/>
              </w:rPr>
            </w:pPr>
            <w:r w:rsidRPr="006F7E30">
              <w:rPr>
                <w:rFonts w:cs="Arial"/>
                <w:sz w:val="20"/>
                <w:szCs w:val="20"/>
              </w:rPr>
              <w:t>Urogenital</w:t>
            </w:r>
          </w:p>
        </w:tc>
        <w:tc>
          <w:tcPr>
            <w:tcW w:w="90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3AC6254" w14:textId="77777777" w:rsidR="000E7BBC" w:rsidRPr="006F7E30" w:rsidRDefault="000E7BBC" w:rsidP="006F7E30">
            <w:pPr>
              <w:spacing w:before="120" w:after="120"/>
              <w:jc w:val="right"/>
              <w:rPr>
                <w:rFonts w:cs="Arial"/>
                <w:sz w:val="20"/>
                <w:szCs w:val="20"/>
              </w:rPr>
            </w:pPr>
            <w:r w:rsidRPr="006F7E30">
              <w:rPr>
                <w:rFonts w:cs="Arial"/>
                <w:sz w:val="20"/>
                <w:szCs w:val="20"/>
              </w:rPr>
              <w:t>108%</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744D9F4" w14:textId="77777777" w:rsidR="000E7BBC" w:rsidRPr="006F7E30" w:rsidRDefault="000E7BBC" w:rsidP="006F7E30">
            <w:pPr>
              <w:spacing w:before="120" w:after="120"/>
              <w:jc w:val="right"/>
              <w:rPr>
                <w:rFonts w:cs="Arial"/>
                <w:sz w:val="20"/>
                <w:szCs w:val="20"/>
              </w:rPr>
            </w:pPr>
            <w:r w:rsidRPr="006F7E30">
              <w:rPr>
                <w:rFonts w:cs="Arial"/>
                <w:sz w:val="20"/>
                <w:szCs w:val="20"/>
              </w:rPr>
              <w:t>108%</w:t>
            </w:r>
          </w:p>
        </w:tc>
        <w:tc>
          <w:tcPr>
            <w:tcW w:w="14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76A2A46" w14:textId="77777777" w:rsidR="000E7BBC" w:rsidRPr="006F7E30" w:rsidRDefault="000E7BBC" w:rsidP="006F7E30">
            <w:pPr>
              <w:spacing w:before="120" w:after="120"/>
              <w:jc w:val="right"/>
              <w:rPr>
                <w:rFonts w:cs="Arial"/>
                <w:sz w:val="20"/>
                <w:szCs w:val="20"/>
              </w:rPr>
            </w:pPr>
            <w:r w:rsidRPr="006F7E30">
              <w:rPr>
                <w:rFonts w:cs="Arial"/>
                <w:sz w:val="20"/>
                <w:szCs w:val="20"/>
              </w:rPr>
              <w:t>1%</w:t>
            </w:r>
          </w:p>
        </w:tc>
        <w:tc>
          <w:tcPr>
            <w:tcW w:w="85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EE4A7F4" w14:textId="77777777" w:rsidR="000E7BBC" w:rsidRPr="006F7E30" w:rsidRDefault="000E7BBC" w:rsidP="006F7E30">
            <w:pPr>
              <w:spacing w:before="120" w:after="120"/>
              <w:jc w:val="right"/>
              <w:rPr>
                <w:rFonts w:cs="Arial"/>
                <w:sz w:val="20"/>
                <w:szCs w:val="20"/>
              </w:rPr>
            </w:pPr>
            <w:r w:rsidRPr="006F7E30">
              <w:rPr>
                <w:rFonts w:cs="Arial"/>
                <w:sz w:val="20"/>
                <w:szCs w:val="20"/>
              </w:rPr>
              <w:t>41%</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50C2477" w14:textId="77777777" w:rsidR="000E7BBC" w:rsidRPr="006F7E30" w:rsidRDefault="000E7BBC" w:rsidP="006F7E30">
            <w:pPr>
              <w:spacing w:before="120" w:after="120"/>
              <w:jc w:val="right"/>
              <w:rPr>
                <w:rFonts w:cs="Arial"/>
                <w:sz w:val="20"/>
                <w:szCs w:val="20"/>
              </w:rPr>
            </w:pPr>
            <w:r w:rsidRPr="006F7E30">
              <w:rPr>
                <w:rFonts w:cs="Arial"/>
                <w:sz w:val="20"/>
                <w:szCs w:val="20"/>
              </w:rPr>
              <w:t>35%</w:t>
            </w:r>
          </w:p>
        </w:tc>
        <w:tc>
          <w:tcPr>
            <w:tcW w:w="163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DDFC77E" w14:textId="77777777" w:rsidR="000E7BBC" w:rsidRPr="006F7E30" w:rsidRDefault="000E7BBC" w:rsidP="006F7E30">
            <w:pPr>
              <w:spacing w:before="120" w:after="120"/>
              <w:jc w:val="right"/>
              <w:rPr>
                <w:rFonts w:cs="Arial"/>
                <w:sz w:val="20"/>
                <w:szCs w:val="20"/>
              </w:rPr>
            </w:pPr>
            <w:r w:rsidRPr="006F7E30">
              <w:rPr>
                <w:rFonts w:cs="Arial"/>
                <w:sz w:val="20"/>
                <w:szCs w:val="20"/>
              </w:rPr>
              <w:t>-14%</w:t>
            </w:r>
          </w:p>
        </w:tc>
      </w:tr>
      <w:tr w:rsidR="0061483A" w:rsidRPr="006F7E30" w14:paraId="15244463" w14:textId="77777777" w:rsidTr="00D44498">
        <w:trPr>
          <w:cnfStyle w:val="000000010000" w:firstRow="0" w:lastRow="0" w:firstColumn="0" w:lastColumn="0" w:oddVBand="0" w:evenVBand="0" w:oddHBand="0" w:evenHBand="1" w:firstRowFirstColumn="0" w:firstRowLastColumn="0" w:lastRowFirstColumn="0" w:lastRowLastColumn="0"/>
          <w:cantSplit/>
          <w:trHeight w:val="567"/>
        </w:trPr>
        <w:tc>
          <w:tcPr>
            <w:tcW w:w="29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C31678E" w14:textId="77777777" w:rsidR="000E7BBC" w:rsidRPr="006F7E30" w:rsidRDefault="000E7BBC" w:rsidP="006F7E30">
            <w:pPr>
              <w:spacing w:before="120" w:after="120"/>
              <w:rPr>
                <w:rFonts w:cs="Arial"/>
                <w:color w:val="1C1C1C"/>
                <w:sz w:val="20"/>
                <w:szCs w:val="20"/>
              </w:rPr>
            </w:pPr>
            <w:r w:rsidRPr="006F7E30">
              <w:rPr>
                <w:rFonts w:cs="Arial"/>
                <w:sz w:val="20"/>
                <w:szCs w:val="20"/>
              </w:rPr>
              <w:t xml:space="preserve">Specialist </w:t>
            </w:r>
            <w:proofErr w:type="spellStart"/>
            <w:r w:rsidRPr="006F7E30">
              <w:rPr>
                <w:rFonts w:cs="Arial"/>
                <w:sz w:val="20"/>
                <w:szCs w:val="20"/>
              </w:rPr>
              <w:t>Orthopaedic</w:t>
            </w:r>
            <w:proofErr w:type="spellEnd"/>
          </w:p>
        </w:tc>
        <w:tc>
          <w:tcPr>
            <w:tcW w:w="90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E5E96EB" w14:textId="77777777" w:rsidR="000E7BBC" w:rsidRPr="006F7E30" w:rsidRDefault="000E7BBC" w:rsidP="006F7E30">
            <w:pPr>
              <w:spacing w:before="120" w:after="120"/>
              <w:jc w:val="right"/>
              <w:rPr>
                <w:rFonts w:cs="Arial"/>
                <w:sz w:val="20"/>
                <w:szCs w:val="20"/>
              </w:rPr>
            </w:pPr>
            <w:r w:rsidRPr="006F7E30">
              <w:rPr>
                <w:rFonts w:cs="Arial"/>
                <w:sz w:val="20"/>
                <w:szCs w:val="20"/>
              </w:rPr>
              <w:t>106%</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DD0712A" w14:textId="77777777" w:rsidR="000E7BBC" w:rsidRPr="006F7E30" w:rsidRDefault="000E7BBC" w:rsidP="006F7E30">
            <w:pPr>
              <w:spacing w:before="120" w:after="120"/>
              <w:jc w:val="right"/>
              <w:rPr>
                <w:rFonts w:cs="Arial"/>
                <w:sz w:val="20"/>
                <w:szCs w:val="20"/>
              </w:rPr>
            </w:pPr>
            <w:r w:rsidRPr="006F7E30">
              <w:rPr>
                <w:rFonts w:cs="Arial"/>
                <w:sz w:val="20"/>
                <w:szCs w:val="20"/>
              </w:rPr>
              <w:t>98%</w:t>
            </w:r>
          </w:p>
        </w:tc>
        <w:tc>
          <w:tcPr>
            <w:tcW w:w="14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0923026" w14:textId="77777777" w:rsidR="000E7BBC" w:rsidRPr="006F7E30" w:rsidRDefault="000E7BBC" w:rsidP="006F7E30">
            <w:pPr>
              <w:spacing w:before="120" w:after="120"/>
              <w:jc w:val="right"/>
              <w:rPr>
                <w:rFonts w:cs="Arial"/>
                <w:sz w:val="20"/>
                <w:szCs w:val="20"/>
              </w:rPr>
            </w:pPr>
            <w:r w:rsidRPr="006F7E30">
              <w:rPr>
                <w:rFonts w:cs="Arial"/>
                <w:sz w:val="20"/>
                <w:szCs w:val="20"/>
              </w:rPr>
              <w:t>-8%</w:t>
            </w:r>
          </w:p>
        </w:tc>
        <w:tc>
          <w:tcPr>
            <w:tcW w:w="85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34DFE1D" w14:textId="77777777" w:rsidR="000E7BBC" w:rsidRPr="006F7E30" w:rsidRDefault="000E7BBC" w:rsidP="006F7E30">
            <w:pPr>
              <w:spacing w:before="120" w:after="120"/>
              <w:jc w:val="right"/>
              <w:rPr>
                <w:rFonts w:cs="Arial"/>
                <w:sz w:val="20"/>
                <w:szCs w:val="20"/>
              </w:rPr>
            </w:pPr>
            <w:r w:rsidRPr="006F7E30">
              <w:rPr>
                <w:rFonts w:cs="Arial"/>
                <w:sz w:val="20"/>
                <w:szCs w:val="20"/>
              </w:rPr>
              <w:t>44%</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21A9659" w14:textId="77777777" w:rsidR="000E7BBC" w:rsidRPr="006F7E30" w:rsidRDefault="000E7BBC" w:rsidP="006F7E30">
            <w:pPr>
              <w:spacing w:before="120" w:after="120"/>
              <w:jc w:val="right"/>
              <w:rPr>
                <w:rFonts w:cs="Arial"/>
                <w:sz w:val="20"/>
                <w:szCs w:val="20"/>
              </w:rPr>
            </w:pPr>
            <w:r w:rsidRPr="006F7E30">
              <w:rPr>
                <w:rFonts w:cs="Arial"/>
                <w:sz w:val="20"/>
                <w:szCs w:val="20"/>
              </w:rPr>
              <w:t>42%</w:t>
            </w:r>
          </w:p>
        </w:tc>
        <w:tc>
          <w:tcPr>
            <w:tcW w:w="163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10698E5" w14:textId="77777777" w:rsidR="000E7BBC" w:rsidRPr="006F7E30" w:rsidRDefault="000E7BBC" w:rsidP="006F7E30">
            <w:pPr>
              <w:spacing w:before="120" w:after="120"/>
              <w:jc w:val="right"/>
              <w:rPr>
                <w:rFonts w:cs="Arial"/>
                <w:sz w:val="20"/>
                <w:szCs w:val="20"/>
              </w:rPr>
            </w:pPr>
            <w:r w:rsidRPr="006F7E30">
              <w:rPr>
                <w:rFonts w:cs="Arial"/>
                <w:sz w:val="20"/>
                <w:szCs w:val="20"/>
              </w:rPr>
              <w:t>-5%</w:t>
            </w:r>
          </w:p>
        </w:tc>
      </w:tr>
      <w:tr w:rsidR="0061483A" w:rsidRPr="006F7E30" w14:paraId="66D8A937" w14:textId="77777777" w:rsidTr="00D44498">
        <w:trPr>
          <w:cnfStyle w:val="000000100000" w:firstRow="0" w:lastRow="0" w:firstColumn="0" w:lastColumn="0" w:oddVBand="0" w:evenVBand="0" w:oddHBand="1" w:evenHBand="0" w:firstRowFirstColumn="0" w:firstRowLastColumn="0" w:lastRowFirstColumn="0" w:lastRowLastColumn="0"/>
          <w:cantSplit/>
          <w:trHeight w:val="567"/>
        </w:trPr>
        <w:tc>
          <w:tcPr>
            <w:tcW w:w="29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B605079" w14:textId="77777777" w:rsidR="000E7BBC" w:rsidRPr="006F7E30" w:rsidRDefault="000E7BBC" w:rsidP="006F7E30">
            <w:pPr>
              <w:spacing w:before="120" w:after="120"/>
              <w:rPr>
                <w:rFonts w:cs="Arial"/>
                <w:color w:val="1C1C1C"/>
                <w:sz w:val="20"/>
                <w:szCs w:val="20"/>
              </w:rPr>
            </w:pPr>
            <w:r w:rsidRPr="006F7E30">
              <w:rPr>
                <w:rFonts w:cs="Arial"/>
                <w:sz w:val="20"/>
                <w:szCs w:val="20"/>
              </w:rPr>
              <w:t>Plastic and Reconstructive</w:t>
            </w:r>
          </w:p>
        </w:tc>
        <w:tc>
          <w:tcPr>
            <w:tcW w:w="90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8FC08E0" w14:textId="77777777" w:rsidR="000E7BBC" w:rsidRPr="006F7E30" w:rsidRDefault="000E7BBC" w:rsidP="006F7E30">
            <w:pPr>
              <w:spacing w:before="120" w:after="120"/>
              <w:jc w:val="right"/>
              <w:rPr>
                <w:rFonts w:cs="Arial"/>
                <w:sz w:val="20"/>
                <w:szCs w:val="20"/>
              </w:rPr>
            </w:pPr>
            <w:r w:rsidRPr="006F7E30">
              <w:rPr>
                <w:rFonts w:cs="Arial"/>
                <w:sz w:val="20"/>
                <w:szCs w:val="20"/>
              </w:rPr>
              <w:t>109%</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7ED47D3" w14:textId="77777777" w:rsidR="000E7BBC" w:rsidRPr="006F7E30" w:rsidRDefault="000E7BBC" w:rsidP="006F7E30">
            <w:pPr>
              <w:spacing w:before="120" w:after="120"/>
              <w:jc w:val="right"/>
              <w:rPr>
                <w:rFonts w:cs="Arial"/>
                <w:sz w:val="20"/>
                <w:szCs w:val="20"/>
              </w:rPr>
            </w:pPr>
            <w:r w:rsidRPr="006F7E30">
              <w:rPr>
                <w:rFonts w:cs="Arial"/>
                <w:sz w:val="20"/>
                <w:szCs w:val="20"/>
              </w:rPr>
              <w:t>112%</w:t>
            </w:r>
          </w:p>
        </w:tc>
        <w:tc>
          <w:tcPr>
            <w:tcW w:w="14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4E94A50" w14:textId="77777777" w:rsidR="000E7BBC" w:rsidRPr="006F7E30" w:rsidRDefault="000E7BBC" w:rsidP="006F7E30">
            <w:pPr>
              <w:spacing w:before="120" w:after="120"/>
              <w:jc w:val="right"/>
              <w:rPr>
                <w:rFonts w:cs="Arial"/>
                <w:sz w:val="20"/>
                <w:szCs w:val="20"/>
              </w:rPr>
            </w:pPr>
            <w:r w:rsidRPr="006F7E30">
              <w:rPr>
                <w:rFonts w:cs="Arial"/>
                <w:sz w:val="20"/>
                <w:szCs w:val="20"/>
              </w:rPr>
              <w:t>3%</w:t>
            </w:r>
          </w:p>
        </w:tc>
        <w:tc>
          <w:tcPr>
            <w:tcW w:w="85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4D49EAD" w14:textId="77777777" w:rsidR="000E7BBC" w:rsidRPr="006F7E30" w:rsidRDefault="000E7BBC" w:rsidP="006F7E30">
            <w:pPr>
              <w:spacing w:before="120" w:after="120"/>
              <w:jc w:val="right"/>
              <w:rPr>
                <w:rFonts w:cs="Arial"/>
                <w:sz w:val="20"/>
                <w:szCs w:val="20"/>
              </w:rPr>
            </w:pPr>
            <w:r w:rsidRPr="006F7E30">
              <w:rPr>
                <w:rFonts w:cs="Arial"/>
                <w:sz w:val="20"/>
                <w:szCs w:val="20"/>
              </w:rPr>
              <w:t>42%</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BD834DA" w14:textId="77777777" w:rsidR="000E7BBC" w:rsidRPr="006F7E30" w:rsidRDefault="000E7BBC" w:rsidP="006F7E30">
            <w:pPr>
              <w:spacing w:before="120" w:after="120"/>
              <w:jc w:val="right"/>
              <w:rPr>
                <w:rFonts w:cs="Arial"/>
                <w:sz w:val="20"/>
                <w:szCs w:val="20"/>
              </w:rPr>
            </w:pPr>
            <w:r w:rsidRPr="006F7E30">
              <w:rPr>
                <w:rFonts w:cs="Arial"/>
                <w:sz w:val="20"/>
                <w:szCs w:val="20"/>
              </w:rPr>
              <w:t>37%</w:t>
            </w:r>
          </w:p>
        </w:tc>
        <w:tc>
          <w:tcPr>
            <w:tcW w:w="163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0707F84" w14:textId="77777777" w:rsidR="000E7BBC" w:rsidRPr="006F7E30" w:rsidRDefault="000E7BBC" w:rsidP="006F7E30">
            <w:pPr>
              <w:spacing w:before="120" w:after="120"/>
              <w:jc w:val="right"/>
              <w:rPr>
                <w:rFonts w:cs="Arial"/>
                <w:sz w:val="20"/>
                <w:szCs w:val="20"/>
              </w:rPr>
            </w:pPr>
            <w:r w:rsidRPr="006F7E30">
              <w:rPr>
                <w:rFonts w:cs="Arial"/>
                <w:sz w:val="20"/>
                <w:szCs w:val="20"/>
              </w:rPr>
              <w:t>-10%</w:t>
            </w:r>
          </w:p>
        </w:tc>
      </w:tr>
      <w:tr w:rsidR="0061483A" w:rsidRPr="006F7E30" w14:paraId="7C755A5C" w14:textId="77777777" w:rsidTr="00D44498">
        <w:trPr>
          <w:cnfStyle w:val="000000010000" w:firstRow="0" w:lastRow="0" w:firstColumn="0" w:lastColumn="0" w:oddVBand="0" w:evenVBand="0" w:oddHBand="0" w:evenHBand="1" w:firstRowFirstColumn="0" w:firstRowLastColumn="0" w:lastRowFirstColumn="0" w:lastRowLastColumn="0"/>
          <w:cantSplit/>
          <w:trHeight w:val="567"/>
        </w:trPr>
        <w:tc>
          <w:tcPr>
            <w:tcW w:w="29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0E0A103" w14:textId="77777777" w:rsidR="000E7BBC" w:rsidRPr="006F7E30" w:rsidRDefault="000E7BBC" w:rsidP="006F7E30">
            <w:pPr>
              <w:spacing w:before="120" w:after="120"/>
              <w:rPr>
                <w:rFonts w:cs="Arial"/>
                <w:color w:val="1C1C1C"/>
                <w:sz w:val="20"/>
                <w:szCs w:val="20"/>
              </w:rPr>
            </w:pPr>
            <w:r w:rsidRPr="006F7E30">
              <w:rPr>
                <w:rFonts w:cs="Arial"/>
                <w:sz w:val="20"/>
                <w:szCs w:val="20"/>
              </w:rPr>
              <w:t>Cardiac</w:t>
            </w:r>
          </w:p>
        </w:tc>
        <w:tc>
          <w:tcPr>
            <w:tcW w:w="90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48DB77F" w14:textId="77777777" w:rsidR="000E7BBC" w:rsidRPr="006F7E30" w:rsidRDefault="000E7BBC" w:rsidP="006F7E30">
            <w:pPr>
              <w:spacing w:before="120" w:after="120"/>
              <w:jc w:val="right"/>
              <w:rPr>
                <w:rFonts w:cs="Arial"/>
                <w:sz w:val="20"/>
                <w:szCs w:val="20"/>
              </w:rPr>
            </w:pPr>
            <w:r w:rsidRPr="006F7E30">
              <w:rPr>
                <w:rFonts w:cs="Arial"/>
                <w:sz w:val="20"/>
                <w:szCs w:val="20"/>
              </w:rPr>
              <w:t>118%</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BC560F3" w14:textId="77777777" w:rsidR="000E7BBC" w:rsidRPr="006F7E30" w:rsidRDefault="000E7BBC" w:rsidP="006F7E30">
            <w:pPr>
              <w:spacing w:before="120" w:after="120"/>
              <w:jc w:val="right"/>
              <w:rPr>
                <w:rFonts w:cs="Arial"/>
                <w:sz w:val="20"/>
                <w:szCs w:val="20"/>
              </w:rPr>
            </w:pPr>
            <w:r w:rsidRPr="006F7E30">
              <w:rPr>
                <w:rFonts w:cs="Arial"/>
                <w:sz w:val="20"/>
                <w:szCs w:val="20"/>
              </w:rPr>
              <w:t>115%</w:t>
            </w:r>
          </w:p>
        </w:tc>
        <w:tc>
          <w:tcPr>
            <w:tcW w:w="14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E250DA3" w14:textId="77777777" w:rsidR="000E7BBC" w:rsidRPr="006F7E30" w:rsidRDefault="000E7BBC" w:rsidP="006F7E30">
            <w:pPr>
              <w:spacing w:before="120" w:after="120"/>
              <w:jc w:val="right"/>
              <w:rPr>
                <w:rFonts w:cs="Arial"/>
                <w:sz w:val="20"/>
                <w:szCs w:val="20"/>
              </w:rPr>
            </w:pPr>
            <w:r w:rsidRPr="006F7E30">
              <w:rPr>
                <w:rFonts w:cs="Arial"/>
                <w:sz w:val="20"/>
                <w:szCs w:val="20"/>
              </w:rPr>
              <w:t>-2%</w:t>
            </w:r>
          </w:p>
        </w:tc>
        <w:tc>
          <w:tcPr>
            <w:tcW w:w="85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E890B5D" w14:textId="77777777" w:rsidR="000E7BBC" w:rsidRPr="006F7E30" w:rsidRDefault="000E7BBC" w:rsidP="006F7E30">
            <w:pPr>
              <w:spacing w:before="120" w:after="120"/>
              <w:jc w:val="right"/>
              <w:rPr>
                <w:rFonts w:cs="Arial"/>
                <w:sz w:val="20"/>
                <w:szCs w:val="20"/>
              </w:rPr>
            </w:pPr>
            <w:r w:rsidRPr="006F7E30">
              <w:rPr>
                <w:rFonts w:cs="Arial"/>
                <w:sz w:val="20"/>
                <w:szCs w:val="20"/>
              </w:rPr>
              <w:t>45%</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A85F73A" w14:textId="77777777" w:rsidR="000E7BBC" w:rsidRPr="006F7E30" w:rsidRDefault="000E7BBC" w:rsidP="006F7E30">
            <w:pPr>
              <w:spacing w:before="120" w:after="120"/>
              <w:jc w:val="right"/>
              <w:rPr>
                <w:rFonts w:cs="Arial"/>
                <w:sz w:val="20"/>
                <w:szCs w:val="20"/>
              </w:rPr>
            </w:pPr>
            <w:r w:rsidRPr="006F7E30">
              <w:rPr>
                <w:rFonts w:cs="Arial"/>
                <w:sz w:val="20"/>
                <w:szCs w:val="20"/>
              </w:rPr>
              <w:t>42%</w:t>
            </w:r>
          </w:p>
        </w:tc>
        <w:tc>
          <w:tcPr>
            <w:tcW w:w="163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06A636F" w14:textId="77777777" w:rsidR="000E7BBC" w:rsidRPr="006F7E30" w:rsidRDefault="000E7BBC" w:rsidP="006F7E30">
            <w:pPr>
              <w:spacing w:before="120" w:after="120"/>
              <w:jc w:val="right"/>
              <w:rPr>
                <w:rFonts w:cs="Arial"/>
                <w:sz w:val="20"/>
                <w:szCs w:val="20"/>
              </w:rPr>
            </w:pPr>
            <w:r w:rsidRPr="006F7E30">
              <w:rPr>
                <w:rFonts w:cs="Arial"/>
                <w:sz w:val="20"/>
                <w:szCs w:val="20"/>
              </w:rPr>
              <w:t>-7%</w:t>
            </w:r>
          </w:p>
        </w:tc>
      </w:tr>
      <w:tr w:rsidR="0061483A" w:rsidRPr="006F7E30" w14:paraId="74E6F1A6" w14:textId="77777777" w:rsidTr="00D44498">
        <w:trPr>
          <w:cnfStyle w:val="000000100000" w:firstRow="0" w:lastRow="0" w:firstColumn="0" w:lastColumn="0" w:oddVBand="0" w:evenVBand="0" w:oddHBand="1" w:evenHBand="0" w:firstRowFirstColumn="0" w:firstRowLastColumn="0" w:lastRowFirstColumn="0" w:lastRowLastColumn="0"/>
          <w:cantSplit/>
          <w:trHeight w:val="567"/>
        </w:trPr>
        <w:tc>
          <w:tcPr>
            <w:tcW w:w="29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D186EBD" w14:textId="77777777" w:rsidR="000E7BBC" w:rsidRPr="006F7E30" w:rsidRDefault="000E7BBC" w:rsidP="006F7E30">
            <w:pPr>
              <w:spacing w:before="120" w:after="120"/>
              <w:rPr>
                <w:rFonts w:cs="Arial"/>
                <w:color w:val="1C1C1C"/>
                <w:sz w:val="20"/>
                <w:szCs w:val="20"/>
              </w:rPr>
            </w:pPr>
            <w:r w:rsidRPr="006F7E30">
              <w:rPr>
                <w:rFonts w:cs="Arial"/>
                <w:sz w:val="20"/>
                <w:szCs w:val="20"/>
              </w:rPr>
              <w:t>Cardiothoracic</w:t>
            </w:r>
          </w:p>
        </w:tc>
        <w:tc>
          <w:tcPr>
            <w:tcW w:w="90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D5D111D" w14:textId="77777777" w:rsidR="000E7BBC" w:rsidRPr="006F7E30" w:rsidRDefault="000E7BBC" w:rsidP="006F7E30">
            <w:pPr>
              <w:spacing w:before="120" w:after="120"/>
              <w:jc w:val="right"/>
              <w:rPr>
                <w:rFonts w:cs="Arial"/>
                <w:sz w:val="20"/>
                <w:szCs w:val="20"/>
              </w:rPr>
            </w:pPr>
            <w:r w:rsidRPr="006F7E30">
              <w:rPr>
                <w:rFonts w:cs="Arial"/>
                <w:sz w:val="20"/>
                <w:szCs w:val="20"/>
              </w:rPr>
              <w:t>122%</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666782D" w14:textId="77777777" w:rsidR="000E7BBC" w:rsidRPr="006F7E30" w:rsidRDefault="000E7BBC" w:rsidP="006F7E30">
            <w:pPr>
              <w:spacing w:before="120" w:after="120"/>
              <w:jc w:val="right"/>
              <w:rPr>
                <w:rFonts w:cs="Arial"/>
                <w:sz w:val="20"/>
                <w:szCs w:val="20"/>
              </w:rPr>
            </w:pPr>
            <w:r w:rsidRPr="006F7E30">
              <w:rPr>
                <w:rFonts w:cs="Arial"/>
                <w:sz w:val="20"/>
                <w:szCs w:val="20"/>
              </w:rPr>
              <w:t>119%</w:t>
            </w:r>
          </w:p>
        </w:tc>
        <w:tc>
          <w:tcPr>
            <w:tcW w:w="14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41D2CE4" w14:textId="77777777" w:rsidR="000E7BBC" w:rsidRPr="006F7E30" w:rsidRDefault="000E7BBC" w:rsidP="006F7E30">
            <w:pPr>
              <w:spacing w:before="120" w:after="120"/>
              <w:jc w:val="right"/>
              <w:rPr>
                <w:rFonts w:cs="Arial"/>
                <w:sz w:val="20"/>
                <w:szCs w:val="20"/>
              </w:rPr>
            </w:pPr>
            <w:r w:rsidRPr="006F7E30">
              <w:rPr>
                <w:rFonts w:cs="Arial"/>
                <w:sz w:val="20"/>
                <w:szCs w:val="20"/>
              </w:rPr>
              <w:t>-2%</w:t>
            </w:r>
          </w:p>
        </w:tc>
        <w:tc>
          <w:tcPr>
            <w:tcW w:w="85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E4FF8CD" w14:textId="77777777" w:rsidR="000E7BBC" w:rsidRPr="006F7E30" w:rsidRDefault="000E7BBC" w:rsidP="006F7E30">
            <w:pPr>
              <w:spacing w:before="120" w:after="120"/>
              <w:jc w:val="right"/>
              <w:rPr>
                <w:rFonts w:cs="Arial"/>
                <w:sz w:val="20"/>
                <w:szCs w:val="20"/>
              </w:rPr>
            </w:pPr>
            <w:r w:rsidRPr="006F7E30">
              <w:rPr>
                <w:rFonts w:cs="Arial"/>
                <w:sz w:val="20"/>
                <w:szCs w:val="20"/>
              </w:rPr>
              <w:t>55%</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D089F5F" w14:textId="77777777" w:rsidR="000E7BBC" w:rsidRPr="006F7E30" w:rsidRDefault="000E7BBC" w:rsidP="006F7E30">
            <w:pPr>
              <w:spacing w:before="120" w:after="120"/>
              <w:jc w:val="right"/>
              <w:rPr>
                <w:rFonts w:cs="Arial"/>
                <w:sz w:val="20"/>
                <w:szCs w:val="20"/>
              </w:rPr>
            </w:pPr>
            <w:r w:rsidRPr="006F7E30">
              <w:rPr>
                <w:rFonts w:cs="Arial"/>
                <w:sz w:val="20"/>
                <w:szCs w:val="20"/>
              </w:rPr>
              <w:t>44%</w:t>
            </w:r>
          </w:p>
        </w:tc>
        <w:tc>
          <w:tcPr>
            <w:tcW w:w="163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ED6E39D" w14:textId="77777777" w:rsidR="000E7BBC" w:rsidRPr="006F7E30" w:rsidRDefault="000E7BBC" w:rsidP="006F7E30">
            <w:pPr>
              <w:spacing w:before="120" w:after="120"/>
              <w:jc w:val="right"/>
              <w:rPr>
                <w:rFonts w:cs="Arial"/>
                <w:sz w:val="20"/>
                <w:szCs w:val="20"/>
              </w:rPr>
            </w:pPr>
            <w:r w:rsidRPr="006F7E30">
              <w:rPr>
                <w:rFonts w:cs="Arial"/>
                <w:sz w:val="20"/>
                <w:szCs w:val="20"/>
              </w:rPr>
              <w:t>-20%</w:t>
            </w:r>
          </w:p>
        </w:tc>
      </w:tr>
      <w:tr w:rsidR="00E42CC0" w:rsidRPr="006F7E30" w14:paraId="193BD310" w14:textId="77777777" w:rsidTr="00D44498">
        <w:trPr>
          <w:cnfStyle w:val="000000010000" w:firstRow="0" w:lastRow="0" w:firstColumn="0" w:lastColumn="0" w:oddVBand="0" w:evenVBand="0" w:oddHBand="0" w:evenHBand="1" w:firstRowFirstColumn="0" w:firstRowLastColumn="0" w:lastRowFirstColumn="0" w:lastRowLastColumn="0"/>
          <w:cantSplit/>
          <w:trHeight w:val="567"/>
        </w:trPr>
        <w:tc>
          <w:tcPr>
            <w:tcW w:w="29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FEBF1" w:themeFill="accent1" w:themeFillTint="1A"/>
            <w:vAlign w:val="center"/>
          </w:tcPr>
          <w:p w14:paraId="5AD1518F" w14:textId="77777777" w:rsidR="000E7BBC" w:rsidRPr="006F7E30" w:rsidRDefault="000E7BBC" w:rsidP="006F7E30">
            <w:pPr>
              <w:spacing w:before="120" w:after="120"/>
              <w:rPr>
                <w:rFonts w:cs="Arial"/>
                <w:color w:val="1C1C1C"/>
                <w:sz w:val="20"/>
                <w:szCs w:val="20"/>
              </w:rPr>
            </w:pPr>
            <w:r w:rsidRPr="006F7E30">
              <w:rPr>
                <w:rFonts w:cs="Arial"/>
                <w:sz w:val="20"/>
                <w:szCs w:val="20"/>
              </w:rPr>
              <w:t>Vascular</w:t>
            </w:r>
          </w:p>
        </w:tc>
        <w:tc>
          <w:tcPr>
            <w:tcW w:w="90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FEBF1" w:themeFill="accent1" w:themeFillTint="1A"/>
            <w:vAlign w:val="center"/>
          </w:tcPr>
          <w:p w14:paraId="2B32B64A" w14:textId="77777777" w:rsidR="000E7BBC" w:rsidRPr="006F7E30" w:rsidRDefault="000E7BBC" w:rsidP="006F7E30">
            <w:pPr>
              <w:spacing w:before="120" w:after="120"/>
              <w:jc w:val="right"/>
              <w:rPr>
                <w:rFonts w:cs="Arial"/>
                <w:sz w:val="20"/>
                <w:szCs w:val="20"/>
              </w:rPr>
            </w:pPr>
            <w:r w:rsidRPr="006F7E30">
              <w:rPr>
                <w:rFonts w:cs="Arial"/>
                <w:sz w:val="20"/>
                <w:szCs w:val="20"/>
              </w:rPr>
              <w:t>106%</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FEBF1" w:themeFill="accent1" w:themeFillTint="1A"/>
            <w:vAlign w:val="center"/>
          </w:tcPr>
          <w:p w14:paraId="5387F878" w14:textId="77777777" w:rsidR="000E7BBC" w:rsidRPr="006F7E30" w:rsidRDefault="000E7BBC" w:rsidP="006F7E30">
            <w:pPr>
              <w:spacing w:before="120" w:after="120"/>
              <w:jc w:val="right"/>
              <w:rPr>
                <w:rFonts w:cs="Arial"/>
                <w:sz w:val="20"/>
                <w:szCs w:val="20"/>
              </w:rPr>
            </w:pPr>
            <w:r w:rsidRPr="006F7E30">
              <w:rPr>
                <w:rFonts w:cs="Arial"/>
                <w:sz w:val="20"/>
                <w:szCs w:val="20"/>
              </w:rPr>
              <w:t>106%</w:t>
            </w:r>
          </w:p>
        </w:tc>
        <w:tc>
          <w:tcPr>
            <w:tcW w:w="14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FEBF1" w:themeFill="accent1" w:themeFillTint="1A"/>
            <w:vAlign w:val="center"/>
          </w:tcPr>
          <w:p w14:paraId="2253E74A" w14:textId="77777777" w:rsidR="000E7BBC" w:rsidRPr="006F7E30" w:rsidRDefault="000E7BBC" w:rsidP="006F7E30">
            <w:pPr>
              <w:spacing w:before="120" w:after="120"/>
              <w:jc w:val="right"/>
              <w:rPr>
                <w:rFonts w:cs="Arial"/>
                <w:sz w:val="20"/>
                <w:szCs w:val="20"/>
              </w:rPr>
            </w:pPr>
            <w:r w:rsidRPr="006F7E30">
              <w:rPr>
                <w:rFonts w:cs="Arial"/>
                <w:sz w:val="20"/>
                <w:szCs w:val="20"/>
              </w:rPr>
              <w:t>0%</w:t>
            </w:r>
          </w:p>
        </w:tc>
        <w:tc>
          <w:tcPr>
            <w:tcW w:w="85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FEBF1" w:themeFill="accent1" w:themeFillTint="1A"/>
            <w:vAlign w:val="center"/>
          </w:tcPr>
          <w:p w14:paraId="07DCD79B" w14:textId="77777777" w:rsidR="000E7BBC" w:rsidRPr="006F7E30" w:rsidRDefault="000E7BBC" w:rsidP="006F7E30">
            <w:pPr>
              <w:spacing w:before="120" w:after="120"/>
              <w:jc w:val="right"/>
              <w:rPr>
                <w:rFonts w:cs="Arial"/>
                <w:sz w:val="20"/>
                <w:szCs w:val="20"/>
              </w:rPr>
            </w:pPr>
            <w:r w:rsidRPr="006F7E30">
              <w:rPr>
                <w:rFonts w:cs="Arial"/>
                <w:sz w:val="20"/>
                <w:szCs w:val="20"/>
              </w:rPr>
              <w:t>37%</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FEBF1" w:themeFill="accent1" w:themeFillTint="1A"/>
            <w:vAlign w:val="center"/>
          </w:tcPr>
          <w:p w14:paraId="3E4800FE" w14:textId="77777777" w:rsidR="000E7BBC" w:rsidRPr="006F7E30" w:rsidRDefault="000E7BBC" w:rsidP="006F7E30">
            <w:pPr>
              <w:spacing w:before="120" w:after="120"/>
              <w:jc w:val="right"/>
              <w:rPr>
                <w:rFonts w:cs="Arial"/>
                <w:sz w:val="20"/>
                <w:szCs w:val="20"/>
              </w:rPr>
            </w:pPr>
            <w:r w:rsidRPr="006F7E30">
              <w:rPr>
                <w:rFonts w:cs="Arial"/>
                <w:sz w:val="20"/>
                <w:szCs w:val="20"/>
              </w:rPr>
              <w:t>37%</w:t>
            </w:r>
          </w:p>
        </w:tc>
        <w:tc>
          <w:tcPr>
            <w:tcW w:w="163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DFEBF1" w:themeFill="accent1" w:themeFillTint="1A"/>
            <w:vAlign w:val="center"/>
          </w:tcPr>
          <w:p w14:paraId="6B5AE624" w14:textId="77777777" w:rsidR="000E7BBC" w:rsidRPr="006F7E30" w:rsidRDefault="000E7BBC" w:rsidP="006F7E30">
            <w:pPr>
              <w:spacing w:before="120" w:after="120"/>
              <w:jc w:val="right"/>
              <w:rPr>
                <w:rFonts w:cs="Arial"/>
                <w:sz w:val="20"/>
                <w:szCs w:val="20"/>
              </w:rPr>
            </w:pPr>
            <w:r w:rsidRPr="006F7E30">
              <w:rPr>
                <w:rFonts w:cs="Arial"/>
                <w:sz w:val="20"/>
                <w:szCs w:val="20"/>
              </w:rPr>
              <w:t>1%</w:t>
            </w:r>
          </w:p>
        </w:tc>
      </w:tr>
      <w:tr w:rsidR="0061483A" w:rsidRPr="006F7E30" w14:paraId="13A9D4F9" w14:textId="77777777" w:rsidTr="00D44498">
        <w:trPr>
          <w:cnfStyle w:val="000000100000" w:firstRow="0" w:lastRow="0" w:firstColumn="0" w:lastColumn="0" w:oddVBand="0" w:evenVBand="0" w:oddHBand="1" w:evenHBand="0" w:firstRowFirstColumn="0" w:firstRowLastColumn="0" w:lastRowFirstColumn="0" w:lastRowLastColumn="0"/>
          <w:cantSplit/>
          <w:trHeight w:val="567"/>
        </w:trPr>
        <w:tc>
          <w:tcPr>
            <w:tcW w:w="29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71CDA84" w14:textId="77777777" w:rsidR="000E7BBC" w:rsidRPr="006F7E30" w:rsidRDefault="000E7BBC" w:rsidP="006F7E30">
            <w:pPr>
              <w:spacing w:before="120" w:after="120"/>
              <w:rPr>
                <w:rFonts w:cs="Arial"/>
                <w:color w:val="1C1C1C"/>
                <w:sz w:val="20"/>
                <w:szCs w:val="20"/>
              </w:rPr>
            </w:pPr>
            <w:r w:rsidRPr="006F7E30">
              <w:rPr>
                <w:rFonts w:cs="Arial"/>
                <w:sz w:val="20"/>
                <w:szCs w:val="20"/>
              </w:rPr>
              <w:t>Hip</w:t>
            </w:r>
          </w:p>
        </w:tc>
        <w:tc>
          <w:tcPr>
            <w:tcW w:w="90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8F7BB4B" w14:textId="77777777" w:rsidR="000E7BBC" w:rsidRPr="006F7E30" w:rsidRDefault="000E7BBC" w:rsidP="006F7E30">
            <w:pPr>
              <w:spacing w:before="120" w:after="120"/>
              <w:jc w:val="right"/>
              <w:rPr>
                <w:rFonts w:cs="Arial"/>
                <w:sz w:val="20"/>
                <w:szCs w:val="20"/>
              </w:rPr>
            </w:pPr>
            <w:r w:rsidRPr="006F7E30">
              <w:rPr>
                <w:rFonts w:cs="Arial"/>
                <w:sz w:val="20"/>
                <w:szCs w:val="20"/>
              </w:rPr>
              <w:t>109%</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2D8EEB4" w14:textId="77777777" w:rsidR="000E7BBC" w:rsidRPr="006F7E30" w:rsidRDefault="000E7BBC" w:rsidP="006F7E30">
            <w:pPr>
              <w:spacing w:before="120" w:after="120"/>
              <w:jc w:val="right"/>
              <w:rPr>
                <w:rFonts w:cs="Arial"/>
                <w:sz w:val="20"/>
                <w:szCs w:val="20"/>
              </w:rPr>
            </w:pPr>
            <w:r w:rsidRPr="006F7E30">
              <w:rPr>
                <w:rFonts w:cs="Arial"/>
                <w:sz w:val="20"/>
                <w:szCs w:val="20"/>
              </w:rPr>
              <w:t>109%</w:t>
            </w:r>
          </w:p>
        </w:tc>
        <w:tc>
          <w:tcPr>
            <w:tcW w:w="14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74A7404" w14:textId="77777777" w:rsidR="000E7BBC" w:rsidRPr="006F7E30" w:rsidRDefault="000E7BBC" w:rsidP="006F7E30">
            <w:pPr>
              <w:spacing w:before="120" w:after="120"/>
              <w:jc w:val="right"/>
              <w:rPr>
                <w:rFonts w:cs="Arial"/>
                <w:sz w:val="20"/>
                <w:szCs w:val="20"/>
              </w:rPr>
            </w:pPr>
            <w:r w:rsidRPr="006F7E30">
              <w:rPr>
                <w:rFonts w:cs="Arial"/>
                <w:sz w:val="20"/>
                <w:szCs w:val="20"/>
              </w:rPr>
              <w:t>0%</w:t>
            </w:r>
          </w:p>
        </w:tc>
        <w:tc>
          <w:tcPr>
            <w:tcW w:w="85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E518469" w14:textId="77777777" w:rsidR="000E7BBC" w:rsidRPr="006F7E30" w:rsidRDefault="000E7BBC" w:rsidP="006F7E30">
            <w:pPr>
              <w:spacing w:before="120" w:after="120"/>
              <w:jc w:val="right"/>
              <w:rPr>
                <w:rFonts w:cs="Arial"/>
                <w:sz w:val="20"/>
                <w:szCs w:val="20"/>
              </w:rPr>
            </w:pPr>
            <w:r w:rsidRPr="006F7E30">
              <w:rPr>
                <w:rFonts w:cs="Arial"/>
                <w:sz w:val="20"/>
                <w:szCs w:val="20"/>
              </w:rPr>
              <w:t>38%</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8518A83" w14:textId="77777777" w:rsidR="000E7BBC" w:rsidRPr="006F7E30" w:rsidRDefault="000E7BBC" w:rsidP="006F7E30">
            <w:pPr>
              <w:spacing w:before="120" w:after="120"/>
              <w:jc w:val="right"/>
              <w:rPr>
                <w:rFonts w:cs="Arial"/>
                <w:sz w:val="20"/>
                <w:szCs w:val="20"/>
              </w:rPr>
            </w:pPr>
            <w:r w:rsidRPr="006F7E30">
              <w:rPr>
                <w:rFonts w:cs="Arial"/>
                <w:sz w:val="20"/>
                <w:szCs w:val="20"/>
              </w:rPr>
              <w:t>38%</w:t>
            </w:r>
          </w:p>
        </w:tc>
        <w:tc>
          <w:tcPr>
            <w:tcW w:w="163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B3B7950" w14:textId="77777777" w:rsidR="000E7BBC" w:rsidRPr="006F7E30" w:rsidRDefault="000E7BBC" w:rsidP="006F7E30">
            <w:pPr>
              <w:spacing w:before="120" w:after="120"/>
              <w:jc w:val="right"/>
              <w:rPr>
                <w:rFonts w:cs="Arial"/>
                <w:sz w:val="20"/>
                <w:szCs w:val="20"/>
              </w:rPr>
            </w:pPr>
            <w:r w:rsidRPr="006F7E30">
              <w:rPr>
                <w:rFonts w:cs="Arial"/>
                <w:sz w:val="20"/>
                <w:szCs w:val="20"/>
              </w:rPr>
              <w:t>0%</w:t>
            </w:r>
          </w:p>
        </w:tc>
      </w:tr>
      <w:tr w:rsidR="0061483A" w:rsidRPr="006F7E30" w14:paraId="00E30C0E" w14:textId="77777777" w:rsidTr="00D44498">
        <w:trPr>
          <w:cnfStyle w:val="000000010000" w:firstRow="0" w:lastRow="0" w:firstColumn="0" w:lastColumn="0" w:oddVBand="0" w:evenVBand="0" w:oddHBand="0" w:evenHBand="1" w:firstRowFirstColumn="0" w:firstRowLastColumn="0" w:lastRowFirstColumn="0" w:lastRowLastColumn="0"/>
          <w:cantSplit/>
          <w:trHeight w:val="567"/>
        </w:trPr>
        <w:tc>
          <w:tcPr>
            <w:tcW w:w="29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55BFEF0" w14:textId="77777777" w:rsidR="000E7BBC" w:rsidRPr="006F7E30" w:rsidRDefault="000E7BBC" w:rsidP="006F7E30">
            <w:pPr>
              <w:spacing w:before="120" w:after="120"/>
              <w:rPr>
                <w:rFonts w:cs="Arial"/>
                <w:color w:val="1C1C1C"/>
                <w:sz w:val="20"/>
                <w:szCs w:val="20"/>
              </w:rPr>
            </w:pPr>
            <w:r w:rsidRPr="006F7E30">
              <w:rPr>
                <w:rFonts w:cs="Arial"/>
                <w:sz w:val="20"/>
                <w:szCs w:val="20"/>
              </w:rPr>
              <w:t>Knee</w:t>
            </w:r>
          </w:p>
        </w:tc>
        <w:tc>
          <w:tcPr>
            <w:tcW w:w="90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5503D03" w14:textId="77777777" w:rsidR="000E7BBC" w:rsidRPr="006F7E30" w:rsidRDefault="000E7BBC" w:rsidP="006F7E30">
            <w:pPr>
              <w:spacing w:before="120" w:after="120"/>
              <w:jc w:val="right"/>
              <w:rPr>
                <w:rFonts w:cs="Arial"/>
                <w:sz w:val="20"/>
                <w:szCs w:val="20"/>
              </w:rPr>
            </w:pPr>
            <w:r w:rsidRPr="006F7E30">
              <w:rPr>
                <w:rFonts w:cs="Arial"/>
                <w:sz w:val="20"/>
                <w:szCs w:val="20"/>
              </w:rPr>
              <w:t>107%</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24197CC" w14:textId="77777777" w:rsidR="000E7BBC" w:rsidRPr="006F7E30" w:rsidRDefault="000E7BBC" w:rsidP="006F7E30">
            <w:pPr>
              <w:spacing w:before="120" w:after="120"/>
              <w:jc w:val="right"/>
              <w:rPr>
                <w:rFonts w:cs="Arial"/>
                <w:sz w:val="20"/>
                <w:szCs w:val="20"/>
              </w:rPr>
            </w:pPr>
            <w:r w:rsidRPr="006F7E30">
              <w:rPr>
                <w:rFonts w:cs="Arial"/>
                <w:sz w:val="20"/>
                <w:szCs w:val="20"/>
              </w:rPr>
              <w:t>108%</w:t>
            </w:r>
          </w:p>
        </w:tc>
        <w:tc>
          <w:tcPr>
            <w:tcW w:w="14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96942AE" w14:textId="77777777" w:rsidR="000E7BBC" w:rsidRPr="006F7E30" w:rsidRDefault="000E7BBC" w:rsidP="006F7E30">
            <w:pPr>
              <w:spacing w:before="120" w:after="120"/>
              <w:jc w:val="right"/>
              <w:rPr>
                <w:rFonts w:cs="Arial"/>
                <w:sz w:val="20"/>
                <w:szCs w:val="20"/>
              </w:rPr>
            </w:pPr>
            <w:r w:rsidRPr="006F7E30">
              <w:rPr>
                <w:rFonts w:cs="Arial"/>
                <w:sz w:val="20"/>
                <w:szCs w:val="20"/>
              </w:rPr>
              <w:t>1%</w:t>
            </w:r>
          </w:p>
        </w:tc>
        <w:tc>
          <w:tcPr>
            <w:tcW w:w="85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62FD153" w14:textId="77777777" w:rsidR="000E7BBC" w:rsidRPr="006F7E30" w:rsidRDefault="000E7BBC" w:rsidP="006F7E30">
            <w:pPr>
              <w:spacing w:before="120" w:after="120"/>
              <w:jc w:val="right"/>
              <w:rPr>
                <w:rFonts w:cs="Arial"/>
                <w:sz w:val="20"/>
                <w:szCs w:val="20"/>
              </w:rPr>
            </w:pPr>
            <w:r w:rsidRPr="006F7E30">
              <w:rPr>
                <w:rFonts w:cs="Arial"/>
                <w:sz w:val="20"/>
                <w:szCs w:val="20"/>
              </w:rPr>
              <w:t>32%</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37E14E6" w14:textId="77777777" w:rsidR="000E7BBC" w:rsidRPr="006F7E30" w:rsidRDefault="000E7BBC" w:rsidP="006F7E30">
            <w:pPr>
              <w:spacing w:before="120" w:after="120"/>
              <w:jc w:val="right"/>
              <w:rPr>
                <w:rFonts w:cs="Arial"/>
                <w:sz w:val="20"/>
                <w:szCs w:val="20"/>
              </w:rPr>
            </w:pPr>
            <w:r w:rsidRPr="006F7E30">
              <w:rPr>
                <w:rFonts w:cs="Arial"/>
                <w:sz w:val="20"/>
                <w:szCs w:val="20"/>
              </w:rPr>
              <w:t>33%</w:t>
            </w:r>
          </w:p>
        </w:tc>
        <w:tc>
          <w:tcPr>
            <w:tcW w:w="163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6F49ACA" w14:textId="77777777" w:rsidR="000E7BBC" w:rsidRPr="006F7E30" w:rsidRDefault="000E7BBC" w:rsidP="006F7E30">
            <w:pPr>
              <w:spacing w:before="120" w:after="120"/>
              <w:jc w:val="right"/>
              <w:rPr>
                <w:rFonts w:cs="Arial"/>
                <w:sz w:val="20"/>
                <w:szCs w:val="20"/>
              </w:rPr>
            </w:pPr>
            <w:r w:rsidRPr="006F7E30">
              <w:rPr>
                <w:rFonts w:cs="Arial"/>
                <w:sz w:val="20"/>
                <w:szCs w:val="20"/>
              </w:rPr>
              <w:t>2%</w:t>
            </w:r>
          </w:p>
        </w:tc>
      </w:tr>
      <w:tr w:rsidR="0061483A" w:rsidRPr="006F7E30" w14:paraId="52C94B0B" w14:textId="77777777" w:rsidTr="00D44498">
        <w:trPr>
          <w:cnfStyle w:val="000000100000" w:firstRow="0" w:lastRow="0" w:firstColumn="0" w:lastColumn="0" w:oddVBand="0" w:evenVBand="0" w:oddHBand="1" w:evenHBand="0" w:firstRowFirstColumn="0" w:firstRowLastColumn="0" w:lastRowFirstColumn="0" w:lastRowLastColumn="0"/>
          <w:cantSplit/>
          <w:trHeight w:val="406"/>
        </w:trPr>
        <w:tc>
          <w:tcPr>
            <w:tcW w:w="29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152324E" w14:textId="77777777" w:rsidR="000E7BBC" w:rsidRPr="006F7E30" w:rsidRDefault="000E7BBC" w:rsidP="006F7E30">
            <w:pPr>
              <w:spacing w:before="120" w:after="120"/>
              <w:rPr>
                <w:rFonts w:cs="Arial"/>
                <w:color w:val="1C1C1C"/>
                <w:sz w:val="20"/>
                <w:szCs w:val="20"/>
              </w:rPr>
            </w:pPr>
            <w:r w:rsidRPr="006F7E30">
              <w:rPr>
                <w:rFonts w:cs="Arial"/>
                <w:sz w:val="20"/>
                <w:szCs w:val="20"/>
              </w:rPr>
              <w:t>Spinal</w:t>
            </w:r>
          </w:p>
        </w:tc>
        <w:tc>
          <w:tcPr>
            <w:tcW w:w="90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9609D2C" w14:textId="77777777" w:rsidR="000E7BBC" w:rsidRPr="006F7E30" w:rsidRDefault="000E7BBC" w:rsidP="006F7E30">
            <w:pPr>
              <w:spacing w:before="120" w:after="120"/>
              <w:jc w:val="right"/>
              <w:rPr>
                <w:rFonts w:cs="Arial"/>
                <w:sz w:val="20"/>
                <w:szCs w:val="20"/>
              </w:rPr>
            </w:pPr>
            <w:r w:rsidRPr="006F7E30">
              <w:rPr>
                <w:rFonts w:cs="Arial"/>
                <w:sz w:val="20"/>
                <w:szCs w:val="20"/>
              </w:rPr>
              <w:t>70%</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A7A873A" w14:textId="77777777" w:rsidR="000E7BBC" w:rsidRPr="006F7E30" w:rsidRDefault="000E7BBC" w:rsidP="006F7E30">
            <w:pPr>
              <w:spacing w:before="120" w:after="120"/>
              <w:jc w:val="right"/>
              <w:rPr>
                <w:rFonts w:cs="Arial"/>
                <w:sz w:val="20"/>
                <w:szCs w:val="20"/>
              </w:rPr>
            </w:pPr>
            <w:r w:rsidRPr="006F7E30">
              <w:rPr>
                <w:rFonts w:cs="Arial"/>
                <w:sz w:val="20"/>
                <w:szCs w:val="20"/>
              </w:rPr>
              <w:t>88%</w:t>
            </w:r>
          </w:p>
        </w:tc>
        <w:tc>
          <w:tcPr>
            <w:tcW w:w="14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9A27CF6" w14:textId="77777777" w:rsidR="000E7BBC" w:rsidRPr="006F7E30" w:rsidRDefault="000E7BBC" w:rsidP="006F7E30">
            <w:pPr>
              <w:spacing w:before="120" w:after="120"/>
              <w:jc w:val="right"/>
              <w:rPr>
                <w:rFonts w:cs="Arial"/>
                <w:sz w:val="20"/>
                <w:szCs w:val="20"/>
              </w:rPr>
            </w:pPr>
            <w:r w:rsidRPr="006F7E30">
              <w:rPr>
                <w:rFonts w:cs="Arial"/>
                <w:sz w:val="20"/>
                <w:szCs w:val="20"/>
              </w:rPr>
              <w:t>25%</w:t>
            </w:r>
          </w:p>
        </w:tc>
        <w:tc>
          <w:tcPr>
            <w:tcW w:w="85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9A0A862" w14:textId="77777777" w:rsidR="000E7BBC" w:rsidRPr="006F7E30" w:rsidRDefault="000E7BBC" w:rsidP="006F7E30">
            <w:pPr>
              <w:spacing w:before="120" w:after="120"/>
              <w:jc w:val="right"/>
              <w:rPr>
                <w:rFonts w:cs="Arial"/>
                <w:sz w:val="20"/>
                <w:szCs w:val="20"/>
              </w:rPr>
            </w:pPr>
            <w:r w:rsidRPr="006F7E30">
              <w:rPr>
                <w:rFonts w:cs="Arial"/>
                <w:sz w:val="20"/>
                <w:szCs w:val="20"/>
              </w:rPr>
              <w:t>16%</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3688839" w14:textId="77777777" w:rsidR="000E7BBC" w:rsidRPr="006F7E30" w:rsidRDefault="000E7BBC" w:rsidP="006F7E30">
            <w:pPr>
              <w:spacing w:before="120" w:after="120"/>
              <w:jc w:val="right"/>
              <w:rPr>
                <w:rFonts w:cs="Arial"/>
                <w:sz w:val="20"/>
                <w:szCs w:val="20"/>
              </w:rPr>
            </w:pPr>
            <w:r w:rsidRPr="006F7E30">
              <w:rPr>
                <w:rFonts w:cs="Arial"/>
                <w:sz w:val="20"/>
                <w:szCs w:val="20"/>
              </w:rPr>
              <w:t>24%</w:t>
            </w:r>
          </w:p>
        </w:tc>
        <w:tc>
          <w:tcPr>
            <w:tcW w:w="163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C3EDDA1" w14:textId="77777777" w:rsidR="000E7BBC" w:rsidRPr="006F7E30" w:rsidRDefault="000E7BBC" w:rsidP="006F7E30">
            <w:pPr>
              <w:spacing w:before="120" w:after="120"/>
              <w:jc w:val="right"/>
              <w:rPr>
                <w:rFonts w:cs="Arial"/>
                <w:sz w:val="20"/>
                <w:szCs w:val="20"/>
              </w:rPr>
            </w:pPr>
            <w:r w:rsidRPr="006F7E30">
              <w:rPr>
                <w:rFonts w:cs="Arial"/>
                <w:sz w:val="20"/>
                <w:szCs w:val="20"/>
              </w:rPr>
              <w:t>53%</w:t>
            </w:r>
          </w:p>
        </w:tc>
      </w:tr>
      <w:tr w:rsidR="00AA4282" w:rsidRPr="006F7E30" w14:paraId="379A11D6" w14:textId="77777777" w:rsidTr="00D44498">
        <w:trPr>
          <w:cnfStyle w:val="000000010000" w:firstRow="0" w:lastRow="0" w:firstColumn="0" w:lastColumn="0" w:oddVBand="0" w:evenVBand="0" w:oddHBand="0" w:evenHBand="1" w:firstRowFirstColumn="0" w:firstRowLastColumn="0" w:lastRowFirstColumn="0" w:lastRowLastColumn="0"/>
          <w:cantSplit/>
          <w:trHeight w:val="567"/>
        </w:trPr>
        <w:tc>
          <w:tcPr>
            <w:tcW w:w="29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F50D1DF" w14:textId="77777777" w:rsidR="000E7BBC" w:rsidRPr="006F7E30" w:rsidRDefault="000E7BBC" w:rsidP="006F7E30">
            <w:pPr>
              <w:spacing w:before="120" w:after="120"/>
              <w:rPr>
                <w:rFonts w:cs="Arial"/>
                <w:color w:val="000000"/>
                <w:sz w:val="20"/>
                <w:szCs w:val="20"/>
                <w:lang w:val="en-US"/>
              </w:rPr>
            </w:pPr>
            <w:r w:rsidRPr="006F7E30">
              <w:rPr>
                <w:rFonts w:cs="Arial"/>
                <w:sz w:val="20"/>
                <w:szCs w:val="20"/>
              </w:rPr>
              <w:t>Other</w:t>
            </w:r>
          </w:p>
        </w:tc>
        <w:tc>
          <w:tcPr>
            <w:tcW w:w="90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A900891" w14:textId="77777777" w:rsidR="000E7BBC" w:rsidRPr="006F7E30" w:rsidRDefault="000E7BBC" w:rsidP="006F7E30">
            <w:pPr>
              <w:spacing w:before="120" w:after="120"/>
              <w:jc w:val="right"/>
              <w:rPr>
                <w:rFonts w:cs="Arial"/>
                <w:sz w:val="20"/>
                <w:szCs w:val="20"/>
              </w:rPr>
            </w:pPr>
            <w:r w:rsidRPr="006F7E30">
              <w:rPr>
                <w:rFonts w:cs="Arial"/>
                <w:sz w:val="20"/>
                <w:szCs w:val="20"/>
              </w:rPr>
              <w:t>6%</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2A5711F" w14:textId="77777777" w:rsidR="000E7BBC" w:rsidRPr="006F7E30" w:rsidRDefault="000E7BBC" w:rsidP="006F7E30">
            <w:pPr>
              <w:spacing w:before="120" w:after="120"/>
              <w:jc w:val="right"/>
              <w:rPr>
                <w:rFonts w:cs="Arial"/>
                <w:sz w:val="20"/>
                <w:szCs w:val="20"/>
              </w:rPr>
            </w:pPr>
            <w:r w:rsidRPr="006F7E30">
              <w:rPr>
                <w:rFonts w:cs="Arial"/>
                <w:sz w:val="20"/>
                <w:szCs w:val="20"/>
              </w:rPr>
              <w:t>21%</w:t>
            </w:r>
          </w:p>
        </w:tc>
        <w:tc>
          <w:tcPr>
            <w:tcW w:w="143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FF1B948" w14:textId="77777777" w:rsidR="000E7BBC" w:rsidRPr="006F7E30" w:rsidRDefault="000E7BBC" w:rsidP="006F7E30">
            <w:pPr>
              <w:spacing w:before="120" w:after="120"/>
              <w:jc w:val="right"/>
              <w:rPr>
                <w:rFonts w:cs="Arial"/>
                <w:sz w:val="20"/>
                <w:szCs w:val="20"/>
              </w:rPr>
            </w:pPr>
            <w:r w:rsidRPr="006F7E30">
              <w:rPr>
                <w:rFonts w:cs="Arial"/>
                <w:sz w:val="20"/>
                <w:szCs w:val="20"/>
              </w:rPr>
              <w:t>249%</w:t>
            </w:r>
          </w:p>
        </w:tc>
        <w:tc>
          <w:tcPr>
            <w:tcW w:w="85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75DE54A" w14:textId="77777777" w:rsidR="000E7BBC" w:rsidRPr="006F7E30" w:rsidRDefault="000E7BBC" w:rsidP="006F7E30">
            <w:pPr>
              <w:spacing w:before="120" w:after="120"/>
              <w:jc w:val="right"/>
              <w:rPr>
                <w:rFonts w:cs="Arial"/>
                <w:sz w:val="20"/>
                <w:szCs w:val="20"/>
              </w:rPr>
            </w:pPr>
            <w:r w:rsidRPr="006F7E30">
              <w:rPr>
                <w:rFonts w:cs="Arial"/>
                <w:sz w:val="20"/>
                <w:szCs w:val="20"/>
              </w:rPr>
              <w:t>1%</w:t>
            </w:r>
          </w:p>
        </w:tc>
        <w:tc>
          <w:tcPr>
            <w:tcW w:w="11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831EB1A" w14:textId="77777777" w:rsidR="000E7BBC" w:rsidRPr="006F7E30" w:rsidRDefault="000E7BBC" w:rsidP="006F7E30">
            <w:pPr>
              <w:spacing w:before="120" w:after="120"/>
              <w:jc w:val="right"/>
              <w:rPr>
                <w:rFonts w:cs="Arial"/>
                <w:color w:val="1C1C1C"/>
                <w:sz w:val="20"/>
                <w:szCs w:val="20"/>
              </w:rPr>
            </w:pPr>
            <w:r w:rsidRPr="006F7E30">
              <w:rPr>
                <w:rFonts w:cs="Arial"/>
                <w:sz w:val="20"/>
                <w:szCs w:val="20"/>
              </w:rPr>
              <w:t>4%</w:t>
            </w:r>
          </w:p>
        </w:tc>
        <w:tc>
          <w:tcPr>
            <w:tcW w:w="163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E150628" w14:textId="77777777" w:rsidR="000E7BBC" w:rsidRPr="006F7E30" w:rsidRDefault="000E7BBC" w:rsidP="006F7E30">
            <w:pPr>
              <w:spacing w:before="120" w:after="120"/>
              <w:jc w:val="right"/>
              <w:rPr>
                <w:rFonts w:cs="Arial"/>
                <w:color w:val="000000"/>
                <w:sz w:val="20"/>
                <w:szCs w:val="20"/>
                <w:lang w:val="en-US"/>
              </w:rPr>
            </w:pPr>
            <w:r w:rsidRPr="006F7E30">
              <w:rPr>
                <w:rFonts w:cs="Arial"/>
                <w:sz w:val="20"/>
                <w:szCs w:val="20"/>
              </w:rPr>
              <w:t>254%</w:t>
            </w:r>
          </w:p>
        </w:tc>
      </w:tr>
    </w:tbl>
    <w:p w14:paraId="5099283B" w14:textId="77777777" w:rsidR="000E7BBC" w:rsidRDefault="000E7BBC" w:rsidP="00626280">
      <w:pPr>
        <w:rPr>
          <w:b/>
        </w:rPr>
      </w:pPr>
    </w:p>
    <w:p w14:paraId="3A0CD8BD" w14:textId="11293F70" w:rsidR="00626280" w:rsidRDefault="00626280" w:rsidP="00E42CC0">
      <w:pPr>
        <w:pStyle w:val="Heading4"/>
        <w:numPr>
          <w:ilvl w:val="0"/>
          <w:numId w:val="0"/>
        </w:numPr>
      </w:pPr>
      <w:r>
        <w:t>Representativeness of public hospital episodes</w:t>
      </w:r>
    </w:p>
    <w:p w14:paraId="19E3ABFF" w14:textId="44E420FF" w:rsidR="00626280" w:rsidRDefault="00626280" w:rsidP="00626280">
      <w:r>
        <w:t xml:space="preserve">Despite the low level of completeness seen for public hospitals, there is little evidence of material concern for the representativeness of those episodes. </w:t>
      </w:r>
      <w:r w:rsidR="00BF627B">
        <w:t>To demonstrate this, f</w:t>
      </w:r>
      <w:r>
        <w:t xml:space="preserve">urther comparisons of public hospital episodes </w:t>
      </w:r>
      <w:r w:rsidR="00BF627B">
        <w:t xml:space="preserve">within the prepared </w:t>
      </w:r>
      <w:r>
        <w:t xml:space="preserve">HCP </w:t>
      </w:r>
      <w:r w:rsidR="00BF627B">
        <w:t xml:space="preserve">data were made </w:t>
      </w:r>
      <w:r>
        <w:t>against those recorded in the IHACPA APC data collection.</w:t>
      </w:r>
    </w:p>
    <w:p w14:paraId="4E4A073D" w14:textId="26C82EDD" w:rsidR="00626280" w:rsidRDefault="00BF627B" w:rsidP="00626280">
      <w:r>
        <w:fldChar w:fldCharType="begin"/>
      </w:r>
      <w:r>
        <w:instrText xml:space="preserve"> REF _Ref120049601 \h </w:instrText>
      </w:r>
      <w:r>
        <w:fldChar w:fldCharType="separate"/>
      </w:r>
      <w:r w:rsidR="00106CD4">
        <w:t xml:space="preserve">Figure </w:t>
      </w:r>
      <w:r w:rsidR="00106CD4">
        <w:rPr>
          <w:noProof/>
        </w:rPr>
        <w:t>2</w:t>
      </w:r>
      <w:r>
        <w:fldChar w:fldCharType="end"/>
      </w:r>
      <w:r>
        <w:t xml:space="preserve"> </w:t>
      </w:r>
      <w:r w:rsidR="00626280">
        <w:t xml:space="preserve">highlights that the public hospitals episodes that are captured in HCP follow a highly similar distribution of age and </w:t>
      </w:r>
      <w:r w:rsidR="00761160">
        <w:t xml:space="preserve">sex </w:t>
      </w:r>
      <w:r w:rsidR="00626280">
        <w:t xml:space="preserve">to the full set observed in the IHACPA APC data collection. </w:t>
      </w:r>
    </w:p>
    <w:p w14:paraId="06CC06A0" w14:textId="6EA61DDF" w:rsidR="00BF627B" w:rsidRDefault="00BF627B" w:rsidP="00BF627B">
      <w:pPr>
        <w:pStyle w:val="Caption"/>
        <w:keepNext/>
      </w:pPr>
      <w:bookmarkStart w:id="129" w:name="_Ref120049601"/>
      <w:bookmarkEnd w:id="128"/>
      <w:r>
        <w:t xml:space="preserve">Figure </w:t>
      </w:r>
      <w:fldSimple w:instr=" SEQ Figure \* ARABIC ">
        <w:r w:rsidR="00106CD4">
          <w:rPr>
            <w:noProof/>
          </w:rPr>
          <w:t>2</w:t>
        </w:r>
      </w:fldSimple>
      <w:bookmarkEnd w:id="129"/>
      <w:r>
        <w:t xml:space="preserve">: </w:t>
      </w:r>
      <w:r w:rsidRPr="00D462A2">
        <w:t xml:space="preserve">Breakdown of episodes by age band and sex, </w:t>
      </w:r>
      <w:r w:rsidR="00761160">
        <w:t xml:space="preserve">2020-21 </w:t>
      </w:r>
      <w:r w:rsidRPr="00D462A2">
        <w:t>HCP compared to IHACPA APC</w:t>
      </w:r>
    </w:p>
    <w:p w14:paraId="007C6B0A" w14:textId="73041063" w:rsidR="00761160" w:rsidRDefault="00761160" w:rsidP="00626280">
      <w:r>
        <w:rPr>
          <w:noProof/>
        </w:rPr>
        <w:drawing>
          <wp:inline distT="0" distB="0" distL="0" distR="0" wp14:anchorId="7DF5A5B7" wp14:editId="6C52EEC3">
            <wp:extent cx="6192520" cy="2290445"/>
            <wp:effectExtent l="0" t="0" r="0" b="0"/>
            <wp:docPr id="1" name="Graphic 1" descr="Two bar charts, the first comparing proportional breakdown of data sources by age group, and the second comparing proportional breakdown of data sources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wo bar charts, the first comparing proportional breakdown of data sources by age group, and the second comparing proportional breakdown of data sources by sex."/>
                    <pic:cNvPicPr/>
                  </pic:nvPicPr>
                  <pic:blipFill>
                    <a:blip r:embed="rId18">
                      <a:extLst>
                        <a:ext uri="{96DAC541-7B7A-43D3-8B79-37D633B846F1}">
                          <asvg:svgBlip xmlns:asvg="http://schemas.microsoft.com/office/drawing/2016/SVG/main" r:embed="rId19"/>
                        </a:ext>
                      </a:extLst>
                    </a:blip>
                    <a:stretch>
                      <a:fillRect/>
                    </a:stretch>
                  </pic:blipFill>
                  <pic:spPr>
                    <a:xfrm>
                      <a:off x="0" y="0"/>
                      <a:ext cx="6192520" cy="2290445"/>
                    </a:xfrm>
                    <a:prstGeom prst="rect">
                      <a:avLst/>
                    </a:prstGeom>
                  </pic:spPr>
                </pic:pic>
              </a:graphicData>
            </a:graphic>
          </wp:inline>
        </w:drawing>
      </w:r>
    </w:p>
    <w:p w14:paraId="4B7FB837" w14:textId="3903B2C0" w:rsidR="00626280" w:rsidRDefault="00626280" w:rsidP="00626280">
      <w:r>
        <w:t>Further, there were no material deviations in the distribution of clinical characteristics detected when comparing the two sources.</w:t>
      </w:r>
      <w:r w:rsidR="009C1D72">
        <w:t xml:space="preserve"> </w:t>
      </w:r>
      <w:r w:rsidR="009C1D72">
        <w:fldChar w:fldCharType="begin"/>
      </w:r>
      <w:r w:rsidR="009C1D72">
        <w:instrText xml:space="preserve"> REF _Ref120049694 \h </w:instrText>
      </w:r>
      <w:r w:rsidR="009C1D72">
        <w:fldChar w:fldCharType="separate"/>
      </w:r>
      <w:r w:rsidR="00106CD4">
        <w:t xml:space="preserve">Figure </w:t>
      </w:r>
      <w:r w:rsidR="00106CD4">
        <w:rPr>
          <w:noProof/>
        </w:rPr>
        <w:t>3</w:t>
      </w:r>
      <w:r w:rsidR="009C1D72">
        <w:fldChar w:fldCharType="end"/>
      </w:r>
      <w:r w:rsidR="009C1D72">
        <w:t xml:space="preserve"> </w:t>
      </w:r>
      <w:r>
        <w:t>shows the breakdown of episodes by the top 10 Major Diagnostic Categories (MDC), with a high level of similarity apparent between the two sources.</w:t>
      </w:r>
    </w:p>
    <w:p w14:paraId="65265BE5" w14:textId="0BA04606" w:rsidR="009C1D72" w:rsidRDefault="009C1D72" w:rsidP="00626280"/>
    <w:p w14:paraId="5BE3D6AE" w14:textId="673B0D23" w:rsidR="009C1D72" w:rsidRDefault="009C1D72" w:rsidP="009C1D72">
      <w:pPr>
        <w:pStyle w:val="Caption"/>
        <w:keepNext/>
      </w:pPr>
      <w:bookmarkStart w:id="130" w:name="_Ref120049694"/>
      <w:r>
        <w:t xml:space="preserve">Figure </w:t>
      </w:r>
      <w:fldSimple w:instr=" SEQ Figure \* ARABIC ">
        <w:r w:rsidR="00106CD4">
          <w:rPr>
            <w:noProof/>
          </w:rPr>
          <w:t>3</w:t>
        </w:r>
      </w:fldSimple>
      <w:bookmarkEnd w:id="130"/>
      <w:r>
        <w:t xml:space="preserve">: </w:t>
      </w:r>
      <w:r w:rsidRPr="006C5DEC">
        <w:t xml:space="preserve">Breakdown of episodes by MDC, </w:t>
      </w:r>
      <w:r w:rsidR="00822066">
        <w:t xml:space="preserve">2020-21 </w:t>
      </w:r>
      <w:r w:rsidRPr="006C5DEC">
        <w:t>HCP compared to IHACPA APC</w:t>
      </w:r>
    </w:p>
    <w:p w14:paraId="611B4F98" w14:textId="7F39CAC9" w:rsidR="00626280" w:rsidRDefault="009C1D72" w:rsidP="00626280">
      <w:r>
        <w:rPr>
          <w:noProof/>
        </w:rPr>
        <w:drawing>
          <wp:inline distT="0" distB="0" distL="0" distR="0" wp14:anchorId="79AAF6AA" wp14:editId="1A91E00A">
            <wp:extent cx="6191250" cy="2533650"/>
            <wp:effectExtent l="0" t="0" r="0" b="0"/>
            <wp:docPr id="39" name="Graphic 39" descr="A bar chart comparing proportional breakdown of data sources by M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A bar chart comparing proportional breakdown of data sources by MDC."/>
                    <pic:cNvPicPr/>
                  </pic:nvPicPr>
                  <pic:blipFill>
                    <a:blip r:embed="rId20">
                      <a:extLst>
                        <a:ext uri="{96DAC541-7B7A-43D3-8B79-37D633B846F1}">
                          <asvg:svgBlip xmlns:asvg="http://schemas.microsoft.com/office/drawing/2016/SVG/main" r:embed="rId21"/>
                        </a:ext>
                      </a:extLst>
                    </a:blip>
                    <a:stretch>
                      <a:fillRect/>
                    </a:stretch>
                  </pic:blipFill>
                  <pic:spPr>
                    <a:xfrm>
                      <a:off x="0" y="0"/>
                      <a:ext cx="6191250" cy="2533650"/>
                    </a:xfrm>
                    <a:prstGeom prst="rect">
                      <a:avLst/>
                    </a:prstGeom>
                  </pic:spPr>
                </pic:pic>
              </a:graphicData>
            </a:graphic>
          </wp:inline>
        </w:drawing>
      </w:r>
    </w:p>
    <w:p w14:paraId="67256CFD" w14:textId="77777777" w:rsidR="009C1D72" w:rsidRDefault="009C1D72" w:rsidP="00626280"/>
    <w:p w14:paraId="1C035A18" w14:textId="487E2DD1" w:rsidR="00626280" w:rsidRDefault="007F2BE1" w:rsidP="003E26F7">
      <w:pPr>
        <w:pStyle w:val="Heading2"/>
        <w:numPr>
          <w:ilvl w:val="0"/>
          <w:numId w:val="0"/>
        </w:numPr>
        <w:ind w:left="576" w:hanging="576"/>
      </w:pPr>
      <w:bookmarkStart w:id="131" w:name="_Toc118635340"/>
      <w:bookmarkStart w:id="132" w:name="_Ref120104387"/>
      <w:bookmarkStart w:id="133" w:name="_Toc121130818"/>
      <w:r>
        <w:t>C</w:t>
      </w:r>
      <w:r w:rsidR="00B87169">
        <w:t xml:space="preserve">.3 </w:t>
      </w:r>
      <w:r w:rsidR="00626280">
        <w:t xml:space="preserve">General </w:t>
      </w:r>
      <w:r w:rsidR="00B87169">
        <w:t>Use I</w:t>
      </w:r>
      <w:r w:rsidR="00626280">
        <w:t xml:space="preserve">tem </w:t>
      </w:r>
      <w:bookmarkEnd w:id="131"/>
      <w:r w:rsidR="006152E4">
        <w:t>statistics</w:t>
      </w:r>
      <w:bookmarkEnd w:id="132"/>
      <w:bookmarkEnd w:id="133"/>
    </w:p>
    <w:p w14:paraId="47A412E0" w14:textId="219759F7" w:rsidR="00626280" w:rsidRDefault="007F2BE1" w:rsidP="003E26F7">
      <w:pPr>
        <w:pStyle w:val="Heading3"/>
        <w:numPr>
          <w:ilvl w:val="0"/>
          <w:numId w:val="0"/>
        </w:numPr>
        <w:ind w:left="720" w:hanging="720"/>
      </w:pPr>
      <w:bookmarkStart w:id="134" w:name="_Toc118635341"/>
      <w:bookmarkStart w:id="135" w:name="_Toc121130819"/>
      <w:r>
        <w:t>C</w:t>
      </w:r>
      <w:r w:rsidR="00AA4282">
        <w:t xml:space="preserve">.3.1 </w:t>
      </w:r>
      <w:r w:rsidR="00626280">
        <w:t>Overview of General Use Items</w:t>
      </w:r>
      <w:bookmarkEnd w:id="134"/>
      <w:bookmarkEnd w:id="135"/>
    </w:p>
    <w:p w14:paraId="7C74F223" w14:textId="1F8EBFA8" w:rsidR="00626280" w:rsidRDefault="00AD0178" w:rsidP="00626280">
      <w:r>
        <w:t>GUIs</w:t>
      </w:r>
      <w:r w:rsidR="00626280">
        <w:t xml:space="preserve"> are defined as those items included on Part D of the August 2022 publication of the </w:t>
      </w:r>
      <w:r>
        <w:t>PL</w:t>
      </w:r>
      <w:r w:rsidR="00626280">
        <w:t xml:space="preserve">, with 492 total billing codes across 25 </w:t>
      </w:r>
      <w:r w:rsidR="00E217D6">
        <w:t xml:space="preserve">PL product </w:t>
      </w:r>
      <w:r w:rsidR="00626280">
        <w:t xml:space="preserve">groups. </w:t>
      </w:r>
    </w:p>
    <w:p w14:paraId="2D7A35F5" w14:textId="5B2E52DD" w:rsidR="00626280" w:rsidRDefault="00626280" w:rsidP="00626280">
      <w:r>
        <w:t xml:space="preserve">Using the prepared 2020-21 HCP with March 2023 PL scheduled benefits applied, </w:t>
      </w:r>
      <w:r w:rsidR="00E217D6">
        <w:t>GUIs</w:t>
      </w:r>
      <w:r>
        <w:t xml:space="preserve"> account for $205.7m in benefits. </w:t>
      </w:r>
      <w:r w:rsidR="00E24545">
        <w:fldChar w:fldCharType="begin"/>
      </w:r>
      <w:r w:rsidR="00E24545">
        <w:instrText xml:space="preserve"> REF _Ref120050425 \h </w:instrText>
      </w:r>
      <w:r w:rsidR="00E24545">
        <w:fldChar w:fldCharType="separate"/>
      </w:r>
      <w:r w:rsidR="00106CD4">
        <w:t xml:space="preserve">Figure </w:t>
      </w:r>
      <w:r w:rsidR="00106CD4">
        <w:rPr>
          <w:noProof/>
        </w:rPr>
        <w:t>4</w:t>
      </w:r>
      <w:r w:rsidR="00E24545">
        <w:fldChar w:fldCharType="end"/>
      </w:r>
      <w:r w:rsidR="00E24545">
        <w:t xml:space="preserve"> </w:t>
      </w:r>
      <w:r>
        <w:t>s</w:t>
      </w:r>
      <w:r w:rsidRPr="00435010">
        <w:t xml:space="preserve">hows the breakdown of GUI benefits across the top </w:t>
      </w:r>
      <w:r w:rsidR="00E24545">
        <w:t>seven</w:t>
      </w:r>
      <w:r w:rsidRPr="00435010">
        <w:t xml:space="preserve"> PL product groups, with the remaining 18 GUI product groups combined in the ‘other’ category for presentation purposes.</w:t>
      </w:r>
    </w:p>
    <w:p w14:paraId="339A782E" w14:textId="35C432E8" w:rsidR="00E24545" w:rsidRDefault="00E24545" w:rsidP="008F6578">
      <w:pPr>
        <w:pStyle w:val="Caption"/>
        <w:keepNext/>
      </w:pPr>
      <w:bookmarkStart w:id="136" w:name="_Ref120050425"/>
      <w:r>
        <w:t xml:space="preserve">Figure </w:t>
      </w:r>
      <w:fldSimple w:instr=" SEQ Figure \* ARABIC ">
        <w:r w:rsidR="00106CD4">
          <w:rPr>
            <w:noProof/>
          </w:rPr>
          <w:t>4</w:t>
        </w:r>
      </w:fldSimple>
      <w:bookmarkEnd w:id="136"/>
      <w:r>
        <w:t xml:space="preserve">: </w:t>
      </w:r>
      <w:r w:rsidRPr="00053600">
        <w:t xml:space="preserve">Proportion of </w:t>
      </w:r>
      <w:r>
        <w:t xml:space="preserve">GUI </w:t>
      </w:r>
      <w:r w:rsidRPr="00053600">
        <w:t xml:space="preserve">benefits by </w:t>
      </w:r>
      <w:r>
        <w:t xml:space="preserve">PL product </w:t>
      </w:r>
      <w:r w:rsidRPr="00053600">
        <w:t xml:space="preserve">group and </w:t>
      </w:r>
      <w:r>
        <w:t>facility</w:t>
      </w:r>
      <w:r w:rsidRPr="00053600">
        <w:t xml:space="preserve"> type for 2020-21</w:t>
      </w:r>
      <w:r w:rsidR="00E24D47">
        <w:t xml:space="preserve"> HCP</w:t>
      </w:r>
    </w:p>
    <w:p w14:paraId="514DD068" w14:textId="19DFB4D7" w:rsidR="008F6578" w:rsidRDefault="008F6578" w:rsidP="00626280">
      <w:r>
        <w:rPr>
          <w:noProof/>
        </w:rPr>
        <w:drawing>
          <wp:inline distT="0" distB="0" distL="0" distR="0" wp14:anchorId="36296084" wp14:editId="1FF788A2">
            <wp:extent cx="6192520" cy="2792095"/>
            <wp:effectExtent l="0" t="0" r="0" b="8255"/>
            <wp:docPr id="4" name="Graphic 4" descr="A bar chart comparing proportional breakdown of GUI benefits by PL product group for private overnight, private day and public facility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A bar chart comparing proportional breakdown of GUI benefits by PL product group for private overnight, private day and public facility types."/>
                    <pic:cNvPicPr/>
                  </pic:nvPicPr>
                  <pic:blipFill>
                    <a:blip r:embed="rId22">
                      <a:extLst>
                        <a:ext uri="{96DAC541-7B7A-43D3-8B79-37D633B846F1}">
                          <asvg:svgBlip xmlns:asvg="http://schemas.microsoft.com/office/drawing/2016/SVG/main" r:embed="rId23"/>
                        </a:ext>
                      </a:extLst>
                    </a:blip>
                    <a:stretch>
                      <a:fillRect/>
                    </a:stretch>
                  </pic:blipFill>
                  <pic:spPr>
                    <a:xfrm>
                      <a:off x="0" y="0"/>
                      <a:ext cx="6192520" cy="2792095"/>
                    </a:xfrm>
                    <a:prstGeom prst="rect">
                      <a:avLst/>
                    </a:prstGeom>
                  </pic:spPr>
                </pic:pic>
              </a:graphicData>
            </a:graphic>
          </wp:inline>
        </w:drawing>
      </w:r>
    </w:p>
    <w:p w14:paraId="135D8D5D" w14:textId="1B44A5D4" w:rsidR="00626280" w:rsidRDefault="00626280" w:rsidP="00626280">
      <w:r w:rsidRPr="00435010">
        <w:t>Overall, GUI benefits are highly concentrated across a small number of product groups with the top three groups accounting for 76 per cent of all GUI benefits: Staples and Tackers (42 per cent), Internal Adhesives (21 per cent), and Matrix (12 per cent).</w:t>
      </w:r>
    </w:p>
    <w:p w14:paraId="0704F5F7" w14:textId="77777777" w:rsidR="00626280" w:rsidRDefault="00626280" w:rsidP="00626280">
      <w:r>
        <w:t>The breakdown of GUI benefits by product group varies considerably by hospital type. The top three product groups by hospital type are as follows:</w:t>
      </w:r>
    </w:p>
    <w:p w14:paraId="645CBBA7" w14:textId="5CF0CC85" w:rsidR="00626280" w:rsidRDefault="00626280" w:rsidP="007102CA">
      <w:pPr>
        <w:pStyle w:val="ListParagraph"/>
        <w:numPr>
          <w:ilvl w:val="0"/>
          <w:numId w:val="4"/>
        </w:numPr>
      </w:pPr>
      <w:r>
        <w:t xml:space="preserve">Private overnight </w:t>
      </w:r>
      <w:r w:rsidR="00186209">
        <w:t>facilities</w:t>
      </w:r>
      <w:r>
        <w:t xml:space="preserve"> – Staples and Tackers (43 per cent), Internal Adhesives (21 per cent), and Matrix (13 per cent)</w:t>
      </w:r>
    </w:p>
    <w:p w14:paraId="5497D4FA" w14:textId="77777777" w:rsidR="00626280" w:rsidRDefault="00626280" w:rsidP="007102CA">
      <w:pPr>
        <w:pStyle w:val="ListParagraph"/>
        <w:numPr>
          <w:ilvl w:val="0"/>
          <w:numId w:val="4"/>
        </w:numPr>
      </w:pPr>
      <w:r>
        <w:t>Private day facilities – Internal Adhesives (44 per cent), Infusion Pumps, Balloon Based (21 per cent), and Arterial Closure Devices (10 per cent)</w:t>
      </w:r>
    </w:p>
    <w:p w14:paraId="5FD25675" w14:textId="02F7B901" w:rsidR="00626280" w:rsidRDefault="00626280" w:rsidP="007102CA">
      <w:pPr>
        <w:pStyle w:val="ListParagraph"/>
        <w:numPr>
          <w:ilvl w:val="0"/>
          <w:numId w:val="4"/>
        </w:numPr>
      </w:pPr>
      <w:r>
        <w:t xml:space="preserve">Public </w:t>
      </w:r>
      <w:r w:rsidR="00186209">
        <w:t>facilities</w:t>
      </w:r>
      <w:r>
        <w:t xml:space="preserve"> – Staples and Tackers (39 per cent), Ligating Devices (15 per cent), and Internal Adhesives (13 per cent).</w:t>
      </w:r>
    </w:p>
    <w:p w14:paraId="4D36077D" w14:textId="77777777" w:rsidR="00651A99" w:rsidRDefault="00651A99" w:rsidP="003E26F7"/>
    <w:p w14:paraId="234BA5F7" w14:textId="36B80D31" w:rsidR="00626280" w:rsidRDefault="007F2BE1" w:rsidP="003E26F7">
      <w:pPr>
        <w:pStyle w:val="Heading3"/>
        <w:numPr>
          <w:ilvl w:val="0"/>
          <w:numId w:val="0"/>
        </w:numPr>
        <w:ind w:left="720" w:hanging="720"/>
      </w:pPr>
      <w:bookmarkStart w:id="137" w:name="_Toc118635342"/>
      <w:bookmarkStart w:id="138" w:name="_Ref119588907"/>
      <w:bookmarkStart w:id="139" w:name="_Toc121130820"/>
      <w:r>
        <w:t>C</w:t>
      </w:r>
      <w:r w:rsidR="00AA4282">
        <w:t>.3.</w:t>
      </w:r>
      <w:r w:rsidR="00986BB7">
        <w:t>2</w:t>
      </w:r>
      <w:r w:rsidR="00AA4282">
        <w:t xml:space="preserve"> </w:t>
      </w:r>
      <w:bookmarkEnd w:id="137"/>
      <w:bookmarkEnd w:id="138"/>
      <w:r w:rsidR="004B41E3">
        <w:t xml:space="preserve">Analysis of </w:t>
      </w:r>
      <w:r w:rsidR="006152E4">
        <w:t>GUI benefits per episode by facility type and clinical characteristics</w:t>
      </w:r>
      <w:bookmarkEnd w:id="139"/>
    </w:p>
    <w:p w14:paraId="3244997F" w14:textId="668453BF" w:rsidR="00986BB7" w:rsidRDefault="00986BB7" w:rsidP="00986BB7">
      <w:pPr>
        <w:pStyle w:val="Heading4"/>
        <w:numPr>
          <w:ilvl w:val="0"/>
          <w:numId w:val="0"/>
        </w:numPr>
        <w:ind w:left="864" w:hanging="864"/>
      </w:pPr>
      <w:r w:rsidRPr="00986BB7">
        <w:t xml:space="preserve">GUI usage and benefits by </w:t>
      </w:r>
      <w:r>
        <w:t>facility type</w:t>
      </w:r>
    </w:p>
    <w:p w14:paraId="282AB7F1" w14:textId="43B26BAF" w:rsidR="00626280" w:rsidRDefault="00626280" w:rsidP="00626280">
      <w:r>
        <w:fldChar w:fldCharType="begin"/>
      </w:r>
      <w:r>
        <w:instrText xml:space="preserve"> REF _Ref117003800 \h  \* MERGEFORMAT </w:instrText>
      </w:r>
      <w:r>
        <w:fldChar w:fldCharType="separate"/>
      </w:r>
      <w:r w:rsidR="00106CD4" w:rsidRPr="00E0206E">
        <w:t xml:space="preserve">Table </w:t>
      </w:r>
      <w:r w:rsidR="00106CD4">
        <w:t>19</w:t>
      </w:r>
      <w:r>
        <w:fldChar w:fldCharType="end"/>
      </w:r>
      <w:r>
        <w:t xml:space="preserve"> </w:t>
      </w:r>
      <w:proofErr w:type="spellStart"/>
      <w:r w:rsidRPr="0028227E">
        <w:t>summarises</w:t>
      </w:r>
      <w:proofErr w:type="spellEnd"/>
      <w:r w:rsidRPr="0028227E">
        <w:t xml:space="preserve"> GUI usage and benefits per episode across each hospital type, where episodes using a GUI are identified as those against which a</w:t>
      </w:r>
      <w:r>
        <w:t>t least one</w:t>
      </w:r>
      <w:r w:rsidRPr="0028227E">
        <w:t xml:space="preserve"> charge is raised with a GUI billing code.</w:t>
      </w:r>
    </w:p>
    <w:p w14:paraId="09DF6FC5" w14:textId="535508B7" w:rsidR="00626280" w:rsidRPr="00E0206E" w:rsidRDefault="00626280" w:rsidP="003F5252">
      <w:pPr>
        <w:pStyle w:val="Caption"/>
      </w:pPr>
      <w:bookmarkStart w:id="140" w:name="_Ref117003800"/>
      <w:r w:rsidRPr="00E0206E">
        <w:t xml:space="preserve">Table </w:t>
      </w:r>
      <w:fldSimple w:instr=" SEQ Table \* ARABIC ">
        <w:r w:rsidR="00106CD4">
          <w:rPr>
            <w:noProof/>
          </w:rPr>
          <w:t>19</w:t>
        </w:r>
      </w:fldSimple>
      <w:bookmarkEnd w:id="140"/>
      <w:r w:rsidRPr="00E0206E">
        <w:t xml:space="preserve">: </w:t>
      </w:r>
      <w:r w:rsidR="003C1822">
        <w:t xml:space="preserve">Summary of </w:t>
      </w:r>
      <w:r>
        <w:t xml:space="preserve">GUI </w:t>
      </w:r>
      <w:r w:rsidR="003C1822">
        <w:t xml:space="preserve">episodes and </w:t>
      </w:r>
      <w:r>
        <w:t xml:space="preserve">benefits by </w:t>
      </w:r>
      <w:r w:rsidR="003C1822">
        <w:t xml:space="preserve">facility </w:t>
      </w:r>
      <w:r>
        <w:t>type</w:t>
      </w:r>
    </w:p>
    <w:tbl>
      <w:tblPr>
        <w:tblStyle w:val="IHPATable"/>
        <w:tblW w:w="9741" w:type="dxa"/>
        <w:tblLayout w:type="fixed"/>
        <w:tblCellMar>
          <w:left w:w="96" w:type="dxa"/>
          <w:right w:w="96" w:type="dxa"/>
        </w:tblCellMar>
        <w:tblLook w:val="0020" w:firstRow="1" w:lastRow="0" w:firstColumn="0" w:lastColumn="0" w:noHBand="0" w:noVBand="0"/>
        <w:tblDescription w:val="Table 19 shows a summary of GUI episodes and benefits by facility type. There are six columns demonstration the proportion of episodes GUIs charged against facility type and the average cost. "/>
      </w:tblPr>
      <w:tblGrid>
        <w:gridCol w:w="1418"/>
        <w:gridCol w:w="1517"/>
        <w:gridCol w:w="1601"/>
        <w:gridCol w:w="1560"/>
        <w:gridCol w:w="1937"/>
        <w:gridCol w:w="1708"/>
      </w:tblGrid>
      <w:tr w:rsidR="0082723D" w:rsidRPr="00172A65" w14:paraId="495BC408" w14:textId="77777777" w:rsidTr="00D44498">
        <w:trPr>
          <w:cnfStyle w:val="100000000000" w:firstRow="1" w:lastRow="0" w:firstColumn="0" w:lastColumn="0" w:oddVBand="0" w:evenVBand="0" w:oddHBand="0" w:evenHBand="0" w:firstRowFirstColumn="0" w:firstRowLastColumn="0" w:lastRowFirstColumn="0" w:lastRowLastColumn="0"/>
          <w:cantSplit/>
          <w:trHeight w:val="17"/>
          <w:tblHeader/>
        </w:trPr>
        <w:tc>
          <w:tcPr>
            <w:tcW w:w="1418" w:type="dxa"/>
            <w:vMerge w:val="restart"/>
            <w:tcBorders>
              <w:top w:val="single" w:sz="4" w:space="0" w:color="808080" w:themeColor="background2" w:themeShade="80"/>
              <w:left w:val="single" w:sz="4" w:space="0" w:color="808080" w:themeColor="background2" w:themeShade="80"/>
              <w:bottom w:val="single" w:sz="4" w:space="0" w:color="FFFFFF" w:themeColor="background2"/>
              <w:right w:val="single" w:sz="4" w:space="0" w:color="FFFFFF" w:themeColor="background2"/>
            </w:tcBorders>
            <w:shd w:val="clear" w:color="auto" w:fill="104F99" w:themeFill="accent2"/>
            <w:vAlign w:val="center"/>
          </w:tcPr>
          <w:p w14:paraId="0A01A503" w14:textId="29CBA26C" w:rsidR="0082723D" w:rsidRDefault="0082723D" w:rsidP="0082723D">
            <w:pPr>
              <w:spacing w:before="120" w:after="120"/>
              <w:jc w:val="center"/>
              <w:rPr>
                <w:rFonts w:cs="Arial"/>
                <w:b/>
                <w:bCs/>
                <w:color w:val="FFFFFF" w:themeColor="background2"/>
                <w:szCs w:val="18"/>
              </w:rPr>
            </w:pPr>
            <w:r>
              <w:rPr>
                <w:rFonts w:cs="Arial"/>
                <w:b/>
                <w:bCs/>
                <w:color w:val="FFFFFF" w:themeColor="background2"/>
                <w:szCs w:val="18"/>
              </w:rPr>
              <w:t xml:space="preserve">Facility </w:t>
            </w:r>
            <w:r w:rsidRPr="00172A65">
              <w:rPr>
                <w:rFonts w:cs="Arial"/>
                <w:b/>
                <w:bCs/>
                <w:color w:val="FFFFFF" w:themeColor="background2"/>
                <w:szCs w:val="18"/>
              </w:rPr>
              <w:t>type</w:t>
            </w:r>
          </w:p>
        </w:tc>
        <w:tc>
          <w:tcPr>
            <w:tcW w:w="1517" w:type="dxa"/>
            <w:vMerge w:val="restart"/>
            <w:tcBorders>
              <w:top w:val="single" w:sz="4" w:space="0" w:color="808080" w:themeColor="background2" w:themeShade="80"/>
              <w:left w:val="single" w:sz="4" w:space="0" w:color="FFFFFF" w:themeColor="background2"/>
              <w:bottom w:val="single" w:sz="4" w:space="0" w:color="FFFFFF" w:themeColor="background2"/>
              <w:right w:val="single" w:sz="4" w:space="0" w:color="FFFFFF" w:themeColor="background2"/>
            </w:tcBorders>
            <w:shd w:val="clear" w:color="auto" w:fill="104F99" w:themeFill="accent2"/>
            <w:vAlign w:val="center"/>
          </w:tcPr>
          <w:p w14:paraId="7C2413E4" w14:textId="09F91C51" w:rsidR="0082723D" w:rsidRPr="00172A65" w:rsidRDefault="0082723D" w:rsidP="0082723D">
            <w:pPr>
              <w:spacing w:before="120" w:after="120"/>
              <w:jc w:val="center"/>
              <w:rPr>
                <w:rFonts w:cs="Arial"/>
                <w:b/>
                <w:bCs/>
                <w:color w:val="FFFFFF" w:themeColor="background2"/>
                <w:szCs w:val="18"/>
              </w:rPr>
            </w:pPr>
            <w:r w:rsidRPr="00172A65">
              <w:rPr>
                <w:rFonts w:cs="Arial"/>
                <w:b/>
                <w:bCs/>
                <w:color w:val="FFFFFF" w:themeColor="background2"/>
                <w:szCs w:val="18"/>
              </w:rPr>
              <w:t xml:space="preserve">Proportion of episodes </w:t>
            </w:r>
            <w:r>
              <w:rPr>
                <w:rFonts w:cs="Arial"/>
                <w:b/>
                <w:bCs/>
                <w:color w:val="FFFFFF" w:themeColor="background2"/>
                <w:szCs w:val="18"/>
              </w:rPr>
              <w:t xml:space="preserve">with </w:t>
            </w:r>
            <w:r w:rsidRPr="00172A65">
              <w:rPr>
                <w:rFonts w:cs="Arial"/>
                <w:b/>
                <w:bCs/>
                <w:color w:val="FFFFFF" w:themeColor="background2"/>
                <w:szCs w:val="18"/>
              </w:rPr>
              <w:t>GUI</w:t>
            </w:r>
            <w:r>
              <w:rPr>
                <w:rFonts w:cs="Arial"/>
                <w:b/>
                <w:bCs/>
                <w:color w:val="FFFFFF" w:themeColor="background2"/>
                <w:szCs w:val="18"/>
              </w:rPr>
              <w:t>s</w:t>
            </w:r>
            <w:r w:rsidRPr="00172A65">
              <w:rPr>
                <w:rFonts w:cs="Arial"/>
                <w:b/>
                <w:bCs/>
                <w:color w:val="FFFFFF" w:themeColor="background2"/>
                <w:szCs w:val="18"/>
              </w:rPr>
              <w:t xml:space="preserve"> </w:t>
            </w:r>
            <w:r>
              <w:rPr>
                <w:rFonts w:cs="Arial"/>
                <w:b/>
                <w:bCs/>
                <w:color w:val="FFFFFF" w:themeColor="background2"/>
                <w:szCs w:val="18"/>
              </w:rPr>
              <w:t>charged</w:t>
            </w:r>
          </w:p>
        </w:tc>
        <w:tc>
          <w:tcPr>
            <w:tcW w:w="1601" w:type="dxa"/>
            <w:vMerge w:val="restart"/>
            <w:tcBorders>
              <w:top w:val="single" w:sz="4" w:space="0" w:color="808080" w:themeColor="background2" w:themeShade="80"/>
              <w:left w:val="single" w:sz="4" w:space="0" w:color="FFFFFF" w:themeColor="background2"/>
              <w:bottom w:val="single" w:sz="4" w:space="0" w:color="FFFFFF" w:themeColor="background2"/>
              <w:right w:val="single" w:sz="4" w:space="0" w:color="FFFFFF" w:themeColor="background2"/>
            </w:tcBorders>
            <w:shd w:val="clear" w:color="auto" w:fill="104F99" w:themeFill="accent2"/>
            <w:vAlign w:val="center"/>
          </w:tcPr>
          <w:p w14:paraId="0F1C0DB0" w14:textId="26CD11F5" w:rsidR="0082723D" w:rsidRPr="00172A65" w:rsidRDefault="0082723D" w:rsidP="0082723D">
            <w:pPr>
              <w:spacing w:before="120" w:after="120"/>
              <w:jc w:val="center"/>
              <w:rPr>
                <w:rFonts w:cs="Arial"/>
                <w:b/>
                <w:bCs/>
                <w:color w:val="FFFFFF" w:themeColor="background2"/>
                <w:szCs w:val="18"/>
              </w:rPr>
            </w:pPr>
            <w:r w:rsidRPr="00172A65">
              <w:rPr>
                <w:rFonts w:cs="Arial"/>
                <w:b/>
                <w:bCs/>
                <w:color w:val="FFFFFF" w:themeColor="background2"/>
                <w:szCs w:val="18"/>
              </w:rPr>
              <w:t>Proportion of providers that charged at least one GUI</w:t>
            </w:r>
          </w:p>
        </w:tc>
        <w:tc>
          <w:tcPr>
            <w:tcW w:w="5205" w:type="dxa"/>
            <w:gridSpan w:val="3"/>
            <w:tcBorders>
              <w:top w:val="single" w:sz="4" w:space="0" w:color="808080" w:themeColor="background2" w:themeShade="80"/>
              <w:left w:val="single" w:sz="4" w:space="0" w:color="FFFFFF" w:themeColor="background2"/>
              <w:right w:val="single" w:sz="4" w:space="0" w:color="808080" w:themeColor="background2" w:themeShade="80"/>
            </w:tcBorders>
            <w:shd w:val="clear" w:color="auto" w:fill="104F99" w:themeFill="accent2"/>
            <w:vAlign w:val="center"/>
          </w:tcPr>
          <w:p w14:paraId="7B6413E2" w14:textId="0E0026A8" w:rsidR="0082723D" w:rsidRPr="00172A65" w:rsidRDefault="0082723D" w:rsidP="0082723D">
            <w:pPr>
              <w:spacing w:before="120" w:after="120"/>
              <w:jc w:val="center"/>
              <w:rPr>
                <w:rFonts w:cs="Arial"/>
                <w:b/>
                <w:bCs/>
                <w:color w:val="FFFFFF" w:themeColor="background2"/>
                <w:szCs w:val="18"/>
                <w:lang w:val="en-US"/>
              </w:rPr>
            </w:pPr>
            <w:r>
              <w:rPr>
                <w:rFonts w:cs="Arial"/>
                <w:b/>
                <w:bCs/>
                <w:color w:val="FFFFFF" w:themeColor="background2"/>
                <w:szCs w:val="18"/>
                <w:lang w:val="en-US"/>
              </w:rPr>
              <w:t>Average GUI benefits per episode</w:t>
            </w:r>
          </w:p>
        </w:tc>
      </w:tr>
      <w:tr w:rsidR="0082723D" w:rsidRPr="00172A65" w14:paraId="106CC74E" w14:textId="77777777" w:rsidTr="00D44498">
        <w:trPr>
          <w:cnfStyle w:val="100000000000" w:firstRow="1" w:lastRow="0" w:firstColumn="0" w:lastColumn="0" w:oddVBand="0" w:evenVBand="0" w:oddHBand="0" w:evenHBand="0" w:firstRowFirstColumn="0" w:firstRowLastColumn="0" w:lastRowFirstColumn="0" w:lastRowLastColumn="0"/>
          <w:cantSplit/>
          <w:trHeight w:val="17"/>
          <w:tblHeader/>
        </w:trPr>
        <w:tc>
          <w:tcPr>
            <w:tcW w:w="1418" w:type="dxa"/>
            <w:vMerge/>
            <w:tcBorders>
              <w:top w:val="single" w:sz="4" w:space="0" w:color="FFFFFF" w:themeColor="background2"/>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vAlign w:val="center"/>
          </w:tcPr>
          <w:p w14:paraId="5BCF9C86" w14:textId="50641021" w:rsidR="0082723D" w:rsidRPr="00172A65" w:rsidRDefault="0082723D" w:rsidP="0082723D">
            <w:pPr>
              <w:spacing w:before="120" w:after="120"/>
              <w:jc w:val="center"/>
              <w:rPr>
                <w:rFonts w:cs="Arial"/>
                <w:b/>
                <w:bCs/>
                <w:color w:val="FFFFFF" w:themeColor="background2"/>
                <w:szCs w:val="18"/>
                <w:lang w:val="en-US"/>
              </w:rPr>
            </w:pPr>
          </w:p>
        </w:tc>
        <w:tc>
          <w:tcPr>
            <w:tcW w:w="1517" w:type="dxa"/>
            <w:vMerge/>
            <w:tcBorders>
              <w:top w:val="single" w:sz="4" w:space="0" w:color="FFFFFF" w:themeColor="background2"/>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46B4B737" w14:textId="177BE036" w:rsidR="0082723D" w:rsidRPr="00172A65" w:rsidRDefault="0082723D" w:rsidP="0082723D">
            <w:pPr>
              <w:spacing w:before="120" w:after="120"/>
              <w:jc w:val="center"/>
              <w:rPr>
                <w:rFonts w:cs="Arial"/>
                <w:b/>
                <w:bCs/>
                <w:color w:val="FFFFFF" w:themeColor="background2"/>
                <w:szCs w:val="18"/>
              </w:rPr>
            </w:pPr>
          </w:p>
        </w:tc>
        <w:tc>
          <w:tcPr>
            <w:tcW w:w="1601" w:type="dxa"/>
            <w:vMerge/>
            <w:tcBorders>
              <w:top w:val="single" w:sz="4" w:space="0" w:color="FFFFFF" w:themeColor="background2"/>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1DE5A075" w14:textId="4884B97F" w:rsidR="0082723D" w:rsidRPr="00172A65" w:rsidRDefault="0082723D" w:rsidP="0082723D">
            <w:pPr>
              <w:spacing w:before="120" w:after="120"/>
              <w:jc w:val="center"/>
              <w:rPr>
                <w:rFonts w:cs="Arial"/>
                <w:b/>
                <w:bCs/>
                <w:color w:val="FFFFFF" w:themeColor="background2"/>
                <w:szCs w:val="18"/>
              </w:rPr>
            </w:pPr>
          </w:p>
        </w:tc>
        <w:tc>
          <w:tcPr>
            <w:tcW w:w="1560" w:type="dxa"/>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0D497C6D" w14:textId="6BB4F5BE" w:rsidR="0082723D" w:rsidRPr="00172A65" w:rsidRDefault="0082723D" w:rsidP="0082723D">
            <w:pPr>
              <w:spacing w:before="120" w:after="120"/>
              <w:jc w:val="center"/>
              <w:rPr>
                <w:rFonts w:cs="Arial"/>
                <w:b/>
                <w:bCs/>
                <w:color w:val="FFFFFF" w:themeColor="background2"/>
                <w:szCs w:val="18"/>
              </w:rPr>
            </w:pPr>
            <w:r>
              <w:rPr>
                <w:rFonts w:cs="Arial"/>
                <w:b/>
                <w:bCs/>
                <w:color w:val="FFFFFF" w:themeColor="background2"/>
                <w:szCs w:val="18"/>
              </w:rPr>
              <w:t>All episodes</w:t>
            </w:r>
          </w:p>
        </w:tc>
        <w:tc>
          <w:tcPr>
            <w:tcW w:w="1937" w:type="dxa"/>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573725DB" w14:textId="637567F9" w:rsidR="0082723D" w:rsidRPr="00172A65" w:rsidRDefault="0082723D" w:rsidP="0082723D">
            <w:pPr>
              <w:spacing w:before="120" w:after="120"/>
              <w:jc w:val="center"/>
              <w:rPr>
                <w:rFonts w:cs="Arial"/>
                <w:b/>
                <w:bCs/>
                <w:color w:val="FFFFFF" w:themeColor="background2"/>
                <w:szCs w:val="18"/>
                <w:lang w:val="en-US"/>
              </w:rPr>
            </w:pPr>
            <w:r>
              <w:rPr>
                <w:rFonts w:cs="Arial"/>
                <w:b/>
                <w:bCs/>
                <w:color w:val="FFFFFF" w:themeColor="background2"/>
                <w:szCs w:val="18"/>
                <w:lang w:val="en-US"/>
              </w:rPr>
              <w:t xml:space="preserve">All episodes from </w:t>
            </w:r>
            <w:r w:rsidRPr="00172A65">
              <w:rPr>
                <w:rFonts w:cs="Arial"/>
                <w:b/>
                <w:bCs/>
                <w:color w:val="FFFFFF" w:themeColor="background2"/>
                <w:szCs w:val="18"/>
                <w:lang w:val="en-US"/>
              </w:rPr>
              <w:t xml:space="preserve">providers that </w:t>
            </w:r>
            <w:r>
              <w:rPr>
                <w:rFonts w:cs="Arial"/>
                <w:b/>
                <w:bCs/>
                <w:color w:val="FFFFFF" w:themeColor="background2"/>
                <w:szCs w:val="18"/>
                <w:lang w:val="en-US"/>
              </w:rPr>
              <w:t xml:space="preserve">charged </w:t>
            </w:r>
            <w:r w:rsidRPr="00172A65">
              <w:rPr>
                <w:rFonts w:cs="Arial"/>
                <w:b/>
                <w:bCs/>
                <w:color w:val="FFFFFF" w:themeColor="background2"/>
                <w:szCs w:val="18"/>
                <w:lang w:val="en-US"/>
              </w:rPr>
              <w:t>at least one</w:t>
            </w:r>
            <w:r>
              <w:rPr>
                <w:rFonts w:cs="Arial"/>
                <w:b/>
                <w:bCs/>
                <w:color w:val="FFFFFF" w:themeColor="background2"/>
                <w:szCs w:val="18"/>
                <w:lang w:val="en-US"/>
              </w:rPr>
              <w:t xml:space="preserve"> GUI</w:t>
            </w:r>
          </w:p>
        </w:tc>
        <w:tc>
          <w:tcPr>
            <w:tcW w:w="1708" w:type="dxa"/>
            <w:tcBorders>
              <w:left w:val="single" w:sz="4" w:space="0" w:color="FFFFFF" w:themeColor="background2"/>
              <w:bottom w:val="single" w:sz="4" w:space="0" w:color="808080" w:themeColor="background2" w:themeShade="80"/>
              <w:right w:val="single" w:sz="4" w:space="0" w:color="808080" w:themeColor="background2" w:themeShade="80"/>
            </w:tcBorders>
            <w:shd w:val="clear" w:color="auto" w:fill="104F99" w:themeFill="accent2"/>
            <w:vAlign w:val="center"/>
          </w:tcPr>
          <w:p w14:paraId="79B42E9A" w14:textId="71C5C156" w:rsidR="0082723D" w:rsidRPr="00172A65" w:rsidRDefault="0082723D" w:rsidP="0082723D">
            <w:pPr>
              <w:spacing w:before="120" w:after="120"/>
              <w:jc w:val="center"/>
              <w:rPr>
                <w:rFonts w:cs="Arial"/>
                <w:b/>
                <w:bCs/>
                <w:color w:val="FFFFFF" w:themeColor="background2"/>
                <w:szCs w:val="18"/>
                <w:lang w:val="en-US"/>
              </w:rPr>
            </w:pPr>
            <w:r>
              <w:rPr>
                <w:rFonts w:cs="Arial"/>
                <w:b/>
                <w:bCs/>
                <w:color w:val="FFFFFF" w:themeColor="background2"/>
                <w:szCs w:val="18"/>
                <w:lang w:val="en-US"/>
              </w:rPr>
              <w:t>E</w:t>
            </w:r>
            <w:r w:rsidRPr="00172A65">
              <w:rPr>
                <w:rFonts w:cs="Arial"/>
                <w:b/>
                <w:bCs/>
                <w:color w:val="FFFFFF" w:themeColor="background2"/>
                <w:szCs w:val="18"/>
                <w:lang w:val="en-US"/>
              </w:rPr>
              <w:t>pisode</w:t>
            </w:r>
            <w:r>
              <w:rPr>
                <w:rFonts w:cs="Arial"/>
                <w:b/>
                <w:bCs/>
                <w:color w:val="FFFFFF" w:themeColor="background2"/>
                <w:szCs w:val="18"/>
                <w:lang w:val="en-US"/>
              </w:rPr>
              <w:t>s</w:t>
            </w:r>
            <w:r w:rsidRPr="00172A65">
              <w:rPr>
                <w:rFonts w:cs="Arial"/>
                <w:b/>
                <w:bCs/>
                <w:color w:val="FFFFFF" w:themeColor="background2"/>
                <w:szCs w:val="18"/>
                <w:lang w:val="en-US"/>
              </w:rPr>
              <w:t xml:space="preserve"> with GUI</w:t>
            </w:r>
            <w:r>
              <w:rPr>
                <w:rFonts w:cs="Arial"/>
                <w:b/>
                <w:bCs/>
                <w:color w:val="FFFFFF" w:themeColor="background2"/>
                <w:szCs w:val="18"/>
                <w:lang w:val="en-US"/>
              </w:rPr>
              <w:t>s charged</w:t>
            </w:r>
          </w:p>
        </w:tc>
      </w:tr>
      <w:tr w:rsidR="001A2A82" w:rsidRPr="00172A65" w14:paraId="218C6562" w14:textId="77777777" w:rsidTr="00D44498">
        <w:trPr>
          <w:cnfStyle w:val="000000100000" w:firstRow="0" w:lastRow="0" w:firstColumn="0" w:lastColumn="0" w:oddVBand="0" w:evenVBand="0" w:oddHBand="1" w:evenHBand="0" w:firstRowFirstColumn="0" w:firstRowLastColumn="0" w:lastRowFirstColumn="0" w:lastRowLastColumn="0"/>
          <w:cantSplit/>
          <w:trHeight w:val="20"/>
        </w:trPr>
        <w:tc>
          <w:tcPr>
            <w:tcW w:w="1418"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3826AA77" w14:textId="77777777" w:rsidR="00626280" w:rsidRPr="00172A65" w:rsidRDefault="00626280" w:rsidP="008919D7">
            <w:pPr>
              <w:spacing w:before="120" w:after="120"/>
              <w:rPr>
                <w:rFonts w:cs="Arial"/>
                <w:color w:val="000000"/>
                <w:sz w:val="18"/>
                <w:szCs w:val="18"/>
                <w:lang w:val="en-US"/>
              </w:rPr>
            </w:pPr>
            <w:r w:rsidRPr="00172A65">
              <w:rPr>
                <w:rFonts w:cs="Arial"/>
                <w:color w:val="1C1C1C"/>
                <w:sz w:val="18"/>
                <w:szCs w:val="18"/>
              </w:rPr>
              <w:t>Private overnight</w:t>
            </w:r>
          </w:p>
        </w:tc>
        <w:tc>
          <w:tcPr>
            <w:tcW w:w="15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E667ABC" w14:textId="77777777" w:rsidR="00626280" w:rsidRPr="00172A65" w:rsidRDefault="00626280" w:rsidP="004722BB">
            <w:pPr>
              <w:spacing w:before="120" w:after="120"/>
              <w:jc w:val="right"/>
              <w:rPr>
                <w:rFonts w:cs="Arial"/>
                <w:color w:val="1C1C1C"/>
                <w:sz w:val="18"/>
                <w:szCs w:val="18"/>
              </w:rPr>
            </w:pPr>
            <w:r w:rsidRPr="00172A65">
              <w:rPr>
                <w:rFonts w:cs="Arial"/>
                <w:color w:val="1C1C1C"/>
                <w:sz w:val="18"/>
                <w:szCs w:val="18"/>
              </w:rPr>
              <w:t>12%</w:t>
            </w:r>
          </w:p>
        </w:tc>
        <w:tc>
          <w:tcPr>
            <w:tcW w:w="160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C7F6086" w14:textId="77777777" w:rsidR="00626280" w:rsidRPr="00172A65" w:rsidRDefault="00626280" w:rsidP="00CC6D1C">
            <w:pPr>
              <w:spacing w:before="120" w:after="120"/>
              <w:jc w:val="right"/>
              <w:rPr>
                <w:rFonts w:cs="Arial"/>
                <w:color w:val="1C1C1C"/>
                <w:sz w:val="18"/>
                <w:szCs w:val="18"/>
              </w:rPr>
            </w:pPr>
            <w:r w:rsidRPr="00172A65">
              <w:rPr>
                <w:rFonts w:cs="Arial"/>
                <w:color w:val="1C1C1C"/>
                <w:sz w:val="18"/>
                <w:szCs w:val="18"/>
              </w:rPr>
              <w:t>82%</w:t>
            </w:r>
          </w:p>
        </w:tc>
        <w:tc>
          <w:tcPr>
            <w:tcW w:w="156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DA6F9E7" w14:textId="77777777" w:rsidR="00626280" w:rsidRPr="00172A65" w:rsidRDefault="00626280" w:rsidP="00CC6D1C">
            <w:pPr>
              <w:spacing w:before="120" w:after="120"/>
              <w:jc w:val="right"/>
              <w:rPr>
                <w:rFonts w:cs="Arial"/>
                <w:color w:val="1C1C1C"/>
                <w:sz w:val="18"/>
                <w:szCs w:val="18"/>
              </w:rPr>
            </w:pPr>
            <w:r w:rsidRPr="00172A65">
              <w:rPr>
                <w:rFonts w:cs="Arial"/>
                <w:color w:val="1C1C1C"/>
                <w:sz w:val="18"/>
                <w:szCs w:val="18"/>
              </w:rPr>
              <w:t>$67.65</w:t>
            </w:r>
          </w:p>
        </w:tc>
        <w:tc>
          <w:tcPr>
            <w:tcW w:w="193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9CDEB42" w14:textId="77777777" w:rsidR="00626280" w:rsidRPr="00172A65" w:rsidRDefault="00626280" w:rsidP="00CC6D1C">
            <w:pPr>
              <w:spacing w:before="120" w:after="120"/>
              <w:jc w:val="right"/>
              <w:rPr>
                <w:rFonts w:cs="Arial"/>
                <w:color w:val="1C1C1C"/>
                <w:sz w:val="18"/>
                <w:szCs w:val="18"/>
              </w:rPr>
            </w:pPr>
            <w:r w:rsidRPr="00172A65">
              <w:rPr>
                <w:rFonts w:cs="Arial"/>
                <w:color w:val="1C1C1C"/>
                <w:sz w:val="18"/>
                <w:szCs w:val="18"/>
              </w:rPr>
              <w:t>$69.50</w:t>
            </w:r>
          </w:p>
        </w:tc>
        <w:tc>
          <w:tcPr>
            <w:tcW w:w="1708"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BC722BB" w14:textId="77777777" w:rsidR="00626280" w:rsidRPr="00172A65" w:rsidRDefault="00626280">
            <w:pPr>
              <w:spacing w:before="120" w:after="120"/>
              <w:jc w:val="right"/>
              <w:rPr>
                <w:rFonts w:cs="Arial"/>
                <w:color w:val="1C1C1C"/>
                <w:sz w:val="18"/>
                <w:szCs w:val="18"/>
              </w:rPr>
            </w:pPr>
            <w:r w:rsidRPr="00172A65">
              <w:rPr>
                <w:rFonts w:cs="Arial"/>
                <w:color w:val="1C1C1C"/>
                <w:sz w:val="18"/>
                <w:szCs w:val="18"/>
              </w:rPr>
              <w:t>$544.17</w:t>
            </w:r>
          </w:p>
        </w:tc>
      </w:tr>
      <w:tr w:rsidR="001A2A82" w:rsidRPr="00172A65" w14:paraId="19FCE60D" w14:textId="77777777" w:rsidTr="00D44498">
        <w:trPr>
          <w:cnfStyle w:val="000000010000" w:firstRow="0" w:lastRow="0" w:firstColumn="0" w:lastColumn="0" w:oddVBand="0" w:evenVBand="0" w:oddHBand="0" w:evenHBand="1" w:firstRowFirstColumn="0" w:firstRowLastColumn="0" w:lastRowFirstColumn="0" w:lastRowLastColumn="0"/>
          <w:cantSplit/>
          <w:trHeight w:val="20"/>
        </w:trPr>
        <w:tc>
          <w:tcPr>
            <w:tcW w:w="1418"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221A2769" w14:textId="77777777" w:rsidR="00626280" w:rsidRPr="00172A65" w:rsidRDefault="00626280" w:rsidP="008919D7">
            <w:pPr>
              <w:spacing w:before="120" w:after="120"/>
              <w:rPr>
                <w:rFonts w:cs="Arial"/>
                <w:color w:val="000000"/>
                <w:sz w:val="18"/>
                <w:szCs w:val="18"/>
                <w:lang w:val="en-US"/>
              </w:rPr>
            </w:pPr>
            <w:r w:rsidRPr="00172A65">
              <w:rPr>
                <w:rFonts w:cs="Arial"/>
                <w:color w:val="1C1C1C"/>
                <w:sz w:val="18"/>
                <w:szCs w:val="18"/>
              </w:rPr>
              <w:t>Private day</w:t>
            </w:r>
          </w:p>
        </w:tc>
        <w:tc>
          <w:tcPr>
            <w:tcW w:w="15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066B392" w14:textId="77777777" w:rsidR="00626280" w:rsidRPr="00172A65" w:rsidRDefault="00626280" w:rsidP="004722BB">
            <w:pPr>
              <w:spacing w:before="120" w:after="120"/>
              <w:jc w:val="right"/>
              <w:rPr>
                <w:rFonts w:cs="Arial"/>
                <w:color w:val="1C1C1C"/>
                <w:sz w:val="18"/>
                <w:szCs w:val="18"/>
              </w:rPr>
            </w:pPr>
            <w:r w:rsidRPr="00172A65">
              <w:rPr>
                <w:rFonts w:cs="Arial"/>
                <w:color w:val="1C1C1C"/>
                <w:sz w:val="18"/>
                <w:szCs w:val="18"/>
              </w:rPr>
              <w:t>2%</w:t>
            </w:r>
          </w:p>
        </w:tc>
        <w:tc>
          <w:tcPr>
            <w:tcW w:w="160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F03CC5E" w14:textId="77777777" w:rsidR="00626280" w:rsidRPr="00172A65" w:rsidRDefault="00626280" w:rsidP="00CC6D1C">
            <w:pPr>
              <w:spacing w:before="120" w:after="120"/>
              <w:jc w:val="right"/>
              <w:rPr>
                <w:rFonts w:cs="Arial"/>
                <w:color w:val="1C1C1C"/>
                <w:sz w:val="18"/>
                <w:szCs w:val="18"/>
              </w:rPr>
            </w:pPr>
            <w:r w:rsidRPr="00172A65">
              <w:rPr>
                <w:rFonts w:cs="Arial"/>
                <w:color w:val="1C1C1C"/>
                <w:sz w:val="18"/>
                <w:szCs w:val="18"/>
              </w:rPr>
              <w:t>47%</w:t>
            </w:r>
          </w:p>
        </w:tc>
        <w:tc>
          <w:tcPr>
            <w:tcW w:w="156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FC4144E" w14:textId="77777777" w:rsidR="00626280" w:rsidRPr="00172A65" w:rsidRDefault="00626280" w:rsidP="00CC6D1C">
            <w:pPr>
              <w:spacing w:before="120" w:after="120"/>
              <w:jc w:val="right"/>
              <w:rPr>
                <w:rFonts w:cs="Arial"/>
                <w:color w:val="1C1C1C"/>
                <w:sz w:val="18"/>
                <w:szCs w:val="18"/>
              </w:rPr>
            </w:pPr>
            <w:r w:rsidRPr="00172A65">
              <w:rPr>
                <w:rFonts w:cs="Arial"/>
                <w:color w:val="1C1C1C"/>
                <w:sz w:val="18"/>
                <w:szCs w:val="18"/>
              </w:rPr>
              <w:t>$2.32</w:t>
            </w:r>
          </w:p>
        </w:tc>
        <w:tc>
          <w:tcPr>
            <w:tcW w:w="193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04BCC3B" w14:textId="77777777" w:rsidR="00626280" w:rsidRPr="00172A65" w:rsidRDefault="00626280" w:rsidP="00CC6D1C">
            <w:pPr>
              <w:spacing w:before="120" w:after="120"/>
              <w:jc w:val="right"/>
              <w:rPr>
                <w:rFonts w:cs="Arial"/>
                <w:color w:val="1C1C1C"/>
                <w:sz w:val="18"/>
                <w:szCs w:val="18"/>
              </w:rPr>
            </w:pPr>
            <w:r w:rsidRPr="00172A65">
              <w:rPr>
                <w:rFonts w:cs="Arial"/>
                <w:color w:val="1C1C1C"/>
                <w:sz w:val="18"/>
                <w:szCs w:val="18"/>
              </w:rPr>
              <w:t>$3.36</w:t>
            </w:r>
          </w:p>
        </w:tc>
        <w:tc>
          <w:tcPr>
            <w:tcW w:w="1708"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6E6A962" w14:textId="77777777" w:rsidR="00626280" w:rsidRPr="00172A65" w:rsidRDefault="00626280">
            <w:pPr>
              <w:spacing w:before="120" w:after="120"/>
              <w:jc w:val="right"/>
              <w:rPr>
                <w:rFonts w:cs="Arial"/>
                <w:color w:val="1C1C1C"/>
                <w:sz w:val="18"/>
                <w:szCs w:val="18"/>
              </w:rPr>
            </w:pPr>
            <w:r w:rsidRPr="00172A65">
              <w:rPr>
                <w:rFonts w:cs="Arial"/>
                <w:color w:val="1C1C1C"/>
                <w:sz w:val="18"/>
                <w:szCs w:val="18"/>
              </w:rPr>
              <w:t>$120.14</w:t>
            </w:r>
          </w:p>
        </w:tc>
      </w:tr>
      <w:tr w:rsidR="001A2A82" w:rsidRPr="00172A65" w14:paraId="03E8F44B" w14:textId="77777777" w:rsidTr="00D44498">
        <w:trPr>
          <w:cnfStyle w:val="000000100000" w:firstRow="0" w:lastRow="0" w:firstColumn="0" w:lastColumn="0" w:oddVBand="0" w:evenVBand="0" w:oddHBand="1" w:evenHBand="0" w:firstRowFirstColumn="0" w:firstRowLastColumn="0" w:lastRowFirstColumn="0" w:lastRowLastColumn="0"/>
          <w:cantSplit/>
          <w:trHeight w:val="20"/>
        </w:trPr>
        <w:tc>
          <w:tcPr>
            <w:tcW w:w="1418"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16124536" w14:textId="7DC45C74" w:rsidR="00626280" w:rsidRPr="00172A65" w:rsidRDefault="00626280" w:rsidP="008919D7">
            <w:pPr>
              <w:spacing w:before="120" w:after="120"/>
              <w:rPr>
                <w:rFonts w:cs="Arial"/>
                <w:color w:val="1C1C1C"/>
                <w:sz w:val="18"/>
                <w:szCs w:val="18"/>
              </w:rPr>
            </w:pPr>
            <w:r w:rsidRPr="00172A65">
              <w:rPr>
                <w:rFonts w:cs="Arial"/>
                <w:color w:val="1C1C1C"/>
                <w:sz w:val="18"/>
                <w:szCs w:val="18"/>
              </w:rPr>
              <w:t>Public</w:t>
            </w:r>
          </w:p>
        </w:tc>
        <w:tc>
          <w:tcPr>
            <w:tcW w:w="15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5F5DCD7" w14:textId="77777777" w:rsidR="00626280" w:rsidRPr="00172A65" w:rsidRDefault="00626280" w:rsidP="004722BB">
            <w:pPr>
              <w:spacing w:before="120" w:after="120"/>
              <w:jc w:val="right"/>
              <w:rPr>
                <w:rFonts w:cs="Arial"/>
                <w:color w:val="1C1C1C"/>
                <w:sz w:val="18"/>
                <w:szCs w:val="18"/>
              </w:rPr>
            </w:pPr>
            <w:r w:rsidRPr="00172A65">
              <w:rPr>
                <w:rFonts w:cs="Arial"/>
                <w:color w:val="1C1C1C"/>
                <w:sz w:val="18"/>
                <w:szCs w:val="18"/>
              </w:rPr>
              <w:t>3%</w:t>
            </w:r>
          </w:p>
        </w:tc>
        <w:tc>
          <w:tcPr>
            <w:tcW w:w="160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4261519" w14:textId="77777777" w:rsidR="00626280" w:rsidRPr="00172A65" w:rsidRDefault="00626280" w:rsidP="00CC6D1C">
            <w:pPr>
              <w:spacing w:before="120" w:after="120"/>
              <w:jc w:val="right"/>
              <w:rPr>
                <w:rFonts w:cs="Arial"/>
                <w:color w:val="1C1C1C"/>
                <w:sz w:val="18"/>
                <w:szCs w:val="18"/>
              </w:rPr>
            </w:pPr>
            <w:r w:rsidRPr="00172A65">
              <w:rPr>
                <w:rFonts w:cs="Arial"/>
                <w:color w:val="1C1C1C"/>
                <w:sz w:val="18"/>
                <w:szCs w:val="18"/>
              </w:rPr>
              <w:t>26%</w:t>
            </w:r>
          </w:p>
        </w:tc>
        <w:tc>
          <w:tcPr>
            <w:tcW w:w="156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40436A0" w14:textId="77777777" w:rsidR="00626280" w:rsidRPr="00172A65" w:rsidRDefault="00626280" w:rsidP="00CC6D1C">
            <w:pPr>
              <w:spacing w:before="120" w:after="120"/>
              <w:jc w:val="right"/>
              <w:rPr>
                <w:rFonts w:cs="Arial"/>
                <w:color w:val="1C1C1C"/>
                <w:sz w:val="18"/>
                <w:szCs w:val="18"/>
              </w:rPr>
            </w:pPr>
            <w:r w:rsidRPr="00172A65">
              <w:rPr>
                <w:rFonts w:cs="Arial"/>
                <w:color w:val="1C1C1C"/>
                <w:sz w:val="18"/>
                <w:szCs w:val="18"/>
              </w:rPr>
              <w:t>$12.46</w:t>
            </w:r>
          </w:p>
        </w:tc>
        <w:tc>
          <w:tcPr>
            <w:tcW w:w="193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0B06A19" w14:textId="77777777" w:rsidR="00626280" w:rsidRPr="00172A65" w:rsidRDefault="00626280" w:rsidP="00CC6D1C">
            <w:pPr>
              <w:spacing w:before="120" w:after="120"/>
              <w:jc w:val="right"/>
              <w:rPr>
                <w:rFonts w:cs="Arial"/>
                <w:color w:val="1C1C1C"/>
                <w:sz w:val="18"/>
                <w:szCs w:val="18"/>
              </w:rPr>
            </w:pPr>
            <w:r w:rsidRPr="00172A65">
              <w:rPr>
                <w:rFonts w:cs="Arial"/>
                <w:color w:val="1C1C1C"/>
                <w:sz w:val="18"/>
                <w:szCs w:val="18"/>
              </w:rPr>
              <w:t>$14.43</w:t>
            </w:r>
          </w:p>
        </w:tc>
        <w:tc>
          <w:tcPr>
            <w:tcW w:w="1708"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AE30FFB" w14:textId="77777777" w:rsidR="00626280" w:rsidRPr="00172A65" w:rsidRDefault="00626280">
            <w:pPr>
              <w:spacing w:before="120" w:after="120"/>
              <w:jc w:val="right"/>
              <w:rPr>
                <w:rFonts w:cs="Arial"/>
                <w:color w:val="1C1C1C"/>
                <w:sz w:val="18"/>
                <w:szCs w:val="18"/>
              </w:rPr>
            </w:pPr>
            <w:r w:rsidRPr="00172A65">
              <w:rPr>
                <w:rFonts w:cs="Arial"/>
                <w:color w:val="1C1C1C"/>
                <w:sz w:val="18"/>
                <w:szCs w:val="18"/>
              </w:rPr>
              <w:t>$442.10</w:t>
            </w:r>
          </w:p>
        </w:tc>
      </w:tr>
      <w:tr w:rsidR="001A2A82" w:rsidRPr="00172A65" w14:paraId="30A6C45D" w14:textId="77777777" w:rsidTr="00D44498">
        <w:trPr>
          <w:cnfStyle w:val="000000010000" w:firstRow="0" w:lastRow="0" w:firstColumn="0" w:lastColumn="0" w:oddVBand="0" w:evenVBand="0" w:oddHBand="0" w:evenHBand="1" w:firstRowFirstColumn="0" w:firstRowLastColumn="0" w:lastRowFirstColumn="0" w:lastRowLastColumn="0"/>
          <w:cantSplit/>
          <w:trHeight w:val="20"/>
        </w:trPr>
        <w:tc>
          <w:tcPr>
            <w:tcW w:w="1418"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1AF08823" w14:textId="77777777" w:rsidR="00626280" w:rsidRPr="00172A65" w:rsidRDefault="00626280" w:rsidP="008919D7">
            <w:pPr>
              <w:spacing w:before="120" w:after="120"/>
              <w:rPr>
                <w:rFonts w:cs="Arial"/>
                <w:b/>
                <w:color w:val="1C1C1C"/>
                <w:sz w:val="18"/>
                <w:szCs w:val="18"/>
              </w:rPr>
            </w:pPr>
            <w:r w:rsidRPr="00172A65">
              <w:rPr>
                <w:rFonts w:cs="Arial"/>
                <w:b/>
                <w:color w:val="1C1C1C"/>
                <w:sz w:val="18"/>
                <w:szCs w:val="18"/>
              </w:rPr>
              <w:t>Overall</w:t>
            </w:r>
          </w:p>
        </w:tc>
        <w:tc>
          <w:tcPr>
            <w:tcW w:w="151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8A3649C" w14:textId="77777777" w:rsidR="00626280" w:rsidRPr="00172A65" w:rsidRDefault="00626280" w:rsidP="004722BB">
            <w:pPr>
              <w:spacing w:before="120" w:after="120"/>
              <w:jc w:val="right"/>
              <w:rPr>
                <w:rFonts w:cs="Arial"/>
                <w:b/>
                <w:color w:val="1C1C1C"/>
                <w:sz w:val="18"/>
                <w:szCs w:val="18"/>
              </w:rPr>
            </w:pPr>
            <w:r w:rsidRPr="00172A65">
              <w:rPr>
                <w:rFonts w:cs="Arial"/>
                <w:b/>
                <w:color w:val="1C1C1C"/>
                <w:sz w:val="18"/>
                <w:szCs w:val="18"/>
              </w:rPr>
              <w:t>10%</w:t>
            </w:r>
          </w:p>
        </w:tc>
        <w:tc>
          <w:tcPr>
            <w:tcW w:w="160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F57697F" w14:textId="77777777" w:rsidR="00626280" w:rsidRPr="00172A65" w:rsidRDefault="00626280" w:rsidP="00CC6D1C">
            <w:pPr>
              <w:spacing w:before="120" w:after="120"/>
              <w:jc w:val="right"/>
              <w:rPr>
                <w:rFonts w:cs="Arial"/>
                <w:b/>
                <w:color w:val="1C1C1C"/>
                <w:sz w:val="18"/>
                <w:szCs w:val="18"/>
              </w:rPr>
            </w:pPr>
            <w:r w:rsidRPr="00172A65">
              <w:rPr>
                <w:rFonts w:cs="Arial"/>
                <w:b/>
                <w:color w:val="1C1C1C"/>
                <w:sz w:val="18"/>
                <w:szCs w:val="18"/>
              </w:rPr>
              <w:t>46%</w:t>
            </w:r>
          </w:p>
        </w:tc>
        <w:tc>
          <w:tcPr>
            <w:tcW w:w="156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7770926" w14:textId="77777777" w:rsidR="00626280" w:rsidRPr="00172A65" w:rsidRDefault="00626280" w:rsidP="00CC6D1C">
            <w:pPr>
              <w:spacing w:before="120" w:after="120"/>
              <w:jc w:val="right"/>
              <w:rPr>
                <w:rFonts w:cs="Arial"/>
                <w:b/>
                <w:color w:val="1C1C1C"/>
                <w:sz w:val="18"/>
                <w:szCs w:val="18"/>
              </w:rPr>
            </w:pPr>
            <w:r w:rsidRPr="00172A65">
              <w:rPr>
                <w:rFonts w:cs="Arial"/>
                <w:b/>
                <w:color w:val="1C1C1C"/>
                <w:sz w:val="18"/>
                <w:szCs w:val="18"/>
              </w:rPr>
              <w:t>$52.05</w:t>
            </w:r>
          </w:p>
        </w:tc>
        <w:tc>
          <w:tcPr>
            <w:tcW w:w="193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CA6D2BE" w14:textId="77777777" w:rsidR="00626280" w:rsidRPr="00172A65" w:rsidRDefault="00626280" w:rsidP="00CC6D1C">
            <w:pPr>
              <w:spacing w:before="120" w:after="120"/>
              <w:jc w:val="right"/>
              <w:rPr>
                <w:rFonts w:cs="Arial"/>
                <w:b/>
                <w:color w:val="1C1C1C"/>
                <w:sz w:val="18"/>
                <w:szCs w:val="18"/>
              </w:rPr>
            </w:pPr>
            <w:r w:rsidRPr="00172A65">
              <w:rPr>
                <w:rFonts w:cs="Arial"/>
                <w:b/>
                <w:color w:val="1C1C1C"/>
                <w:sz w:val="18"/>
                <w:szCs w:val="18"/>
              </w:rPr>
              <w:t>$56.78</w:t>
            </w:r>
          </w:p>
        </w:tc>
        <w:tc>
          <w:tcPr>
            <w:tcW w:w="1708"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6EF97FF" w14:textId="77777777" w:rsidR="00626280" w:rsidRPr="00172A65" w:rsidRDefault="00626280">
            <w:pPr>
              <w:spacing w:before="120" w:after="120"/>
              <w:jc w:val="right"/>
              <w:rPr>
                <w:rFonts w:cs="Arial"/>
                <w:b/>
                <w:color w:val="1C1C1C"/>
                <w:sz w:val="18"/>
                <w:szCs w:val="18"/>
              </w:rPr>
            </w:pPr>
            <w:r w:rsidRPr="00172A65">
              <w:rPr>
                <w:rFonts w:cs="Arial"/>
                <w:b/>
                <w:color w:val="1C1C1C"/>
                <w:sz w:val="18"/>
                <w:szCs w:val="18"/>
              </w:rPr>
              <w:t>$527.67</w:t>
            </w:r>
          </w:p>
        </w:tc>
      </w:tr>
    </w:tbl>
    <w:p w14:paraId="08C7FC81" w14:textId="77777777" w:rsidR="00626280" w:rsidRDefault="00626280" w:rsidP="00626280"/>
    <w:p w14:paraId="7B2E96BC" w14:textId="3870017C" w:rsidR="00626280" w:rsidRDefault="00626280" w:rsidP="00626280">
      <w:r>
        <w:t>Overall, 10</w:t>
      </w:r>
      <w:r w:rsidR="00E84BB5">
        <w:t xml:space="preserve"> per cent</w:t>
      </w:r>
      <w:r>
        <w:t xml:space="preserve"> of episodes make use of at least one GUI. This breaks down to 12</w:t>
      </w:r>
      <w:r w:rsidR="00E84BB5">
        <w:t xml:space="preserve"> per cent</w:t>
      </w:r>
      <w:r>
        <w:t xml:space="preserve"> of </w:t>
      </w:r>
      <w:r w:rsidR="003C1822">
        <w:t xml:space="preserve">episodes from </w:t>
      </w:r>
      <w:r>
        <w:t xml:space="preserve">private overnight </w:t>
      </w:r>
      <w:r w:rsidR="003C1822">
        <w:t>facilities</w:t>
      </w:r>
      <w:r>
        <w:t>, 2</w:t>
      </w:r>
      <w:r w:rsidR="00E84BB5">
        <w:t xml:space="preserve"> per cent</w:t>
      </w:r>
      <w:r>
        <w:t xml:space="preserve"> of </w:t>
      </w:r>
      <w:r w:rsidR="003C1822">
        <w:t xml:space="preserve">episodes from </w:t>
      </w:r>
      <w:r>
        <w:t>private day facility and 3</w:t>
      </w:r>
      <w:r w:rsidR="00E84BB5">
        <w:t xml:space="preserve"> per cent</w:t>
      </w:r>
      <w:r>
        <w:t xml:space="preserve"> of </w:t>
      </w:r>
      <w:r w:rsidR="003C1822">
        <w:t xml:space="preserve">episodes from </w:t>
      </w:r>
      <w:r>
        <w:t xml:space="preserve">public </w:t>
      </w:r>
      <w:r w:rsidR="003C1822">
        <w:t>facilities</w:t>
      </w:r>
      <w:r>
        <w:t>.</w:t>
      </w:r>
    </w:p>
    <w:p w14:paraId="45599B24" w14:textId="0255C819" w:rsidR="00626280" w:rsidRDefault="00626280" w:rsidP="00626280">
      <w:r>
        <w:t>Less than half (46</w:t>
      </w:r>
      <w:r w:rsidR="00E84BB5">
        <w:t xml:space="preserve"> per cent</w:t>
      </w:r>
      <w:r>
        <w:t>) of all providers are identified as using GUIs, however these providers account for 92</w:t>
      </w:r>
      <w:r w:rsidR="00E84BB5">
        <w:t xml:space="preserve"> per cent</w:t>
      </w:r>
      <w:r>
        <w:t xml:space="preserve"> of all privately insured admitted episodes. GUI usage varies significantly across the 46</w:t>
      </w:r>
      <w:r w:rsidR="00E84BB5">
        <w:t xml:space="preserve"> per cent</w:t>
      </w:r>
      <w:r>
        <w:t xml:space="preserve"> of providers identified as using GUIs, with proportions of provider episodes using GUIs ranging widely from 1</w:t>
      </w:r>
      <w:r w:rsidR="00E84BB5">
        <w:t xml:space="preserve"> per cent</w:t>
      </w:r>
      <w:r>
        <w:t xml:space="preserve"> of episodes for some providers to over 30</w:t>
      </w:r>
      <w:r w:rsidR="00E84BB5">
        <w:t xml:space="preserve"> per cent</w:t>
      </w:r>
      <w:r>
        <w:t xml:space="preserve"> of episodes for other providers.</w:t>
      </w:r>
    </w:p>
    <w:p w14:paraId="19A17CD6" w14:textId="2AB83DA6" w:rsidR="00626280" w:rsidRDefault="00626280" w:rsidP="00626280">
      <w:r>
        <w:t xml:space="preserve">Of those episodes identified as using GUIs, the average GUI benefits per episode is $527.67, with averages varying by </w:t>
      </w:r>
      <w:r w:rsidR="00036438">
        <w:t xml:space="preserve">facility </w:t>
      </w:r>
      <w:r>
        <w:t xml:space="preserve">type as $544.17 for private overnight </w:t>
      </w:r>
      <w:r w:rsidR="00036438">
        <w:t>facilities</w:t>
      </w:r>
      <w:r>
        <w:t xml:space="preserve">, $120.14 for private day facilities, and $442.10 for public </w:t>
      </w:r>
      <w:r w:rsidR="00036438">
        <w:t>facilities</w:t>
      </w:r>
      <w:r>
        <w:t>.</w:t>
      </w:r>
    </w:p>
    <w:p w14:paraId="633EDF87" w14:textId="48246CAA" w:rsidR="00626280" w:rsidRDefault="00626280" w:rsidP="007175ED">
      <w:pPr>
        <w:pStyle w:val="Heading4"/>
        <w:numPr>
          <w:ilvl w:val="0"/>
          <w:numId w:val="0"/>
        </w:numPr>
        <w:ind w:left="864" w:hanging="864"/>
      </w:pPr>
      <w:r w:rsidRPr="00B87BAE">
        <w:t xml:space="preserve">GUI usage and benefits by </w:t>
      </w:r>
      <w:r w:rsidR="00986BB7">
        <w:t>Adjacent DRG</w:t>
      </w:r>
    </w:p>
    <w:p w14:paraId="7E122A50" w14:textId="6EA4CAC7" w:rsidR="00626280" w:rsidRDefault="00626280" w:rsidP="00626280">
      <w:r>
        <w:t xml:space="preserve">Some of the variation in GUI usage between episodes can be explained by differences in clinical characteristics, such as those described by </w:t>
      </w:r>
      <w:r w:rsidR="00331FB2">
        <w:t xml:space="preserve">diagnoses encoded within HCP data using the </w:t>
      </w:r>
      <w:r w:rsidR="00331FB2" w:rsidRPr="00331FB2">
        <w:t>International Statistical Classification of Diseases and Related Health Problems, Tenth Revision, Australian Modification (ICD-10-AM)</w:t>
      </w:r>
      <w:r w:rsidR="00331FB2">
        <w:t xml:space="preserve"> </w:t>
      </w:r>
      <w:r>
        <w:t xml:space="preserve">and </w:t>
      </w:r>
      <w:r w:rsidR="00331FB2">
        <w:t xml:space="preserve">interventions encoded in the data using the </w:t>
      </w:r>
      <w:r w:rsidR="00331FB2" w:rsidRPr="00331FB2">
        <w:t>Australian Classification of Health Interventions (ACHI)</w:t>
      </w:r>
      <w:r w:rsidR="00331FB2">
        <w:t>. This variation can also be observed across classes of the</w:t>
      </w:r>
      <w:r>
        <w:t xml:space="preserve"> Australian Refined Diagnosis Related Group (AR-DRG) classification.</w:t>
      </w:r>
    </w:p>
    <w:p w14:paraId="19EE2AF6" w14:textId="77777777" w:rsidR="00626280" w:rsidRDefault="00626280" w:rsidP="00626280">
      <w:r>
        <w:t>For example, examining GUI usage and benefits across the 394 (non-error) Adjacent DRG (ADRG) classes of AR-DRG Version 10, there are 11 ADRGs for which GUI usage occurs in over 90 per cent of each ADRG’s episodes. These 11 ADRGs account for 39 per cent of all GUI benefits, but only 9 per cent of all GUI episodes.</w:t>
      </w:r>
    </w:p>
    <w:p w14:paraId="60F2E86C" w14:textId="166CF25B" w:rsidR="00626280" w:rsidRDefault="00626280" w:rsidP="00626280">
      <w:r>
        <w:fldChar w:fldCharType="begin"/>
      </w:r>
      <w:r>
        <w:instrText xml:space="preserve"> REF _Ref117099338 \h  \* MERGEFORMAT </w:instrText>
      </w:r>
      <w:r>
        <w:fldChar w:fldCharType="separate"/>
      </w:r>
      <w:r w:rsidR="00106CD4" w:rsidRPr="00200A65">
        <w:t xml:space="preserve">Table </w:t>
      </w:r>
      <w:r w:rsidR="00106CD4">
        <w:t>20</w:t>
      </w:r>
      <w:r>
        <w:fldChar w:fldCharType="end"/>
      </w:r>
      <w:r>
        <w:t xml:space="preserve"> provides the top 5 ADRGs by total GUI benefits. In particular, 96</w:t>
      </w:r>
      <w:r w:rsidR="00E84BB5">
        <w:t xml:space="preserve"> per cent</w:t>
      </w:r>
      <w:r>
        <w:t xml:space="preserve"> of ‘Major Laparoscopic Bariatric Interventions’ (ADRG K11) episodes have GUI usage and account for 26</w:t>
      </w:r>
      <w:r w:rsidR="00E84BB5">
        <w:t xml:space="preserve"> per cent</w:t>
      </w:r>
      <w:r>
        <w:t xml:space="preserve"> of all GUI benefits and 52</w:t>
      </w:r>
      <w:r w:rsidR="00E84BB5">
        <w:t xml:space="preserve"> per cent</w:t>
      </w:r>
      <w:r>
        <w:t xml:space="preserve"> of all Staples and Tackers benefits. </w:t>
      </w:r>
    </w:p>
    <w:p w14:paraId="61CB54E5" w14:textId="37DAE5B3" w:rsidR="00626280" w:rsidRDefault="00626280" w:rsidP="003F5252">
      <w:pPr>
        <w:pStyle w:val="Caption"/>
      </w:pPr>
      <w:bookmarkStart w:id="141" w:name="_Ref117099338"/>
      <w:r w:rsidRPr="00200A65">
        <w:t xml:space="preserve">Table </w:t>
      </w:r>
      <w:fldSimple w:instr=" SEQ Table \* ARABIC ">
        <w:r w:rsidR="00106CD4">
          <w:rPr>
            <w:noProof/>
          </w:rPr>
          <w:t>20</w:t>
        </w:r>
      </w:fldSimple>
      <w:bookmarkEnd w:id="141"/>
      <w:r>
        <w:t xml:space="preserve">: </w:t>
      </w:r>
      <w:r w:rsidR="0014160A">
        <w:t>Summary of GUIs for t</w:t>
      </w:r>
      <w:r w:rsidRPr="00200A65">
        <w:t xml:space="preserve">op 5 </w:t>
      </w:r>
      <w:r>
        <w:t>A</w:t>
      </w:r>
      <w:r w:rsidRPr="00200A65">
        <w:t>DRGs</w:t>
      </w:r>
      <w:r>
        <w:t xml:space="preserve"> by total GUI benefits</w:t>
      </w:r>
    </w:p>
    <w:tbl>
      <w:tblPr>
        <w:tblStyle w:val="IHPATable"/>
        <w:tblW w:w="0" w:type="auto"/>
        <w:tblLayout w:type="fixed"/>
        <w:tblCellMar>
          <w:left w:w="96" w:type="dxa"/>
          <w:right w:w="96" w:type="dxa"/>
        </w:tblCellMar>
        <w:tblLook w:val="0020" w:firstRow="1" w:lastRow="0" w:firstColumn="0" w:lastColumn="0" w:noHBand="0" w:noVBand="0"/>
        <w:tblDescription w:val="Table 20 shows a summary of GUis for the top 5 ADRGs by total of GUI benefits. There are 7 colums showing the benefits against the ADRG, inlcuding total GUI benefits, total GUI episodes, proportion of episodes with GUIs charged and average GUI benefits per episode. "/>
      </w:tblPr>
      <w:tblGrid>
        <w:gridCol w:w="1680"/>
        <w:gridCol w:w="981"/>
        <w:gridCol w:w="1062"/>
        <w:gridCol w:w="1492"/>
        <w:gridCol w:w="1790"/>
        <w:gridCol w:w="1235"/>
        <w:gridCol w:w="1501"/>
      </w:tblGrid>
      <w:tr w:rsidR="0082723D" w:rsidRPr="00FC23E4" w14:paraId="7100F295" w14:textId="77777777" w:rsidTr="00D44498">
        <w:trPr>
          <w:cnfStyle w:val="100000000000" w:firstRow="1" w:lastRow="0" w:firstColumn="0" w:lastColumn="0" w:oddVBand="0" w:evenVBand="0" w:oddHBand="0" w:evenHBand="0" w:firstRowFirstColumn="0" w:firstRowLastColumn="0" w:lastRowFirstColumn="0" w:lastRowLastColumn="0"/>
          <w:cantSplit/>
          <w:trHeight w:val="17"/>
          <w:tblHeader/>
        </w:trPr>
        <w:tc>
          <w:tcPr>
            <w:tcW w:w="1680" w:type="dxa"/>
            <w:vMerge w:val="restart"/>
            <w:tcBorders>
              <w:top w:val="single" w:sz="4" w:space="0" w:color="808080" w:themeColor="background2" w:themeShade="80"/>
              <w:left w:val="single" w:sz="4" w:space="0" w:color="808080" w:themeColor="background2" w:themeShade="80"/>
              <w:right w:val="single" w:sz="4" w:space="0" w:color="FFFFFF" w:themeColor="background2"/>
            </w:tcBorders>
            <w:shd w:val="clear" w:color="auto" w:fill="104F99" w:themeFill="accent2"/>
            <w:vAlign w:val="center"/>
          </w:tcPr>
          <w:p w14:paraId="38AF18BF" w14:textId="0CC67AF5" w:rsidR="0082723D" w:rsidRPr="00FC23E4" w:rsidRDefault="0082723D" w:rsidP="0082723D">
            <w:pPr>
              <w:spacing w:before="120" w:after="120"/>
              <w:jc w:val="center"/>
              <w:rPr>
                <w:rFonts w:cs="Arial"/>
                <w:b/>
                <w:bCs/>
                <w:color w:val="FFFFFF" w:themeColor="background2"/>
                <w:szCs w:val="18"/>
                <w:lang w:val="en-US"/>
              </w:rPr>
            </w:pPr>
            <w:r w:rsidRPr="00FC23E4">
              <w:rPr>
                <w:rFonts w:cs="Arial"/>
                <w:b/>
                <w:bCs/>
                <w:color w:val="FFFFFF" w:themeColor="background2"/>
                <w:szCs w:val="18"/>
                <w:lang w:val="en-US"/>
              </w:rPr>
              <w:t>ADRG</w:t>
            </w:r>
          </w:p>
        </w:tc>
        <w:tc>
          <w:tcPr>
            <w:tcW w:w="981" w:type="dxa"/>
            <w:vMerge w:val="restart"/>
            <w:tcBorders>
              <w:top w:val="single" w:sz="4" w:space="0" w:color="808080" w:themeColor="background2" w:themeShade="80"/>
              <w:left w:val="single" w:sz="4" w:space="0" w:color="FFFFFF" w:themeColor="background2"/>
              <w:right w:val="single" w:sz="4" w:space="0" w:color="FFFFFF" w:themeColor="background2"/>
            </w:tcBorders>
            <w:shd w:val="clear" w:color="auto" w:fill="104F99" w:themeFill="accent2"/>
            <w:vAlign w:val="center"/>
          </w:tcPr>
          <w:p w14:paraId="30552F21" w14:textId="41375418" w:rsidR="0082723D" w:rsidRPr="00FC23E4" w:rsidRDefault="0082723D" w:rsidP="0082723D">
            <w:pPr>
              <w:spacing w:before="120" w:after="120"/>
              <w:jc w:val="center"/>
              <w:rPr>
                <w:rFonts w:cs="Arial"/>
                <w:b/>
                <w:bCs/>
                <w:color w:val="FFFFFF" w:themeColor="background2"/>
                <w:szCs w:val="18"/>
              </w:rPr>
            </w:pPr>
            <w:r w:rsidRPr="00FC23E4">
              <w:rPr>
                <w:rFonts w:cs="Arial"/>
                <w:b/>
                <w:bCs/>
                <w:color w:val="FFFFFF" w:themeColor="background2"/>
                <w:szCs w:val="18"/>
              </w:rPr>
              <w:t>Total GUI benefits</w:t>
            </w:r>
          </w:p>
        </w:tc>
        <w:tc>
          <w:tcPr>
            <w:tcW w:w="1062" w:type="dxa"/>
            <w:vMerge w:val="restart"/>
            <w:tcBorders>
              <w:top w:val="single" w:sz="4" w:space="0" w:color="808080" w:themeColor="background2" w:themeShade="80"/>
              <w:left w:val="single" w:sz="4" w:space="0" w:color="FFFFFF" w:themeColor="background2"/>
              <w:right w:val="single" w:sz="4" w:space="0" w:color="FFFFFF" w:themeColor="background2"/>
            </w:tcBorders>
            <w:shd w:val="clear" w:color="auto" w:fill="104F99" w:themeFill="accent2"/>
            <w:vAlign w:val="center"/>
          </w:tcPr>
          <w:p w14:paraId="4EFDD35D" w14:textId="6F34B2BA" w:rsidR="0082723D" w:rsidRPr="00FC23E4" w:rsidRDefault="0082723D" w:rsidP="0082723D">
            <w:pPr>
              <w:spacing w:before="120" w:after="120"/>
              <w:jc w:val="center"/>
              <w:rPr>
                <w:rFonts w:cs="Arial"/>
                <w:b/>
                <w:bCs/>
                <w:color w:val="FFFFFF" w:themeColor="background2"/>
                <w:szCs w:val="18"/>
              </w:rPr>
            </w:pPr>
            <w:r w:rsidRPr="00FC23E4">
              <w:rPr>
                <w:rFonts w:cs="Arial"/>
                <w:b/>
                <w:bCs/>
                <w:color w:val="FFFFFF" w:themeColor="background2"/>
                <w:szCs w:val="18"/>
              </w:rPr>
              <w:t>Total GUI episodes</w:t>
            </w:r>
          </w:p>
        </w:tc>
        <w:tc>
          <w:tcPr>
            <w:tcW w:w="1492" w:type="dxa"/>
            <w:vMerge w:val="restart"/>
            <w:tcBorders>
              <w:top w:val="single" w:sz="4" w:space="0" w:color="808080" w:themeColor="background2" w:themeShade="80"/>
              <w:left w:val="single" w:sz="4" w:space="0" w:color="FFFFFF" w:themeColor="background2"/>
              <w:right w:val="single" w:sz="4" w:space="0" w:color="FFFFFF" w:themeColor="background2"/>
            </w:tcBorders>
            <w:shd w:val="clear" w:color="auto" w:fill="104F99" w:themeFill="accent2"/>
            <w:vAlign w:val="center"/>
          </w:tcPr>
          <w:p w14:paraId="7AA27079" w14:textId="1294E236" w:rsidR="0082723D" w:rsidRPr="00FC23E4" w:rsidRDefault="0082723D" w:rsidP="0082723D">
            <w:pPr>
              <w:spacing w:before="120" w:after="120"/>
              <w:jc w:val="center"/>
              <w:rPr>
                <w:rFonts w:cs="Arial"/>
                <w:b/>
                <w:bCs/>
                <w:color w:val="FFFFFF" w:themeColor="background2"/>
                <w:szCs w:val="18"/>
              </w:rPr>
            </w:pPr>
            <w:r w:rsidRPr="00FC23E4">
              <w:rPr>
                <w:rFonts w:cs="Arial"/>
                <w:b/>
                <w:bCs/>
                <w:color w:val="FFFFFF" w:themeColor="background2"/>
                <w:szCs w:val="18"/>
              </w:rPr>
              <w:t>Proportion of episodes with GUI</w:t>
            </w:r>
            <w:r>
              <w:rPr>
                <w:rFonts w:cs="Arial"/>
                <w:b/>
                <w:bCs/>
                <w:color w:val="FFFFFF" w:themeColor="background2"/>
                <w:szCs w:val="18"/>
              </w:rPr>
              <w:t>s</w:t>
            </w:r>
            <w:r w:rsidRPr="00FC23E4">
              <w:rPr>
                <w:rFonts w:cs="Arial"/>
                <w:b/>
                <w:bCs/>
                <w:color w:val="FFFFFF" w:themeColor="background2"/>
                <w:szCs w:val="18"/>
              </w:rPr>
              <w:t xml:space="preserve"> </w:t>
            </w:r>
            <w:r>
              <w:rPr>
                <w:rFonts w:cs="Arial"/>
                <w:b/>
                <w:bCs/>
                <w:color w:val="FFFFFF" w:themeColor="background2"/>
                <w:szCs w:val="18"/>
              </w:rPr>
              <w:t>charged</w:t>
            </w:r>
          </w:p>
        </w:tc>
        <w:tc>
          <w:tcPr>
            <w:tcW w:w="1790" w:type="dxa"/>
            <w:vMerge w:val="restart"/>
            <w:tcBorders>
              <w:top w:val="single" w:sz="4" w:space="0" w:color="808080" w:themeColor="background2" w:themeShade="80"/>
              <w:left w:val="single" w:sz="4" w:space="0" w:color="FFFFFF" w:themeColor="background2"/>
              <w:right w:val="single" w:sz="4" w:space="0" w:color="FFFFFF" w:themeColor="background2"/>
            </w:tcBorders>
            <w:shd w:val="clear" w:color="auto" w:fill="104F99" w:themeFill="accent2"/>
            <w:vAlign w:val="center"/>
          </w:tcPr>
          <w:p w14:paraId="44C1BC0E" w14:textId="359C59ED" w:rsidR="0082723D" w:rsidRPr="00FC23E4" w:rsidRDefault="0082723D" w:rsidP="0082723D">
            <w:pPr>
              <w:spacing w:before="120" w:after="120"/>
              <w:jc w:val="center"/>
              <w:rPr>
                <w:rFonts w:cs="Arial"/>
                <w:b/>
                <w:bCs/>
                <w:color w:val="FFFFFF" w:themeColor="background2"/>
                <w:szCs w:val="18"/>
              </w:rPr>
            </w:pPr>
            <w:r w:rsidRPr="00FC23E4">
              <w:rPr>
                <w:rFonts w:cs="Arial"/>
                <w:b/>
                <w:bCs/>
                <w:color w:val="FFFFFF" w:themeColor="background2"/>
                <w:szCs w:val="18"/>
              </w:rPr>
              <w:t>Proportion of providers that charged at least one GUI</w:t>
            </w:r>
          </w:p>
        </w:tc>
        <w:tc>
          <w:tcPr>
            <w:tcW w:w="2736" w:type="dxa"/>
            <w:gridSpan w:val="2"/>
            <w:tcBorders>
              <w:top w:val="single" w:sz="4" w:space="0" w:color="808080" w:themeColor="background2" w:themeShade="80"/>
              <w:left w:val="single" w:sz="4" w:space="0" w:color="FFFFFF" w:themeColor="background2"/>
              <w:right w:val="single" w:sz="4" w:space="0" w:color="808080" w:themeColor="background2" w:themeShade="80"/>
            </w:tcBorders>
            <w:shd w:val="clear" w:color="auto" w:fill="104F99" w:themeFill="accent2"/>
            <w:vAlign w:val="center"/>
          </w:tcPr>
          <w:p w14:paraId="709DCE51" w14:textId="40ED89CF" w:rsidR="0082723D" w:rsidRPr="00FC23E4" w:rsidRDefault="0082723D" w:rsidP="0082723D">
            <w:pPr>
              <w:spacing w:before="120" w:after="120"/>
              <w:jc w:val="center"/>
              <w:rPr>
                <w:rFonts w:cs="Arial"/>
                <w:b/>
                <w:bCs/>
                <w:color w:val="FFFFFF" w:themeColor="background2"/>
                <w:szCs w:val="18"/>
                <w:lang w:val="en-US"/>
              </w:rPr>
            </w:pPr>
            <w:r>
              <w:rPr>
                <w:rFonts w:cs="Arial"/>
                <w:b/>
                <w:bCs/>
                <w:color w:val="FFFFFF" w:themeColor="background2"/>
                <w:szCs w:val="18"/>
                <w:lang w:val="en-US"/>
              </w:rPr>
              <w:t>Average GUI benefits per episode</w:t>
            </w:r>
          </w:p>
        </w:tc>
      </w:tr>
      <w:tr w:rsidR="0082723D" w:rsidRPr="00FC23E4" w14:paraId="59063178" w14:textId="77777777" w:rsidTr="00D44498">
        <w:trPr>
          <w:cnfStyle w:val="100000000000" w:firstRow="1" w:lastRow="0" w:firstColumn="0" w:lastColumn="0" w:oddVBand="0" w:evenVBand="0" w:oddHBand="0" w:evenHBand="0" w:firstRowFirstColumn="0" w:firstRowLastColumn="0" w:lastRowFirstColumn="0" w:lastRowLastColumn="0"/>
          <w:cantSplit/>
          <w:trHeight w:val="17"/>
          <w:tblHeader/>
        </w:trPr>
        <w:tc>
          <w:tcPr>
            <w:tcW w:w="1680" w:type="dxa"/>
            <w:vMerge/>
            <w:tcBorders>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vAlign w:val="center"/>
          </w:tcPr>
          <w:p w14:paraId="5084B0FA" w14:textId="24CAA270" w:rsidR="0082723D" w:rsidRPr="00FC23E4" w:rsidRDefault="0082723D" w:rsidP="0082723D">
            <w:pPr>
              <w:spacing w:before="120" w:after="120"/>
              <w:jc w:val="center"/>
              <w:rPr>
                <w:rFonts w:cs="Arial"/>
                <w:b/>
                <w:bCs/>
                <w:color w:val="FFFFFF" w:themeColor="background2"/>
                <w:szCs w:val="18"/>
                <w:lang w:val="en-US"/>
              </w:rPr>
            </w:pPr>
          </w:p>
        </w:tc>
        <w:tc>
          <w:tcPr>
            <w:tcW w:w="981" w:type="dxa"/>
            <w:vMerge/>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0D865438" w14:textId="48F384B8" w:rsidR="0082723D" w:rsidRPr="00FC23E4" w:rsidRDefault="0082723D" w:rsidP="0082723D">
            <w:pPr>
              <w:spacing w:before="120" w:after="120"/>
              <w:jc w:val="center"/>
              <w:rPr>
                <w:rFonts w:cs="Arial"/>
                <w:b/>
                <w:bCs/>
                <w:color w:val="FFFFFF" w:themeColor="background2"/>
                <w:szCs w:val="18"/>
              </w:rPr>
            </w:pPr>
          </w:p>
        </w:tc>
        <w:tc>
          <w:tcPr>
            <w:tcW w:w="1062" w:type="dxa"/>
            <w:vMerge/>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7559A34F" w14:textId="5B0BCFEE" w:rsidR="0082723D" w:rsidRPr="00FC23E4" w:rsidRDefault="0082723D" w:rsidP="0082723D">
            <w:pPr>
              <w:spacing w:before="120" w:after="120"/>
              <w:jc w:val="center"/>
              <w:rPr>
                <w:rFonts w:cs="Arial"/>
                <w:b/>
                <w:bCs/>
                <w:color w:val="FFFFFF" w:themeColor="background2"/>
                <w:szCs w:val="18"/>
              </w:rPr>
            </w:pPr>
          </w:p>
        </w:tc>
        <w:tc>
          <w:tcPr>
            <w:tcW w:w="1492" w:type="dxa"/>
            <w:vMerge/>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0ADB0C08" w14:textId="1EFE0866" w:rsidR="0082723D" w:rsidRPr="00FC23E4" w:rsidRDefault="0082723D" w:rsidP="0082723D">
            <w:pPr>
              <w:spacing w:before="120" w:after="120"/>
              <w:jc w:val="center"/>
              <w:rPr>
                <w:rFonts w:cs="Arial"/>
                <w:b/>
                <w:bCs/>
                <w:color w:val="FFFFFF" w:themeColor="background2"/>
                <w:szCs w:val="18"/>
              </w:rPr>
            </w:pPr>
          </w:p>
        </w:tc>
        <w:tc>
          <w:tcPr>
            <w:tcW w:w="1790" w:type="dxa"/>
            <w:vMerge/>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10694BFA" w14:textId="550B828E" w:rsidR="0082723D" w:rsidRPr="00FC23E4" w:rsidRDefault="0082723D" w:rsidP="0082723D">
            <w:pPr>
              <w:spacing w:before="120" w:after="120"/>
              <w:jc w:val="center"/>
              <w:rPr>
                <w:rFonts w:cs="Arial"/>
                <w:b/>
                <w:bCs/>
                <w:color w:val="FFFFFF" w:themeColor="background2"/>
                <w:szCs w:val="18"/>
              </w:rPr>
            </w:pPr>
          </w:p>
        </w:tc>
        <w:tc>
          <w:tcPr>
            <w:tcW w:w="1235" w:type="dxa"/>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32946AB9" w14:textId="0A3FC205" w:rsidR="0082723D" w:rsidRPr="00FC23E4" w:rsidRDefault="0082723D" w:rsidP="0082723D">
            <w:pPr>
              <w:spacing w:before="120" w:after="120"/>
              <w:jc w:val="center"/>
              <w:rPr>
                <w:rFonts w:cs="Arial"/>
                <w:b/>
                <w:bCs/>
                <w:color w:val="FFFFFF" w:themeColor="background2"/>
                <w:szCs w:val="18"/>
              </w:rPr>
            </w:pPr>
            <w:r w:rsidRPr="00FC23E4">
              <w:rPr>
                <w:rFonts w:cs="Arial"/>
                <w:b/>
                <w:bCs/>
                <w:color w:val="FFFFFF" w:themeColor="background2"/>
                <w:szCs w:val="18"/>
              </w:rPr>
              <w:t>A</w:t>
            </w:r>
            <w:r>
              <w:rPr>
                <w:rFonts w:cs="Arial"/>
                <w:b/>
                <w:bCs/>
                <w:color w:val="FFFFFF" w:themeColor="background2"/>
                <w:szCs w:val="18"/>
              </w:rPr>
              <w:t>ll episodes</w:t>
            </w:r>
          </w:p>
        </w:tc>
        <w:tc>
          <w:tcPr>
            <w:tcW w:w="1501" w:type="dxa"/>
            <w:tcBorders>
              <w:left w:val="single" w:sz="4" w:space="0" w:color="FFFFFF" w:themeColor="background2"/>
              <w:bottom w:val="single" w:sz="4" w:space="0" w:color="808080" w:themeColor="background2" w:themeShade="80"/>
              <w:right w:val="single" w:sz="4" w:space="0" w:color="808080" w:themeColor="background2" w:themeShade="80"/>
            </w:tcBorders>
            <w:shd w:val="clear" w:color="auto" w:fill="104F99" w:themeFill="accent2"/>
            <w:vAlign w:val="center"/>
          </w:tcPr>
          <w:p w14:paraId="02CEF7D4" w14:textId="6A168FAF" w:rsidR="0082723D" w:rsidRPr="00FC23E4" w:rsidRDefault="0082723D" w:rsidP="0082723D">
            <w:pPr>
              <w:spacing w:before="120" w:after="120"/>
              <w:jc w:val="center"/>
              <w:rPr>
                <w:rFonts w:cs="Arial"/>
                <w:b/>
                <w:bCs/>
                <w:color w:val="FFFFFF" w:themeColor="background2"/>
                <w:szCs w:val="18"/>
                <w:lang w:val="en-US"/>
              </w:rPr>
            </w:pPr>
            <w:r>
              <w:rPr>
                <w:rFonts w:cs="Arial"/>
                <w:b/>
                <w:bCs/>
                <w:color w:val="FFFFFF" w:themeColor="background2"/>
                <w:szCs w:val="18"/>
                <w:lang w:val="en-US"/>
              </w:rPr>
              <w:t>E</w:t>
            </w:r>
            <w:r w:rsidRPr="00FC23E4">
              <w:rPr>
                <w:rFonts w:cs="Arial"/>
                <w:b/>
                <w:bCs/>
                <w:color w:val="FFFFFF" w:themeColor="background2"/>
                <w:szCs w:val="18"/>
                <w:lang w:val="en-US"/>
              </w:rPr>
              <w:t>pisode</w:t>
            </w:r>
            <w:r>
              <w:rPr>
                <w:rFonts w:cs="Arial"/>
                <w:b/>
                <w:bCs/>
                <w:color w:val="FFFFFF" w:themeColor="background2"/>
                <w:szCs w:val="18"/>
                <w:lang w:val="en-US"/>
              </w:rPr>
              <w:t>s</w:t>
            </w:r>
            <w:r w:rsidRPr="00FC23E4">
              <w:rPr>
                <w:rFonts w:cs="Arial"/>
                <w:b/>
                <w:bCs/>
                <w:color w:val="FFFFFF" w:themeColor="background2"/>
                <w:szCs w:val="18"/>
                <w:lang w:val="en-US"/>
              </w:rPr>
              <w:t xml:space="preserve"> with GUI</w:t>
            </w:r>
            <w:r>
              <w:rPr>
                <w:rFonts w:cs="Arial"/>
                <w:b/>
                <w:bCs/>
                <w:color w:val="FFFFFF" w:themeColor="background2"/>
                <w:szCs w:val="18"/>
                <w:lang w:val="en-US"/>
              </w:rPr>
              <w:t>s charged</w:t>
            </w:r>
          </w:p>
        </w:tc>
      </w:tr>
      <w:tr w:rsidR="001A2A82" w:rsidRPr="00FC23E4" w14:paraId="5A93F9BF" w14:textId="77777777" w:rsidTr="00D44498">
        <w:trPr>
          <w:cnfStyle w:val="000000100000" w:firstRow="0" w:lastRow="0" w:firstColumn="0" w:lastColumn="0" w:oddVBand="0" w:evenVBand="0" w:oddHBand="1" w:evenHBand="0" w:firstRowFirstColumn="0" w:firstRowLastColumn="0" w:lastRowFirstColumn="0" w:lastRowLastColumn="0"/>
          <w:cantSplit/>
          <w:trHeight w:val="20"/>
        </w:trPr>
        <w:tc>
          <w:tcPr>
            <w:tcW w:w="168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5DA49DF0" w14:textId="77777777" w:rsidR="00626280" w:rsidRPr="00FC23E4" w:rsidRDefault="00626280" w:rsidP="008919D7">
            <w:pPr>
              <w:spacing w:before="120" w:after="120"/>
              <w:rPr>
                <w:rFonts w:cs="Arial"/>
                <w:color w:val="000000"/>
                <w:sz w:val="18"/>
                <w:szCs w:val="18"/>
                <w:lang w:val="en-US"/>
              </w:rPr>
            </w:pPr>
            <w:r w:rsidRPr="00FC23E4">
              <w:rPr>
                <w:rFonts w:cs="Arial"/>
                <w:color w:val="000000"/>
                <w:sz w:val="18"/>
                <w:szCs w:val="18"/>
                <w:lang w:val="en-US"/>
              </w:rPr>
              <w:t>Major Laparoscopic Bariatric Interventions (K11)</w:t>
            </w:r>
          </w:p>
        </w:tc>
        <w:tc>
          <w:tcPr>
            <w:tcW w:w="98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F4BECC3" w14:textId="77777777" w:rsidR="00626280" w:rsidRPr="00FC23E4" w:rsidRDefault="00626280" w:rsidP="004722BB">
            <w:pPr>
              <w:spacing w:before="120" w:after="120"/>
              <w:jc w:val="right"/>
              <w:rPr>
                <w:rFonts w:cs="Arial"/>
                <w:color w:val="1C1C1C"/>
                <w:sz w:val="18"/>
                <w:szCs w:val="18"/>
              </w:rPr>
            </w:pPr>
            <w:r w:rsidRPr="00FC23E4">
              <w:rPr>
                <w:rFonts w:cs="Arial"/>
                <w:color w:val="1C1C1C"/>
                <w:sz w:val="18"/>
                <w:szCs w:val="18"/>
              </w:rPr>
              <w:t>$53.5m</w:t>
            </w:r>
          </w:p>
        </w:tc>
        <w:tc>
          <w:tcPr>
            <w:tcW w:w="106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EC6AFE1" w14:textId="77777777" w:rsidR="00626280" w:rsidRPr="00FC23E4" w:rsidRDefault="00626280" w:rsidP="00CC6D1C">
            <w:pPr>
              <w:spacing w:before="120" w:after="120"/>
              <w:jc w:val="right"/>
              <w:rPr>
                <w:rFonts w:cs="Arial"/>
                <w:color w:val="1C1C1C"/>
                <w:sz w:val="18"/>
                <w:szCs w:val="18"/>
              </w:rPr>
            </w:pPr>
            <w:r w:rsidRPr="00FC23E4">
              <w:rPr>
                <w:rFonts w:cs="Arial"/>
                <w:color w:val="1C1C1C"/>
                <w:sz w:val="18"/>
                <w:szCs w:val="18"/>
              </w:rPr>
              <w:t>15,558</w:t>
            </w:r>
          </w:p>
        </w:tc>
        <w:tc>
          <w:tcPr>
            <w:tcW w:w="149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7565009" w14:textId="77777777" w:rsidR="00626280" w:rsidRPr="00FC23E4" w:rsidRDefault="00626280" w:rsidP="00CC6D1C">
            <w:pPr>
              <w:spacing w:before="120" w:after="120"/>
              <w:jc w:val="right"/>
              <w:rPr>
                <w:rFonts w:cs="Arial"/>
                <w:color w:val="1C1C1C"/>
                <w:sz w:val="18"/>
                <w:szCs w:val="18"/>
              </w:rPr>
            </w:pPr>
            <w:r w:rsidRPr="00FC23E4">
              <w:rPr>
                <w:rFonts w:cs="Arial"/>
                <w:color w:val="1C1C1C"/>
                <w:sz w:val="18"/>
                <w:szCs w:val="18"/>
              </w:rPr>
              <w:t>96%</w:t>
            </w:r>
          </w:p>
        </w:tc>
        <w:tc>
          <w:tcPr>
            <w:tcW w:w="179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5494881" w14:textId="77777777" w:rsidR="00626280" w:rsidRPr="00FC23E4" w:rsidRDefault="00626280" w:rsidP="00CC6D1C">
            <w:pPr>
              <w:spacing w:before="120" w:after="120"/>
              <w:jc w:val="right"/>
              <w:rPr>
                <w:rFonts w:cs="Arial"/>
                <w:color w:val="1C1C1C"/>
                <w:sz w:val="18"/>
                <w:szCs w:val="18"/>
              </w:rPr>
            </w:pPr>
            <w:r w:rsidRPr="00FC23E4">
              <w:rPr>
                <w:rFonts w:cs="Arial"/>
                <w:color w:val="1C1C1C"/>
                <w:sz w:val="18"/>
                <w:szCs w:val="18"/>
              </w:rPr>
              <w:t>98%</w:t>
            </w:r>
          </w:p>
        </w:tc>
        <w:tc>
          <w:tcPr>
            <w:tcW w:w="1235"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76F5189" w14:textId="77777777" w:rsidR="00626280" w:rsidRPr="00FC23E4" w:rsidRDefault="00626280" w:rsidP="00CC6D1C">
            <w:pPr>
              <w:spacing w:before="120" w:after="120"/>
              <w:jc w:val="right"/>
              <w:rPr>
                <w:rFonts w:cs="Arial"/>
                <w:color w:val="1C1C1C"/>
                <w:sz w:val="18"/>
                <w:szCs w:val="18"/>
              </w:rPr>
            </w:pPr>
            <w:r w:rsidRPr="00FC23E4">
              <w:rPr>
                <w:rFonts w:cs="Arial"/>
                <w:color w:val="1C1C1C"/>
                <w:sz w:val="18"/>
                <w:szCs w:val="18"/>
              </w:rPr>
              <w:t>$3,297</w:t>
            </w:r>
          </w:p>
        </w:tc>
        <w:tc>
          <w:tcPr>
            <w:tcW w:w="150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497B1FC" w14:textId="77777777" w:rsidR="00626280" w:rsidRPr="00FC23E4" w:rsidRDefault="00626280">
            <w:pPr>
              <w:spacing w:before="120" w:after="120"/>
              <w:jc w:val="right"/>
              <w:rPr>
                <w:rFonts w:cs="Arial"/>
                <w:color w:val="1C1C1C"/>
                <w:sz w:val="18"/>
                <w:szCs w:val="18"/>
              </w:rPr>
            </w:pPr>
            <w:r w:rsidRPr="00FC23E4">
              <w:rPr>
                <w:rFonts w:cs="Arial"/>
                <w:color w:val="1C1C1C"/>
                <w:sz w:val="18"/>
                <w:szCs w:val="18"/>
              </w:rPr>
              <w:t>$3,431</w:t>
            </w:r>
          </w:p>
        </w:tc>
      </w:tr>
      <w:tr w:rsidR="001A2A82" w:rsidRPr="00FC23E4" w14:paraId="3F703F21" w14:textId="77777777" w:rsidTr="00D44498">
        <w:trPr>
          <w:cnfStyle w:val="000000010000" w:firstRow="0" w:lastRow="0" w:firstColumn="0" w:lastColumn="0" w:oddVBand="0" w:evenVBand="0" w:oddHBand="0" w:evenHBand="1" w:firstRowFirstColumn="0" w:firstRowLastColumn="0" w:lastRowFirstColumn="0" w:lastRowLastColumn="0"/>
          <w:cantSplit/>
          <w:trHeight w:val="20"/>
        </w:trPr>
        <w:tc>
          <w:tcPr>
            <w:tcW w:w="168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79E0EF1F" w14:textId="77777777" w:rsidR="00626280" w:rsidRPr="00FC23E4" w:rsidRDefault="00626280" w:rsidP="008919D7">
            <w:pPr>
              <w:spacing w:before="120" w:after="120"/>
              <w:rPr>
                <w:rFonts w:cs="Arial"/>
                <w:color w:val="000000"/>
                <w:sz w:val="18"/>
                <w:szCs w:val="18"/>
                <w:lang w:val="en-US"/>
              </w:rPr>
            </w:pPr>
            <w:r w:rsidRPr="00FC23E4">
              <w:rPr>
                <w:rFonts w:cs="Arial"/>
                <w:color w:val="000000"/>
                <w:sz w:val="18"/>
                <w:szCs w:val="18"/>
                <w:lang w:val="en-US"/>
              </w:rPr>
              <w:t>Knee Replacement (I04)</w:t>
            </w:r>
          </w:p>
        </w:tc>
        <w:tc>
          <w:tcPr>
            <w:tcW w:w="98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5427731" w14:textId="77777777" w:rsidR="00626280" w:rsidRPr="00FC23E4" w:rsidRDefault="00626280" w:rsidP="004722BB">
            <w:pPr>
              <w:spacing w:before="120" w:after="120"/>
              <w:jc w:val="right"/>
              <w:rPr>
                <w:rFonts w:cs="Arial"/>
                <w:color w:val="1C1C1C"/>
                <w:sz w:val="18"/>
                <w:szCs w:val="18"/>
              </w:rPr>
            </w:pPr>
            <w:r w:rsidRPr="00FC23E4">
              <w:rPr>
                <w:rFonts w:cs="Arial"/>
                <w:color w:val="1C1C1C"/>
                <w:sz w:val="18"/>
                <w:szCs w:val="18"/>
              </w:rPr>
              <w:t>$8.2m</w:t>
            </w:r>
          </w:p>
        </w:tc>
        <w:tc>
          <w:tcPr>
            <w:tcW w:w="106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1E36141" w14:textId="77777777" w:rsidR="00626280" w:rsidRPr="00FC23E4" w:rsidRDefault="00626280" w:rsidP="00CC6D1C">
            <w:pPr>
              <w:spacing w:before="120" w:after="120"/>
              <w:jc w:val="right"/>
              <w:rPr>
                <w:rFonts w:cs="Arial"/>
                <w:color w:val="1C1C1C"/>
                <w:sz w:val="18"/>
                <w:szCs w:val="18"/>
              </w:rPr>
            </w:pPr>
            <w:r w:rsidRPr="00FC23E4">
              <w:rPr>
                <w:rFonts w:cs="Arial"/>
                <w:color w:val="1C1C1C"/>
                <w:sz w:val="18"/>
                <w:szCs w:val="18"/>
              </w:rPr>
              <w:t>22,974</w:t>
            </w:r>
          </w:p>
        </w:tc>
        <w:tc>
          <w:tcPr>
            <w:tcW w:w="149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B16B4E9" w14:textId="77777777" w:rsidR="00626280" w:rsidRPr="00FC23E4" w:rsidRDefault="00626280" w:rsidP="00CC6D1C">
            <w:pPr>
              <w:spacing w:before="120" w:after="120"/>
              <w:jc w:val="right"/>
              <w:rPr>
                <w:rFonts w:cs="Arial"/>
                <w:color w:val="1C1C1C"/>
                <w:sz w:val="18"/>
                <w:szCs w:val="18"/>
              </w:rPr>
            </w:pPr>
            <w:r w:rsidRPr="00FC23E4">
              <w:rPr>
                <w:rFonts w:cs="Arial"/>
                <w:color w:val="1C1C1C"/>
                <w:sz w:val="18"/>
                <w:szCs w:val="18"/>
              </w:rPr>
              <w:t>64%</w:t>
            </w:r>
          </w:p>
        </w:tc>
        <w:tc>
          <w:tcPr>
            <w:tcW w:w="179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1270E43" w14:textId="77777777" w:rsidR="00626280" w:rsidRPr="00FC23E4" w:rsidRDefault="00626280" w:rsidP="00CC6D1C">
            <w:pPr>
              <w:spacing w:before="120" w:after="120"/>
              <w:jc w:val="right"/>
              <w:rPr>
                <w:rFonts w:cs="Arial"/>
                <w:color w:val="1C1C1C"/>
                <w:sz w:val="18"/>
                <w:szCs w:val="18"/>
              </w:rPr>
            </w:pPr>
            <w:r w:rsidRPr="00FC23E4">
              <w:rPr>
                <w:rFonts w:cs="Arial"/>
                <w:color w:val="1C1C1C"/>
                <w:sz w:val="18"/>
                <w:szCs w:val="18"/>
              </w:rPr>
              <w:t>78%</w:t>
            </w:r>
          </w:p>
        </w:tc>
        <w:tc>
          <w:tcPr>
            <w:tcW w:w="1235"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25ADBFB" w14:textId="77777777" w:rsidR="00626280" w:rsidRPr="00FC23E4" w:rsidRDefault="00626280" w:rsidP="00CC6D1C">
            <w:pPr>
              <w:spacing w:before="120" w:after="120"/>
              <w:jc w:val="right"/>
              <w:rPr>
                <w:rFonts w:cs="Arial"/>
                <w:color w:val="1C1C1C"/>
                <w:sz w:val="18"/>
                <w:szCs w:val="18"/>
              </w:rPr>
            </w:pPr>
            <w:r w:rsidRPr="00FC23E4">
              <w:rPr>
                <w:rFonts w:cs="Arial"/>
                <w:color w:val="1C1C1C"/>
                <w:sz w:val="18"/>
                <w:szCs w:val="18"/>
              </w:rPr>
              <w:t>$230</w:t>
            </w:r>
          </w:p>
        </w:tc>
        <w:tc>
          <w:tcPr>
            <w:tcW w:w="150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2B61C81" w14:textId="77777777" w:rsidR="00626280" w:rsidRPr="00FC23E4" w:rsidRDefault="00626280">
            <w:pPr>
              <w:spacing w:before="120" w:after="120"/>
              <w:jc w:val="right"/>
              <w:rPr>
                <w:rFonts w:cs="Arial"/>
                <w:color w:val="1C1C1C"/>
                <w:sz w:val="18"/>
                <w:szCs w:val="18"/>
              </w:rPr>
            </w:pPr>
            <w:r w:rsidRPr="00FC23E4">
              <w:rPr>
                <w:rFonts w:cs="Arial"/>
                <w:color w:val="1C1C1C"/>
                <w:sz w:val="18"/>
                <w:szCs w:val="18"/>
              </w:rPr>
              <w:t>$358</w:t>
            </w:r>
          </w:p>
        </w:tc>
      </w:tr>
      <w:tr w:rsidR="001A2A82" w:rsidRPr="00FC23E4" w14:paraId="6F455A06" w14:textId="77777777" w:rsidTr="00D44498">
        <w:trPr>
          <w:cnfStyle w:val="000000100000" w:firstRow="0" w:lastRow="0" w:firstColumn="0" w:lastColumn="0" w:oddVBand="0" w:evenVBand="0" w:oddHBand="1" w:evenHBand="0" w:firstRowFirstColumn="0" w:firstRowLastColumn="0" w:lastRowFirstColumn="0" w:lastRowLastColumn="0"/>
          <w:cantSplit/>
          <w:trHeight w:val="20"/>
        </w:trPr>
        <w:tc>
          <w:tcPr>
            <w:tcW w:w="168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5032ACA7" w14:textId="77777777" w:rsidR="00626280" w:rsidRPr="00FC23E4" w:rsidRDefault="00626280" w:rsidP="008919D7">
            <w:pPr>
              <w:spacing w:before="120" w:after="120"/>
              <w:rPr>
                <w:rFonts w:cs="Arial"/>
                <w:color w:val="000000"/>
                <w:sz w:val="18"/>
                <w:szCs w:val="18"/>
                <w:lang w:val="en-US"/>
              </w:rPr>
            </w:pPr>
            <w:r w:rsidRPr="00FC23E4">
              <w:rPr>
                <w:rFonts w:cs="Arial"/>
                <w:color w:val="000000"/>
                <w:sz w:val="18"/>
                <w:szCs w:val="18"/>
                <w:lang w:val="en-US"/>
              </w:rPr>
              <w:t>Hernia Interventions (G10)</w:t>
            </w:r>
          </w:p>
        </w:tc>
        <w:tc>
          <w:tcPr>
            <w:tcW w:w="98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3167070" w14:textId="77777777" w:rsidR="00626280" w:rsidRPr="00FC23E4" w:rsidRDefault="00626280" w:rsidP="004722BB">
            <w:pPr>
              <w:spacing w:before="120" w:after="120"/>
              <w:jc w:val="right"/>
              <w:rPr>
                <w:rFonts w:cs="Arial"/>
                <w:color w:val="1C1C1C"/>
                <w:sz w:val="18"/>
                <w:szCs w:val="18"/>
              </w:rPr>
            </w:pPr>
            <w:r w:rsidRPr="00FC23E4">
              <w:rPr>
                <w:rFonts w:cs="Arial"/>
                <w:color w:val="1C1C1C"/>
                <w:sz w:val="18"/>
                <w:szCs w:val="18"/>
              </w:rPr>
              <w:t>$7.9m</w:t>
            </w:r>
          </w:p>
        </w:tc>
        <w:tc>
          <w:tcPr>
            <w:tcW w:w="106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EE4567F" w14:textId="77777777" w:rsidR="00626280" w:rsidRPr="00FC23E4" w:rsidRDefault="00626280" w:rsidP="00CC6D1C">
            <w:pPr>
              <w:spacing w:before="120" w:after="120"/>
              <w:jc w:val="right"/>
              <w:rPr>
                <w:rFonts w:cs="Arial"/>
                <w:color w:val="1C1C1C"/>
                <w:sz w:val="18"/>
                <w:szCs w:val="18"/>
              </w:rPr>
            </w:pPr>
            <w:r w:rsidRPr="00FC23E4">
              <w:rPr>
                <w:rFonts w:cs="Arial"/>
                <w:color w:val="1C1C1C"/>
                <w:sz w:val="18"/>
                <w:szCs w:val="18"/>
              </w:rPr>
              <w:t>14,767</w:t>
            </w:r>
          </w:p>
        </w:tc>
        <w:tc>
          <w:tcPr>
            <w:tcW w:w="149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8D72FDD" w14:textId="77777777" w:rsidR="00626280" w:rsidRPr="00FC23E4" w:rsidRDefault="00626280" w:rsidP="00CC6D1C">
            <w:pPr>
              <w:spacing w:before="120" w:after="120"/>
              <w:jc w:val="right"/>
              <w:rPr>
                <w:rFonts w:cs="Arial"/>
                <w:color w:val="1C1C1C"/>
                <w:sz w:val="18"/>
                <w:szCs w:val="18"/>
              </w:rPr>
            </w:pPr>
            <w:r w:rsidRPr="00FC23E4">
              <w:rPr>
                <w:rFonts w:cs="Arial"/>
                <w:color w:val="1C1C1C"/>
                <w:sz w:val="18"/>
                <w:szCs w:val="18"/>
              </w:rPr>
              <w:t>46%</w:t>
            </w:r>
          </w:p>
        </w:tc>
        <w:tc>
          <w:tcPr>
            <w:tcW w:w="179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253F013" w14:textId="77777777" w:rsidR="00626280" w:rsidRPr="00FC23E4" w:rsidRDefault="00626280" w:rsidP="00CC6D1C">
            <w:pPr>
              <w:spacing w:before="120" w:after="120"/>
              <w:jc w:val="right"/>
              <w:rPr>
                <w:rFonts w:cs="Arial"/>
                <w:color w:val="1C1C1C"/>
                <w:sz w:val="18"/>
                <w:szCs w:val="18"/>
              </w:rPr>
            </w:pPr>
            <w:r w:rsidRPr="00FC23E4">
              <w:rPr>
                <w:rFonts w:cs="Arial"/>
                <w:color w:val="1C1C1C"/>
                <w:sz w:val="18"/>
                <w:szCs w:val="18"/>
              </w:rPr>
              <w:t>66%</w:t>
            </w:r>
          </w:p>
        </w:tc>
        <w:tc>
          <w:tcPr>
            <w:tcW w:w="1235"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92DEAFC" w14:textId="77777777" w:rsidR="00626280" w:rsidRPr="00FC23E4" w:rsidRDefault="00626280" w:rsidP="00CC6D1C">
            <w:pPr>
              <w:spacing w:before="120" w:after="120"/>
              <w:jc w:val="right"/>
              <w:rPr>
                <w:rFonts w:cs="Arial"/>
                <w:color w:val="1C1C1C"/>
                <w:sz w:val="18"/>
                <w:szCs w:val="18"/>
              </w:rPr>
            </w:pPr>
            <w:r w:rsidRPr="00FC23E4">
              <w:rPr>
                <w:rFonts w:cs="Arial"/>
                <w:color w:val="1C1C1C"/>
                <w:sz w:val="18"/>
                <w:szCs w:val="18"/>
              </w:rPr>
              <w:t>$246</w:t>
            </w:r>
          </w:p>
        </w:tc>
        <w:tc>
          <w:tcPr>
            <w:tcW w:w="150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19C9679" w14:textId="77777777" w:rsidR="00626280" w:rsidRPr="00FC23E4" w:rsidRDefault="00626280">
            <w:pPr>
              <w:spacing w:before="120" w:after="120"/>
              <w:jc w:val="right"/>
              <w:rPr>
                <w:rFonts w:cs="Arial"/>
                <w:color w:val="1C1C1C"/>
                <w:sz w:val="18"/>
                <w:szCs w:val="18"/>
              </w:rPr>
            </w:pPr>
            <w:r w:rsidRPr="00FC23E4">
              <w:rPr>
                <w:rFonts w:cs="Arial"/>
                <w:color w:val="1C1C1C"/>
                <w:sz w:val="18"/>
                <w:szCs w:val="18"/>
              </w:rPr>
              <w:t>$535</w:t>
            </w:r>
          </w:p>
        </w:tc>
      </w:tr>
      <w:tr w:rsidR="001A2A82" w:rsidRPr="00FC23E4" w14:paraId="440B7B61" w14:textId="77777777" w:rsidTr="00D44498">
        <w:trPr>
          <w:cnfStyle w:val="000000010000" w:firstRow="0" w:lastRow="0" w:firstColumn="0" w:lastColumn="0" w:oddVBand="0" w:evenVBand="0" w:oddHBand="0" w:evenHBand="1" w:firstRowFirstColumn="0" w:firstRowLastColumn="0" w:lastRowFirstColumn="0" w:lastRowLastColumn="0"/>
          <w:cantSplit/>
          <w:trHeight w:val="20"/>
        </w:trPr>
        <w:tc>
          <w:tcPr>
            <w:tcW w:w="168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529B8F9E" w14:textId="77777777" w:rsidR="00626280" w:rsidRPr="00FC23E4" w:rsidRDefault="00626280" w:rsidP="008919D7">
            <w:pPr>
              <w:spacing w:before="120" w:after="120"/>
              <w:rPr>
                <w:rFonts w:cs="Arial"/>
                <w:color w:val="000000"/>
                <w:sz w:val="18"/>
                <w:szCs w:val="18"/>
                <w:lang w:val="en-US"/>
              </w:rPr>
            </w:pPr>
            <w:r w:rsidRPr="00FC23E4">
              <w:rPr>
                <w:rFonts w:cs="Arial"/>
                <w:color w:val="000000"/>
                <w:sz w:val="18"/>
                <w:szCs w:val="18"/>
                <w:lang w:val="en-US"/>
              </w:rPr>
              <w:t>Spinal Fusion (I09)</w:t>
            </w:r>
          </w:p>
        </w:tc>
        <w:tc>
          <w:tcPr>
            <w:tcW w:w="98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4E173F2" w14:textId="77777777" w:rsidR="00626280" w:rsidRPr="00FC23E4" w:rsidRDefault="00626280" w:rsidP="004722BB">
            <w:pPr>
              <w:spacing w:before="120" w:after="120"/>
              <w:jc w:val="right"/>
              <w:rPr>
                <w:rFonts w:cs="Arial"/>
                <w:color w:val="1C1C1C"/>
                <w:sz w:val="18"/>
                <w:szCs w:val="18"/>
              </w:rPr>
            </w:pPr>
            <w:r w:rsidRPr="00FC23E4">
              <w:rPr>
                <w:rFonts w:cs="Arial"/>
                <w:color w:val="1C1C1C"/>
                <w:sz w:val="18"/>
                <w:szCs w:val="18"/>
              </w:rPr>
              <w:t>$7.5m</w:t>
            </w:r>
          </w:p>
        </w:tc>
        <w:tc>
          <w:tcPr>
            <w:tcW w:w="106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829D2B2" w14:textId="77777777" w:rsidR="00626280" w:rsidRPr="00FC23E4" w:rsidRDefault="00626280" w:rsidP="00CC6D1C">
            <w:pPr>
              <w:spacing w:before="120" w:after="120"/>
              <w:jc w:val="right"/>
              <w:rPr>
                <w:rFonts w:cs="Arial"/>
                <w:color w:val="1C1C1C"/>
                <w:sz w:val="18"/>
                <w:szCs w:val="18"/>
              </w:rPr>
            </w:pPr>
            <w:r w:rsidRPr="00FC23E4">
              <w:rPr>
                <w:rFonts w:cs="Arial"/>
                <w:color w:val="1C1C1C"/>
                <w:sz w:val="18"/>
                <w:szCs w:val="18"/>
              </w:rPr>
              <w:t>9,057</w:t>
            </w:r>
          </w:p>
        </w:tc>
        <w:tc>
          <w:tcPr>
            <w:tcW w:w="149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784D0F5" w14:textId="77777777" w:rsidR="00626280" w:rsidRPr="00FC23E4" w:rsidRDefault="00626280" w:rsidP="00CC6D1C">
            <w:pPr>
              <w:spacing w:before="120" w:after="120"/>
              <w:jc w:val="right"/>
              <w:rPr>
                <w:rFonts w:cs="Arial"/>
                <w:color w:val="1C1C1C"/>
                <w:sz w:val="18"/>
                <w:szCs w:val="18"/>
              </w:rPr>
            </w:pPr>
            <w:r w:rsidRPr="00FC23E4">
              <w:rPr>
                <w:rFonts w:cs="Arial"/>
                <w:color w:val="1C1C1C"/>
                <w:sz w:val="18"/>
                <w:szCs w:val="18"/>
              </w:rPr>
              <w:t>89%</w:t>
            </w:r>
          </w:p>
        </w:tc>
        <w:tc>
          <w:tcPr>
            <w:tcW w:w="179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D50F5C3" w14:textId="77777777" w:rsidR="00626280" w:rsidRPr="00FC23E4" w:rsidRDefault="00626280" w:rsidP="00CC6D1C">
            <w:pPr>
              <w:spacing w:before="120" w:after="120"/>
              <w:jc w:val="right"/>
              <w:rPr>
                <w:rFonts w:cs="Arial"/>
                <w:color w:val="1C1C1C"/>
                <w:sz w:val="18"/>
                <w:szCs w:val="18"/>
              </w:rPr>
            </w:pPr>
            <w:r w:rsidRPr="00FC23E4">
              <w:rPr>
                <w:rFonts w:cs="Arial"/>
                <w:color w:val="1C1C1C"/>
                <w:sz w:val="18"/>
                <w:szCs w:val="18"/>
              </w:rPr>
              <w:t>93%</w:t>
            </w:r>
          </w:p>
        </w:tc>
        <w:tc>
          <w:tcPr>
            <w:tcW w:w="1235"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5F0FA80" w14:textId="77777777" w:rsidR="00626280" w:rsidRPr="00FC23E4" w:rsidRDefault="00626280" w:rsidP="00CC6D1C">
            <w:pPr>
              <w:spacing w:before="120" w:after="120"/>
              <w:jc w:val="right"/>
              <w:rPr>
                <w:rFonts w:cs="Arial"/>
                <w:color w:val="1C1C1C"/>
                <w:sz w:val="18"/>
                <w:szCs w:val="18"/>
              </w:rPr>
            </w:pPr>
            <w:r w:rsidRPr="00FC23E4">
              <w:rPr>
                <w:rFonts w:cs="Arial"/>
                <w:color w:val="1C1C1C"/>
                <w:sz w:val="18"/>
                <w:szCs w:val="18"/>
              </w:rPr>
              <w:t>$734</w:t>
            </w:r>
          </w:p>
        </w:tc>
        <w:tc>
          <w:tcPr>
            <w:tcW w:w="150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8C6F756" w14:textId="77777777" w:rsidR="00626280" w:rsidRPr="00FC23E4" w:rsidRDefault="00626280">
            <w:pPr>
              <w:spacing w:before="120" w:after="120"/>
              <w:jc w:val="right"/>
              <w:rPr>
                <w:rFonts w:cs="Arial"/>
                <w:color w:val="1C1C1C"/>
                <w:sz w:val="18"/>
                <w:szCs w:val="18"/>
              </w:rPr>
            </w:pPr>
            <w:r w:rsidRPr="00FC23E4">
              <w:rPr>
                <w:rFonts w:cs="Arial"/>
                <w:color w:val="1C1C1C"/>
                <w:sz w:val="18"/>
                <w:szCs w:val="18"/>
              </w:rPr>
              <w:t>$823</w:t>
            </w:r>
          </w:p>
        </w:tc>
      </w:tr>
      <w:tr w:rsidR="001A2A82" w:rsidRPr="00FC23E4" w14:paraId="3D645485" w14:textId="77777777" w:rsidTr="00D44498">
        <w:trPr>
          <w:cnfStyle w:val="000000100000" w:firstRow="0" w:lastRow="0" w:firstColumn="0" w:lastColumn="0" w:oddVBand="0" w:evenVBand="0" w:oddHBand="1" w:evenHBand="0" w:firstRowFirstColumn="0" w:firstRowLastColumn="0" w:lastRowFirstColumn="0" w:lastRowLastColumn="0"/>
          <w:cantSplit/>
          <w:trHeight w:val="20"/>
        </w:trPr>
        <w:tc>
          <w:tcPr>
            <w:tcW w:w="168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0789099D" w14:textId="77777777" w:rsidR="00626280" w:rsidRPr="00FC23E4" w:rsidRDefault="00626280" w:rsidP="008919D7">
            <w:pPr>
              <w:spacing w:before="120" w:after="120"/>
              <w:rPr>
                <w:rFonts w:cs="Arial"/>
                <w:color w:val="000000"/>
                <w:sz w:val="18"/>
                <w:szCs w:val="18"/>
                <w:lang w:val="en-US"/>
              </w:rPr>
            </w:pPr>
            <w:r w:rsidRPr="00FC23E4">
              <w:rPr>
                <w:rFonts w:cs="Arial"/>
                <w:color w:val="000000"/>
                <w:sz w:val="18"/>
                <w:szCs w:val="18"/>
                <w:lang w:val="en-US"/>
              </w:rPr>
              <w:t>Major Small and Large Bowel Interventions (G02)</w:t>
            </w:r>
          </w:p>
        </w:tc>
        <w:tc>
          <w:tcPr>
            <w:tcW w:w="98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F42898D" w14:textId="77777777" w:rsidR="00626280" w:rsidRPr="00FC23E4" w:rsidRDefault="00626280" w:rsidP="004722BB">
            <w:pPr>
              <w:spacing w:before="120" w:after="120"/>
              <w:jc w:val="right"/>
              <w:rPr>
                <w:rFonts w:cs="Arial"/>
                <w:color w:val="1C1C1C"/>
                <w:sz w:val="18"/>
                <w:szCs w:val="18"/>
              </w:rPr>
            </w:pPr>
            <w:r w:rsidRPr="00FC23E4">
              <w:rPr>
                <w:rFonts w:cs="Arial"/>
                <w:color w:val="1C1C1C"/>
                <w:sz w:val="18"/>
                <w:szCs w:val="18"/>
              </w:rPr>
              <w:t>$7.0m</w:t>
            </w:r>
          </w:p>
        </w:tc>
        <w:tc>
          <w:tcPr>
            <w:tcW w:w="106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6A3C4EF" w14:textId="77777777" w:rsidR="00626280" w:rsidRPr="00FC23E4" w:rsidRDefault="00626280" w:rsidP="00CC6D1C">
            <w:pPr>
              <w:spacing w:before="120" w:after="120"/>
              <w:jc w:val="right"/>
              <w:rPr>
                <w:rFonts w:cs="Arial"/>
                <w:color w:val="1C1C1C"/>
                <w:sz w:val="18"/>
                <w:szCs w:val="18"/>
              </w:rPr>
            </w:pPr>
            <w:r w:rsidRPr="00FC23E4">
              <w:rPr>
                <w:rFonts w:cs="Arial"/>
                <w:color w:val="1C1C1C"/>
                <w:sz w:val="18"/>
                <w:szCs w:val="18"/>
              </w:rPr>
              <w:t>6,578</w:t>
            </w:r>
          </w:p>
        </w:tc>
        <w:tc>
          <w:tcPr>
            <w:tcW w:w="1492"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3C6CF13" w14:textId="77777777" w:rsidR="00626280" w:rsidRPr="00FC23E4" w:rsidRDefault="00626280" w:rsidP="00CC6D1C">
            <w:pPr>
              <w:spacing w:before="120" w:after="120"/>
              <w:jc w:val="right"/>
              <w:rPr>
                <w:rFonts w:cs="Arial"/>
                <w:color w:val="1C1C1C"/>
                <w:sz w:val="18"/>
                <w:szCs w:val="18"/>
              </w:rPr>
            </w:pPr>
            <w:r w:rsidRPr="00FC23E4">
              <w:rPr>
                <w:rFonts w:cs="Arial"/>
                <w:color w:val="1C1C1C"/>
                <w:sz w:val="18"/>
                <w:szCs w:val="18"/>
              </w:rPr>
              <w:t>72%</w:t>
            </w:r>
          </w:p>
        </w:tc>
        <w:tc>
          <w:tcPr>
            <w:tcW w:w="179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D030C55" w14:textId="77777777" w:rsidR="00626280" w:rsidRPr="00FC23E4" w:rsidRDefault="00626280" w:rsidP="00CC6D1C">
            <w:pPr>
              <w:spacing w:before="120" w:after="120"/>
              <w:jc w:val="right"/>
              <w:rPr>
                <w:rFonts w:cs="Arial"/>
                <w:color w:val="1C1C1C"/>
                <w:sz w:val="18"/>
                <w:szCs w:val="18"/>
              </w:rPr>
            </w:pPr>
            <w:r w:rsidRPr="00FC23E4">
              <w:rPr>
                <w:rFonts w:cs="Arial"/>
                <w:color w:val="1C1C1C"/>
                <w:sz w:val="18"/>
                <w:szCs w:val="18"/>
              </w:rPr>
              <w:t>78%</w:t>
            </w:r>
          </w:p>
        </w:tc>
        <w:tc>
          <w:tcPr>
            <w:tcW w:w="1235"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8FCD93D" w14:textId="77777777" w:rsidR="00626280" w:rsidRPr="00FC23E4" w:rsidRDefault="00626280" w:rsidP="00CC6D1C">
            <w:pPr>
              <w:spacing w:before="120" w:after="120"/>
              <w:jc w:val="right"/>
              <w:rPr>
                <w:rFonts w:cs="Arial"/>
                <w:color w:val="1C1C1C"/>
                <w:sz w:val="18"/>
                <w:szCs w:val="18"/>
              </w:rPr>
            </w:pPr>
            <w:r w:rsidRPr="00FC23E4">
              <w:rPr>
                <w:rFonts w:cs="Arial"/>
                <w:color w:val="1C1C1C"/>
                <w:sz w:val="18"/>
                <w:szCs w:val="18"/>
              </w:rPr>
              <w:t>$764</w:t>
            </w:r>
          </w:p>
        </w:tc>
        <w:tc>
          <w:tcPr>
            <w:tcW w:w="150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726FA7C" w14:textId="77777777" w:rsidR="00626280" w:rsidRPr="00FC23E4" w:rsidRDefault="00626280">
            <w:pPr>
              <w:spacing w:before="120" w:after="120"/>
              <w:jc w:val="right"/>
              <w:rPr>
                <w:rFonts w:cs="Arial"/>
                <w:color w:val="1C1C1C"/>
                <w:sz w:val="18"/>
                <w:szCs w:val="18"/>
              </w:rPr>
            </w:pPr>
            <w:r w:rsidRPr="00FC23E4">
              <w:rPr>
                <w:rFonts w:cs="Arial"/>
                <w:color w:val="1C1C1C"/>
                <w:sz w:val="18"/>
                <w:szCs w:val="18"/>
              </w:rPr>
              <w:t>$1,062</w:t>
            </w:r>
          </w:p>
        </w:tc>
      </w:tr>
    </w:tbl>
    <w:p w14:paraId="5B06ED28" w14:textId="50AA66DD" w:rsidR="00626280" w:rsidRDefault="0082723D" w:rsidP="00626280">
      <w:r>
        <w:t>D</w:t>
      </w:r>
      <w:r w:rsidR="00626280">
        <w:t xml:space="preserve">espite the high proportional GUI usage </w:t>
      </w:r>
      <w:r w:rsidR="0014160A">
        <w:t xml:space="preserve">across </w:t>
      </w:r>
      <w:r w:rsidR="00626280">
        <w:t xml:space="preserve">these </w:t>
      </w:r>
      <w:r w:rsidR="0014160A">
        <w:t xml:space="preserve">small number of </w:t>
      </w:r>
      <w:r w:rsidR="00626280">
        <w:t>ADRGs, the remaining benefits are spread widely across almost all other ADRGs.</w:t>
      </w:r>
      <w:r w:rsidR="00E84BB5">
        <w:t xml:space="preserve"> </w:t>
      </w:r>
      <w:r w:rsidR="00626280">
        <w:t xml:space="preserve">For example, </w:t>
      </w:r>
      <w:r w:rsidR="00626280" w:rsidRPr="00BD1E7E">
        <w:t xml:space="preserve">there are many ADRGs where less than half of episodes have any GUI usage at all – accounting for </w:t>
      </w:r>
      <w:r w:rsidR="00626280" w:rsidRPr="00E0206E">
        <w:t>5</w:t>
      </w:r>
      <w:r w:rsidR="00626280" w:rsidRPr="00BD1E7E">
        <w:t>5</w:t>
      </w:r>
      <w:r w:rsidR="00E84BB5">
        <w:t xml:space="preserve"> per cent</w:t>
      </w:r>
      <w:r w:rsidR="00626280" w:rsidRPr="00BD1E7E">
        <w:t xml:space="preserve"> of all episodes with GUI charges and 20</w:t>
      </w:r>
      <w:r w:rsidR="00E84BB5">
        <w:t xml:space="preserve"> per cent</w:t>
      </w:r>
      <w:r w:rsidR="00626280" w:rsidRPr="00BD1E7E">
        <w:t xml:space="preserve"> of</w:t>
      </w:r>
      <w:r w:rsidR="00626280">
        <w:t xml:space="preserve"> GUI benefits. Examples of some of these ADRGs are shown in </w:t>
      </w:r>
      <w:r w:rsidR="00626280">
        <w:fldChar w:fldCharType="begin"/>
      </w:r>
      <w:r w:rsidR="00626280">
        <w:instrText xml:space="preserve"> REF _Ref118796392 \h </w:instrText>
      </w:r>
      <w:r w:rsidR="00626280">
        <w:fldChar w:fldCharType="separate"/>
      </w:r>
      <w:r w:rsidR="00106CD4" w:rsidRPr="00200A65">
        <w:t xml:space="preserve">Table </w:t>
      </w:r>
      <w:r w:rsidR="00106CD4">
        <w:rPr>
          <w:noProof/>
        </w:rPr>
        <w:t>21</w:t>
      </w:r>
      <w:r w:rsidR="00626280">
        <w:fldChar w:fldCharType="end"/>
      </w:r>
      <w:r w:rsidR="00FC23E4">
        <w:t>.</w:t>
      </w:r>
    </w:p>
    <w:p w14:paraId="33C507B3" w14:textId="13686A42" w:rsidR="00626280" w:rsidRDefault="00626280" w:rsidP="003F5252">
      <w:pPr>
        <w:pStyle w:val="Caption"/>
      </w:pPr>
      <w:bookmarkStart w:id="142" w:name="_Ref118796392"/>
      <w:r w:rsidRPr="00200A65">
        <w:t xml:space="preserve">Table </w:t>
      </w:r>
      <w:fldSimple w:instr=" SEQ Table \* ARABIC ">
        <w:r w:rsidR="00106CD4">
          <w:rPr>
            <w:noProof/>
          </w:rPr>
          <w:t>21</w:t>
        </w:r>
      </w:fldSimple>
      <w:bookmarkEnd w:id="142"/>
      <w:r>
        <w:t xml:space="preserve">: </w:t>
      </w:r>
      <w:r w:rsidR="0014160A">
        <w:t>Summary of GUIs for a</w:t>
      </w:r>
      <w:r>
        <w:t xml:space="preserve">dditional </w:t>
      </w:r>
      <w:r w:rsidR="0014160A">
        <w:t xml:space="preserve">ADRG </w:t>
      </w:r>
      <w:r>
        <w:t>example</w:t>
      </w:r>
      <w:r w:rsidR="0014160A">
        <w:t>s</w:t>
      </w:r>
    </w:p>
    <w:tbl>
      <w:tblPr>
        <w:tblStyle w:val="IHPATable"/>
        <w:tblW w:w="0" w:type="auto"/>
        <w:tblLook w:val="0020" w:firstRow="1" w:lastRow="0" w:firstColumn="0" w:lastColumn="0" w:noHBand="0" w:noVBand="0"/>
        <w:tblDescription w:val="Table 20 is a summary of GUIs for additional ADRG examples. There are 7 colums which provide examples of benefits against ADRG broken down by episodes and averages. "/>
      </w:tblPr>
      <w:tblGrid>
        <w:gridCol w:w="1726"/>
        <w:gridCol w:w="976"/>
        <w:gridCol w:w="1081"/>
        <w:gridCol w:w="1309"/>
        <w:gridCol w:w="1395"/>
        <w:gridCol w:w="1588"/>
        <w:gridCol w:w="1667"/>
      </w:tblGrid>
      <w:tr w:rsidR="00A13141" w:rsidRPr="00FC23E4" w14:paraId="0BDCC3C3" w14:textId="77777777" w:rsidTr="00D44498">
        <w:trPr>
          <w:cnfStyle w:val="100000000000" w:firstRow="1" w:lastRow="0" w:firstColumn="0" w:lastColumn="0" w:oddVBand="0" w:evenVBand="0" w:oddHBand="0" w:evenHBand="0" w:firstRowFirstColumn="0" w:firstRowLastColumn="0" w:lastRowFirstColumn="0" w:lastRowLastColumn="0"/>
          <w:cantSplit/>
          <w:trHeight w:val="20"/>
          <w:tblHeader/>
        </w:trPr>
        <w:tc>
          <w:tcPr>
            <w:tcW w:w="1726" w:type="dxa"/>
            <w:vMerge w:val="restart"/>
            <w:tcBorders>
              <w:top w:val="single" w:sz="4" w:space="0" w:color="808080" w:themeColor="background2" w:themeShade="80"/>
              <w:left w:val="single" w:sz="4" w:space="0" w:color="808080" w:themeColor="background2" w:themeShade="80"/>
              <w:bottom w:val="single" w:sz="4" w:space="0" w:color="FFFFFF" w:themeColor="background2"/>
              <w:right w:val="single" w:sz="4" w:space="0" w:color="FFFFFF" w:themeColor="background2"/>
            </w:tcBorders>
            <w:shd w:val="clear" w:color="auto" w:fill="104F99" w:themeFill="accent2"/>
            <w:vAlign w:val="center"/>
          </w:tcPr>
          <w:p w14:paraId="785CCFC6" w14:textId="224E9023" w:rsidR="00A13141" w:rsidRPr="00FC23E4" w:rsidRDefault="00A13141" w:rsidP="002D0AE0">
            <w:pPr>
              <w:spacing w:before="120" w:after="120"/>
              <w:jc w:val="center"/>
              <w:rPr>
                <w:rFonts w:cs="Arial"/>
                <w:b/>
                <w:bCs/>
                <w:color w:val="FFFFFF" w:themeColor="background2"/>
                <w:szCs w:val="18"/>
                <w:lang w:val="en-US"/>
              </w:rPr>
            </w:pPr>
            <w:r w:rsidRPr="00FC23E4">
              <w:rPr>
                <w:rFonts w:cs="Arial"/>
                <w:b/>
                <w:bCs/>
                <w:color w:val="FFFFFF" w:themeColor="background2"/>
                <w:szCs w:val="18"/>
                <w:lang w:val="en-US"/>
              </w:rPr>
              <w:t>ADRG</w:t>
            </w:r>
          </w:p>
        </w:tc>
        <w:tc>
          <w:tcPr>
            <w:tcW w:w="976" w:type="dxa"/>
            <w:vMerge w:val="restart"/>
            <w:tcBorders>
              <w:top w:val="single" w:sz="4" w:space="0" w:color="808080" w:themeColor="background2" w:themeShade="80"/>
              <w:left w:val="single" w:sz="4" w:space="0" w:color="FFFFFF" w:themeColor="background2"/>
              <w:bottom w:val="single" w:sz="4" w:space="0" w:color="FFFFFF" w:themeColor="background2"/>
              <w:right w:val="single" w:sz="4" w:space="0" w:color="FFFFFF" w:themeColor="background2"/>
            </w:tcBorders>
            <w:shd w:val="clear" w:color="auto" w:fill="104F99" w:themeFill="accent2"/>
            <w:vAlign w:val="center"/>
          </w:tcPr>
          <w:p w14:paraId="1B9BE607" w14:textId="1FCADAAC" w:rsidR="00A13141" w:rsidRPr="00FC23E4" w:rsidRDefault="00A13141" w:rsidP="002D0AE0">
            <w:pPr>
              <w:spacing w:before="120" w:after="120"/>
              <w:jc w:val="center"/>
              <w:rPr>
                <w:rFonts w:cs="Arial"/>
                <w:b/>
                <w:bCs/>
                <w:color w:val="FFFFFF" w:themeColor="background2"/>
                <w:szCs w:val="18"/>
              </w:rPr>
            </w:pPr>
            <w:r w:rsidRPr="00FC23E4">
              <w:rPr>
                <w:rFonts w:cs="Arial"/>
                <w:b/>
                <w:bCs/>
                <w:color w:val="FFFFFF" w:themeColor="background2"/>
                <w:szCs w:val="18"/>
              </w:rPr>
              <w:t>Total GUI benefits</w:t>
            </w:r>
          </w:p>
        </w:tc>
        <w:tc>
          <w:tcPr>
            <w:tcW w:w="1081" w:type="dxa"/>
            <w:vMerge w:val="restart"/>
            <w:tcBorders>
              <w:top w:val="single" w:sz="4" w:space="0" w:color="808080" w:themeColor="background2" w:themeShade="80"/>
              <w:left w:val="single" w:sz="4" w:space="0" w:color="FFFFFF" w:themeColor="background2"/>
              <w:bottom w:val="single" w:sz="4" w:space="0" w:color="FFFFFF" w:themeColor="background2"/>
              <w:right w:val="single" w:sz="4" w:space="0" w:color="FFFFFF" w:themeColor="background2"/>
            </w:tcBorders>
            <w:shd w:val="clear" w:color="auto" w:fill="104F99" w:themeFill="accent2"/>
            <w:vAlign w:val="center"/>
          </w:tcPr>
          <w:p w14:paraId="46D46133" w14:textId="1C47298D" w:rsidR="00A13141" w:rsidRPr="00FC23E4" w:rsidRDefault="00A13141" w:rsidP="002D0AE0">
            <w:pPr>
              <w:spacing w:before="120" w:after="120"/>
              <w:jc w:val="center"/>
              <w:rPr>
                <w:rFonts w:cs="Arial"/>
                <w:b/>
                <w:bCs/>
                <w:color w:val="FFFFFF" w:themeColor="background2"/>
                <w:szCs w:val="18"/>
              </w:rPr>
            </w:pPr>
            <w:r w:rsidRPr="00FC23E4">
              <w:rPr>
                <w:rFonts w:cs="Arial"/>
                <w:b/>
                <w:bCs/>
                <w:color w:val="FFFFFF" w:themeColor="background2"/>
                <w:szCs w:val="18"/>
              </w:rPr>
              <w:t>Total GUI episodes</w:t>
            </w:r>
          </w:p>
        </w:tc>
        <w:tc>
          <w:tcPr>
            <w:tcW w:w="1309" w:type="dxa"/>
            <w:vMerge w:val="restart"/>
            <w:tcBorders>
              <w:top w:val="single" w:sz="4" w:space="0" w:color="808080" w:themeColor="background2" w:themeShade="80"/>
              <w:left w:val="single" w:sz="4" w:space="0" w:color="FFFFFF" w:themeColor="background2"/>
              <w:bottom w:val="single" w:sz="4" w:space="0" w:color="FFFFFF" w:themeColor="background2"/>
              <w:right w:val="single" w:sz="4" w:space="0" w:color="FFFFFF" w:themeColor="background2"/>
            </w:tcBorders>
            <w:shd w:val="clear" w:color="auto" w:fill="104F99" w:themeFill="accent2"/>
            <w:vAlign w:val="center"/>
          </w:tcPr>
          <w:p w14:paraId="5CA1C661" w14:textId="1CF084A8" w:rsidR="00A13141" w:rsidRPr="00FC23E4" w:rsidRDefault="00A13141" w:rsidP="002D0AE0">
            <w:pPr>
              <w:spacing w:before="120" w:after="120"/>
              <w:jc w:val="center"/>
              <w:rPr>
                <w:rFonts w:cs="Arial"/>
                <w:b/>
                <w:bCs/>
                <w:color w:val="FFFFFF" w:themeColor="background2"/>
                <w:szCs w:val="18"/>
              </w:rPr>
            </w:pPr>
            <w:r w:rsidRPr="00FC23E4">
              <w:rPr>
                <w:rFonts w:cs="Arial"/>
                <w:b/>
                <w:bCs/>
                <w:color w:val="FFFFFF" w:themeColor="background2"/>
                <w:szCs w:val="18"/>
              </w:rPr>
              <w:t>Proportion of episodes with GUI</w:t>
            </w:r>
            <w:r>
              <w:rPr>
                <w:rFonts w:cs="Arial"/>
                <w:b/>
                <w:bCs/>
                <w:color w:val="FFFFFF" w:themeColor="background2"/>
                <w:szCs w:val="18"/>
              </w:rPr>
              <w:t>s</w:t>
            </w:r>
            <w:r w:rsidRPr="00FC23E4">
              <w:rPr>
                <w:rFonts w:cs="Arial"/>
                <w:b/>
                <w:bCs/>
                <w:color w:val="FFFFFF" w:themeColor="background2"/>
                <w:szCs w:val="18"/>
              </w:rPr>
              <w:t xml:space="preserve"> </w:t>
            </w:r>
            <w:r>
              <w:rPr>
                <w:rFonts w:cs="Arial"/>
                <w:b/>
                <w:bCs/>
                <w:color w:val="FFFFFF" w:themeColor="background2"/>
                <w:szCs w:val="18"/>
              </w:rPr>
              <w:t>charged</w:t>
            </w:r>
          </w:p>
        </w:tc>
        <w:tc>
          <w:tcPr>
            <w:tcW w:w="1395" w:type="dxa"/>
            <w:vMerge w:val="restart"/>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454463CF" w14:textId="17A125C5" w:rsidR="00A13141" w:rsidRPr="00FC23E4" w:rsidRDefault="00A13141" w:rsidP="002D0AE0">
            <w:pPr>
              <w:spacing w:before="120" w:after="120"/>
              <w:jc w:val="center"/>
              <w:rPr>
                <w:rFonts w:cs="Arial"/>
                <w:b/>
                <w:bCs/>
                <w:color w:val="FFFFFF" w:themeColor="background2"/>
                <w:szCs w:val="18"/>
              </w:rPr>
            </w:pPr>
            <w:r w:rsidRPr="00FC23E4">
              <w:rPr>
                <w:rFonts w:cs="Arial"/>
                <w:b/>
                <w:bCs/>
                <w:color w:val="FFFFFF" w:themeColor="background2"/>
                <w:szCs w:val="18"/>
              </w:rPr>
              <w:t>Proportion of providers that charged at least one GUI</w:t>
            </w:r>
          </w:p>
        </w:tc>
        <w:tc>
          <w:tcPr>
            <w:tcW w:w="3255" w:type="dxa"/>
            <w:gridSpan w:val="2"/>
            <w:tcBorders>
              <w:top w:val="single" w:sz="4" w:space="0" w:color="808080" w:themeColor="background2" w:themeShade="80"/>
              <w:left w:val="single" w:sz="4" w:space="0" w:color="FFFFFF" w:themeColor="background2"/>
              <w:right w:val="single" w:sz="4" w:space="0" w:color="808080" w:themeColor="background2" w:themeShade="80"/>
            </w:tcBorders>
            <w:shd w:val="clear" w:color="auto" w:fill="104F99" w:themeFill="accent2"/>
            <w:vAlign w:val="center"/>
          </w:tcPr>
          <w:p w14:paraId="3B03623E" w14:textId="11A5DB63" w:rsidR="00A13141" w:rsidRPr="00FC23E4" w:rsidRDefault="00A13141" w:rsidP="002D0AE0">
            <w:pPr>
              <w:spacing w:before="120" w:after="120"/>
              <w:jc w:val="center"/>
              <w:rPr>
                <w:rFonts w:cs="Arial"/>
                <w:b/>
                <w:bCs/>
                <w:color w:val="FFFFFF" w:themeColor="background2"/>
                <w:szCs w:val="18"/>
                <w:lang w:val="en-US"/>
              </w:rPr>
            </w:pPr>
            <w:r w:rsidRPr="00FC23E4">
              <w:rPr>
                <w:rFonts w:cs="Arial"/>
                <w:b/>
                <w:bCs/>
                <w:color w:val="FFFFFF" w:themeColor="background2"/>
                <w:szCs w:val="18"/>
              </w:rPr>
              <w:t>Average GUI benefits per episode</w:t>
            </w:r>
          </w:p>
        </w:tc>
      </w:tr>
      <w:tr w:rsidR="00A13141" w:rsidRPr="00FC23E4" w14:paraId="73058920" w14:textId="77777777" w:rsidTr="00D44498">
        <w:trPr>
          <w:cnfStyle w:val="100000000000" w:firstRow="1" w:lastRow="0" w:firstColumn="0" w:lastColumn="0" w:oddVBand="0" w:evenVBand="0" w:oddHBand="0" w:evenHBand="0" w:firstRowFirstColumn="0" w:firstRowLastColumn="0" w:lastRowFirstColumn="0" w:lastRowLastColumn="0"/>
          <w:cantSplit/>
          <w:trHeight w:val="20"/>
          <w:tblHeader/>
        </w:trPr>
        <w:tc>
          <w:tcPr>
            <w:tcW w:w="1726" w:type="dxa"/>
            <w:vMerge/>
            <w:tcBorders>
              <w:top w:val="single" w:sz="4" w:space="0" w:color="FFFFFF" w:themeColor="background2"/>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vAlign w:val="center"/>
          </w:tcPr>
          <w:p w14:paraId="28C534A5" w14:textId="1346E868" w:rsidR="00A13141" w:rsidRPr="00FC23E4" w:rsidRDefault="00A13141" w:rsidP="002D0AE0">
            <w:pPr>
              <w:spacing w:before="120" w:after="120"/>
              <w:jc w:val="center"/>
              <w:rPr>
                <w:rFonts w:cs="Arial"/>
                <w:b/>
                <w:bCs/>
                <w:color w:val="FFFFFF" w:themeColor="background2"/>
                <w:szCs w:val="18"/>
                <w:lang w:val="en-US"/>
              </w:rPr>
            </w:pPr>
          </w:p>
        </w:tc>
        <w:tc>
          <w:tcPr>
            <w:tcW w:w="976" w:type="dxa"/>
            <w:vMerge/>
            <w:tcBorders>
              <w:top w:val="single" w:sz="4" w:space="0" w:color="FFFFFF" w:themeColor="background2"/>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308176E2" w14:textId="79C543E6" w:rsidR="00A13141" w:rsidRPr="00FC23E4" w:rsidRDefault="00A13141" w:rsidP="002D0AE0">
            <w:pPr>
              <w:spacing w:before="120" w:after="120"/>
              <w:jc w:val="center"/>
              <w:rPr>
                <w:rFonts w:cs="Arial"/>
                <w:b/>
                <w:bCs/>
                <w:color w:val="FFFFFF" w:themeColor="background2"/>
                <w:szCs w:val="18"/>
              </w:rPr>
            </w:pPr>
          </w:p>
        </w:tc>
        <w:tc>
          <w:tcPr>
            <w:tcW w:w="1081" w:type="dxa"/>
            <w:vMerge/>
            <w:tcBorders>
              <w:top w:val="single" w:sz="4" w:space="0" w:color="FFFFFF" w:themeColor="background2"/>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71BA86E1" w14:textId="47A83D5E" w:rsidR="00A13141" w:rsidRPr="00FC23E4" w:rsidRDefault="00A13141" w:rsidP="002D0AE0">
            <w:pPr>
              <w:spacing w:before="120" w:after="120"/>
              <w:jc w:val="center"/>
              <w:rPr>
                <w:rFonts w:cs="Arial"/>
                <w:b/>
                <w:bCs/>
                <w:color w:val="FFFFFF" w:themeColor="background2"/>
                <w:szCs w:val="18"/>
              </w:rPr>
            </w:pPr>
          </w:p>
        </w:tc>
        <w:tc>
          <w:tcPr>
            <w:tcW w:w="1309" w:type="dxa"/>
            <w:vMerge/>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1BD54A38" w14:textId="323345A5" w:rsidR="00A13141" w:rsidRPr="00FC23E4" w:rsidRDefault="00A13141" w:rsidP="002D0AE0">
            <w:pPr>
              <w:spacing w:before="120" w:after="120"/>
              <w:jc w:val="center"/>
              <w:rPr>
                <w:rFonts w:cs="Arial"/>
                <w:b/>
                <w:bCs/>
                <w:color w:val="FFFFFF" w:themeColor="background2"/>
                <w:szCs w:val="18"/>
              </w:rPr>
            </w:pPr>
          </w:p>
        </w:tc>
        <w:tc>
          <w:tcPr>
            <w:tcW w:w="1395" w:type="dxa"/>
            <w:vMerge/>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608D1025" w14:textId="4B88AE93" w:rsidR="00A13141" w:rsidRPr="00FC23E4" w:rsidRDefault="00A13141" w:rsidP="002D0AE0">
            <w:pPr>
              <w:spacing w:before="120" w:after="120"/>
              <w:jc w:val="center"/>
              <w:rPr>
                <w:rFonts w:cs="Arial"/>
                <w:b/>
                <w:bCs/>
                <w:color w:val="FFFFFF" w:themeColor="background2"/>
                <w:szCs w:val="18"/>
              </w:rPr>
            </w:pPr>
          </w:p>
        </w:tc>
        <w:tc>
          <w:tcPr>
            <w:tcW w:w="1588" w:type="dxa"/>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1EB1586D" w14:textId="3DC1AED6" w:rsidR="00A13141" w:rsidRPr="00FC23E4" w:rsidRDefault="00A13141" w:rsidP="002D0AE0">
            <w:pPr>
              <w:spacing w:before="120" w:after="120"/>
              <w:jc w:val="center"/>
              <w:rPr>
                <w:rFonts w:cs="Arial"/>
                <w:b/>
                <w:bCs/>
                <w:color w:val="FFFFFF" w:themeColor="background2"/>
                <w:szCs w:val="18"/>
              </w:rPr>
            </w:pPr>
            <w:r>
              <w:rPr>
                <w:rFonts w:cs="Arial"/>
                <w:b/>
                <w:bCs/>
                <w:color w:val="FFFFFF" w:themeColor="background2"/>
                <w:szCs w:val="18"/>
              </w:rPr>
              <w:t>All episodes</w:t>
            </w:r>
          </w:p>
        </w:tc>
        <w:tc>
          <w:tcPr>
            <w:tcW w:w="1667" w:type="dxa"/>
            <w:tcBorders>
              <w:left w:val="single" w:sz="4" w:space="0" w:color="FFFFFF" w:themeColor="background2"/>
              <w:bottom w:val="single" w:sz="4" w:space="0" w:color="808080" w:themeColor="background2" w:themeShade="80"/>
              <w:right w:val="single" w:sz="4" w:space="0" w:color="808080" w:themeColor="background2" w:themeShade="80"/>
            </w:tcBorders>
            <w:shd w:val="clear" w:color="auto" w:fill="104F99" w:themeFill="accent2"/>
            <w:vAlign w:val="center"/>
          </w:tcPr>
          <w:p w14:paraId="149A002D" w14:textId="6DC10A84" w:rsidR="00A13141" w:rsidRPr="00FC23E4" w:rsidRDefault="00A13141" w:rsidP="002D0AE0">
            <w:pPr>
              <w:spacing w:before="120" w:after="120"/>
              <w:jc w:val="center"/>
              <w:rPr>
                <w:rFonts w:cs="Arial"/>
                <w:b/>
                <w:bCs/>
                <w:color w:val="FFFFFF" w:themeColor="background2"/>
                <w:szCs w:val="18"/>
                <w:lang w:val="en-US"/>
              </w:rPr>
            </w:pPr>
            <w:r>
              <w:rPr>
                <w:rFonts w:cs="Arial"/>
                <w:b/>
                <w:bCs/>
                <w:color w:val="FFFFFF" w:themeColor="background2"/>
                <w:szCs w:val="18"/>
                <w:lang w:val="en-US"/>
              </w:rPr>
              <w:t>E</w:t>
            </w:r>
            <w:r w:rsidRPr="00FC23E4">
              <w:rPr>
                <w:rFonts w:cs="Arial"/>
                <w:b/>
                <w:bCs/>
                <w:color w:val="FFFFFF" w:themeColor="background2"/>
                <w:szCs w:val="18"/>
                <w:lang w:val="en-US"/>
              </w:rPr>
              <w:t>pisode</w:t>
            </w:r>
            <w:r>
              <w:rPr>
                <w:rFonts w:cs="Arial"/>
                <w:b/>
                <w:bCs/>
                <w:color w:val="FFFFFF" w:themeColor="background2"/>
                <w:szCs w:val="18"/>
                <w:lang w:val="en-US"/>
              </w:rPr>
              <w:t>s</w:t>
            </w:r>
            <w:r w:rsidRPr="00FC23E4">
              <w:rPr>
                <w:rFonts w:cs="Arial"/>
                <w:b/>
                <w:bCs/>
                <w:color w:val="FFFFFF" w:themeColor="background2"/>
                <w:szCs w:val="18"/>
                <w:lang w:val="en-US"/>
              </w:rPr>
              <w:t xml:space="preserve"> with GUI</w:t>
            </w:r>
            <w:r>
              <w:rPr>
                <w:rFonts w:cs="Arial"/>
                <w:b/>
                <w:bCs/>
                <w:color w:val="FFFFFF" w:themeColor="background2"/>
                <w:szCs w:val="18"/>
                <w:lang w:val="en-US"/>
              </w:rPr>
              <w:t>s charged</w:t>
            </w:r>
          </w:p>
        </w:tc>
      </w:tr>
      <w:tr w:rsidR="00A13141" w:rsidRPr="00FC23E4" w14:paraId="0FCC4D68" w14:textId="77777777" w:rsidTr="00D44498">
        <w:trPr>
          <w:cnfStyle w:val="000000100000" w:firstRow="0" w:lastRow="0" w:firstColumn="0" w:lastColumn="0" w:oddVBand="0" w:evenVBand="0" w:oddHBand="1" w:evenHBand="0" w:firstRowFirstColumn="0" w:firstRowLastColumn="0" w:lastRowFirstColumn="0" w:lastRowLastColumn="0"/>
          <w:cantSplit/>
          <w:trHeight w:val="20"/>
        </w:trPr>
        <w:tc>
          <w:tcPr>
            <w:tcW w:w="172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366A751B" w14:textId="77777777" w:rsidR="00626280" w:rsidRPr="00FC23E4" w:rsidRDefault="00626280" w:rsidP="008919D7">
            <w:pPr>
              <w:spacing w:before="120" w:after="120"/>
              <w:rPr>
                <w:rFonts w:cs="Arial"/>
                <w:color w:val="000000"/>
                <w:sz w:val="18"/>
                <w:szCs w:val="18"/>
                <w:lang w:val="en-US"/>
              </w:rPr>
            </w:pPr>
            <w:r w:rsidRPr="00FC23E4">
              <w:rPr>
                <w:rFonts w:cs="Arial"/>
                <w:color w:val="000000"/>
                <w:sz w:val="18"/>
                <w:szCs w:val="18"/>
                <w:lang w:val="en-US"/>
              </w:rPr>
              <w:t xml:space="preserve">Other Uterus and Adnexa </w:t>
            </w:r>
            <w:proofErr w:type="spellStart"/>
            <w:r w:rsidRPr="00FC23E4">
              <w:rPr>
                <w:rFonts w:cs="Arial"/>
                <w:color w:val="000000"/>
                <w:sz w:val="18"/>
                <w:szCs w:val="18"/>
                <w:lang w:val="en-US"/>
              </w:rPr>
              <w:t>Inerventions</w:t>
            </w:r>
            <w:proofErr w:type="spellEnd"/>
            <w:r w:rsidRPr="00FC23E4">
              <w:rPr>
                <w:rFonts w:cs="Arial"/>
                <w:color w:val="000000"/>
                <w:sz w:val="18"/>
                <w:szCs w:val="18"/>
                <w:lang w:val="en-US"/>
              </w:rPr>
              <w:t xml:space="preserve"> for Non-Malignancy (N07)</w:t>
            </w:r>
          </w:p>
        </w:tc>
        <w:tc>
          <w:tcPr>
            <w:tcW w:w="97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D1B569D" w14:textId="77777777" w:rsidR="00626280" w:rsidRPr="00FC23E4" w:rsidRDefault="00626280" w:rsidP="008919D7">
            <w:pPr>
              <w:spacing w:before="120" w:after="120"/>
              <w:jc w:val="right"/>
              <w:rPr>
                <w:rFonts w:cs="Arial"/>
                <w:color w:val="1C1C1C"/>
                <w:sz w:val="18"/>
                <w:szCs w:val="18"/>
              </w:rPr>
            </w:pPr>
            <w:r w:rsidRPr="00FC23E4">
              <w:rPr>
                <w:rFonts w:cs="Arial"/>
                <w:color w:val="1C1C1C"/>
                <w:sz w:val="18"/>
                <w:szCs w:val="18"/>
              </w:rPr>
              <w:t>$2.5m</w:t>
            </w:r>
          </w:p>
        </w:tc>
        <w:tc>
          <w:tcPr>
            <w:tcW w:w="108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CD69BA8" w14:textId="77777777" w:rsidR="00626280" w:rsidRPr="00FC23E4" w:rsidRDefault="00626280" w:rsidP="008919D7">
            <w:pPr>
              <w:spacing w:before="120" w:after="120"/>
              <w:jc w:val="right"/>
              <w:rPr>
                <w:rFonts w:cs="Arial"/>
                <w:color w:val="1C1C1C"/>
                <w:sz w:val="18"/>
                <w:szCs w:val="18"/>
              </w:rPr>
            </w:pPr>
            <w:r w:rsidRPr="00FC23E4">
              <w:rPr>
                <w:rFonts w:cs="Arial"/>
                <w:color w:val="1C1C1C"/>
                <w:sz w:val="18"/>
                <w:szCs w:val="18"/>
              </w:rPr>
              <w:t>6,349</w:t>
            </w:r>
          </w:p>
        </w:tc>
        <w:tc>
          <w:tcPr>
            <w:tcW w:w="1309"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01E2E9C" w14:textId="77777777" w:rsidR="00626280" w:rsidRPr="00FC23E4" w:rsidRDefault="00626280" w:rsidP="008919D7">
            <w:pPr>
              <w:spacing w:before="120" w:after="120"/>
              <w:jc w:val="right"/>
              <w:rPr>
                <w:rFonts w:cs="Arial"/>
                <w:color w:val="1C1C1C"/>
                <w:sz w:val="18"/>
                <w:szCs w:val="18"/>
              </w:rPr>
            </w:pPr>
            <w:r w:rsidRPr="00FC23E4">
              <w:rPr>
                <w:rFonts w:cs="Arial"/>
                <w:color w:val="1C1C1C"/>
                <w:sz w:val="18"/>
                <w:szCs w:val="18"/>
              </w:rPr>
              <w:t>12%</w:t>
            </w:r>
          </w:p>
        </w:tc>
        <w:tc>
          <w:tcPr>
            <w:tcW w:w="1395"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0EEE173" w14:textId="77777777" w:rsidR="00626280" w:rsidRPr="00FC23E4" w:rsidRDefault="00626280" w:rsidP="008919D7">
            <w:pPr>
              <w:spacing w:before="120" w:after="120"/>
              <w:jc w:val="right"/>
              <w:rPr>
                <w:rFonts w:cs="Arial"/>
                <w:color w:val="1C1C1C"/>
                <w:sz w:val="18"/>
                <w:szCs w:val="18"/>
              </w:rPr>
            </w:pPr>
            <w:r w:rsidRPr="00FC23E4">
              <w:rPr>
                <w:rFonts w:cs="Arial"/>
                <w:color w:val="1C1C1C"/>
                <w:sz w:val="18"/>
                <w:szCs w:val="18"/>
              </w:rPr>
              <w:t>50%</w:t>
            </w:r>
          </w:p>
        </w:tc>
        <w:tc>
          <w:tcPr>
            <w:tcW w:w="1588"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74BDD42" w14:textId="77777777" w:rsidR="00626280" w:rsidRPr="00FC23E4" w:rsidRDefault="00626280" w:rsidP="008919D7">
            <w:pPr>
              <w:spacing w:before="120" w:after="120"/>
              <w:jc w:val="right"/>
              <w:rPr>
                <w:rFonts w:cs="Arial"/>
                <w:color w:val="1C1C1C"/>
                <w:sz w:val="18"/>
                <w:szCs w:val="18"/>
              </w:rPr>
            </w:pPr>
            <w:r w:rsidRPr="00FC23E4">
              <w:rPr>
                <w:rFonts w:cs="Arial"/>
                <w:color w:val="1C1C1C"/>
                <w:sz w:val="18"/>
                <w:szCs w:val="18"/>
              </w:rPr>
              <w:t>$45</w:t>
            </w:r>
          </w:p>
        </w:tc>
        <w:tc>
          <w:tcPr>
            <w:tcW w:w="166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473F6B5" w14:textId="77777777" w:rsidR="00626280" w:rsidRPr="00FC23E4" w:rsidRDefault="00626280" w:rsidP="008919D7">
            <w:pPr>
              <w:spacing w:before="120" w:after="120"/>
              <w:jc w:val="right"/>
              <w:rPr>
                <w:rFonts w:cs="Arial"/>
                <w:color w:val="1C1C1C"/>
                <w:sz w:val="18"/>
                <w:szCs w:val="18"/>
              </w:rPr>
            </w:pPr>
            <w:r w:rsidRPr="00FC23E4">
              <w:rPr>
                <w:rFonts w:cs="Arial"/>
                <w:color w:val="1C1C1C"/>
                <w:sz w:val="18"/>
                <w:szCs w:val="18"/>
              </w:rPr>
              <w:t>$387</w:t>
            </w:r>
          </w:p>
        </w:tc>
      </w:tr>
      <w:tr w:rsidR="00A13141" w:rsidRPr="00FC23E4" w14:paraId="31F40684" w14:textId="77777777" w:rsidTr="00D44498">
        <w:trPr>
          <w:cnfStyle w:val="000000010000" w:firstRow="0" w:lastRow="0" w:firstColumn="0" w:lastColumn="0" w:oddVBand="0" w:evenVBand="0" w:oddHBand="0" w:evenHBand="1" w:firstRowFirstColumn="0" w:firstRowLastColumn="0" w:lastRowFirstColumn="0" w:lastRowLastColumn="0"/>
          <w:cantSplit/>
          <w:trHeight w:val="20"/>
        </w:trPr>
        <w:tc>
          <w:tcPr>
            <w:tcW w:w="172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2BC2457B" w14:textId="77777777" w:rsidR="00626280" w:rsidRPr="00FC23E4" w:rsidRDefault="00626280" w:rsidP="008919D7">
            <w:pPr>
              <w:spacing w:before="120" w:after="120"/>
              <w:rPr>
                <w:rFonts w:cs="Arial"/>
                <w:color w:val="000000"/>
                <w:sz w:val="18"/>
                <w:szCs w:val="18"/>
                <w:lang w:val="en-US"/>
              </w:rPr>
            </w:pPr>
            <w:r w:rsidRPr="00FC23E4">
              <w:rPr>
                <w:rFonts w:cs="Arial"/>
                <w:color w:val="000000"/>
                <w:sz w:val="18"/>
                <w:szCs w:val="18"/>
                <w:lang w:val="en-US"/>
              </w:rPr>
              <w:t>Circulatory Disorders, Not Admitted for AMI W Invasive Cardiac Investigative Interventions (F42)</w:t>
            </w:r>
          </w:p>
        </w:tc>
        <w:tc>
          <w:tcPr>
            <w:tcW w:w="97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6F04A16" w14:textId="77777777" w:rsidR="00626280" w:rsidRPr="00FC23E4" w:rsidRDefault="00626280" w:rsidP="008919D7">
            <w:pPr>
              <w:spacing w:before="120" w:after="120"/>
              <w:jc w:val="right"/>
              <w:rPr>
                <w:rFonts w:cs="Arial"/>
                <w:color w:val="1C1C1C"/>
                <w:sz w:val="18"/>
                <w:szCs w:val="18"/>
              </w:rPr>
            </w:pPr>
            <w:r w:rsidRPr="00FC23E4">
              <w:rPr>
                <w:rFonts w:cs="Arial"/>
                <w:color w:val="1C1C1C"/>
                <w:sz w:val="18"/>
                <w:szCs w:val="18"/>
              </w:rPr>
              <w:t>$1.7m</w:t>
            </w:r>
          </w:p>
        </w:tc>
        <w:tc>
          <w:tcPr>
            <w:tcW w:w="108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B5715FE" w14:textId="77777777" w:rsidR="00626280" w:rsidRPr="00FC23E4" w:rsidRDefault="00626280" w:rsidP="008919D7">
            <w:pPr>
              <w:spacing w:before="120" w:after="120"/>
              <w:jc w:val="right"/>
              <w:rPr>
                <w:rFonts w:cs="Arial"/>
                <w:color w:val="1C1C1C"/>
                <w:sz w:val="18"/>
                <w:szCs w:val="18"/>
              </w:rPr>
            </w:pPr>
            <w:r w:rsidRPr="00FC23E4">
              <w:rPr>
                <w:rFonts w:cs="Arial"/>
                <w:color w:val="1C1C1C"/>
                <w:sz w:val="18"/>
                <w:szCs w:val="18"/>
              </w:rPr>
              <w:t>5,743</w:t>
            </w:r>
          </w:p>
        </w:tc>
        <w:tc>
          <w:tcPr>
            <w:tcW w:w="1309"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6F38F9C" w14:textId="77777777" w:rsidR="00626280" w:rsidRPr="00FC23E4" w:rsidRDefault="00626280" w:rsidP="008919D7">
            <w:pPr>
              <w:spacing w:before="120" w:after="120"/>
              <w:jc w:val="right"/>
              <w:rPr>
                <w:rFonts w:cs="Arial"/>
                <w:color w:val="1C1C1C"/>
                <w:sz w:val="18"/>
                <w:szCs w:val="18"/>
              </w:rPr>
            </w:pPr>
            <w:r w:rsidRPr="00FC23E4">
              <w:rPr>
                <w:rFonts w:cs="Arial"/>
                <w:color w:val="1C1C1C"/>
                <w:sz w:val="18"/>
                <w:szCs w:val="18"/>
              </w:rPr>
              <w:t>14%</w:t>
            </w:r>
          </w:p>
        </w:tc>
        <w:tc>
          <w:tcPr>
            <w:tcW w:w="1395"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8D92173" w14:textId="77777777" w:rsidR="00626280" w:rsidRPr="00FC23E4" w:rsidRDefault="00626280" w:rsidP="008919D7">
            <w:pPr>
              <w:spacing w:before="120" w:after="120"/>
              <w:jc w:val="right"/>
              <w:rPr>
                <w:rFonts w:cs="Arial"/>
                <w:color w:val="1C1C1C"/>
                <w:sz w:val="18"/>
                <w:szCs w:val="18"/>
              </w:rPr>
            </w:pPr>
            <w:r w:rsidRPr="00FC23E4">
              <w:rPr>
                <w:rFonts w:cs="Arial"/>
                <w:color w:val="1C1C1C"/>
                <w:sz w:val="18"/>
                <w:szCs w:val="18"/>
              </w:rPr>
              <w:t>64%</w:t>
            </w:r>
          </w:p>
        </w:tc>
        <w:tc>
          <w:tcPr>
            <w:tcW w:w="1588"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CE50114" w14:textId="77777777" w:rsidR="00626280" w:rsidRPr="00FC23E4" w:rsidRDefault="00626280" w:rsidP="008919D7">
            <w:pPr>
              <w:spacing w:before="120" w:after="120"/>
              <w:jc w:val="right"/>
              <w:rPr>
                <w:rFonts w:cs="Arial"/>
                <w:color w:val="1C1C1C"/>
                <w:sz w:val="18"/>
                <w:szCs w:val="18"/>
              </w:rPr>
            </w:pPr>
            <w:r w:rsidRPr="00FC23E4">
              <w:rPr>
                <w:rFonts w:cs="Arial"/>
                <w:color w:val="1C1C1C"/>
                <w:sz w:val="18"/>
                <w:szCs w:val="18"/>
              </w:rPr>
              <w:t>$41</w:t>
            </w:r>
          </w:p>
        </w:tc>
        <w:tc>
          <w:tcPr>
            <w:tcW w:w="166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8676754" w14:textId="77777777" w:rsidR="00626280" w:rsidRPr="00FC23E4" w:rsidRDefault="00626280" w:rsidP="008919D7">
            <w:pPr>
              <w:spacing w:before="120" w:after="120"/>
              <w:jc w:val="right"/>
              <w:rPr>
                <w:rFonts w:cs="Arial"/>
                <w:color w:val="1C1C1C"/>
                <w:sz w:val="18"/>
                <w:szCs w:val="18"/>
              </w:rPr>
            </w:pPr>
            <w:r w:rsidRPr="00FC23E4">
              <w:rPr>
                <w:rFonts w:cs="Arial"/>
                <w:color w:val="1C1C1C"/>
                <w:sz w:val="18"/>
                <w:szCs w:val="18"/>
              </w:rPr>
              <w:t>$304</w:t>
            </w:r>
          </w:p>
        </w:tc>
      </w:tr>
      <w:tr w:rsidR="00A13141" w:rsidRPr="00FC23E4" w14:paraId="0E00BEF2" w14:textId="77777777" w:rsidTr="00D44498">
        <w:trPr>
          <w:cnfStyle w:val="000000100000" w:firstRow="0" w:lastRow="0" w:firstColumn="0" w:lastColumn="0" w:oddVBand="0" w:evenVBand="0" w:oddHBand="1" w:evenHBand="0" w:firstRowFirstColumn="0" w:firstRowLastColumn="0" w:lastRowFirstColumn="0" w:lastRowLastColumn="0"/>
          <w:cantSplit/>
          <w:trHeight w:val="20"/>
        </w:trPr>
        <w:tc>
          <w:tcPr>
            <w:tcW w:w="172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79AAB94F" w14:textId="77777777" w:rsidR="00626280" w:rsidRPr="00FC23E4" w:rsidRDefault="00626280" w:rsidP="008919D7">
            <w:pPr>
              <w:spacing w:before="120" w:after="120"/>
              <w:rPr>
                <w:rFonts w:cs="Arial"/>
                <w:color w:val="000000"/>
                <w:sz w:val="18"/>
                <w:szCs w:val="18"/>
                <w:lang w:val="en-US"/>
              </w:rPr>
            </w:pPr>
            <w:r w:rsidRPr="00FC23E4">
              <w:rPr>
                <w:rFonts w:cs="Arial"/>
                <w:color w:val="000000"/>
                <w:sz w:val="18"/>
                <w:szCs w:val="18"/>
                <w:lang w:val="en-US"/>
              </w:rPr>
              <w:t>Plastic GIs for Skin, Subcutaneous Tissue and Breast Disorders (J10)</w:t>
            </w:r>
          </w:p>
        </w:tc>
        <w:tc>
          <w:tcPr>
            <w:tcW w:w="976"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5941738" w14:textId="77777777" w:rsidR="00626280" w:rsidRPr="00FC23E4" w:rsidRDefault="00626280" w:rsidP="008919D7">
            <w:pPr>
              <w:spacing w:before="120" w:after="120"/>
              <w:jc w:val="right"/>
              <w:rPr>
                <w:rFonts w:cs="Arial"/>
                <w:color w:val="1C1C1C"/>
                <w:sz w:val="18"/>
                <w:szCs w:val="18"/>
              </w:rPr>
            </w:pPr>
            <w:r w:rsidRPr="00FC23E4">
              <w:rPr>
                <w:rFonts w:cs="Arial"/>
                <w:color w:val="1C1C1C"/>
                <w:sz w:val="18"/>
                <w:szCs w:val="18"/>
              </w:rPr>
              <w:t>$1.0m</w:t>
            </w:r>
          </w:p>
        </w:tc>
        <w:tc>
          <w:tcPr>
            <w:tcW w:w="1081"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D4B7B36" w14:textId="77777777" w:rsidR="00626280" w:rsidRPr="00FC23E4" w:rsidRDefault="00626280" w:rsidP="008919D7">
            <w:pPr>
              <w:spacing w:before="120" w:after="120"/>
              <w:jc w:val="right"/>
              <w:rPr>
                <w:rFonts w:cs="Arial"/>
                <w:color w:val="1C1C1C"/>
                <w:sz w:val="18"/>
                <w:szCs w:val="18"/>
              </w:rPr>
            </w:pPr>
            <w:r w:rsidRPr="00FC23E4">
              <w:rPr>
                <w:rFonts w:cs="Arial"/>
                <w:color w:val="1C1C1C"/>
                <w:sz w:val="18"/>
                <w:szCs w:val="18"/>
              </w:rPr>
              <w:t>2,788</w:t>
            </w:r>
          </w:p>
        </w:tc>
        <w:tc>
          <w:tcPr>
            <w:tcW w:w="1309"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3C2A57B" w14:textId="77777777" w:rsidR="00626280" w:rsidRPr="00FC23E4" w:rsidRDefault="00626280" w:rsidP="008919D7">
            <w:pPr>
              <w:spacing w:before="120" w:after="120"/>
              <w:jc w:val="right"/>
              <w:rPr>
                <w:rFonts w:cs="Arial"/>
                <w:color w:val="1C1C1C"/>
                <w:sz w:val="18"/>
                <w:szCs w:val="18"/>
              </w:rPr>
            </w:pPr>
            <w:r w:rsidRPr="00FC23E4">
              <w:rPr>
                <w:rFonts w:cs="Arial"/>
                <w:color w:val="1C1C1C"/>
                <w:sz w:val="18"/>
                <w:szCs w:val="18"/>
              </w:rPr>
              <w:t>12%</w:t>
            </w:r>
          </w:p>
        </w:tc>
        <w:tc>
          <w:tcPr>
            <w:tcW w:w="1395"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D531183" w14:textId="77777777" w:rsidR="00626280" w:rsidRPr="00FC23E4" w:rsidRDefault="00626280" w:rsidP="008919D7">
            <w:pPr>
              <w:spacing w:before="120" w:after="120"/>
              <w:jc w:val="right"/>
              <w:rPr>
                <w:rFonts w:cs="Arial"/>
                <w:color w:val="1C1C1C"/>
                <w:sz w:val="18"/>
                <w:szCs w:val="18"/>
              </w:rPr>
            </w:pPr>
            <w:r w:rsidRPr="00FC23E4">
              <w:rPr>
                <w:rFonts w:cs="Arial"/>
                <w:color w:val="1C1C1C"/>
                <w:sz w:val="18"/>
                <w:szCs w:val="18"/>
              </w:rPr>
              <w:t>42%</w:t>
            </w:r>
          </w:p>
        </w:tc>
        <w:tc>
          <w:tcPr>
            <w:tcW w:w="1588"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6D3A069" w14:textId="77777777" w:rsidR="00626280" w:rsidRPr="00FC23E4" w:rsidRDefault="00626280" w:rsidP="008919D7">
            <w:pPr>
              <w:spacing w:before="120" w:after="120"/>
              <w:jc w:val="right"/>
              <w:rPr>
                <w:rFonts w:cs="Arial"/>
                <w:color w:val="1C1C1C"/>
                <w:sz w:val="18"/>
                <w:szCs w:val="18"/>
              </w:rPr>
            </w:pPr>
            <w:r w:rsidRPr="00FC23E4">
              <w:rPr>
                <w:rFonts w:cs="Arial"/>
                <w:color w:val="1C1C1C"/>
                <w:sz w:val="18"/>
                <w:szCs w:val="18"/>
              </w:rPr>
              <w:t>$41</w:t>
            </w:r>
          </w:p>
        </w:tc>
        <w:tc>
          <w:tcPr>
            <w:tcW w:w="166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FBDC378" w14:textId="77777777" w:rsidR="00626280" w:rsidRPr="00FC23E4" w:rsidRDefault="00626280" w:rsidP="008919D7">
            <w:pPr>
              <w:spacing w:before="120" w:after="120"/>
              <w:jc w:val="right"/>
              <w:rPr>
                <w:rFonts w:cs="Arial"/>
                <w:color w:val="1C1C1C"/>
                <w:sz w:val="18"/>
                <w:szCs w:val="18"/>
              </w:rPr>
            </w:pPr>
            <w:r w:rsidRPr="00FC23E4">
              <w:rPr>
                <w:rFonts w:cs="Arial"/>
                <w:color w:val="1C1C1C"/>
                <w:sz w:val="18"/>
                <w:szCs w:val="18"/>
              </w:rPr>
              <w:t>$345</w:t>
            </w:r>
          </w:p>
        </w:tc>
      </w:tr>
    </w:tbl>
    <w:p w14:paraId="4DA9F00D" w14:textId="77777777" w:rsidR="00626280" w:rsidRDefault="00626280" w:rsidP="00626280"/>
    <w:p w14:paraId="379BC13B" w14:textId="2CA6F909" w:rsidR="00986BB7" w:rsidRDefault="00986BB7" w:rsidP="00986BB7">
      <w:pPr>
        <w:pStyle w:val="Heading4"/>
        <w:numPr>
          <w:ilvl w:val="0"/>
          <w:numId w:val="0"/>
        </w:numPr>
        <w:ind w:left="864" w:hanging="864"/>
      </w:pPr>
      <w:r w:rsidRPr="00986BB7">
        <w:t>GUI usage and benefits by ACHI codes</w:t>
      </w:r>
    </w:p>
    <w:p w14:paraId="0DEBA07B" w14:textId="2D3A7B5F" w:rsidR="00F95659" w:rsidRDefault="00626280" w:rsidP="00626280">
      <w:r w:rsidRPr="001123A6">
        <w:t>Similar char</w:t>
      </w:r>
      <w:r w:rsidR="001938B6">
        <w:t xml:space="preserve">acteristics are observed when considering individual </w:t>
      </w:r>
      <w:r w:rsidRPr="001123A6">
        <w:t>ACHI code</w:t>
      </w:r>
      <w:r w:rsidR="001938B6">
        <w:t>s</w:t>
      </w:r>
      <w:r w:rsidRPr="001123A6">
        <w:t>, with some ACHI codes exhibiting a high association by episode with particular GUI usa</w:t>
      </w:r>
      <w:r w:rsidRPr="00FD7F8C">
        <w:t xml:space="preserve">ge. </w:t>
      </w:r>
      <w:r w:rsidRPr="003E26F7">
        <w:t xml:space="preserve">However, </w:t>
      </w:r>
      <w:r w:rsidR="00F95659">
        <w:t xml:space="preserve">there are significant amounts of GUI benefits </w:t>
      </w:r>
      <w:r w:rsidR="00BA5093">
        <w:t xml:space="preserve">with very low associations with </w:t>
      </w:r>
      <w:r w:rsidR="00F95659">
        <w:t>ACHI code</w:t>
      </w:r>
      <w:r w:rsidR="00BA5093">
        <w:t>s</w:t>
      </w:r>
      <w:r w:rsidR="00F95659">
        <w:t xml:space="preserve">. </w:t>
      </w:r>
    </w:p>
    <w:p w14:paraId="274C3267" w14:textId="51375C0A" w:rsidR="00F95659" w:rsidRDefault="00F95659">
      <w:r>
        <w:fldChar w:fldCharType="begin"/>
      </w:r>
      <w:r>
        <w:instrText xml:space="preserve"> REF _Ref119075688 \h </w:instrText>
      </w:r>
      <w:r>
        <w:fldChar w:fldCharType="separate"/>
      </w:r>
      <w:r w:rsidR="00106CD4">
        <w:t xml:space="preserve">Table </w:t>
      </w:r>
      <w:r w:rsidR="00106CD4">
        <w:rPr>
          <w:noProof/>
        </w:rPr>
        <w:t>22</w:t>
      </w:r>
      <w:r>
        <w:fldChar w:fldCharType="end"/>
      </w:r>
      <w:r>
        <w:t xml:space="preserve"> </w:t>
      </w:r>
      <w:r w:rsidR="001938B6">
        <w:t xml:space="preserve">shows the </w:t>
      </w:r>
      <w:r w:rsidR="00060586">
        <w:t>top three significant interventions</w:t>
      </w:r>
      <w:r w:rsidR="001938B6">
        <w:t xml:space="preserve"> associated with the largest amount of GUI benefits in financial year 2020-21</w:t>
      </w:r>
      <w:r>
        <w:t>.</w:t>
      </w:r>
      <w:r w:rsidR="00060586">
        <w:t xml:space="preserve"> </w:t>
      </w:r>
      <w:r w:rsidR="003F777F">
        <w:t xml:space="preserve">However, the </w:t>
      </w:r>
      <w:r w:rsidRPr="00E9697B">
        <w:t xml:space="preserve">majority of GUI episodes </w:t>
      </w:r>
      <w:r w:rsidR="003F777F">
        <w:t xml:space="preserve">have much weaker associations </w:t>
      </w:r>
      <w:r w:rsidRPr="00E9697B">
        <w:t>with ACHI codes.</w:t>
      </w:r>
      <w:r w:rsidRPr="00F95659">
        <w:t xml:space="preserve"> </w:t>
      </w:r>
      <w:r>
        <w:t xml:space="preserve">For example, </w:t>
      </w:r>
      <w:r w:rsidRPr="00BD1E7E">
        <w:t xml:space="preserve">there are </w:t>
      </w:r>
      <w:r w:rsidR="003F777F">
        <w:t xml:space="preserve">a </w:t>
      </w:r>
      <w:r w:rsidR="008F6578">
        <w:t xml:space="preserve">large </w:t>
      </w:r>
      <w:r w:rsidR="003F777F">
        <w:t xml:space="preserve">number of </w:t>
      </w:r>
      <w:r>
        <w:t>ACHI codes</w:t>
      </w:r>
      <w:r w:rsidRPr="00BD1E7E">
        <w:t xml:space="preserve"> </w:t>
      </w:r>
      <w:r w:rsidR="003F777F">
        <w:t xml:space="preserve">that account for a large proportion of GUI benefits but have generally low predictive association with GUI </w:t>
      </w:r>
      <w:proofErr w:type="spellStart"/>
      <w:r w:rsidR="003F777F">
        <w:t>utilisation</w:t>
      </w:r>
      <w:proofErr w:type="spellEnd"/>
      <w:r>
        <w:t xml:space="preserve">. </w:t>
      </w:r>
    </w:p>
    <w:p w14:paraId="0D75A420" w14:textId="1181F425" w:rsidR="001938B6" w:rsidRDefault="001938B6" w:rsidP="003F5252">
      <w:pPr>
        <w:pStyle w:val="Caption"/>
      </w:pPr>
      <w:bookmarkStart w:id="143" w:name="_Ref119075688"/>
      <w:r>
        <w:t xml:space="preserve">Table </w:t>
      </w:r>
      <w:fldSimple w:instr=" SEQ Table \* ARABIC ">
        <w:r w:rsidR="00106CD4">
          <w:rPr>
            <w:noProof/>
          </w:rPr>
          <w:t>22</w:t>
        </w:r>
      </w:fldSimple>
      <w:bookmarkEnd w:id="143"/>
      <w:r w:rsidR="00F95659">
        <w:t xml:space="preserve">: Top </w:t>
      </w:r>
      <w:r w:rsidR="008F6578">
        <w:t xml:space="preserve">3 </w:t>
      </w:r>
      <w:r w:rsidR="00F95659">
        <w:t>ACHI</w:t>
      </w:r>
      <w:r w:rsidR="008F6578">
        <w:t xml:space="preserve"> significant intervention</w:t>
      </w:r>
      <w:r w:rsidR="00F95659">
        <w:t xml:space="preserve"> codes by total GUI benefits – private overnight </w:t>
      </w:r>
      <w:r w:rsidR="008F6578">
        <w:t>facilities</w:t>
      </w:r>
    </w:p>
    <w:tbl>
      <w:tblPr>
        <w:tblStyle w:val="IHPATable"/>
        <w:tblW w:w="0" w:type="auto"/>
        <w:tblLook w:val="0020" w:firstRow="1" w:lastRow="0" w:firstColumn="0" w:lastColumn="0" w:noHBand="0" w:noVBand="0"/>
        <w:tblDescription w:val="Table 22 has the Top 3 ACHI significant intervention codes by total GUI benefits by private overnight facilities. There are six columns showing the total benefits and episodes against the ACHI code. "/>
      </w:tblPr>
      <w:tblGrid>
        <w:gridCol w:w="2830"/>
        <w:gridCol w:w="1278"/>
        <w:gridCol w:w="997"/>
        <w:gridCol w:w="1560"/>
        <w:gridCol w:w="1410"/>
        <w:gridCol w:w="1667"/>
      </w:tblGrid>
      <w:tr w:rsidR="003F777F" w:rsidRPr="00403431" w14:paraId="5C1C0411" w14:textId="77777777" w:rsidTr="00986BB7">
        <w:trPr>
          <w:cnfStyle w:val="100000000000" w:firstRow="1" w:lastRow="0" w:firstColumn="0" w:lastColumn="0" w:oddVBand="0" w:evenVBand="0" w:oddHBand="0" w:evenHBand="0" w:firstRowFirstColumn="0" w:firstRowLastColumn="0" w:lastRowFirstColumn="0" w:lastRowLastColumn="0"/>
          <w:cantSplit/>
          <w:trHeight w:val="20"/>
          <w:tblHeader/>
        </w:trPr>
        <w:tc>
          <w:tcPr>
            <w:tcW w:w="2830" w:type="dxa"/>
            <w:vMerge w:val="restart"/>
            <w:tcBorders>
              <w:top w:val="single" w:sz="4" w:space="0" w:color="808080" w:themeColor="background2" w:themeShade="80"/>
              <w:left w:val="single" w:sz="4" w:space="0" w:color="808080" w:themeColor="background2" w:themeShade="80"/>
              <w:bottom w:val="single" w:sz="4" w:space="0" w:color="FFFFFF" w:themeColor="background2"/>
              <w:right w:val="single" w:sz="4" w:space="0" w:color="FFFFFF" w:themeColor="background2"/>
            </w:tcBorders>
            <w:shd w:val="clear" w:color="auto" w:fill="104F99" w:themeFill="accent2"/>
            <w:vAlign w:val="center"/>
          </w:tcPr>
          <w:p w14:paraId="106AA5FE" w14:textId="5435114D" w:rsidR="003F777F" w:rsidRPr="00403431" w:rsidRDefault="003F777F" w:rsidP="00986BB7">
            <w:pPr>
              <w:spacing w:before="120" w:after="120"/>
              <w:jc w:val="center"/>
              <w:rPr>
                <w:rFonts w:cs="Arial"/>
                <w:b/>
                <w:bCs/>
                <w:color w:val="FFFFFF" w:themeColor="background2"/>
                <w:szCs w:val="18"/>
                <w:lang w:val="en-US"/>
              </w:rPr>
            </w:pPr>
            <w:r w:rsidRPr="00403431">
              <w:rPr>
                <w:rFonts w:cs="Arial"/>
                <w:b/>
                <w:bCs/>
                <w:color w:val="FFFFFF" w:themeColor="background2"/>
                <w:szCs w:val="18"/>
                <w:lang w:val="en-US"/>
              </w:rPr>
              <w:t>ACHI code</w:t>
            </w:r>
          </w:p>
        </w:tc>
        <w:tc>
          <w:tcPr>
            <w:tcW w:w="1278" w:type="dxa"/>
            <w:vMerge w:val="restart"/>
            <w:tcBorders>
              <w:top w:val="single" w:sz="4" w:space="0" w:color="808080" w:themeColor="background2" w:themeShade="80"/>
              <w:left w:val="single" w:sz="4" w:space="0" w:color="FFFFFF" w:themeColor="background2"/>
              <w:bottom w:val="single" w:sz="4" w:space="0" w:color="FFFFFF" w:themeColor="background2"/>
              <w:right w:val="single" w:sz="4" w:space="0" w:color="FFFFFF" w:themeColor="background2"/>
            </w:tcBorders>
            <w:shd w:val="clear" w:color="auto" w:fill="104F99" w:themeFill="accent2"/>
            <w:vAlign w:val="center"/>
          </w:tcPr>
          <w:p w14:paraId="666ECD53" w14:textId="30A69583" w:rsidR="003F777F" w:rsidRPr="00403431" w:rsidRDefault="003F777F" w:rsidP="00986BB7">
            <w:pPr>
              <w:spacing w:before="120" w:after="120"/>
              <w:jc w:val="center"/>
              <w:rPr>
                <w:rFonts w:cs="Arial"/>
                <w:b/>
                <w:bCs/>
                <w:color w:val="FFFFFF" w:themeColor="background2"/>
                <w:szCs w:val="18"/>
              </w:rPr>
            </w:pPr>
            <w:r w:rsidRPr="00403431">
              <w:rPr>
                <w:rFonts w:cs="Arial"/>
                <w:b/>
                <w:bCs/>
                <w:color w:val="FFFFFF" w:themeColor="background2"/>
                <w:szCs w:val="18"/>
              </w:rPr>
              <w:t>Total GUI benefits</w:t>
            </w:r>
          </w:p>
        </w:tc>
        <w:tc>
          <w:tcPr>
            <w:tcW w:w="997" w:type="dxa"/>
            <w:vMerge w:val="restart"/>
            <w:tcBorders>
              <w:top w:val="single" w:sz="4" w:space="0" w:color="808080" w:themeColor="background2" w:themeShade="80"/>
              <w:left w:val="single" w:sz="4" w:space="0" w:color="FFFFFF" w:themeColor="background2"/>
              <w:bottom w:val="single" w:sz="4" w:space="0" w:color="FFFFFF" w:themeColor="background2"/>
              <w:right w:val="single" w:sz="4" w:space="0" w:color="FFFFFF" w:themeColor="background2"/>
            </w:tcBorders>
            <w:shd w:val="clear" w:color="auto" w:fill="104F99" w:themeFill="accent2"/>
            <w:vAlign w:val="center"/>
          </w:tcPr>
          <w:p w14:paraId="43C7D101" w14:textId="49F5448F" w:rsidR="003F777F" w:rsidRPr="00403431" w:rsidRDefault="003F777F" w:rsidP="00986BB7">
            <w:pPr>
              <w:spacing w:before="120" w:after="120"/>
              <w:jc w:val="center"/>
              <w:rPr>
                <w:rFonts w:cs="Arial"/>
                <w:b/>
                <w:bCs/>
                <w:color w:val="FFFFFF" w:themeColor="background2"/>
                <w:szCs w:val="18"/>
              </w:rPr>
            </w:pPr>
            <w:r w:rsidRPr="00403431">
              <w:rPr>
                <w:rFonts w:cs="Arial"/>
                <w:b/>
                <w:bCs/>
                <w:color w:val="FFFFFF" w:themeColor="background2"/>
                <w:szCs w:val="18"/>
              </w:rPr>
              <w:t>Total GUI episodes</w:t>
            </w:r>
          </w:p>
        </w:tc>
        <w:tc>
          <w:tcPr>
            <w:tcW w:w="1560" w:type="dxa"/>
            <w:vMerge w:val="restart"/>
            <w:tcBorders>
              <w:top w:val="single" w:sz="4" w:space="0" w:color="808080" w:themeColor="background2" w:themeShade="80"/>
              <w:left w:val="single" w:sz="4" w:space="0" w:color="FFFFFF" w:themeColor="background2"/>
              <w:bottom w:val="single" w:sz="4" w:space="0" w:color="FFFFFF" w:themeColor="background2"/>
              <w:right w:val="single" w:sz="4" w:space="0" w:color="FFFFFF" w:themeColor="background2"/>
            </w:tcBorders>
            <w:shd w:val="clear" w:color="auto" w:fill="104F99" w:themeFill="accent2"/>
            <w:vAlign w:val="center"/>
          </w:tcPr>
          <w:p w14:paraId="63A9E3C2" w14:textId="1CAC93BB" w:rsidR="003F777F" w:rsidRPr="00403431" w:rsidRDefault="003F777F" w:rsidP="00986BB7">
            <w:pPr>
              <w:spacing w:before="120" w:after="120"/>
              <w:jc w:val="center"/>
              <w:rPr>
                <w:rFonts w:cs="Arial"/>
                <w:b/>
                <w:bCs/>
                <w:color w:val="FFFFFF" w:themeColor="background2"/>
                <w:szCs w:val="18"/>
              </w:rPr>
            </w:pPr>
            <w:r w:rsidRPr="00403431">
              <w:rPr>
                <w:rFonts w:cs="Arial"/>
                <w:b/>
                <w:bCs/>
                <w:color w:val="FFFFFF" w:themeColor="background2"/>
                <w:szCs w:val="18"/>
              </w:rPr>
              <w:t>Proportion of episodes with GUI</w:t>
            </w:r>
            <w:r>
              <w:rPr>
                <w:rFonts w:cs="Arial"/>
                <w:b/>
                <w:bCs/>
                <w:color w:val="FFFFFF" w:themeColor="background2"/>
                <w:szCs w:val="18"/>
              </w:rPr>
              <w:t>s charged</w:t>
            </w:r>
          </w:p>
        </w:tc>
        <w:tc>
          <w:tcPr>
            <w:tcW w:w="3077" w:type="dxa"/>
            <w:gridSpan w:val="2"/>
            <w:tcBorders>
              <w:top w:val="single" w:sz="4" w:space="0" w:color="808080" w:themeColor="background2" w:themeShade="80"/>
              <w:left w:val="single" w:sz="4" w:space="0" w:color="FFFFFF" w:themeColor="background2"/>
              <w:right w:val="single" w:sz="4" w:space="0" w:color="808080" w:themeColor="background2" w:themeShade="80"/>
            </w:tcBorders>
            <w:shd w:val="clear" w:color="auto" w:fill="104F99" w:themeFill="accent2"/>
            <w:vAlign w:val="center"/>
          </w:tcPr>
          <w:p w14:paraId="4183107B" w14:textId="20F7E1A9" w:rsidR="003F777F" w:rsidRPr="00403431" w:rsidRDefault="003F777F" w:rsidP="00986BB7">
            <w:pPr>
              <w:spacing w:before="120" w:after="120"/>
              <w:jc w:val="center"/>
              <w:rPr>
                <w:rFonts w:cs="Arial"/>
                <w:b/>
                <w:bCs/>
                <w:color w:val="FFFFFF" w:themeColor="background2"/>
                <w:szCs w:val="18"/>
                <w:lang w:val="en-US"/>
              </w:rPr>
            </w:pPr>
            <w:r>
              <w:rPr>
                <w:rFonts w:cs="Arial"/>
                <w:b/>
                <w:bCs/>
                <w:color w:val="FFFFFF" w:themeColor="background2"/>
                <w:szCs w:val="18"/>
                <w:lang w:val="en-US"/>
              </w:rPr>
              <w:t>Average GUI benefits per episode</w:t>
            </w:r>
          </w:p>
        </w:tc>
      </w:tr>
      <w:tr w:rsidR="003F777F" w:rsidRPr="00403431" w14:paraId="69EAD52E" w14:textId="77777777" w:rsidTr="00986BB7">
        <w:trPr>
          <w:cnfStyle w:val="100000000000" w:firstRow="1" w:lastRow="0" w:firstColumn="0" w:lastColumn="0" w:oddVBand="0" w:evenVBand="0" w:oddHBand="0" w:evenHBand="0" w:firstRowFirstColumn="0" w:firstRowLastColumn="0" w:lastRowFirstColumn="0" w:lastRowLastColumn="0"/>
          <w:cantSplit/>
          <w:trHeight w:val="20"/>
          <w:tblHeader/>
        </w:trPr>
        <w:tc>
          <w:tcPr>
            <w:tcW w:w="2830" w:type="dxa"/>
            <w:vMerge/>
            <w:tcBorders>
              <w:top w:val="single" w:sz="4" w:space="0" w:color="FFFFFF" w:themeColor="background2"/>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vAlign w:val="center"/>
          </w:tcPr>
          <w:p w14:paraId="1545E76B" w14:textId="434F4C76" w:rsidR="003F777F" w:rsidRPr="00403431" w:rsidRDefault="003F777F" w:rsidP="00986BB7">
            <w:pPr>
              <w:spacing w:before="120" w:after="120"/>
              <w:jc w:val="center"/>
              <w:rPr>
                <w:rFonts w:cs="Arial"/>
                <w:b/>
                <w:bCs/>
                <w:color w:val="FFFFFF" w:themeColor="background2"/>
                <w:szCs w:val="18"/>
                <w:lang w:val="en-US"/>
              </w:rPr>
            </w:pPr>
          </w:p>
        </w:tc>
        <w:tc>
          <w:tcPr>
            <w:tcW w:w="1278" w:type="dxa"/>
            <w:vMerge/>
            <w:tcBorders>
              <w:top w:val="single" w:sz="4" w:space="0" w:color="FFFFFF" w:themeColor="background2"/>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35CBB270" w14:textId="0F46F80C" w:rsidR="003F777F" w:rsidRPr="00403431" w:rsidRDefault="003F777F" w:rsidP="00986BB7">
            <w:pPr>
              <w:spacing w:before="120" w:after="120"/>
              <w:jc w:val="center"/>
              <w:rPr>
                <w:rFonts w:cs="Arial"/>
                <w:b/>
                <w:bCs/>
                <w:color w:val="FFFFFF" w:themeColor="background2"/>
                <w:szCs w:val="18"/>
              </w:rPr>
            </w:pPr>
          </w:p>
        </w:tc>
        <w:tc>
          <w:tcPr>
            <w:tcW w:w="997" w:type="dxa"/>
            <w:vMerge/>
            <w:tcBorders>
              <w:top w:val="single" w:sz="4" w:space="0" w:color="FFFFFF" w:themeColor="background2"/>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62893FDD" w14:textId="4F13E998" w:rsidR="003F777F" w:rsidRPr="00403431" w:rsidRDefault="003F777F" w:rsidP="00986BB7">
            <w:pPr>
              <w:spacing w:before="120" w:after="120"/>
              <w:jc w:val="center"/>
              <w:rPr>
                <w:rFonts w:cs="Arial"/>
                <w:b/>
                <w:bCs/>
                <w:color w:val="FFFFFF" w:themeColor="background2"/>
                <w:szCs w:val="18"/>
              </w:rPr>
            </w:pPr>
          </w:p>
        </w:tc>
        <w:tc>
          <w:tcPr>
            <w:tcW w:w="1560" w:type="dxa"/>
            <w:vMerge/>
            <w:tcBorders>
              <w:top w:val="single" w:sz="4" w:space="0" w:color="FFFFFF" w:themeColor="background2"/>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4663DE92" w14:textId="2CF40B2D" w:rsidR="003F777F" w:rsidRPr="00403431" w:rsidRDefault="003F777F" w:rsidP="00986BB7">
            <w:pPr>
              <w:spacing w:before="120" w:after="120"/>
              <w:jc w:val="center"/>
              <w:rPr>
                <w:rFonts w:cs="Arial"/>
                <w:b/>
                <w:bCs/>
                <w:color w:val="FFFFFF" w:themeColor="background2"/>
                <w:szCs w:val="18"/>
              </w:rPr>
            </w:pPr>
          </w:p>
        </w:tc>
        <w:tc>
          <w:tcPr>
            <w:tcW w:w="1410" w:type="dxa"/>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40893FF8" w14:textId="2E0DFC9D" w:rsidR="003F777F" w:rsidRPr="00403431" w:rsidRDefault="003F777F" w:rsidP="00986BB7">
            <w:pPr>
              <w:spacing w:before="120" w:after="120"/>
              <w:jc w:val="center"/>
              <w:rPr>
                <w:rFonts w:cs="Arial"/>
                <w:b/>
                <w:bCs/>
                <w:color w:val="FFFFFF" w:themeColor="background2"/>
                <w:szCs w:val="18"/>
              </w:rPr>
            </w:pPr>
            <w:r>
              <w:rPr>
                <w:rFonts w:cs="Arial"/>
                <w:b/>
                <w:bCs/>
                <w:color w:val="FFFFFF" w:themeColor="background2"/>
                <w:szCs w:val="18"/>
              </w:rPr>
              <w:t>All episodes</w:t>
            </w:r>
          </w:p>
        </w:tc>
        <w:tc>
          <w:tcPr>
            <w:tcW w:w="1667" w:type="dxa"/>
            <w:tcBorders>
              <w:left w:val="single" w:sz="4" w:space="0" w:color="FFFFFF" w:themeColor="background2"/>
              <w:bottom w:val="single" w:sz="4" w:space="0" w:color="808080" w:themeColor="background2" w:themeShade="80"/>
              <w:right w:val="single" w:sz="4" w:space="0" w:color="808080" w:themeColor="background2" w:themeShade="80"/>
            </w:tcBorders>
            <w:shd w:val="clear" w:color="auto" w:fill="104F99" w:themeFill="accent2"/>
            <w:vAlign w:val="center"/>
          </w:tcPr>
          <w:p w14:paraId="6C67EC8D" w14:textId="46C25FB1" w:rsidR="003F777F" w:rsidRPr="00403431" w:rsidRDefault="003F777F" w:rsidP="00986BB7">
            <w:pPr>
              <w:spacing w:before="120" w:after="120"/>
              <w:jc w:val="center"/>
              <w:rPr>
                <w:rFonts w:cs="Arial"/>
                <w:b/>
                <w:bCs/>
                <w:color w:val="FFFFFF" w:themeColor="background2"/>
                <w:szCs w:val="18"/>
                <w:lang w:val="en-US"/>
              </w:rPr>
            </w:pPr>
            <w:r>
              <w:rPr>
                <w:rFonts w:cs="Arial"/>
                <w:b/>
                <w:bCs/>
                <w:color w:val="FFFFFF" w:themeColor="background2"/>
                <w:szCs w:val="18"/>
                <w:lang w:val="en-US"/>
              </w:rPr>
              <w:t>E</w:t>
            </w:r>
            <w:r w:rsidRPr="00403431">
              <w:rPr>
                <w:rFonts w:cs="Arial"/>
                <w:b/>
                <w:bCs/>
                <w:color w:val="FFFFFF" w:themeColor="background2"/>
                <w:szCs w:val="18"/>
                <w:lang w:val="en-US"/>
              </w:rPr>
              <w:t>pisode</w:t>
            </w:r>
            <w:r>
              <w:rPr>
                <w:rFonts w:cs="Arial"/>
                <w:b/>
                <w:bCs/>
                <w:color w:val="FFFFFF" w:themeColor="background2"/>
                <w:szCs w:val="18"/>
                <w:lang w:val="en-US"/>
              </w:rPr>
              <w:t>s</w:t>
            </w:r>
            <w:r w:rsidRPr="00403431">
              <w:rPr>
                <w:rFonts w:cs="Arial"/>
                <w:b/>
                <w:bCs/>
                <w:color w:val="FFFFFF" w:themeColor="background2"/>
                <w:szCs w:val="18"/>
                <w:lang w:val="en-US"/>
              </w:rPr>
              <w:t xml:space="preserve"> with GUI</w:t>
            </w:r>
            <w:r>
              <w:rPr>
                <w:rFonts w:cs="Arial"/>
                <w:b/>
                <w:bCs/>
                <w:color w:val="FFFFFF" w:themeColor="background2"/>
                <w:szCs w:val="18"/>
                <w:lang w:val="en-US"/>
              </w:rPr>
              <w:t>s</w:t>
            </w:r>
            <w:r w:rsidRPr="00403431">
              <w:rPr>
                <w:rFonts w:cs="Arial"/>
                <w:b/>
                <w:bCs/>
                <w:color w:val="FFFFFF" w:themeColor="background2"/>
                <w:szCs w:val="18"/>
                <w:lang w:val="en-US"/>
              </w:rPr>
              <w:t xml:space="preserve"> </w:t>
            </w:r>
            <w:r>
              <w:rPr>
                <w:rFonts w:cs="Arial"/>
                <w:b/>
                <w:bCs/>
                <w:color w:val="FFFFFF" w:themeColor="background2"/>
                <w:szCs w:val="18"/>
                <w:lang w:val="en-US"/>
              </w:rPr>
              <w:t>charged</w:t>
            </w:r>
          </w:p>
        </w:tc>
      </w:tr>
      <w:tr w:rsidR="00342C6F" w:rsidRPr="00403431" w14:paraId="369DED23" w14:textId="77777777" w:rsidTr="003F777F">
        <w:trPr>
          <w:cnfStyle w:val="000000100000" w:firstRow="0" w:lastRow="0" w:firstColumn="0" w:lastColumn="0" w:oddVBand="0" w:evenVBand="0" w:oddHBand="1" w:evenHBand="0" w:firstRowFirstColumn="0" w:firstRowLastColumn="0" w:lastRowFirstColumn="0" w:lastRowLastColumn="0"/>
          <w:trHeight w:val="20"/>
        </w:trPr>
        <w:tc>
          <w:tcPr>
            <w:tcW w:w="283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71013E91" w14:textId="7F886ECC" w:rsidR="001938B6" w:rsidRPr="00403431" w:rsidRDefault="001938B6" w:rsidP="001938B6">
            <w:pPr>
              <w:spacing w:before="120" w:after="120"/>
              <w:rPr>
                <w:rFonts w:cs="Arial"/>
                <w:color w:val="000000"/>
                <w:sz w:val="18"/>
                <w:szCs w:val="18"/>
                <w:lang w:val="en-US"/>
              </w:rPr>
            </w:pPr>
            <w:r w:rsidRPr="00403431">
              <w:rPr>
                <w:rFonts w:cs="Arial"/>
                <w:color w:val="000000"/>
                <w:sz w:val="18"/>
                <w:szCs w:val="18"/>
                <w:lang w:val="en-US"/>
              </w:rPr>
              <w:t>30511</w:t>
            </w:r>
            <w:r w:rsidR="00060586">
              <w:rPr>
                <w:rFonts w:cs="Arial"/>
                <w:color w:val="000000"/>
                <w:sz w:val="18"/>
                <w:szCs w:val="18"/>
                <w:lang w:val="en-US"/>
              </w:rPr>
              <w:t>-</w:t>
            </w:r>
            <w:r w:rsidRPr="00403431">
              <w:rPr>
                <w:rFonts w:cs="Arial"/>
                <w:color w:val="000000"/>
                <w:sz w:val="18"/>
                <w:szCs w:val="18"/>
                <w:lang w:val="en-US"/>
              </w:rPr>
              <w:t>09</w:t>
            </w:r>
            <w:r w:rsidR="00060586">
              <w:rPr>
                <w:rFonts w:cs="Arial"/>
                <w:color w:val="000000"/>
                <w:sz w:val="18"/>
                <w:szCs w:val="18"/>
                <w:lang w:val="en-US"/>
              </w:rPr>
              <w:t xml:space="preserve"> Lap</w:t>
            </w:r>
            <w:r w:rsidR="00A12D05">
              <w:rPr>
                <w:rFonts w:cs="Arial"/>
                <w:color w:val="000000"/>
                <w:sz w:val="18"/>
                <w:szCs w:val="18"/>
                <w:lang w:val="en-US"/>
              </w:rPr>
              <w:t>aroscopic sleeve gastrectomy</w:t>
            </w:r>
          </w:p>
        </w:tc>
        <w:tc>
          <w:tcPr>
            <w:tcW w:w="1278"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7CA405A" w14:textId="35178FAB" w:rsidR="001938B6" w:rsidRPr="00403431" w:rsidRDefault="001938B6" w:rsidP="001938B6">
            <w:pPr>
              <w:spacing w:before="120" w:after="120"/>
              <w:jc w:val="right"/>
              <w:rPr>
                <w:rFonts w:cs="Arial"/>
                <w:color w:val="1C1C1C"/>
                <w:sz w:val="18"/>
                <w:szCs w:val="18"/>
              </w:rPr>
            </w:pPr>
            <w:r w:rsidRPr="00403431">
              <w:rPr>
                <w:rFonts w:cs="Arial"/>
                <w:color w:val="1C1C1C"/>
                <w:sz w:val="18"/>
                <w:szCs w:val="18"/>
              </w:rPr>
              <w:t>$41.8m</w:t>
            </w:r>
          </w:p>
        </w:tc>
        <w:tc>
          <w:tcPr>
            <w:tcW w:w="99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513AA52" w14:textId="7CE75D9B" w:rsidR="001938B6" w:rsidRPr="00403431" w:rsidRDefault="001938B6" w:rsidP="001938B6">
            <w:pPr>
              <w:spacing w:before="120" w:after="120"/>
              <w:jc w:val="right"/>
              <w:rPr>
                <w:rFonts w:cs="Arial"/>
                <w:color w:val="1C1C1C"/>
                <w:sz w:val="18"/>
                <w:szCs w:val="18"/>
              </w:rPr>
            </w:pPr>
            <w:r w:rsidRPr="00403431">
              <w:rPr>
                <w:rFonts w:cs="Arial"/>
                <w:color w:val="1C1C1C"/>
                <w:sz w:val="18"/>
                <w:szCs w:val="18"/>
              </w:rPr>
              <w:t>12,270</w:t>
            </w:r>
          </w:p>
        </w:tc>
        <w:tc>
          <w:tcPr>
            <w:tcW w:w="156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E79B54C" w14:textId="1100D7A0" w:rsidR="001938B6" w:rsidRPr="00403431" w:rsidRDefault="001938B6" w:rsidP="001938B6">
            <w:pPr>
              <w:spacing w:before="120" w:after="120"/>
              <w:jc w:val="right"/>
              <w:rPr>
                <w:rFonts w:cs="Arial"/>
                <w:color w:val="1C1C1C"/>
                <w:sz w:val="18"/>
                <w:szCs w:val="18"/>
              </w:rPr>
            </w:pPr>
            <w:r w:rsidRPr="00403431">
              <w:rPr>
                <w:rFonts w:cs="Arial"/>
                <w:color w:val="1C1C1C"/>
                <w:sz w:val="18"/>
                <w:szCs w:val="18"/>
              </w:rPr>
              <w:t>96%</w:t>
            </w:r>
          </w:p>
        </w:tc>
        <w:tc>
          <w:tcPr>
            <w:tcW w:w="141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2C7E9CF" w14:textId="564A5B70" w:rsidR="001938B6" w:rsidRPr="00403431" w:rsidRDefault="001938B6" w:rsidP="001938B6">
            <w:pPr>
              <w:spacing w:before="120" w:after="120"/>
              <w:jc w:val="right"/>
              <w:rPr>
                <w:rFonts w:cs="Arial"/>
                <w:color w:val="1C1C1C"/>
                <w:sz w:val="18"/>
                <w:szCs w:val="18"/>
              </w:rPr>
            </w:pPr>
            <w:r w:rsidRPr="00403431">
              <w:rPr>
                <w:rFonts w:cs="Arial"/>
                <w:color w:val="1C1C1C"/>
                <w:sz w:val="18"/>
                <w:szCs w:val="18"/>
              </w:rPr>
              <w:t>$3,272</w:t>
            </w:r>
          </w:p>
        </w:tc>
        <w:tc>
          <w:tcPr>
            <w:tcW w:w="166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A616CF5" w14:textId="3967202C" w:rsidR="001938B6" w:rsidRPr="00403431" w:rsidRDefault="001938B6" w:rsidP="001938B6">
            <w:pPr>
              <w:spacing w:before="120" w:after="120"/>
              <w:jc w:val="right"/>
              <w:rPr>
                <w:rFonts w:cs="Arial"/>
                <w:color w:val="1C1C1C"/>
                <w:sz w:val="18"/>
                <w:szCs w:val="18"/>
              </w:rPr>
            </w:pPr>
            <w:r w:rsidRPr="00403431">
              <w:rPr>
                <w:rFonts w:cs="Arial"/>
                <w:color w:val="1C1C1C"/>
                <w:sz w:val="18"/>
                <w:szCs w:val="18"/>
              </w:rPr>
              <w:t>$3,405</w:t>
            </w:r>
          </w:p>
        </w:tc>
      </w:tr>
      <w:tr w:rsidR="00342C6F" w:rsidRPr="00403431" w14:paraId="11A68E27" w14:textId="77777777" w:rsidTr="003F777F">
        <w:trPr>
          <w:cnfStyle w:val="000000010000" w:firstRow="0" w:lastRow="0" w:firstColumn="0" w:lastColumn="0" w:oddVBand="0" w:evenVBand="0" w:oddHBand="0" w:evenHBand="1" w:firstRowFirstColumn="0" w:firstRowLastColumn="0" w:lastRowFirstColumn="0" w:lastRowLastColumn="0"/>
          <w:trHeight w:val="20"/>
        </w:trPr>
        <w:tc>
          <w:tcPr>
            <w:tcW w:w="283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10859EDB" w14:textId="5E1424B8" w:rsidR="001938B6" w:rsidRPr="00403431" w:rsidRDefault="001938B6" w:rsidP="001938B6">
            <w:pPr>
              <w:spacing w:before="120" w:after="120"/>
              <w:rPr>
                <w:rFonts w:cs="Arial"/>
                <w:color w:val="000000"/>
                <w:sz w:val="18"/>
                <w:szCs w:val="18"/>
                <w:lang w:val="en-US"/>
              </w:rPr>
            </w:pPr>
            <w:r w:rsidRPr="00403431">
              <w:rPr>
                <w:rFonts w:cs="Arial"/>
                <w:color w:val="000000"/>
                <w:sz w:val="18"/>
                <w:szCs w:val="18"/>
                <w:lang w:val="en-US"/>
              </w:rPr>
              <w:t>30512</w:t>
            </w:r>
            <w:r w:rsidR="00060586">
              <w:rPr>
                <w:rFonts w:cs="Arial"/>
                <w:color w:val="000000"/>
                <w:sz w:val="18"/>
                <w:szCs w:val="18"/>
                <w:lang w:val="en-US"/>
              </w:rPr>
              <w:t>-</w:t>
            </w:r>
            <w:r w:rsidRPr="00403431">
              <w:rPr>
                <w:rFonts w:cs="Arial"/>
                <w:color w:val="000000"/>
                <w:sz w:val="18"/>
                <w:szCs w:val="18"/>
                <w:lang w:val="en-US"/>
              </w:rPr>
              <w:t>03</w:t>
            </w:r>
            <w:r w:rsidR="00A12D05">
              <w:rPr>
                <w:rFonts w:cs="Arial"/>
                <w:color w:val="000000"/>
                <w:sz w:val="18"/>
                <w:szCs w:val="18"/>
                <w:lang w:val="en-US"/>
              </w:rPr>
              <w:t xml:space="preserve"> Laparoscopic gastric bypass</w:t>
            </w:r>
          </w:p>
        </w:tc>
        <w:tc>
          <w:tcPr>
            <w:tcW w:w="1278"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12BF6B8" w14:textId="3BAA29E3" w:rsidR="001938B6" w:rsidRPr="00403431" w:rsidRDefault="001938B6" w:rsidP="001938B6">
            <w:pPr>
              <w:spacing w:before="120" w:after="120"/>
              <w:jc w:val="right"/>
              <w:rPr>
                <w:rFonts w:cs="Arial"/>
                <w:color w:val="1C1C1C"/>
                <w:sz w:val="18"/>
                <w:szCs w:val="18"/>
              </w:rPr>
            </w:pPr>
            <w:r w:rsidRPr="00403431">
              <w:rPr>
                <w:rFonts w:cs="Arial"/>
                <w:color w:val="1C1C1C"/>
                <w:sz w:val="18"/>
                <w:szCs w:val="18"/>
              </w:rPr>
              <w:t>$16.3m</w:t>
            </w:r>
          </w:p>
        </w:tc>
        <w:tc>
          <w:tcPr>
            <w:tcW w:w="99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EA4F5C4" w14:textId="050CA1EB" w:rsidR="001938B6" w:rsidRPr="00403431" w:rsidRDefault="001938B6" w:rsidP="001938B6">
            <w:pPr>
              <w:spacing w:before="120" w:after="120"/>
              <w:jc w:val="right"/>
              <w:rPr>
                <w:rFonts w:cs="Arial"/>
                <w:color w:val="1C1C1C"/>
                <w:sz w:val="18"/>
                <w:szCs w:val="18"/>
              </w:rPr>
            </w:pPr>
            <w:r w:rsidRPr="00403431">
              <w:rPr>
                <w:rFonts w:cs="Arial"/>
                <w:color w:val="1C1C1C"/>
                <w:sz w:val="18"/>
                <w:szCs w:val="18"/>
              </w:rPr>
              <w:t>4,858</w:t>
            </w:r>
          </w:p>
        </w:tc>
        <w:tc>
          <w:tcPr>
            <w:tcW w:w="156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9754308" w14:textId="243F45CA" w:rsidR="001938B6" w:rsidRPr="00403431" w:rsidRDefault="001938B6" w:rsidP="001938B6">
            <w:pPr>
              <w:spacing w:before="120" w:after="120"/>
              <w:jc w:val="right"/>
              <w:rPr>
                <w:rFonts w:cs="Arial"/>
                <w:color w:val="1C1C1C"/>
                <w:sz w:val="18"/>
                <w:szCs w:val="18"/>
              </w:rPr>
            </w:pPr>
            <w:r w:rsidRPr="00403431">
              <w:rPr>
                <w:rFonts w:cs="Arial"/>
                <w:color w:val="1C1C1C"/>
                <w:sz w:val="18"/>
                <w:szCs w:val="18"/>
              </w:rPr>
              <w:t>96%</w:t>
            </w:r>
          </w:p>
        </w:tc>
        <w:tc>
          <w:tcPr>
            <w:tcW w:w="141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2997A27" w14:textId="3143C707" w:rsidR="001938B6" w:rsidRPr="00403431" w:rsidRDefault="001938B6" w:rsidP="001938B6">
            <w:pPr>
              <w:spacing w:before="120" w:after="120"/>
              <w:jc w:val="right"/>
              <w:rPr>
                <w:rFonts w:cs="Arial"/>
                <w:color w:val="1C1C1C"/>
                <w:sz w:val="18"/>
                <w:szCs w:val="18"/>
              </w:rPr>
            </w:pPr>
            <w:r w:rsidRPr="00403431">
              <w:rPr>
                <w:rFonts w:cs="Arial"/>
                <w:color w:val="1C1C1C"/>
                <w:sz w:val="18"/>
                <w:szCs w:val="18"/>
              </w:rPr>
              <w:t>$3,232</w:t>
            </w:r>
          </w:p>
        </w:tc>
        <w:tc>
          <w:tcPr>
            <w:tcW w:w="166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4EFE164" w14:textId="79481AE3" w:rsidR="001938B6" w:rsidRPr="00403431" w:rsidRDefault="001938B6" w:rsidP="001938B6">
            <w:pPr>
              <w:spacing w:before="120" w:after="120"/>
              <w:jc w:val="right"/>
              <w:rPr>
                <w:rFonts w:cs="Arial"/>
                <w:color w:val="1C1C1C"/>
                <w:sz w:val="18"/>
                <w:szCs w:val="18"/>
              </w:rPr>
            </w:pPr>
            <w:r w:rsidRPr="00403431">
              <w:rPr>
                <w:rFonts w:cs="Arial"/>
                <w:color w:val="1C1C1C"/>
                <w:sz w:val="18"/>
                <w:szCs w:val="18"/>
              </w:rPr>
              <w:t>$3,365</w:t>
            </w:r>
          </w:p>
        </w:tc>
      </w:tr>
      <w:tr w:rsidR="00342C6F" w:rsidRPr="00403431" w14:paraId="6BE89DDC" w14:textId="77777777" w:rsidTr="003F777F">
        <w:trPr>
          <w:cnfStyle w:val="000000100000" w:firstRow="0" w:lastRow="0" w:firstColumn="0" w:lastColumn="0" w:oddVBand="0" w:evenVBand="0" w:oddHBand="1" w:evenHBand="0" w:firstRowFirstColumn="0" w:firstRowLastColumn="0" w:lastRowFirstColumn="0" w:lastRowLastColumn="0"/>
          <w:trHeight w:val="20"/>
        </w:trPr>
        <w:tc>
          <w:tcPr>
            <w:tcW w:w="283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74C66FFE" w14:textId="3A13DE2C" w:rsidR="001938B6" w:rsidRPr="00403431" w:rsidRDefault="001938B6" w:rsidP="001938B6">
            <w:pPr>
              <w:spacing w:before="120" w:after="120"/>
              <w:rPr>
                <w:rFonts w:cs="Arial"/>
                <w:color w:val="000000"/>
                <w:sz w:val="18"/>
                <w:szCs w:val="18"/>
                <w:lang w:val="en-US"/>
              </w:rPr>
            </w:pPr>
            <w:r w:rsidRPr="00403431">
              <w:rPr>
                <w:rFonts w:cs="Arial"/>
                <w:color w:val="000000"/>
                <w:sz w:val="18"/>
                <w:szCs w:val="18"/>
                <w:lang w:val="en-US"/>
              </w:rPr>
              <w:t>30393</w:t>
            </w:r>
            <w:r w:rsidR="00060586">
              <w:rPr>
                <w:rFonts w:cs="Arial"/>
                <w:color w:val="000000"/>
                <w:sz w:val="18"/>
                <w:szCs w:val="18"/>
                <w:lang w:val="en-US"/>
              </w:rPr>
              <w:t>-</w:t>
            </w:r>
            <w:r w:rsidRPr="00403431">
              <w:rPr>
                <w:rFonts w:cs="Arial"/>
                <w:color w:val="000000"/>
                <w:sz w:val="18"/>
                <w:szCs w:val="18"/>
                <w:lang w:val="en-US"/>
              </w:rPr>
              <w:t>00</w:t>
            </w:r>
            <w:r w:rsidR="00A12D05">
              <w:rPr>
                <w:rFonts w:cs="Arial"/>
                <w:color w:val="000000"/>
                <w:sz w:val="18"/>
                <w:szCs w:val="18"/>
                <w:lang w:val="en-US"/>
              </w:rPr>
              <w:t xml:space="preserve"> Laparoscopic division of abdominal adhesions</w:t>
            </w:r>
          </w:p>
        </w:tc>
        <w:tc>
          <w:tcPr>
            <w:tcW w:w="1278"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BC368DE" w14:textId="101C97EB" w:rsidR="001938B6" w:rsidRPr="00403431" w:rsidRDefault="001938B6" w:rsidP="001938B6">
            <w:pPr>
              <w:spacing w:before="120" w:after="120"/>
              <w:jc w:val="right"/>
              <w:rPr>
                <w:rFonts w:cs="Arial"/>
                <w:color w:val="1C1C1C"/>
                <w:sz w:val="18"/>
                <w:szCs w:val="18"/>
              </w:rPr>
            </w:pPr>
            <w:r w:rsidRPr="00403431">
              <w:rPr>
                <w:rFonts w:cs="Arial"/>
                <w:color w:val="1C1C1C"/>
                <w:sz w:val="18"/>
                <w:szCs w:val="18"/>
              </w:rPr>
              <w:t>$7.7m</w:t>
            </w:r>
          </w:p>
        </w:tc>
        <w:tc>
          <w:tcPr>
            <w:tcW w:w="99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29B07C2" w14:textId="1F08BC06" w:rsidR="001938B6" w:rsidRPr="00403431" w:rsidRDefault="001938B6" w:rsidP="001938B6">
            <w:pPr>
              <w:spacing w:before="120" w:after="120"/>
              <w:jc w:val="right"/>
              <w:rPr>
                <w:rFonts w:cs="Arial"/>
                <w:color w:val="1C1C1C"/>
                <w:sz w:val="18"/>
                <w:szCs w:val="18"/>
              </w:rPr>
            </w:pPr>
            <w:r w:rsidRPr="00403431">
              <w:rPr>
                <w:rFonts w:cs="Arial"/>
                <w:color w:val="1C1C1C"/>
                <w:sz w:val="18"/>
                <w:szCs w:val="18"/>
              </w:rPr>
              <w:t>15,465</w:t>
            </w:r>
          </w:p>
        </w:tc>
        <w:tc>
          <w:tcPr>
            <w:tcW w:w="156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08561BC" w14:textId="424DFBD0" w:rsidR="001938B6" w:rsidRPr="00403431" w:rsidRDefault="001938B6" w:rsidP="001938B6">
            <w:pPr>
              <w:spacing w:before="120" w:after="120"/>
              <w:jc w:val="right"/>
              <w:rPr>
                <w:rFonts w:cs="Arial"/>
                <w:color w:val="1C1C1C"/>
                <w:sz w:val="18"/>
                <w:szCs w:val="18"/>
              </w:rPr>
            </w:pPr>
            <w:r w:rsidRPr="00403431">
              <w:rPr>
                <w:rFonts w:cs="Arial"/>
                <w:color w:val="1C1C1C"/>
                <w:sz w:val="18"/>
                <w:szCs w:val="18"/>
              </w:rPr>
              <w:t>73%</w:t>
            </w:r>
          </w:p>
        </w:tc>
        <w:tc>
          <w:tcPr>
            <w:tcW w:w="141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8035557" w14:textId="3A0C15DF" w:rsidR="001938B6" w:rsidRPr="00403431" w:rsidRDefault="001938B6" w:rsidP="001938B6">
            <w:pPr>
              <w:spacing w:before="120" w:after="120"/>
              <w:jc w:val="right"/>
              <w:rPr>
                <w:rFonts w:cs="Arial"/>
                <w:color w:val="1C1C1C"/>
                <w:sz w:val="18"/>
                <w:szCs w:val="18"/>
              </w:rPr>
            </w:pPr>
            <w:r w:rsidRPr="00403431">
              <w:rPr>
                <w:rFonts w:cs="Arial"/>
                <w:color w:val="1C1C1C"/>
                <w:sz w:val="18"/>
                <w:szCs w:val="18"/>
              </w:rPr>
              <w:t>$366</w:t>
            </w:r>
          </w:p>
        </w:tc>
        <w:tc>
          <w:tcPr>
            <w:tcW w:w="1667"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2EDE7F6" w14:textId="0E7A473D" w:rsidR="001938B6" w:rsidRPr="00403431" w:rsidRDefault="001938B6" w:rsidP="001938B6">
            <w:pPr>
              <w:spacing w:before="120" w:after="120"/>
              <w:jc w:val="right"/>
              <w:rPr>
                <w:rFonts w:cs="Arial"/>
                <w:color w:val="1C1C1C"/>
                <w:sz w:val="18"/>
                <w:szCs w:val="18"/>
              </w:rPr>
            </w:pPr>
            <w:r w:rsidRPr="00403431">
              <w:rPr>
                <w:rFonts w:cs="Arial"/>
                <w:color w:val="1C1C1C"/>
                <w:sz w:val="18"/>
                <w:szCs w:val="18"/>
              </w:rPr>
              <w:t>$499</w:t>
            </w:r>
          </w:p>
        </w:tc>
      </w:tr>
    </w:tbl>
    <w:p w14:paraId="14242919" w14:textId="6B210F2C" w:rsidR="00223DF2" w:rsidRDefault="00223DF2" w:rsidP="003E26F7">
      <w:pPr>
        <w:rPr>
          <w:b/>
        </w:rPr>
      </w:pPr>
    </w:p>
    <w:p w14:paraId="1C0973C9" w14:textId="41DC8E64" w:rsidR="00986BB7" w:rsidRDefault="00986BB7" w:rsidP="00986BB7">
      <w:pPr>
        <w:pStyle w:val="Heading3"/>
        <w:numPr>
          <w:ilvl w:val="0"/>
          <w:numId w:val="0"/>
        </w:numPr>
      </w:pPr>
      <w:bookmarkStart w:id="144" w:name="_Toc121130821"/>
      <w:r>
        <w:t xml:space="preserve">C.3.3 GUI </w:t>
      </w:r>
      <w:r w:rsidR="00BA3FB1">
        <w:t xml:space="preserve">product bundle statistics by </w:t>
      </w:r>
      <w:r>
        <w:t>facility type and Major Diagnostic Category</w:t>
      </w:r>
      <w:bookmarkEnd w:id="144"/>
    </w:p>
    <w:p w14:paraId="0E1C2488" w14:textId="44F0C8DE" w:rsidR="00626280" w:rsidRPr="00711867" w:rsidRDefault="00626280" w:rsidP="007175ED">
      <w:pPr>
        <w:pStyle w:val="Heading4"/>
        <w:numPr>
          <w:ilvl w:val="0"/>
          <w:numId w:val="0"/>
        </w:numPr>
        <w:ind w:left="864" w:hanging="864"/>
      </w:pPr>
      <w:r w:rsidRPr="00711867">
        <w:t xml:space="preserve">GUI </w:t>
      </w:r>
      <w:r w:rsidR="00C55759">
        <w:t>p</w:t>
      </w:r>
      <w:r w:rsidRPr="00711867">
        <w:t xml:space="preserve">roduct </w:t>
      </w:r>
      <w:r w:rsidR="00C55759">
        <w:t>b</w:t>
      </w:r>
      <w:r w:rsidRPr="00711867">
        <w:t xml:space="preserve">undle </w:t>
      </w:r>
      <w:r w:rsidR="00C55759">
        <w:t xml:space="preserve">variant statistics </w:t>
      </w:r>
      <w:r w:rsidR="00240887">
        <w:t xml:space="preserve">by </w:t>
      </w:r>
      <w:r w:rsidR="00223DF2">
        <w:t xml:space="preserve">facility </w:t>
      </w:r>
      <w:r w:rsidR="00240887">
        <w:t>type</w:t>
      </w:r>
    </w:p>
    <w:p w14:paraId="7A2D0F17" w14:textId="5E2B7F24" w:rsidR="00223DF2" w:rsidRDefault="00B27BA0" w:rsidP="003E26F7">
      <w:r>
        <w:t xml:space="preserve">A </w:t>
      </w:r>
      <w:r w:rsidR="0061483A">
        <w:t>large</w:t>
      </w:r>
      <w:r>
        <w:t xml:space="preserve"> amount of variation </w:t>
      </w:r>
      <w:r w:rsidR="003767EB">
        <w:t xml:space="preserve">in GUI characteristics </w:t>
      </w:r>
      <w:r>
        <w:t xml:space="preserve">remains </w:t>
      </w:r>
      <w:r w:rsidR="003767EB">
        <w:t xml:space="preserve">across </w:t>
      </w:r>
      <w:r>
        <w:t xml:space="preserve">episodes within </w:t>
      </w:r>
      <w:r w:rsidR="003767EB">
        <w:t>some GUI product bundles. P</w:t>
      </w:r>
      <w:r>
        <w:t xml:space="preserve">art of this variation is able to be explained by differences between each of the </w:t>
      </w:r>
      <w:r w:rsidR="0061483A">
        <w:t xml:space="preserve">various </w:t>
      </w:r>
      <w:r>
        <w:t>facility types (i.e. private overnight facilities, private day facilities and public facilities).</w:t>
      </w:r>
    </w:p>
    <w:p w14:paraId="5EA5E32F" w14:textId="23FAE4A1" w:rsidR="00626280" w:rsidRDefault="00626280" w:rsidP="003E26F7">
      <w:r>
        <w:fldChar w:fldCharType="begin"/>
      </w:r>
      <w:r>
        <w:instrText xml:space="preserve"> REF _Ref116582739 \h  \* MERGEFORMAT </w:instrText>
      </w:r>
      <w:r>
        <w:fldChar w:fldCharType="separate"/>
      </w:r>
      <w:r w:rsidR="00106CD4" w:rsidRPr="00033266">
        <w:t xml:space="preserve">Table </w:t>
      </w:r>
      <w:r w:rsidR="00106CD4">
        <w:rPr>
          <w:noProof/>
        </w:rPr>
        <w:t>23</w:t>
      </w:r>
      <w:r>
        <w:fldChar w:fldCharType="end"/>
      </w:r>
      <w:r>
        <w:t xml:space="preserve"> illustrates how a substantial range of variation may occur between </w:t>
      </w:r>
      <w:r w:rsidR="00223DF2">
        <w:t xml:space="preserve">facility </w:t>
      </w:r>
      <w:r>
        <w:t xml:space="preserve">types </w:t>
      </w:r>
      <w:r w:rsidR="00240887">
        <w:t>using</w:t>
      </w:r>
      <w:r>
        <w:t xml:space="preserve"> the </w:t>
      </w:r>
      <w:r w:rsidR="00753010">
        <w:t xml:space="preserve">five largest </w:t>
      </w:r>
      <w:r>
        <w:t xml:space="preserve">GUI </w:t>
      </w:r>
      <w:r w:rsidR="006A23C0">
        <w:t>p</w:t>
      </w:r>
      <w:r>
        <w:t xml:space="preserve">roduct </w:t>
      </w:r>
      <w:r w:rsidR="006A23C0">
        <w:t>b</w:t>
      </w:r>
      <w:r>
        <w:t>undles</w:t>
      </w:r>
      <w:r w:rsidR="00240887">
        <w:t xml:space="preserve"> as examples</w:t>
      </w:r>
      <w:r>
        <w:t xml:space="preserve">. </w:t>
      </w:r>
      <w:r w:rsidR="00B27BA0">
        <w:t xml:space="preserve">In particular, some GUI </w:t>
      </w:r>
      <w:r w:rsidR="00BA3FB1">
        <w:t>p</w:t>
      </w:r>
      <w:r w:rsidR="00B27BA0">
        <w:t xml:space="preserve">roduct </w:t>
      </w:r>
      <w:r w:rsidR="00BA3FB1">
        <w:t>b</w:t>
      </w:r>
      <w:r w:rsidR="00B27BA0">
        <w:t>undles</w:t>
      </w:r>
      <w:r>
        <w:t xml:space="preserve"> </w:t>
      </w:r>
      <w:r w:rsidR="00B27BA0">
        <w:t xml:space="preserve">such as A54 – Staples and Tackers have a large difference in average benefits per episode between all three facility types, driven both by differences in average items per episode and in the average amount of benefits per item. </w:t>
      </w:r>
      <w:r w:rsidR="00E1043A">
        <w:t>In contrast, s</w:t>
      </w:r>
      <w:r w:rsidR="00B27BA0">
        <w:t xml:space="preserve">ome exhibit </w:t>
      </w:r>
      <w:r w:rsidR="003767EB">
        <w:t xml:space="preserve">more </w:t>
      </w:r>
      <w:r w:rsidR="00B27BA0">
        <w:t>limited variation by facility type (e.g. A57 – Arterial Closure Devices).</w:t>
      </w:r>
    </w:p>
    <w:p w14:paraId="1D096B80" w14:textId="17A4CF8E" w:rsidR="00626280" w:rsidRDefault="00626280" w:rsidP="003F5252">
      <w:pPr>
        <w:pStyle w:val="Caption"/>
      </w:pPr>
      <w:bookmarkStart w:id="145" w:name="_Ref116582739"/>
      <w:bookmarkStart w:id="146" w:name="_Ref119421478"/>
      <w:r w:rsidRPr="00033266">
        <w:t xml:space="preserve">Table </w:t>
      </w:r>
      <w:fldSimple w:instr=" SEQ Table \* ARABIC ">
        <w:r w:rsidR="00106CD4">
          <w:rPr>
            <w:noProof/>
          </w:rPr>
          <w:t>23</w:t>
        </w:r>
      </w:fldSimple>
      <w:bookmarkEnd w:id="145"/>
      <w:r>
        <w:t>:</w:t>
      </w:r>
      <w:r w:rsidRPr="00BC55D8">
        <w:t xml:space="preserve"> GUI </w:t>
      </w:r>
      <w:r w:rsidR="003767EB">
        <w:t xml:space="preserve">statistics </w:t>
      </w:r>
      <w:r>
        <w:t xml:space="preserve">by </w:t>
      </w:r>
      <w:r w:rsidR="003767EB">
        <w:t>GUI product</w:t>
      </w:r>
      <w:r w:rsidR="003767EB" w:rsidRPr="00BC55D8">
        <w:t xml:space="preserve"> </w:t>
      </w:r>
      <w:r w:rsidR="003767EB">
        <w:t xml:space="preserve">class and facility </w:t>
      </w:r>
      <w:r>
        <w:t>type</w:t>
      </w:r>
      <w:bookmarkEnd w:id="146"/>
    </w:p>
    <w:tbl>
      <w:tblPr>
        <w:tblStyle w:val="IHPATable"/>
        <w:tblW w:w="5000" w:type="pct"/>
        <w:tblLook w:val="0020" w:firstRow="1" w:lastRow="0" w:firstColumn="0" w:lastColumn="0" w:noHBand="0" w:noVBand="0"/>
        <w:tblDescription w:val="Table 23 shows GUI statistics by GUI product class and facility type. Average Benefits per episode, averge items per episode and average benefits per item are broken down by private overnight, private day and public all against the GUI product class. "/>
      </w:tblPr>
      <w:tblGrid>
        <w:gridCol w:w="1390"/>
        <w:gridCol w:w="1037"/>
        <w:gridCol w:w="887"/>
        <w:gridCol w:w="873"/>
        <w:gridCol w:w="1037"/>
        <w:gridCol w:w="888"/>
        <w:gridCol w:w="873"/>
        <w:gridCol w:w="1037"/>
        <w:gridCol w:w="859"/>
        <w:gridCol w:w="861"/>
      </w:tblGrid>
      <w:tr w:rsidR="003D4E30" w:rsidRPr="00403431" w14:paraId="1F0A0159" w14:textId="6C64515E" w:rsidTr="00E81121">
        <w:trPr>
          <w:cnfStyle w:val="100000000000" w:firstRow="1" w:lastRow="0" w:firstColumn="0" w:lastColumn="0" w:oddVBand="0" w:evenVBand="0" w:oddHBand="0" w:evenHBand="0" w:firstRowFirstColumn="0" w:firstRowLastColumn="0" w:lastRowFirstColumn="0" w:lastRowLastColumn="0"/>
          <w:cantSplit/>
          <w:trHeight w:val="20"/>
          <w:tblHeader/>
        </w:trPr>
        <w:tc>
          <w:tcPr>
            <w:tcW w:w="737" w:type="pct"/>
            <w:tcBorders>
              <w:top w:val="single" w:sz="4" w:space="0" w:color="808080" w:themeColor="background2" w:themeShade="80"/>
              <w:left w:val="single" w:sz="4" w:space="0" w:color="808080" w:themeColor="background2" w:themeShade="80"/>
              <w:right w:val="single" w:sz="4" w:space="0" w:color="FFFFFF" w:themeColor="background2"/>
            </w:tcBorders>
            <w:shd w:val="clear" w:color="auto" w:fill="104F99" w:themeFill="accent2"/>
            <w:vAlign w:val="center"/>
          </w:tcPr>
          <w:p w14:paraId="0D6DD6C9" w14:textId="77777777" w:rsidR="003D4E30" w:rsidRPr="003767EB" w:rsidRDefault="003D4E30" w:rsidP="00E81121">
            <w:pPr>
              <w:spacing w:before="120" w:after="120"/>
              <w:jc w:val="center"/>
              <w:rPr>
                <w:rFonts w:cs="Arial"/>
                <w:b/>
                <w:bCs/>
                <w:color w:val="FFFFFF" w:themeColor="background2"/>
                <w:szCs w:val="18"/>
                <w:lang w:val="en-US"/>
              </w:rPr>
            </w:pPr>
          </w:p>
        </w:tc>
        <w:tc>
          <w:tcPr>
            <w:tcW w:w="1435" w:type="pct"/>
            <w:gridSpan w:val="3"/>
            <w:tcBorders>
              <w:top w:val="single" w:sz="4" w:space="0" w:color="808080" w:themeColor="background2" w:themeShade="80"/>
              <w:left w:val="single" w:sz="4" w:space="0" w:color="FFFFFF" w:themeColor="background2"/>
              <w:right w:val="single" w:sz="4" w:space="0" w:color="FFFFFF" w:themeColor="background2"/>
            </w:tcBorders>
            <w:shd w:val="clear" w:color="auto" w:fill="104F99" w:themeFill="accent2"/>
            <w:vAlign w:val="center"/>
          </w:tcPr>
          <w:p w14:paraId="49D582DC" w14:textId="5B7BEDD7" w:rsidR="003D4E30" w:rsidRPr="003767EB" w:rsidRDefault="003D4E30" w:rsidP="00E81121">
            <w:pPr>
              <w:spacing w:before="120" w:after="120"/>
              <w:jc w:val="center"/>
              <w:rPr>
                <w:rFonts w:cs="Arial"/>
                <w:b/>
                <w:bCs/>
                <w:color w:val="FFFFFF" w:themeColor="background2"/>
                <w:szCs w:val="18"/>
              </w:rPr>
            </w:pPr>
            <w:r w:rsidRPr="003767EB">
              <w:rPr>
                <w:rFonts w:cs="Arial"/>
                <w:b/>
                <w:bCs/>
                <w:color w:val="FFFFFF" w:themeColor="background2"/>
                <w:szCs w:val="18"/>
              </w:rPr>
              <w:t xml:space="preserve">Average </w:t>
            </w:r>
            <w:r w:rsidR="003767EB">
              <w:rPr>
                <w:rFonts w:cs="Arial"/>
                <w:b/>
                <w:bCs/>
                <w:color w:val="FFFFFF" w:themeColor="background2"/>
                <w:szCs w:val="18"/>
              </w:rPr>
              <w:t>b</w:t>
            </w:r>
            <w:r w:rsidRPr="003767EB">
              <w:rPr>
                <w:rFonts w:cs="Arial"/>
                <w:b/>
                <w:bCs/>
                <w:color w:val="FFFFFF" w:themeColor="background2"/>
                <w:szCs w:val="18"/>
              </w:rPr>
              <w:t>enefits per episode</w:t>
            </w:r>
          </w:p>
        </w:tc>
        <w:tc>
          <w:tcPr>
            <w:tcW w:w="1435" w:type="pct"/>
            <w:gridSpan w:val="3"/>
            <w:tcBorders>
              <w:top w:val="single" w:sz="4" w:space="0" w:color="808080" w:themeColor="background2" w:themeShade="80"/>
              <w:left w:val="single" w:sz="4" w:space="0" w:color="FFFFFF" w:themeColor="background2"/>
              <w:right w:val="single" w:sz="4" w:space="0" w:color="FFFFFF" w:themeColor="background2"/>
            </w:tcBorders>
            <w:shd w:val="clear" w:color="auto" w:fill="104F99" w:themeFill="accent2"/>
            <w:vAlign w:val="center"/>
          </w:tcPr>
          <w:p w14:paraId="2072CB68" w14:textId="4E722DB9" w:rsidR="003D4E30" w:rsidRPr="003767EB" w:rsidRDefault="00EC4DC7" w:rsidP="00E81121">
            <w:pPr>
              <w:spacing w:before="120" w:after="120"/>
              <w:jc w:val="center"/>
              <w:rPr>
                <w:rFonts w:cs="Arial"/>
                <w:b/>
                <w:bCs/>
                <w:color w:val="FFFFFF" w:themeColor="background2"/>
                <w:szCs w:val="18"/>
              </w:rPr>
            </w:pPr>
            <w:r w:rsidRPr="003767EB">
              <w:rPr>
                <w:rFonts w:cs="Arial"/>
                <w:b/>
                <w:bCs/>
                <w:color w:val="FFFFFF" w:themeColor="background2"/>
                <w:szCs w:val="18"/>
              </w:rPr>
              <w:t>Average items per episode</w:t>
            </w:r>
          </w:p>
        </w:tc>
        <w:tc>
          <w:tcPr>
            <w:tcW w:w="1392" w:type="pct"/>
            <w:gridSpan w:val="3"/>
            <w:tcBorders>
              <w:top w:val="single" w:sz="4" w:space="0" w:color="808080" w:themeColor="background2" w:themeShade="80"/>
              <w:left w:val="single" w:sz="4" w:space="0" w:color="FFFFFF" w:themeColor="background2"/>
              <w:right w:val="single" w:sz="4" w:space="0" w:color="808080" w:themeColor="background2" w:themeShade="80"/>
            </w:tcBorders>
            <w:shd w:val="clear" w:color="auto" w:fill="104F99" w:themeFill="accent2"/>
            <w:vAlign w:val="center"/>
          </w:tcPr>
          <w:p w14:paraId="5F926C32" w14:textId="2A06A37A" w:rsidR="003D4E30" w:rsidRPr="003767EB" w:rsidRDefault="00EC4DC7" w:rsidP="00E81121">
            <w:pPr>
              <w:spacing w:before="120" w:after="120"/>
              <w:jc w:val="center"/>
              <w:rPr>
                <w:rFonts w:cs="Arial"/>
                <w:b/>
                <w:bCs/>
                <w:color w:val="FFFFFF" w:themeColor="background2"/>
                <w:szCs w:val="18"/>
              </w:rPr>
            </w:pPr>
            <w:r w:rsidRPr="003767EB">
              <w:rPr>
                <w:rFonts w:cs="Arial"/>
                <w:b/>
                <w:bCs/>
                <w:color w:val="FFFFFF" w:themeColor="background2"/>
                <w:szCs w:val="18"/>
              </w:rPr>
              <w:t xml:space="preserve">Average </w:t>
            </w:r>
            <w:r w:rsidR="003767EB">
              <w:rPr>
                <w:rFonts w:cs="Arial"/>
                <w:b/>
                <w:bCs/>
                <w:color w:val="FFFFFF" w:themeColor="background2"/>
                <w:szCs w:val="18"/>
              </w:rPr>
              <w:t>b</w:t>
            </w:r>
            <w:r w:rsidRPr="003767EB">
              <w:rPr>
                <w:rFonts w:cs="Arial"/>
                <w:b/>
                <w:bCs/>
                <w:color w:val="FFFFFF" w:themeColor="background2"/>
                <w:szCs w:val="18"/>
              </w:rPr>
              <w:t>enefits per item</w:t>
            </w:r>
          </w:p>
        </w:tc>
      </w:tr>
      <w:tr w:rsidR="003767EB" w:rsidRPr="00403431" w14:paraId="2C4FB88A" w14:textId="0F4DAD7B" w:rsidTr="00E81121">
        <w:trPr>
          <w:cnfStyle w:val="100000000000" w:firstRow="1" w:lastRow="0" w:firstColumn="0" w:lastColumn="0" w:oddVBand="0" w:evenVBand="0" w:oddHBand="0" w:evenHBand="0" w:firstRowFirstColumn="0" w:firstRowLastColumn="0" w:lastRowFirstColumn="0" w:lastRowLastColumn="0"/>
          <w:cantSplit/>
          <w:trHeight w:val="20"/>
          <w:tblHeader/>
        </w:trPr>
        <w:tc>
          <w:tcPr>
            <w:tcW w:w="737" w:type="pct"/>
            <w:tcBorders>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vAlign w:val="center"/>
          </w:tcPr>
          <w:p w14:paraId="5DE27B7D" w14:textId="43F474A1" w:rsidR="00EC4DC7" w:rsidRPr="003767EB" w:rsidRDefault="00EC4DC7" w:rsidP="00E81121">
            <w:pPr>
              <w:spacing w:before="120" w:after="120"/>
              <w:jc w:val="center"/>
              <w:rPr>
                <w:rFonts w:cs="Arial"/>
                <w:b/>
                <w:bCs/>
                <w:color w:val="FFFFFF" w:themeColor="background2"/>
                <w:szCs w:val="18"/>
                <w:lang w:val="en-US"/>
              </w:rPr>
            </w:pPr>
            <w:r w:rsidRPr="003767EB">
              <w:rPr>
                <w:rFonts w:cs="Arial"/>
                <w:b/>
                <w:bCs/>
                <w:color w:val="FFFFFF" w:themeColor="background2"/>
                <w:szCs w:val="18"/>
                <w:lang w:val="en-US"/>
              </w:rPr>
              <w:t xml:space="preserve">GUI </w:t>
            </w:r>
            <w:r w:rsidR="00003A6F">
              <w:rPr>
                <w:rFonts w:cs="Arial"/>
                <w:b/>
                <w:bCs/>
                <w:color w:val="FFFFFF" w:themeColor="background2"/>
                <w:szCs w:val="18"/>
                <w:lang w:val="en-US"/>
              </w:rPr>
              <w:t>product class</w:t>
            </w:r>
          </w:p>
        </w:tc>
        <w:tc>
          <w:tcPr>
            <w:tcW w:w="485" w:type="pct"/>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54A8412D" w14:textId="3B1C1970" w:rsidR="00EC4DC7" w:rsidRPr="003767EB" w:rsidRDefault="00EC4DC7" w:rsidP="00E81121">
            <w:pPr>
              <w:spacing w:before="120" w:after="120"/>
              <w:jc w:val="center"/>
              <w:rPr>
                <w:rFonts w:cs="Arial"/>
                <w:b/>
                <w:bCs/>
                <w:color w:val="FFFFFF" w:themeColor="background2"/>
                <w:szCs w:val="18"/>
              </w:rPr>
            </w:pPr>
            <w:r w:rsidRPr="003767EB">
              <w:rPr>
                <w:rFonts w:cs="Arial"/>
                <w:b/>
                <w:bCs/>
                <w:color w:val="FFFFFF" w:themeColor="background2"/>
                <w:szCs w:val="18"/>
              </w:rPr>
              <w:t>Private overnig</w:t>
            </w:r>
            <w:r w:rsidR="003767EB">
              <w:rPr>
                <w:rFonts w:cs="Arial"/>
                <w:b/>
                <w:bCs/>
                <w:color w:val="FFFFFF" w:themeColor="background2"/>
                <w:szCs w:val="18"/>
              </w:rPr>
              <w:t>ht</w:t>
            </w:r>
          </w:p>
        </w:tc>
        <w:tc>
          <w:tcPr>
            <w:tcW w:w="479" w:type="pct"/>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55D94239" w14:textId="26E34555" w:rsidR="00EC4DC7" w:rsidRPr="003767EB" w:rsidRDefault="00EC4DC7" w:rsidP="00E81121">
            <w:pPr>
              <w:spacing w:before="120" w:after="120"/>
              <w:jc w:val="center"/>
              <w:rPr>
                <w:rFonts w:cs="Arial"/>
                <w:b/>
                <w:bCs/>
                <w:color w:val="FFFFFF" w:themeColor="background2"/>
                <w:szCs w:val="18"/>
              </w:rPr>
            </w:pPr>
            <w:r w:rsidRPr="003767EB">
              <w:rPr>
                <w:rFonts w:cs="Arial"/>
                <w:b/>
                <w:bCs/>
                <w:color w:val="FFFFFF" w:themeColor="background2"/>
                <w:szCs w:val="18"/>
              </w:rPr>
              <w:t>Private day</w:t>
            </w:r>
          </w:p>
        </w:tc>
        <w:tc>
          <w:tcPr>
            <w:tcW w:w="471" w:type="pct"/>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0ACE6D9C" w14:textId="0ABB8ACF" w:rsidR="00EC4DC7" w:rsidRPr="003767EB" w:rsidRDefault="00EC4DC7" w:rsidP="00E81121">
            <w:pPr>
              <w:spacing w:before="120" w:after="120"/>
              <w:jc w:val="center"/>
              <w:rPr>
                <w:rFonts w:cs="Arial"/>
                <w:b/>
                <w:bCs/>
                <w:color w:val="FFFFFF" w:themeColor="background2"/>
                <w:szCs w:val="18"/>
              </w:rPr>
            </w:pPr>
            <w:r w:rsidRPr="003767EB">
              <w:rPr>
                <w:rFonts w:cs="Arial"/>
                <w:b/>
                <w:bCs/>
                <w:color w:val="FFFFFF" w:themeColor="background2"/>
                <w:szCs w:val="18"/>
              </w:rPr>
              <w:t>Public</w:t>
            </w:r>
          </w:p>
        </w:tc>
        <w:tc>
          <w:tcPr>
            <w:tcW w:w="485" w:type="pct"/>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5BFD857A" w14:textId="4D800748" w:rsidR="00EC4DC7" w:rsidRPr="003767EB" w:rsidRDefault="00EC4DC7" w:rsidP="00E81121">
            <w:pPr>
              <w:spacing w:before="120" w:after="120"/>
              <w:jc w:val="center"/>
              <w:rPr>
                <w:rFonts w:cs="Arial"/>
                <w:b/>
                <w:bCs/>
                <w:color w:val="FFFFFF" w:themeColor="background2"/>
                <w:szCs w:val="18"/>
              </w:rPr>
            </w:pPr>
            <w:r w:rsidRPr="003767EB">
              <w:rPr>
                <w:rFonts w:cs="Arial"/>
                <w:b/>
                <w:bCs/>
                <w:color w:val="FFFFFF" w:themeColor="background2"/>
                <w:szCs w:val="18"/>
              </w:rPr>
              <w:t>Private overnight</w:t>
            </w:r>
          </w:p>
        </w:tc>
        <w:tc>
          <w:tcPr>
            <w:tcW w:w="479" w:type="pct"/>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39352D8E" w14:textId="0C10854C" w:rsidR="00EC4DC7" w:rsidRPr="003767EB" w:rsidRDefault="00EC4DC7" w:rsidP="00E81121">
            <w:pPr>
              <w:spacing w:before="120" w:after="120"/>
              <w:jc w:val="center"/>
              <w:rPr>
                <w:rFonts w:cs="Arial"/>
                <w:b/>
                <w:bCs/>
                <w:color w:val="FFFFFF" w:themeColor="background2"/>
                <w:szCs w:val="18"/>
              </w:rPr>
            </w:pPr>
            <w:r w:rsidRPr="003767EB">
              <w:rPr>
                <w:rFonts w:cs="Arial"/>
                <w:b/>
                <w:bCs/>
                <w:color w:val="FFFFFF" w:themeColor="background2"/>
                <w:szCs w:val="18"/>
              </w:rPr>
              <w:t>Private day</w:t>
            </w:r>
          </w:p>
        </w:tc>
        <w:tc>
          <w:tcPr>
            <w:tcW w:w="471" w:type="pct"/>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5B74E11F" w14:textId="6B2D73A1" w:rsidR="00EC4DC7" w:rsidRPr="003767EB" w:rsidRDefault="00EC4DC7" w:rsidP="00E81121">
            <w:pPr>
              <w:spacing w:before="120" w:after="120"/>
              <w:jc w:val="center"/>
              <w:rPr>
                <w:rFonts w:cs="Arial"/>
                <w:b/>
                <w:bCs/>
                <w:color w:val="FFFFFF" w:themeColor="background2"/>
                <w:szCs w:val="18"/>
              </w:rPr>
            </w:pPr>
            <w:r w:rsidRPr="003767EB">
              <w:rPr>
                <w:rFonts w:cs="Arial"/>
                <w:b/>
                <w:bCs/>
                <w:color w:val="FFFFFF" w:themeColor="background2"/>
                <w:szCs w:val="18"/>
              </w:rPr>
              <w:t>Public</w:t>
            </w:r>
          </w:p>
        </w:tc>
        <w:tc>
          <w:tcPr>
            <w:tcW w:w="464" w:type="pct"/>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53975BE8" w14:textId="79A45DF2" w:rsidR="00EC4DC7" w:rsidRPr="003767EB" w:rsidRDefault="00EC4DC7" w:rsidP="00E81121">
            <w:pPr>
              <w:spacing w:before="120" w:after="120"/>
              <w:jc w:val="center"/>
              <w:rPr>
                <w:rFonts w:cs="Arial"/>
                <w:b/>
                <w:bCs/>
                <w:color w:val="FFFFFF" w:themeColor="background2"/>
                <w:szCs w:val="18"/>
              </w:rPr>
            </w:pPr>
            <w:r w:rsidRPr="003767EB">
              <w:rPr>
                <w:rFonts w:cs="Arial"/>
                <w:b/>
                <w:bCs/>
                <w:color w:val="FFFFFF" w:themeColor="background2"/>
                <w:szCs w:val="18"/>
              </w:rPr>
              <w:t>Private overnight</w:t>
            </w:r>
          </w:p>
        </w:tc>
        <w:tc>
          <w:tcPr>
            <w:tcW w:w="464" w:type="pct"/>
            <w:tcBorders>
              <w:left w:val="single" w:sz="4" w:space="0" w:color="FFFFFF" w:themeColor="background2"/>
              <w:bottom w:val="single" w:sz="4" w:space="0" w:color="808080" w:themeColor="background2" w:themeShade="80"/>
              <w:right w:val="single" w:sz="4" w:space="0" w:color="FFFFFF" w:themeColor="background2"/>
            </w:tcBorders>
            <w:shd w:val="clear" w:color="auto" w:fill="104F99" w:themeFill="accent2"/>
            <w:vAlign w:val="center"/>
          </w:tcPr>
          <w:p w14:paraId="7D2A5FD6" w14:textId="06F949ED" w:rsidR="00EC4DC7" w:rsidRPr="003767EB" w:rsidRDefault="00EC4DC7" w:rsidP="00E81121">
            <w:pPr>
              <w:spacing w:before="120" w:after="120"/>
              <w:jc w:val="center"/>
              <w:rPr>
                <w:rFonts w:cs="Arial"/>
                <w:b/>
                <w:bCs/>
                <w:color w:val="FFFFFF" w:themeColor="background2"/>
                <w:szCs w:val="18"/>
              </w:rPr>
            </w:pPr>
            <w:r w:rsidRPr="003767EB">
              <w:rPr>
                <w:rFonts w:cs="Arial"/>
                <w:b/>
                <w:bCs/>
                <w:color w:val="FFFFFF" w:themeColor="background2"/>
                <w:szCs w:val="18"/>
              </w:rPr>
              <w:t>Private day</w:t>
            </w:r>
          </w:p>
        </w:tc>
        <w:tc>
          <w:tcPr>
            <w:tcW w:w="465" w:type="pct"/>
            <w:tcBorders>
              <w:left w:val="single" w:sz="4" w:space="0" w:color="FFFFFF" w:themeColor="background2"/>
              <w:bottom w:val="single" w:sz="4" w:space="0" w:color="808080" w:themeColor="background2" w:themeShade="80"/>
              <w:right w:val="single" w:sz="4" w:space="0" w:color="808080" w:themeColor="background2" w:themeShade="80"/>
            </w:tcBorders>
            <w:shd w:val="clear" w:color="auto" w:fill="104F99" w:themeFill="accent2"/>
            <w:vAlign w:val="center"/>
          </w:tcPr>
          <w:p w14:paraId="32051011" w14:textId="2002BE7B" w:rsidR="00EC4DC7" w:rsidRPr="003767EB" w:rsidRDefault="00EC4DC7" w:rsidP="00E81121">
            <w:pPr>
              <w:spacing w:before="120" w:after="120"/>
              <w:jc w:val="center"/>
              <w:rPr>
                <w:rFonts w:cs="Arial"/>
                <w:b/>
                <w:bCs/>
                <w:color w:val="FFFFFF" w:themeColor="background2"/>
                <w:szCs w:val="18"/>
              </w:rPr>
            </w:pPr>
            <w:r w:rsidRPr="003767EB">
              <w:rPr>
                <w:rFonts w:cs="Arial"/>
                <w:b/>
                <w:bCs/>
                <w:color w:val="FFFFFF" w:themeColor="background2"/>
                <w:szCs w:val="18"/>
              </w:rPr>
              <w:t>Public</w:t>
            </w:r>
          </w:p>
        </w:tc>
      </w:tr>
      <w:tr w:rsidR="003767EB" w:rsidRPr="00403431" w14:paraId="38D2E2F7" w14:textId="0746217D" w:rsidTr="00403431">
        <w:trPr>
          <w:cnfStyle w:val="000000100000" w:firstRow="0" w:lastRow="0" w:firstColumn="0" w:lastColumn="0" w:oddVBand="0" w:evenVBand="0" w:oddHBand="1" w:evenHBand="0" w:firstRowFirstColumn="0" w:firstRowLastColumn="0" w:lastRowFirstColumn="0" w:lastRowLastColumn="0"/>
          <w:trHeight w:val="20"/>
        </w:trPr>
        <w:tc>
          <w:tcPr>
            <w:tcW w:w="73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096748D3" w14:textId="77777777" w:rsidR="003D4E30" w:rsidRPr="00403431" w:rsidRDefault="003D4E30" w:rsidP="008919D7">
            <w:pPr>
              <w:spacing w:before="120" w:after="120"/>
              <w:rPr>
                <w:rFonts w:cs="Arial"/>
                <w:color w:val="000000"/>
                <w:sz w:val="18"/>
                <w:szCs w:val="18"/>
                <w:lang w:val="en-US"/>
              </w:rPr>
            </w:pPr>
            <w:r w:rsidRPr="00403431">
              <w:rPr>
                <w:rFonts w:cs="Arial"/>
                <w:color w:val="000000"/>
                <w:sz w:val="18"/>
                <w:szCs w:val="18"/>
                <w:lang w:val="en-US"/>
              </w:rPr>
              <w:t>A54 - Staples and Tackers</w:t>
            </w:r>
          </w:p>
        </w:tc>
        <w:tc>
          <w:tcPr>
            <w:tcW w:w="48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A616D17" w14:textId="77777777" w:rsidR="003D4E30" w:rsidRPr="00403431" w:rsidRDefault="003D4E30" w:rsidP="00FD7F8C">
            <w:pPr>
              <w:spacing w:before="120" w:after="120"/>
              <w:jc w:val="right"/>
              <w:rPr>
                <w:rFonts w:cs="Arial"/>
                <w:color w:val="1C1C1C"/>
                <w:sz w:val="18"/>
                <w:szCs w:val="18"/>
              </w:rPr>
            </w:pPr>
            <w:r w:rsidRPr="00403431">
              <w:rPr>
                <w:rFonts w:cs="Arial"/>
                <w:color w:val="1C1C1C"/>
                <w:sz w:val="18"/>
                <w:szCs w:val="18"/>
              </w:rPr>
              <w:t>$1,615</w:t>
            </w:r>
          </w:p>
        </w:tc>
        <w:tc>
          <w:tcPr>
            <w:tcW w:w="479"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6A2EC29" w14:textId="77777777" w:rsidR="003D4E30" w:rsidRPr="00403431" w:rsidRDefault="003D4E30">
            <w:pPr>
              <w:spacing w:before="120" w:after="120"/>
              <w:jc w:val="right"/>
              <w:rPr>
                <w:rFonts w:cs="Arial"/>
                <w:color w:val="1C1C1C"/>
                <w:sz w:val="18"/>
                <w:szCs w:val="18"/>
              </w:rPr>
            </w:pPr>
            <w:r w:rsidRPr="00403431">
              <w:rPr>
                <w:rFonts w:cs="Arial"/>
                <w:color w:val="1C1C1C"/>
                <w:sz w:val="18"/>
                <w:szCs w:val="18"/>
              </w:rPr>
              <w:t>$579</w:t>
            </w:r>
          </w:p>
        </w:tc>
        <w:tc>
          <w:tcPr>
            <w:tcW w:w="4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34AD4D0" w14:textId="77777777" w:rsidR="003D4E30" w:rsidRPr="00403431" w:rsidRDefault="003D4E30">
            <w:pPr>
              <w:spacing w:before="120" w:after="120"/>
              <w:jc w:val="right"/>
              <w:rPr>
                <w:rFonts w:cs="Arial"/>
                <w:color w:val="1C1C1C"/>
                <w:sz w:val="18"/>
                <w:szCs w:val="18"/>
              </w:rPr>
            </w:pPr>
            <w:r w:rsidRPr="00403431">
              <w:rPr>
                <w:rFonts w:cs="Arial"/>
                <w:color w:val="1C1C1C"/>
                <w:sz w:val="18"/>
                <w:szCs w:val="18"/>
              </w:rPr>
              <w:t>$1,080</w:t>
            </w:r>
          </w:p>
        </w:tc>
        <w:tc>
          <w:tcPr>
            <w:tcW w:w="48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58453DE" w14:textId="3AAFEAF8" w:rsidR="003D4E30" w:rsidRPr="00403431" w:rsidRDefault="003F28E3">
            <w:pPr>
              <w:spacing w:before="120" w:after="120"/>
              <w:jc w:val="right"/>
              <w:rPr>
                <w:rFonts w:cs="Arial"/>
                <w:color w:val="1C1C1C"/>
                <w:sz w:val="18"/>
                <w:szCs w:val="18"/>
              </w:rPr>
            </w:pPr>
            <w:r w:rsidRPr="00403431">
              <w:rPr>
                <w:rFonts w:cs="Arial"/>
                <w:color w:val="1C1C1C"/>
                <w:sz w:val="18"/>
                <w:szCs w:val="18"/>
              </w:rPr>
              <w:t>4.8</w:t>
            </w:r>
            <w:r w:rsidR="00AE5228" w:rsidRPr="00403431">
              <w:rPr>
                <w:rFonts w:cs="Arial"/>
                <w:color w:val="1C1C1C"/>
                <w:sz w:val="18"/>
                <w:szCs w:val="18"/>
              </w:rPr>
              <w:t>4</w:t>
            </w:r>
          </w:p>
        </w:tc>
        <w:tc>
          <w:tcPr>
            <w:tcW w:w="479"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8037207" w14:textId="2B316184" w:rsidR="003D4E30" w:rsidRPr="00403431" w:rsidRDefault="003F28E3">
            <w:pPr>
              <w:spacing w:before="120" w:after="120"/>
              <w:jc w:val="right"/>
              <w:rPr>
                <w:rFonts w:cs="Arial"/>
                <w:color w:val="1C1C1C"/>
                <w:sz w:val="18"/>
                <w:szCs w:val="18"/>
              </w:rPr>
            </w:pPr>
            <w:r w:rsidRPr="00403431">
              <w:rPr>
                <w:rFonts w:cs="Arial"/>
                <w:color w:val="1C1C1C"/>
                <w:sz w:val="18"/>
                <w:szCs w:val="18"/>
              </w:rPr>
              <w:t>1.1</w:t>
            </w:r>
            <w:r w:rsidR="00AE5228" w:rsidRPr="00403431">
              <w:rPr>
                <w:rFonts w:cs="Arial"/>
                <w:color w:val="1C1C1C"/>
                <w:sz w:val="18"/>
                <w:szCs w:val="18"/>
              </w:rPr>
              <w:t>0</w:t>
            </w:r>
          </w:p>
        </w:tc>
        <w:tc>
          <w:tcPr>
            <w:tcW w:w="4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5495387" w14:textId="13713ABD" w:rsidR="003D4E30" w:rsidRPr="00403431" w:rsidRDefault="00AE5228">
            <w:pPr>
              <w:spacing w:before="120" w:after="120"/>
              <w:jc w:val="right"/>
              <w:rPr>
                <w:rFonts w:cs="Arial"/>
                <w:color w:val="1C1C1C"/>
                <w:sz w:val="18"/>
                <w:szCs w:val="18"/>
              </w:rPr>
            </w:pPr>
            <w:r w:rsidRPr="00403431">
              <w:rPr>
                <w:rFonts w:cs="Arial"/>
                <w:color w:val="1C1C1C"/>
                <w:sz w:val="18"/>
                <w:szCs w:val="18"/>
              </w:rPr>
              <w:t>3.48</w:t>
            </w:r>
          </w:p>
        </w:tc>
        <w:tc>
          <w:tcPr>
            <w:tcW w:w="464"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55267D7" w14:textId="3EE69DA3" w:rsidR="003D4E30" w:rsidRPr="00403431" w:rsidRDefault="003F28E3">
            <w:pPr>
              <w:spacing w:before="120" w:after="120"/>
              <w:jc w:val="right"/>
              <w:rPr>
                <w:rFonts w:cs="Arial"/>
                <w:color w:val="1C1C1C"/>
                <w:sz w:val="18"/>
                <w:szCs w:val="18"/>
              </w:rPr>
            </w:pPr>
            <w:r w:rsidRPr="00403431">
              <w:rPr>
                <w:rFonts w:cs="Arial"/>
                <w:color w:val="1C1C1C"/>
                <w:sz w:val="18"/>
                <w:szCs w:val="18"/>
              </w:rPr>
              <w:t>334</w:t>
            </w:r>
          </w:p>
        </w:tc>
        <w:tc>
          <w:tcPr>
            <w:tcW w:w="464"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A21DDCD" w14:textId="0226C120" w:rsidR="003D4E30" w:rsidRPr="00403431" w:rsidRDefault="00AE5228">
            <w:pPr>
              <w:spacing w:before="120" w:after="120"/>
              <w:jc w:val="right"/>
              <w:rPr>
                <w:rFonts w:cs="Arial"/>
                <w:color w:val="1C1C1C"/>
                <w:sz w:val="18"/>
                <w:szCs w:val="18"/>
              </w:rPr>
            </w:pPr>
            <w:r w:rsidRPr="00403431">
              <w:rPr>
                <w:rFonts w:cs="Arial"/>
                <w:color w:val="1C1C1C"/>
                <w:sz w:val="18"/>
                <w:szCs w:val="18"/>
              </w:rPr>
              <w:t>526</w:t>
            </w:r>
          </w:p>
        </w:tc>
        <w:tc>
          <w:tcPr>
            <w:tcW w:w="46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87F6C90" w14:textId="5DF42E4B" w:rsidR="003D4E30" w:rsidRPr="00403431" w:rsidRDefault="00AE5228">
            <w:pPr>
              <w:spacing w:before="120" w:after="120"/>
              <w:jc w:val="right"/>
              <w:rPr>
                <w:rFonts w:cs="Arial"/>
                <w:color w:val="1C1C1C"/>
                <w:sz w:val="18"/>
                <w:szCs w:val="18"/>
              </w:rPr>
            </w:pPr>
            <w:r w:rsidRPr="00403431">
              <w:rPr>
                <w:rFonts w:cs="Arial"/>
                <w:color w:val="1C1C1C"/>
                <w:sz w:val="18"/>
                <w:szCs w:val="18"/>
              </w:rPr>
              <w:t>310</w:t>
            </w:r>
          </w:p>
        </w:tc>
      </w:tr>
      <w:tr w:rsidR="003767EB" w:rsidRPr="00403431" w14:paraId="69B93A5B" w14:textId="3B7493F9" w:rsidTr="00403431">
        <w:trPr>
          <w:cnfStyle w:val="000000010000" w:firstRow="0" w:lastRow="0" w:firstColumn="0" w:lastColumn="0" w:oddVBand="0" w:evenVBand="0" w:oddHBand="0" w:evenHBand="1" w:firstRowFirstColumn="0" w:firstRowLastColumn="0" w:lastRowFirstColumn="0" w:lastRowLastColumn="0"/>
          <w:trHeight w:val="20"/>
        </w:trPr>
        <w:tc>
          <w:tcPr>
            <w:tcW w:w="73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0D59E870" w14:textId="77777777" w:rsidR="003D4E30" w:rsidRPr="00403431" w:rsidRDefault="003D4E30" w:rsidP="008919D7">
            <w:pPr>
              <w:spacing w:before="120" w:after="120"/>
              <w:rPr>
                <w:rFonts w:cs="Arial"/>
                <w:color w:val="000000"/>
                <w:sz w:val="18"/>
                <w:szCs w:val="18"/>
                <w:lang w:val="en-US"/>
              </w:rPr>
            </w:pPr>
            <w:r w:rsidRPr="00403431">
              <w:rPr>
                <w:rFonts w:cs="Arial"/>
                <w:color w:val="000000"/>
                <w:sz w:val="18"/>
                <w:szCs w:val="18"/>
                <w:lang w:val="en-US"/>
              </w:rPr>
              <w:t>A52 - Internal Adhesives</w:t>
            </w:r>
          </w:p>
        </w:tc>
        <w:tc>
          <w:tcPr>
            <w:tcW w:w="48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D36C7D6" w14:textId="77777777" w:rsidR="003D4E30" w:rsidRPr="00403431" w:rsidRDefault="003D4E30" w:rsidP="00FD7F8C">
            <w:pPr>
              <w:spacing w:before="120" w:after="120"/>
              <w:jc w:val="right"/>
              <w:rPr>
                <w:rFonts w:cs="Arial"/>
                <w:color w:val="1C1C1C"/>
                <w:sz w:val="18"/>
                <w:szCs w:val="18"/>
              </w:rPr>
            </w:pPr>
            <w:r w:rsidRPr="00403431">
              <w:rPr>
                <w:rFonts w:cs="Arial"/>
                <w:color w:val="1C1C1C"/>
                <w:sz w:val="18"/>
                <w:szCs w:val="18"/>
              </w:rPr>
              <w:t>$281</w:t>
            </w:r>
          </w:p>
        </w:tc>
        <w:tc>
          <w:tcPr>
            <w:tcW w:w="479"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99D2A98" w14:textId="77777777" w:rsidR="003D4E30" w:rsidRPr="00403431" w:rsidRDefault="003D4E30">
            <w:pPr>
              <w:spacing w:before="120" w:after="120"/>
              <w:jc w:val="right"/>
              <w:rPr>
                <w:rFonts w:cs="Arial"/>
                <w:color w:val="1C1C1C"/>
                <w:sz w:val="18"/>
                <w:szCs w:val="18"/>
              </w:rPr>
            </w:pPr>
            <w:r w:rsidRPr="00403431">
              <w:rPr>
                <w:rFonts w:cs="Arial"/>
                <w:color w:val="1C1C1C"/>
                <w:sz w:val="18"/>
                <w:szCs w:val="18"/>
              </w:rPr>
              <w:t>$246</w:t>
            </w:r>
          </w:p>
        </w:tc>
        <w:tc>
          <w:tcPr>
            <w:tcW w:w="4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D77D87F" w14:textId="306D0F9B" w:rsidR="003D4E30" w:rsidRPr="00403431" w:rsidRDefault="00BC2BB7">
            <w:pPr>
              <w:spacing w:before="120" w:after="120"/>
              <w:jc w:val="right"/>
              <w:rPr>
                <w:rFonts w:cs="Arial"/>
                <w:color w:val="1C1C1C"/>
                <w:sz w:val="18"/>
                <w:szCs w:val="18"/>
              </w:rPr>
            </w:pPr>
            <w:r w:rsidRPr="00403431">
              <w:rPr>
                <w:rFonts w:cs="Arial"/>
                <w:color w:val="1C1C1C"/>
                <w:sz w:val="18"/>
                <w:szCs w:val="18"/>
              </w:rPr>
              <w:t>$318</w:t>
            </w:r>
          </w:p>
        </w:tc>
        <w:tc>
          <w:tcPr>
            <w:tcW w:w="48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61C029B" w14:textId="21CECD28" w:rsidR="003D4E30" w:rsidRPr="00403431" w:rsidRDefault="00BC2BB7">
            <w:pPr>
              <w:spacing w:before="120" w:after="120"/>
              <w:jc w:val="right"/>
              <w:rPr>
                <w:rFonts w:cs="Arial"/>
                <w:color w:val="1C1C1C"/>
                <w:sz w:val="18"/>
                <w:szCs w:val="18"/>
              </w:rPr>
            </w:pPr>
            <w:r w:rsidRPr="00403431">
              <w:rPr>
                <w:rFonts w:cs="Arial"/>
                <w:color w:val="1C1C1C"/>
                <w:sz w:val="18"/>
                <w:szCs w:val="18"/>
              </w:rPr>
              <w:t>1.25</w:t>
            </w:r>
          </w:p>
        </w:tc>
        <w:tc>
          <w:tcPr>
            <w:tcW w:w="479"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3025316" w14:textId="18828129" w:rsidR="003D4E30" w:rsidRPr="00403431" w:rsidRDefault="00AE5228">
            <w:pPr>
              <w:spacing w:before="120" w:after="120"/>
              <w:jc w:val="right"/>
              <w:rPr>
                <w:rFonts w:cs="Arial"/>
                <w:color w:val="1C1C1C"/>
                <w:sz w:val="18"/>
                <w:szCs w:val="18"/>
              </w:rPr>
            </w:pPr>
            <w:r w:rsidRPr="00403431">
              <w:rPr>
                <w:rFonts w:cs="Arial"/>
                <w:color w:val="1C1C1C"/>
                <w:sz w:val="18"/>
                <w:szCs w:val="18"/>
              </w:rPr>
              <w:t>1.05</w:t>
            </w:r>
          </w:p>
        </w:tc>
        <w:tc>
          <w:tcPr>
            <w:tcW w:w="4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1E502BB" w14:textId="1D8F7268" w:rsidR="003D4E30" w:rsidRPr="00403431" w:rsidRDefault="00BC2BB7">
            <w:pPr>
              <w:spacing w:before="120" w:after="120"/>
              <w:jc w:val="right"/>
              <w:rPr>
                <w:rFonts w:cs="Arial"/>
                <w:color w:val="1C1C1C"/>
                <w:sz w:val="18"/>
                <w:szCs w:val="18"/>
              </w:rPr>
            </w:pPr>
            <w:r w:rsidRPr="00403431">
              <w:rPr>
                <w:rFonts w:cs="Arial"/>
                <w:color w:val="1C1C1C"/>
                <w:sz w:val="18"/>
                <w:szCs w:val="18"/>
              </w:rPr>
              <w:t>1.38</w:t>
            </w:r>
          </w:p>
        </w:tc>
        <w:tc>
          <w:tcPr>
            <w:tcW w:w="464"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BC7F410" w14:textId="564CD905" w:rsidR="003D4E30" w:rsidRPr="00403431" w:rsidRDefault="00BC2BB7">
            <w:pPr>
              <w:spacing w:before="120" w:after="120"/>
              <w:jc w:val="right"/>
              <w:rPr>
                <w:rFonts w:cs="Arial"/>
                <w:color w:val="1C1C1C"/>
                <w:sz w:val="18"/>
                <w:szCs w:val="18"/>
              </w:rPr>
            </w:pPr>
            <w:r w:rsidRPr="00403431">
              <w:rPr>
                <w:rFonts w:cs="Arial"/>
                <w:color w:val="1C1C1C"/>
                <w:sz w:val="18"/>
                <w:szCs w:val="18"/>
              </w:rPr>
              <w:t>224</w:t>
            </w:r>
          </w:p>
        </w:tc>
        <w:tc>
          <w:tcPr>
            <w:tcW w:w="464"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71697BA" w14:textId="5A3B9405" w:rsidR="003D4E30" w:rsidRPr="00403431" w:rsidRDefault="00BC2BB7">
            <w:pPr>
              <w:spacing w:before="120" w:after="120"/>
              <w:jc w:val="right"/>
              <w:rPr>
                <w:rFonts w:cs="Arial"/>
                <w:color w:val="1C1C1C"/>
                <w:sz w:val="18"/>
                <w:szCs w:val="18"/>
              </w:rPr>
            </w:pPr>
            <w:r w:rsidRPr="00403431">
              <w:rPr>
                <w:rFonts w:cs="Arial"/>
                <w:color w:val="1C1C1C"/>
                <w:sz w:val="18"/>
                <w:szCs w:val="18"/>
              </w:rPr>
              <w:t>235</w:t>
            </w:r>
          </w:p>
        </w:tc>
        <w:tc>
          <w:tcPr>
            <w:tcW w:w="46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25D9220" w14:textId="031503BF" w:rsidR="003D4E30" w:rsidRPr="00403431" w:rsidRDefault="00BC2BB7">
            <w:pPr>
              <w:spacing w:before="120" w:after="120"/>
              <w:jc w:val="right"/>
              <w:rPr>
                <w:rFonts w:cs="Arial"/>
                <w:color w:val="1C1C1C"/>
                <w:sz w:val="18"/>
                <w:szCs w:val="18"/>
              </w:rPr>
            </w:pPr>
            <w:r w:rsidRPr="00403431">
              <w:rPr>
                <w:rFonts w:cs="Arial"/>
                <w:color w:val="1C1C1C"/>
                <w:sz w:val="18"/>
                <w:szCs w:val="18"/>
              </w:rPr>
              <w:t>231</w:t>
            </w:r>
          </w:p>
        </w:tc>
      </w:tr>
      <w:tr w:rsidR="003767EB" w:rsidRPr="00403431" w14:paraId="28D6E71A" w14:textId="5ABB80DB" w:rsidTr="00403431">
        <w:trPr>
          <w:cnfStyle w:val="000000100000" w:firstRow="0" w:lastRow="0" w:firstColumn="0" w:lastColumn="0" w:oddVBand="0" w:evenVBand="0" w:oddHBand="1" w:evenHBand="0" w:firstRowFirstColumn="0" w:firstRowLastColumn="0" w:lastRowFirstColumn="0" w:lastRowLastColumn="0"/>
          <w:trHeight w:val="20"/>
        </w:trPr>
        <w:tc>
          <w:tcPr>
            <w:tcW w:w="73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02009412" w14:textId="77777777" w:rsidR="003D4E30" w:rsidRPr="00403431" w:rsidRDefault="003D4E30" w:rsidP="008919D7">
            <w:pPr>
              <w:spacing w:before="120" w:after="120"/>
              <w:rPr>
                <w:rFonts w:cs="Arial"/>
                <w:color w:val="1C1C1C"/>
                <w:sz w:val="18"/>
                <w:szCs w:val="18"/>
              </w:rPr>
            </w:pPr>
            <w:r w:rsidRPr="00403431">
              <w:rPr>
                <w:rFonts w:cs="Arial"/>
                <w:color w:val="1C1C1C"/>
                <w:sz w:val="18"/>
                <w:szCs w:val="18"/>
              </w:rPr>
              <w:t>A45 - Matrix</w:t>
            </w:r>
          </w:p>
        </w:tc>
        <w:tc>
          <w:tcPr>
            <w:tcW w:w="48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B3D364D" w14:textId="103D808E" w:rsidR="003D4E30" w:rsidRPr="00403431" w:rsidRDefault="00BC2BB7" w:rsidP="00FD7F8C">
            <w:pPr>
              <w:spacing w:before="120" w:after="120"/>
              <w:jc w:val="right"/>
              <w:rPr>
                <w:rFonts w:cs="Arial"/>
                <w:color w:val="1C1C1C"/>
                <w:sz w:val="18"/>
                <w:szCs w:val="18"/>
              </w:rPr>
            </w:pPr>
            <w:r w:rsidRPr="00403431">
              <w:rPr>
                <w:rFonts w:cs="Arial"/>
                <w:color w:val="1C1C1C"/>
                <w:sz w:val="18"/>
                <w:szCs w:val="18"/>
              </w:rPr>
              <w:t>$701</w:t>
            </w:r>
          </w:p>
        </w:tc>
        <w:tc>
          <w:tcPr>
            <w:tcW w:w="479"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65917EB" w14:textId="04850611" w:rsidR="003D4E30" w:rsidRPr="00403431" w:rsidRDefault="00BC2BB7">
            <w:pPr>
              <w:spacing w:before="120" w:after="120"/>
              <w:jc w:val="right"/>
              <w:rPr>
                <w:rFonts w:cs="Arial"/>
                <w:color w:val="1C1C1C"/>
                <w:sz w:val="18"/>
                <w:szCs w:val="18"/>
              </w:rPr>
            </w:pPr>
            <w:r w:rsidRPr="00403431">
              <w:rPr>
                <w:rFonts w:cs="Arial"/>
                <w:color w:val="1C1C1C"/>
                <w:sz w:val="18"/>
                <w:szCs w:val="18"/>
              </w:rPr>
              <w:t>$440</w:t>
            </w:r>
          </w:p>
        </w:tc>
        <w:tc>
          <w:tcPr>
            <w:tcW w:w="4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2F76B29" w14:textId="3FBAA932" w:rsidR="003D4E30" w:rsidRPr="00403431" w:rsidRDefault="00BC2BB7">
            <w:pPr>
              <w:spacing w:before="120" w:after="120"/>
              <w:jc w:val="right"/>
              <w:rPr>
                <w:rFonts w:cs="Arial"/>
                <w:color w:val="1C1C1C"/>
                <w:sz w:val="18"/>
                <w:szCs w:val="18"/>
              </w:rPr>
            </w:pPr>
            <w:r w:rsidRPr="00403431">
              <w:rPr>
                <w:rFonts w:cs="Arial"/>
                <w:color w:val="1C1C1C"/>
                <w:sz w:val="18"/>
                <w:szCs w:val="18"/>
              </w:rPr>
              <w:t>$634</w:t>
            </w:r>
          </w:p>
        </w:tc>
        <w:tc>
          <w:tcPr>
            <w:tcW w:w="48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DEA4818" w14:textId="78AB67D5" w:rsidR="003D4E30" w:rsidRPr="00403431" w:rsidRDefault="003F28E3">
            <w:pPr>
              <w:spacing w:before="120" w:after="120"/>
              <w:jc w:val="right"/>
              <w:rPr>
                <w:rFonts w:cs="Arial"/>
                <w:color w:val="1C1C1C"/>
                <w:sz w:val="18"/>
                <w:szCs w:val="18"/>
              </w:rPr>
            </w:pPr>
            <w:r w:rsidRPr="00403431">
              <w:rPr>
                <w:rFonts w:cs="Arial"/>
                <w:color w:val="1C1C1C"/>
                <w:sz w:val="18"/>
                <w:szCs w:val="18"/>
              </w:rPr>
              <w:t>1.2</w:t>
            </w:r>
            <w:r w:rsidR="00BC2BB7" w:rsidRPr="00403431">
              <w:rPr>
                <w:rFonts w:cs="Arial"/>
                <w:color w:val="1C1C1C"/>
                <w:sz w:val="18"/>
                <w:szCs w:val="18"/>
              </w:rPr>
              <w:t>7</w:t>
            </w:r>
          </w:p>
        </w:tc>
        <w:tc>
          <w:tcPr>
            <w:tcW w:w="479"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3B6FAAC" w14:textId="05AF976B" w:rsidR="003D4E30" w:rsidRPr="00403431" w:rsidRDefault="003F28E3">
            <w:pPr>
              <w:spacing w:before="120" w:after="120"/>
              <w:jc w:val="right"/>
              <w:rPr>
                <w:rFonts w:cs="Arial"/>
                <w:color w:val="1C1C1C"/>
                <w:sz w:val="18"/>
                <w:szCs w:val="18"/>
              </w:rPr>
            </w:pPr>
            <w:r w:rsidRPr="00403431">
              <w:rPr>
                <w:rFonts w:cs="Arial"/>
                <w:color w:val="1C1C1C"/>
                <w:sz w:val="18"/>
                <w:szCs w:val="18"/>
              </w:rPr>
              <w:t>1</w:t>
            </w:r>
            <w:r w:rsidR="00BC2BB7" w:rsidRPr="00403431">
              <w:rPr>
                <w:rFonts w:cs="Arial"/>
                <w:color w:val="1C1C1C"/>
                <w:sz w:val="18"/>
                <w:szCs w:val="18"/>
              </w:rPr>
              <w:t>.09</w:t>
            </w:r>
          </w:p>
        </w:tc>
        <w:tc>
          <w:tcPr>
            <w:tcW w:w="4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0CBDEA6" w14:textId="0CCF3CF0" w:rsidR="003D4E30" w:rsidRPr="00403431" w:rsidRDefault="00BC2BB7">
            <w:pPr>
              <w:spacing w:before="120" w:after="120"/>
              <w:jc w:val="right"/>
              <w:rPr>
                <w:rFonts w:cs="Arial"/>
                <w:color w:val="1C1C1C"/>
                <w:sz w:val="18"/>
                <w:szCs w:val="18"/>
              </w:rPr>
            </w:pPr>
            <w:r w:rsidRPr="00403431">
              <w:rPr>
                <w:rFonts w:cs="Arial"/>
                <w:color w:val="1C1C1C"/>
                <w:sz w:val="18"/>
                <w:szCs w:val="18"/>
              </w:rPr>
              <w:t>1.41</w:t>
            </w:r>
          </w:p>
        </w:tc>
        <w:tc>
          <w:tcPr>
            <w:tcW w:w="464"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F2F03B3" w14:textId="5A8FCFE1" w:rsidR="003D4E30" w:rsidRPr="00403431" w:rsidRDefault="00BC2BB7">
            <w:pPr>
              <w:spacing w:before="120" w:after="120"/>
              <w:jc w:val="right"/>
              <w:rPr>
                <w:rFonts w:cs="Arial"/>
                <w:color w:val="1C1C1C"/>
                <w:sz w:val="18"/>
                <w:szCs w:val="18"/>
              </w:rPr>
            </w:pPr>
            <w:r w:rsidRPr="00403431">
              <w:rPr>
                <w:rFonts w:cs="Arial"/>
                <w:color w:val="1C1C1C"/>
                <w:sz w:val="18"/>
                <w:szCs w:val="18"/>
              </w:rPr>
              <w:t>550</w:t>
            </w:r>
          </w:p>
        </w:tc>
        <w:tc>
          <w:tcPr>
            <w:tcW w:w="464"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EEB0B68" w14:textId="2A161EF3" w:rsidR="003D4E30" w:rsidRPr="00403431" w:rsidRDefault="00BC2BB7">
            <w:pPr>
              <w:spacing w:before="120" w:after="120"/>
              <w:jc w:val="right"/>
              <w:rPr>
                <w:rFonts w:cs="Arial"/>
                <w:color w:val="1C1C1C"/>
                <w:sz w:val="18"/>
                <w:szCs w:val="18"/>
              </w:rPr>
            </w:pPr>
            <w:r w:rsidRPr="00403431">
              <w:rPr>
                <w:rFonts w:cs="Arial"/>
                <w:color w:val="1C1C1C"/>
                <w:sz w:val="18"/>
                <w:szCs w:val="18"/>
              </w:rPr>
              <w:t>405</w:t>
            </w:r>
          </w:p>
        </w:tc>
        <w:tc>
          <w:tcPr>
            <w:tcW w:w="46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64B4A58" w14:textId="550FE117" w:rsidR="003D4E30" w:rsidRPr="00403431" w:rsidRDefault="00BC2BB7">
            <w:pPr>
              <w:spacing w:before="120" w:after="120"/>
              <w:jc w:val="right"/>
              <w:rPr>
                <w:rFonts w:cs="Arial"/>
                <w:color w:val="1C1C1C"/>
                <w:sz w:val="18"/>
                <w:szCs w:val="18"/>
              </w:rPr>
            </w:pPr>
            <w:r w:rsidRPr="00403431">
              <w:rPr>
                <w:rFonts w:cs="Arial"/>
                <w:color w:val="1C1C1C"/>
                <w:sz w:val="18"/>
                <w:szCs w:val="18"/>
              </w:rPr>
              <w:t>449</w:t>
            </w:r>
          </w:p>
        </w:tc>
      </w:tr>
      <w:tr w:rsidR="003767EB" w:rsidRPr="00403431" w14:paraId="42D6D73A" w14:textId="716FFB51" w:rsidTr="00403431">
        <w:trPr>
          <w:cnfStyle w:val="000000010000" w:firstRow="0" w:lastRow="0" w:firstColumn="0" w:lastColumn="0" w:oddVBand="0" w:evenVBand="0" w:oddHBand="0" w:evenHBand="1" w:firstRowFirstColumn="0" w:firstRowLastColumn="0" w:lastRowFirstColumn="0" w:lastRowLastColumn="0"/>
          <w:trHeight w:val="20"/>
        </w:trPr>
        <w:tc>
          <w:tcPr>
            <w:tcW w:w="73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576C96CD" w14:textId="77777777" w:rsidR="003D4E30" w:rsidRPr="00403431" w:rsidRDefault="003D4E30" w:rsidP="008919D7">
            <w:pPr>
              <w:spacing w:before="120" w:after="120"/>
              <w:rPr>
                <w:rFonts w:cs="Arial"/>
                <w:color w:val="1C1C1C"/>
                <w:sz w:val="18"/>
                <w:szCs w:val="18"/>
              </w:rPr>
            </w:pPr>
            <w:r w:rsidRPr="00403431">
              <w:rPr>
                <w:rFonts w:cs="Arial"/>
                <w:color w:val="1C1C1C"/>
                <w:sz w:val="18"/>
                <w:szCs w:val="18"/>
              </w:rPr>
              <w:t>A53 - Ligating Devices</w:t>
            </w:r>
          </w:p>
        </w:tc>
        <w:tc>
          <w:tcPr>
            <w:tcW w:w="48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BE225D0" w14:textId="77777777" w:rsidR="003D4E30" w:rsidRPr="00403431" w:rsidRDefault="003D4E30" w:rsidP="00FD7F8C">
            <w:pPr>
              <w:spacing w:before="120" w:after="120"/>
              <w:jc w:val="right"/>
              <w:rPr>
                <w:rFonts w:cs="Arial"/>
                <w:color w:val="1C1C1C"/>
                <w:sz w:val="18"/>
                <w:szCs w:val="18"/>
              </w:rPr>
            </w:pPr>
            <w:r w:rsidRPr="00403431">
              <w:rPr>
                <w:rFonts w:cs="Arial"/>
                <w:color w:val="1C1C1C"/>
                <w:sz w:val="18"/>
                <w:szCs w:val="18"/>
              </w:rPr>
              <w:t>$155</w:t>
            </w:r>
          </w:p>
        </w:tc>
        <w:tc>
          <w:tcPr>
            <w:tcW w:w="479"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DD1999F" w14:textId="77777777" w:rsidR="003D4E30" w:rsidRPr="00403431" w:rsidRDefault="003D4E30">
            <w:pPr>
              <w:spacing w:before="120" w:after="120"/>
              <w:jc w:val="right"/>
              <w:rPr>
                <w:rFonts w:cs="Arial"/>
                <w:color w:val="1C1C1C"/>
                <w:sz w:val="18"/>
                <w:szCs w:val="18"/>
              </w:rPr>
            </w:pPr>
            <w:r w:rsidRPr="00403431">
              <w:rPr>
                <w:rFonts w:cs="Arial"/>
                <w:color w:val="1C1C1C"/>
                <w:sz w:val="18"/>
                <w:szCs w:val="18"/>
              </w:rPr>
              <w:t>$183</w:t>
            </w:r>
          </w:p>
        </w:tc>
        <w:tc>
          <w:tcPr>
            <w:tcW w:w="4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CFF2261" w14:textId="77777777" w:rsidR="003D4E30" w:rsidRPr="00403431" w:rsidRDefault="003D4E30">
            <w:pPr>
              <w:spacing w:before="120" w:after="120"/>
              <w:jc w:val="right"/>
              <w:rPr>
                <w:rFonts w:cs="Arial"/>
                <w:color w:val="1C1C1C"/>
                <w:sz w:val="18"/>
                <w:szCs w:val="18"/>
              </w:rPr>
            </w:pPr>
            <w:r w:rsidRPr="00403431">
              <w:rPr>
                <w:rFonts w:cs="Arial"/>
                <w:color w:val="1C1C1C"/>
                <w:sz w:val="18"/>
                <w:szCs w:val="18"/>
              </w:rPr>
              <w:t>$166</w:t>
            </w:r>
          </w:p>
        </w:tc>
        <w:tc>
          <w:tcPr>
            <w:tcW w:w="48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E55C3C9" w14:textId="21DEE603" w:rsidR="003D4E30" w:rsidRPr="00403431" w:rsidRDefault="003F28E3">
            <w:pPr>
              <w:spacing w:before="120" w:after="120"/>
              <w:jc w:val="right"/>
              <w:rPr>
                <w:rFonts w:cs="Arial"/>
                <w:color w:val="1C1C1C"/>
                <w:sz w:val="18"/>
                <w:szCs w:val="18"/>
              </w:rPr>
            </w:pPr>
            <w:r w:rsidRPr="00403431">
              <w:rPr>
                <w:rFonts w:cs="Arial"/>
                <w:color w:val="1C1C1C"/>
                <w:sz w:val="18"/>
                <w:szCs w:val="18"/>
              </w:rPr>
              <w:t>2.78</w:t>
            </w:r>
          </w:p>
        </w:tc>
        <w:tc>
          <w:tcPr>
            <w:tcW w:w="479"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064AF1E" w14:textId="148D48AE" w:rsidR="003D4E30" w:rsidRPr="00403431" w:rsidRDefault="003F28E3">
            <w:pPr>
              <w:spacing w:before="120" w:after="120"/>
              <w:jc w:val="right"/>
              <w:rPr>
                <w:rFonts w:cs="Arial"/>
                <w:color w:val="1C1C1C"/>
                <w:sz w:val="18"/>
                <w:szCs w:val="18"/>
              </w:rPr>
            </w:pPr>
            <w:r w:rsidRPr="00403431">
              <w:rPr>
                <w:rFonts w:cs="Arial"/>
                <w:color w:val="1C1C1C"/>
                <w:sz w:val="18"/>
                <w:szCs w:val="18"/>
              </w:rPr>
              <w:t>2.23</w:t>
            </w:r>
          </w:p>
        </w:tc>
        <w:tc>
          <w:tcPr>
            <w:tcW w:w="4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17AB53D" w14:textId="5B6B9F1F" w:rsidR="003D4E30" w:rsidRPr="00403431" w:rsidRDefault="003F28E3">
            <w:pPr>
              <w:spacing w:before="120" w:after="120"/>
              <w:jc w:val="right"/>
              <w:rPr>
                <w:rFonts w:cs="Arial"/>
                <w:color w:val="1C1C1C"/>
                <w:sz w:val="18"/>
                <w:szCs w:val="18"/>
              </w:rPr>
            </w:pPr>
            <w:r w:rsidRPr="00403431">
              <w:rPr>
                <w:rFonts w:cs="Arial"/>
                <w:color w:val="1C1C1C"/>
                <w:sz w:val="18"/>
                <w:szCs w:val="18"/>
              </w:rPr>
              <w:t>2.98</w:t>
            </w:r>
          </w:p>
        </w:tc>
        <w:tc>
          <w:tcPr>
            <w:tcW w:w="464"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C175830" w14:textId="1F540F51" w:rsidR="003D4E30" w:rsidRPr="00403431" w:rsidRDefault="00AE5228">
            <w:pPr>
              <w:spacing w:before="120" w:after="120"/>
              <w:jc w:val="right"/>
              <w:rPr>
                <w:rFonts w:cs="Arial"/>
                <w:color w:val="1C1C1C"/>
                <w:sz w:val="18"/>
                <w:szCs w:val="18"/>
              </w:rPr>
            </w:pPr>
            <w:r w:rsidRPr="00403431">
              <w:rPr>
                <w:rFonts w:cs="Arial"/>
                <w:color w:val="1C1C1C"/>
                <w:sz w:val="18"/>
                <w:szCs w:val="18"/>
              </w:rPr>
              <w:t>56</w:t>
            </w:r>
          </w:p>
        </w:tc>
        <w:tc>
          <w:tcPr>
            <w:tcW w:w="464"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01935DF" w14:textId="2102235C" w:rsidR="003D4E30" w:rsidRPr="00403431" w:rsidRDefault="00AE5228">
            <w:pPr>
              <w:spacing w:before="120" w:after="120"/>
              <w:jc w:val="right"/>
              <w:rPr>
                <w:rFonts w:cs="Arial"/>
                <w:color w:val="1C1C1C"/>
                <w:sz w:val="18"/>
                <w:szCs w:val="18"/>
              </w:rPr>
            </w:pPr>
            <w:r w:rsidRPr="00403431">
              <w:rPr>
                <w:rFonts w:cs="Arial"/>
                <w:color w:val="1C1C1C"/>
                <w:sz w:val="18"/>
                <w:szCs w:val="18"/>
              </w:rPr>
              <w:t>82</w:t>
            </w:r>
          </w:p>
        </w:tc>
        <w:tc>
          <w:tcPr>
            <w:tcW w:w="46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0093B19" w14:textId="7550F40C" w:rsidR="003D4E30" w:rsidRPr="00403431" w:rsidRDefault="00AE5228">
            <w:pPr>
              <w:spacing w:before="120" w:after="120"/>
              <w:jc w:val="right"/>
              <w:rPr>
                <w:rFonts w:cs="Arial"/>
                <w:color w:val="1C1C1C"/>
                <w:sz w:val="18"/>
                <w:szCs w:val="18"/>
              </w:rPr>
            </w:pPr>
            <w:r w:rsidRPr="00403431">
              <w:rPr>
                <w:rFonts w:cs="Arial"/>
                <w:color w:val="1C1C1C"/>
                <w:sz w:val="18"/>
                <w:szCs w:val="18"/>
              </w:rPr>
              <w:t>56</w:t>
            </w:r>
          </w:p>
        </w:tc>
      </w:tr>
      <w:tr w:rsidR="003767EB" w:rsidRPr="00403431" w14:paraId="3C04E6DE" w14:textId="2D2D24D8" w:rsidTr="00403431">
        <w:trPr>
          <w:cnfStyle w:val="000000100000" w:firstRow="0" w:lastRow="0" w:firstColumn="0" w:lastColumn="0" w:oddVBand="0" w:evenVBand="0" w:oddHBand="1" w:evenHBand="0" w:firstRowFirstColumn="0" w:firstRowLastColumn="0" w:lastRowFirstColumn="0" w:lastRowLastColumn="0"/>
          <w:trHeight w:val="20"/>
        </w:trPr>
        <w:tc>
          <w:tcPr>
            <w:tcW w:w="737"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tcPr>
          <w:p w14:paraId="470BACCD" w14:textId="77777777" w:rsidR="003D4E30" w:rsidRPr="00403431" w:rsidRDefault="003D4E30" w:rsidP="008919D7">
            <w:pPr>
              <w:spacing w:before="120" w:after="120"/>
              <w:rPr>
                <w:rFonts w:cs="Arial"/>
                <w:color w:val="1C1C1C"/>
                <w:sz w:val="18"/>
                <w:szCs w:val="18"/>
              </w:rPr>
            </w:pPr>
            <w:r w:rsidRPr="00403431">
              <w:rPr>
                <w:rFonts w:cs="Arial"/>
                <w:color w:val="1C1C1C"/>
                <w:sz w:val="18"/>
                <w:szCs w:val="18"/>
              </w:rPr>
              <w:t>A57 - Arterial Closure Devices</w:t>
            </w:r>
          </w:p>
        </w:tc>
        <w:tc>
          <w:tcPr>
            <w:tcW w:w="48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5F1216C" w14:textId="77777777" w:rsidR="003D4E30" w:rsidRPr="00403431" w:rsidRDefault="003D4E30" w:rsidP="00FD7F8C">
            <w:pPr>
              <w:spacing w:before="120" w:after="120"/>
              <w:jc w:val="right"/>
              <w:rPr>
                <w:rFonts w:cs="Arial"/>
                <w:color w:val="1C1C1C"/>
                <w:sz w:val="18"/>
                <w:szCs w:val="18"/>
              </w:rPr>
            </w:pPr>
            <w:r w:rsidRPr="00403431">
              <w:rPr>
                <w:rFonts w:cs="Arial"/>
                <w:color w:val="1C1C1C"/>
                <w:sz w:val="18"/>
                <w:szCs w:val="18"/>
              </w:rPr>
              <w:t>$415</w:t>
            </w:r>
          </w:p>
        </w:tc>
        <w:tc>
          <w:tcPr>
            <w:tcW w:w="479"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E9BE3C2" w14:textId="77777777" w:rsidR="003D4E30" w:rsidRPr="00403431" w:rsidRDefault="003D4E30">
            <w:pPr>
              <w:spacing w:before="120" w:after="120"/>
              <w:jc w:val="right"/>
              <w:rPr>
                <w:rFonts w:cs="Arial"/>
                <w:color w:val="1C1C1C"/>
                <w:sz w:val="18"/>
                <w:szCs w:val="18"/>
              </w:rPr>
            </w:pPr>
            <w:r w:rsidRPr="00403431">
              <w:rPr>
                <w:rFonts w:cs="Arial"/>
                <w:color w:val="1C1C1C"/>
                <w:sz w:val="18"/>
                <w:szCs w:val="18"/>
              </w:rPr>
              <w:t>$371</w:t>
            </w:r>
          </w:p>
        </w:tc>
        <w:tc>
          <w:tcPr>
            <w:tcW w:w="4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D7D53CF" w14:textId="77777777" w:rsidR="003D4E30" w:rsidRPr="00403431" w:rsidRDefault="003D4E30">
            <w:pPr>
              <w:spacing w:before="120" w:after="120"/>
              <w:jc w:val="right"/>
              <w:rPr>
                <w:rFonts w:cs="Arial"/>
                <w:color w:val="1C1C1C"/>
                <w:sz w:val="18"/>
                <w:szCs w:val="18"/>
              </w:rPr>
            </w:pPr>
            <w:r w:rsidRPr="00403431">
              <w:rPr>
                <w:rFonts w:cs="Arial"/>
                <w:color w:val="1C1C1C"/>
                <w:sz w:val="18"/>
                <w:szCs w:val="18"/>
              </w:rPr>
              <w:t>$371</w:t>
            </w:r>
          </w:p>
        </w:tc>
        <w:tc>
          <w:tcPr>
            <w:tcW w:w="48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6FE7E18" w14:textId="2024F072" w:rsidR="003D4E30" w:rsidRPr="00403431" w:rsidRDefault="00AE5228">
            <w:pPr>
              <w:spacing w:before="120" w:after="120"/>
              <w:jc w:val="right"/>
              <w:rPr>
                <w:rFonts w:cs="Arial"/>
                <w:color w:val="1C1C1C"/>
                <w:sz w:val="18"/>
                <w:szCs w:val="18"/>
              </w:rPr>
            </w:pPr>
            <w:r w:rsidRPr="00403431">
              <w:rPr>
                <w:rFonts w:cs="Arial"/>
                <w:color w:val="1C1C1C"/>
                <w:sz w:val="18"/>
                <w:szCs w:val="18"/>
              </w:rPr>
              <w:t>1.43</w:t>
            </w:r>
          </w:p>
        </w:tc>
        <w:tc>
          <w:tcPr>
            <w:tcW w:w="479"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6F1F869" w14:textId="4315ED8F" w:rsidR="003D4E30" w:rsidRPr="00403431" w:rsidRDefault="00AE5228">
            <w:pPr>
              <w:spacing w:before="120" w:after="120"/>
              <w:jc w:val="right"/>
              <w:rPr>
                <w:rFonts w:cs="Arial"/>
                <w:color w:val="1C1C1C"/>
                <w:sz w:val="18"/>
                <w:szCs w:val="18"/>
              </w:rPr>
            </w:pPr>
            <w:r w:rsidRPr="00403431">
              <w:rPr>
                <w:rFonts w:cs="Arial"/>
                <w:color w:val="1C1C1C"/>
                <w:sz w:val="18"/>
                <w:szCs w:val="18"/>
              </w:rPr>
              <w:t>1.28</w:t>
            </w:r>
          </w:p>
        </w:tc>
        <w:tc>
          <w:tcPr>
            <w:tcW w:w="47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5380C65" w14:textId="3E37E1BA" w:rsidR="003D4E30" w:rsidRPr="00403431" w:rsidRDefault="00AE5228">
            <w:pPr>
              <w:spacing w:before="120" w:after="120"/>
              <w:jc w:val="right"/>
              <w:rPr>
                <w:rFonts w:cs="Arial"/>
                <w:color w:val="1C1C1C"/>
                <w:sz w:val="18"/>
                <w:szCs w:val="18"/>
              </w:rPr>
            </w:pPr>
            <w:r w:rsidRPr="00403431">
              <w:rPr>
                <w:rFonts w:cs="Arial"/>
                <w:color w:val="1C1C1C"/>
                <w:sz w:val="18"/>
                <w:szCs w:val="18"/>
              </w:rPr>
              <w:t>1.28</w:t>
            </w:r>
          </w:p>
        </w:tc>
        <w:tc>
          <w:tcPr>
            <w:tcW w:w="464"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ABE29F3" w14:textId="126A3B85" w:rsidR="003D4E30" w:rsidRPr="00403431" w:rsidRDefault="00AE5228">
            <w:pPr>
              <w:spacing w:before="120" w:after="120"/>
              <w:jc w:val="right"/>
              <w:rPr>
                <w:rFonts w:cs="Arial"/>
                <w:color w:val="1C1C1C"/>
                <w:sz w:val="18"/>
                <w:szCs w:val="18"/>
              </w:rPr>
            </w:pPr>
            <w:r w:rsidRPr="00403431">
              <w:rPr>
                <w:rFonts w:cs="Arial"/>
                <w:color w:val="1C1C1C"/>
                <w:sz w:val="18"/>
                <w:szCs w:val="18"/>
              </w:rPr>
              <w:t>291</w:t>
            </w:r>
          </w:p>
        </w:tc>
        <w:tc>
          <w:tcPr>
            <w:tcW w:w="464"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661F156C" w14:textId="3122126E" w:rsidR="003D4E30" w:rsidRPr="00403431" w:rsidRDefault="00AE5228">
            <w:pPr>
              <w:spacing w:before="120" w:after="120"/>
              <w:jc w:val="right"/>
              <w:rPr>
                <w:rFonts w:cs="Arial"/>
                <w:color w:val="1C1C1C"/>
                <w:sz w:val="18"/>
                <w:szCs w:val="18"/>
              </w:rPr>
            </w:pPr>
            <w:r w:rsidRPr="00403431">
              <w:rPr>
                <w:rFonts w:cs="Arial"/>
                <w:color w:val="1C1C1C"/>
                <w:sz w:val="18"/>
                <w:szCs w:val="18"/>
              </w:rPr>
              <w:t>290</w:t>
            </w:r>
          </w:p>
        </w:tc>
        <w:tc>
          <w:tcPr>
            <w:tcW w:w="465"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7EB4890" w14:textId="5B8E6895" w:rsidR="003D4E30" w:rsidRPr="00403431" w:rsidRDefault="00AE5228">
            <w:pPr>
              <w:spacing w:before="120" w:after="120"/>
              <w:jc w:val="right"/>
              <w:rPr>
                <w:rFonts w:cs="Arial"/>
                <w:color w:val="1C1C1C"/>
                <w:sz w:val="18"/>
                <w:szCs w:val="18"/>
              </w:rPr>
            </w:pPr>
            <w:r w:rsidRPr="00403431">
              <w:rPr>
                <w:rFonts w:cs="Arial"/>
                <w:color w:val="1C1C1C"/>
                <w:sz w:val="18"/>
                <w:szCs w:val="18"/>
              </w:rPr>
              <w:t>291</w:t>
            </w:r>
          </w:p>
        </w:tc>
      </w:tr>
    </w:tbl>
    <w:p w14:paraId="2319B51B" w14:textId="77777777" w:rsidR="00626280" w:rsidRDefault="00626280" w:rsidP="00626280">
      <w:pPr>
        <w:spacing w:after="0"/>
      </w:pPr>
    </w:p>
    <w:p w14:paraId="3F67B588" w14:textId="3ABB42F4" w:rsidR="00240887" w:rsidRDefault="00240887" w:rsidP="007175ED">
      <w:pPr>
        <w:pStyle w:val="Heading4"/>
        <w:numPr>
          <w:ilvl w:val="0"/>
          <w:numId w:val="0"/>
        </w:numPr>
        <w:ind w:left="864" w:hanging="864"/>
      </w:pPr>
      <w:r w:rsidRPr="00711867">
        <w:t xml:space="preserve">GUI </w:t>
      </w:r>
      <w:r w:rsidR="00C55759">
        <w:t>p</w:t>
      </w:r>
      <w:r w:rsidRPr="00711867">
        <w:t xml:space="preserve">roduct </w:t>
      </w:r>
      <w:r w:rsidR="00C55759">
        <w:t>b</w:t>
      </w:r>
      <w:r w:rsidRPr="00711867">
        <w:t xml:space="preserve">undle </w:t>
      </w:r>
      <w:r w:rsidR="00C55759">
        <w:t>v</w:t>
      </w:r>
      <w:r w:rsidRPr="00711867">
        <w:t>ariant</w:t>
      </w:r>
      <w:r w:rsidR="00C55759">
        <w:t xml:space="preserve"> statistics</w:t>
      </w:r>
      <w:r>
        <w:t xml:space="preserve"> by </w:t>
      </w:r>
      <w:r w:rsidR="00C55759">
        <w:t>Major Diagnostic Category</w:t>
      </w:r>
    </w:p>
    <w:p w14:paraId="6997DD89" w14:textId="77777777" w:rsidR="00C54865" w:rsidRDefault="0061483A" w:rsidP="00240887">
      <w:r>
        <w:t xml:space="preserve">There is also a substantial amount of variation in benefits per episode that is able to be explained by the differences in clinical characteristics between episodes, such as differences in diagnoses and in the procedures performed as part of an episode. </w:t>
      </w:r>
    </w:p>
    <w:p w14:paraId="7ADB74CB" w14:textId="2985A543" w:rsidR="006856BA" w:rsidRDefault="006856BA" w:rsidP="00240887">
      <w:r>
        <w:fldChar w:fldCharType="begin"/>
      </w:r>
      <w:r>
        <w:instrText xml:space="preserve"> REF _Ref119591521 \h </w:instrText>
      </w:r>
      <w:r>
        <w:fldChar w:fldCharType="separate"/>
      </w:r>
      <w:r w:rsidR="00106CD4">
        <w:t xml:space="preserve">Table </w:t>
      </w:r>
      <w:r w:rsidR="00106CD4">
        <w:rPr>
          <w:noProof/>
        </w:rPr>
        <w:t>24</w:t>
      </w:r>
      <w:r>
        <w:fldChar w:fldCharType="end"/>
      </w:r>
      <w:r>
        <w:t xml:space="preserve"> provides a breakdown of</w:t>
      </w:r>
      <w:r w:rsidR="005C1C9E">
        <w:t xml:space="preserve"> average benefits per episode, average items per episode and average benefits per item for the top 3 and bottom 3 MDCs (by average benefits per episode) for the A54 – Staples and Tackers product class. This illustrates how there is a large variation in benefits per episode by MDC for this product class. In particular, the majority of this variation is driven by differences in the average number of items used in each episode by MDC, rather than the average benefits per item (which exhibits a lot lower variation). </w:t>
      </w:r>
    </w:p>
    <w:p w14:paraId="372FAE93" w14:textId="7F6E86D0" w:rsidR="006856BA" w:rsidRDefault="006856BA" w:rsidP="003F5252">
      <w:pPr>
        <w:pStyle w:val="Caption"/>
      </w:pPr>
      <w:bookmarkStart w:id="147" w:name="_Ref119591521"/>
      <w:r>
        <w:t xml:space="preserve">Table </w:t>
      </w:r>
      <w:fldSimple w:instr=" SEQ Table \* ARABIC ">
        <w:r w:rsidR="00106CD4">
          <w:rPr>
            <w:noProof/>
          </w:rPr>
          <w:t>24</w:t>
        </w:r>
      </w:fldSimple>
      <w:bookmarkEnd w:id="147"/>
      <w:r>
        <w:t>: Average</w:t>
      </w:r>
      <w:r w:rsidRPr="00343D96">
        <w:t xml:space="preserve"> March 2023 GUI benefits per episode with GUI benefits by</w:t>
      </w:r>
      <w:r>
        <w:t xml:space="preserve"> MDC, Staples and Tackers, </w:t>
      </w:r>
      <w:r w:rsidR="00E24D47">
        <w:t>2020-21 HCP</w:t>
      </w:r>
    </w:p>
    <w:tbl>
      <w:tblPr>
        <w:tblStyle w:val="IHPATable"/>
        <w:tblW w:w="5000" w:type="pct"/>
        <w:tblLook w:val="0020" w:firstRow="1" w:lastRow="0" w:firstColumn="0" w:lastColumn="0" w:noHBand="0" w:noVBand="0"/>
        <w:tblDescription w:val="Table 24 is the Average March 2023 GUI benefits per episode with GUI benefits by MDC, Staples and tackers, 2020-21 HCP. There are four columns showing the Major Diagnostic Category with average benefits per episode, average items per episode and average benefits per item."/>
      </w:tblPr>
      <w:tblGrid>
        <w:gridCol w:w="425"/>
        <w:gridCol w:w="2694"/>
        <w:gridCol w:w="2358"/>
        <w:gridCol w:w="2155"/>
        <w:gridCol w:w="2120"/>
      </w:tblGrid>
      <w:tr w:rsidR="000532D8" w:rsidRPr="00403431" w14:paraId="2680DACA" w14:textId="77777777" w:rsidTr="000532D8">
        <w:trPr>
          <w:cnfStyle w:val="100000000000" w:firstRow="1" w:lastRow="0" w:firstColumn="0" w:lastColumn="0" w:oddVBand="0" w:evenVBand="0" w:oddHBand="0" w:evenHBand="0" w:firstRowFirstColumn="0" w:firstRowLastColumn="0" w:lastRowFirstColumn="0" w:lastRowLastColumn="0"/>
          <w:cantSplit/>
          <w:trHeight w:val="20"/>
          <w:tblHeader/>
        </w:trPr>
        <w:tc>
          <w:tcPr>
            <w:tcW w:w="1599" w:type="pct"/>
            <w:gridSpan w:val="2"/>
            <w:tcBorders>
              <w:bottom w:val="single" w:sz="4" w:space="0" w:color="D9D9D9" w:themeColor="background2" w:themeShade="D9"/>
              <w:right w:val="single" w:sz="4" w:space="0" w:color="FFFFFF" w:themeColor="background2"/>
            </w:tcBorders>
            <w:shd w:val="clear" w:color="auto" w:fill="104F99" w:themeFill="accent2"/>
          </w:tcPr>
          <w:p w14:paraId="7A08657E" w14:textId="40BCDCC0" w:rsidR="000532D8" w:rsidRPr="00403431" w:rsidRDefault="000532D8" w:rsidP="006856BA">
            <w:pPr>
              <w:spacing w:before="120" w:after="120"/>
              <w:jc w:val="center"/>
              <w:rPr>
                <w:rFonts w:cs="Arial"/>
                <w:b/>
                <w:bCs/>
                <w:color w:val="FFFFFF" w:themeColor="background2"/>
                <w:szCs w:val="18"/>
              </w:rPr>
            </w:pPr>
            <w:r>
              <w:rPr>
                <w:rFonts w:cs="Arial"/>
                <w:b/>
                <w:bCs/>
                <w:color w:val="FFFFFF" w:themeColor="background2"/>
                <w:szCs w:val="18"/>
              </w:rPr>
              <w:t>Major Diagnostic Category</w:t>
            </w:r>
          </w:p>
        </w:tc>
        <w:tc>
          <w:tcPr>
            <w:tcW w:w="1209" w:type="pct"/>
            <w:tcBorders>
              <w:left w:val="single" w:sz="4" w:space="0" w:color="FFFFFF" w:themeColor="background2"/>
              <w:bottom w:val="single" w:sz="4" w:space="0" w:color="D9D9D9" w:themeColor="background2" w:themeShade="D9"/>
            </w:tcBorders>
            <w:shd w:val="clear" w:color="auto" w:fill="104F99" w:themeFill="accent2"/>
          </w:tcPr>
          <w:p w14:paraId="2F2A7DB3" w14:textId="433AA207" w:rsidR="000532D8" w:rsidRPr="00403431" w:rsidRDefault="000532D8" w:rsidP="006856BA">
            <w:pPr>
              <w:spacing w:before="120" w:after="120"/>
              <w:jc w:val="center"/>
              <w:rPr>
                <w:rFonts w:cs="Arial"/>
                <w:b/>
                <w:bCs/>
                <w:color w:val="1C1C1C"/>
                <w:szCs w:val="18"/>
              </w:rPr>
            </w:pPr>
            <w:r w:rsidRPr="00403431">
              <w:rPr>
                <w:rFonts w:cs="Arial"/>
                <w:b/>
                <w:bCs/>
                <w:color w:val="FFFFFF" w:themeColor="background2"/>
                <w:szCs w:val="18"/>
              </w:rPr>
              <w:t xml:space="preserve">Average </w:t>
            </w:r>
            <w:r>
              <w:rPr>
                <w:rFonts w:cs="Arial"/>
                <w:b/>
                <w:bCs/>
                <w:color w:val="FFFFFF" w:themeColor="background2"/>
                <w:szCs w:val="18"/>
              </w:rPr>
              <w:t>b</w:t>
            </w:r>
            <w:r w:rsidRPr="00403431">
              <w:rPr>
                <w:rFonts w:cs="Arial"/>
                <w:b/>
                <w:bCs/>
                <w:color w:val="FFFFFF" w:themeColor="background2"/>
                <w:szCs w:val="18"/>
              </w:rPr>
              <w:t>enefits per episode</w:t>
            </w:r>
          </w:p>
        </w:tc>
        <w:tc>
          <w:tcPr>
            <w:tcW w:w="1105" w:type="pct"/>
            <w:tcBorders>
              <w:left w:val="single" w:sz="4" w:space="0" w:color="FFFFFF" w:themeColor="background2"/>
              <w:bottom w:val="single" w:sz="4" w:space="0" w:color="D9D9D9" w:themeColor="background2" w:themeShade="D9"/>
            </w:tcBorders>
            <w:shd w:val="clear" w:color="auto" w:fill="104F99" w:themeFill="accent2"/>
          </w:tcPr>
          <w:p w14:paraId="0C24F74D" w14:textId="410C6390" w:rsidR="000532D8" w:rsidRPr="00403431" w:rsidRDefault="000532D8" w:rsidP="006856BA">
            <w:pPr>
              <w:spacing w:before="120" w:after="120"/>
              <w:jc w:val="center"/>
              <w:rPr>
                <w:rFonts w:cs="Arial"/>
                <w:b/>
                <w:bCs/>
                <w:color w:val="FFFFFF" w:themeColor="background2"/>
                <w:szCs w:val="18"/>
              </w:rPr>
            </w:pPr>
            <w:r w:rsidRPr="00403431">
              <w:rPr>
                <w:rFonts w:cs="Arial"/>
                <w:b/>
                <w:bCs/>
                <w:color w:val="FFFFFF" w:themeColor="background2"/>
                <w:szCs w:val="18"/>
              </w:rPr>
              <w:t>Average items per episode</w:t>
            </w:r>
          </w:p>
        </w:tc>
        <w:tc>
          <w:tcPr>
            <w:tcW w:w="1087" w:type="pct"/>
            <w:tcBorders>
              <w:left w:val="single" w:sz="4" w:space="0" w:color="FFFFFF" w:themeColor="background2"/>
              <w:bottom w:val="single" w:sz="4" w:space="0" w:color="D9D9D9" w:themeColor="background2" w:themeShade="D9"/>
            </w:tcBorders>
            <w:shd w:val="clear" w:color="auto" w:fill="104F99" w:themeFill="accent2"/>
          </w:tcPr>
          <w:p w14:paraId="012FEC17" w14:textId="2A20CF19" w:rsidR="000532D8" w:rsidRPr="00403431" w:rsidRDefault="000532D8" w:rsidP="006856BA">
            <w:pPr>
              <w:spacing w:before="120" w:after="120"/>
              <w:jc w:val="center"/>
              <w:rPr>
                <w:rFonts w:cs="Arial"/>
                <w:b/>
                <w:bCs/>
                <w:color w:val="FFFFFF" w:themeColor="background2"/>
                <w:szCs w:val="18"/>
              </w:rPr>
            </w:pPr>
            <w:r w:rsidRPr="00403431">
              <w:rPr>
                <w:rFonts w:cs="Arial"/>
                <w:b/>
                <w:bCs/>
                <w:color w:val="FFFFFF" w:themeColor="background2"/>
                <w:szCs w:val="18"/>
              </w:rPr>
              <w:t xml:space="preserve">Average </w:t>
            </w:r>
            <w:r>
              <w:rPr>
                <w:rFonts w:cs="Arial"/>
                <w:b/>
                <w:bCs/>
                <w:color w:val="FFFFFF" w:themeColor="background2"/>
                <w:szCs w:val="18"/>
              </w:rPr>
              <w:t>b</w:t>
            </w:r>
            <w:r w:rsidRPr="00403431">
              <w:rPr>
                <w:rFonts w:cs="Arial"/>
                <w:b/>
                <w:bCs/>
                <w:color w:val="FFFFFF" w:themeColor="background2"/>
                <w:szCs w:val="18"/>
              </w:rPr>
              <w:t>enefits per item</w:t>
            </w:r>
          </w:p>
        </w:tc>
      </w:tr>
      <w:tr w:rsidR="006856BA" w:rsidRPr="00403431" w14:paraId="3F07E2C5" w14:textId="77777777" w:rsidTr="000532D8">
        <w:trPr>
          <w:cnfStyle w:val="000000100000" w:firstRow="0" w:lastRow="0" w:firstColumn="0" w:lastColumn="0" w:oddVBand="0" w:evenVBand="0" w:oddHBand="1" w:evenHBand="0" w:firstRowFirstColumn="0" w:firstRowLastColumn="0" w:lastRowFirstColumn="0" w:lastRowLastColumn="0"/>
          <w:cantSplit/>
          <w:trHeight w:val="20"/>
        </w:trPr>
        <w:tc>
          <w:tcPr>
            <w:tcW w:w="218" w:type="pct"/>
            <w:tcBorders>
              <w:top w:val="single" w:sz="4" w:space="0" w:color="FFFFFF" w:themeColor="background2"/>
              <w:right w:val="none" w:sz="0" w:space="0" w:color="auto"/>
            </w:tcBorders>
            <w:shd w:val="clear" w:color="auto" w:fill="DFEBF1" w:themeFill="text2" w:themeFillTint="1A"/>
          </w:tcPr>
          <w:p w14:paraId="38564636" w14:textId="77777777" w:rsidR="006856BA" w:rsidRPr="00403431" w:rsidRDefault="006856BA" w:rsidP="006856BA">
            <w:pPr>
              <w:spacing w:before="120" w:after="120"/>
              <w:jc w:val="center"/>
              <w:rPr>
                <w:rFonts w:cs="Arial"/>
                <w:color w:val="000000"/>
                <w:sz w:val="18"/>
                <w:szCs w:val="18"/>
                <w:lang w:val="en-US"/>
              </w:rPr>
            </w:pPr>
            <w:r w:rsidRPr="00403431">
              <w:rPr>
                <w:sz w:val="18"/>
                <w:szCs w:val="18"/>
              </w:rPr>
              <w:t>10</w:t>
            </w:r>
          </w:p>
        </w:tc>
        <w:tc>
          <w:tcPr>
            <w:tcW w:w="1381" w:type="pct"/>
            <w:tcBorders>
              <w:top w:val="single" w:sz="4" w:space="0" w:color="FFFFFF" w:themeColor="background2"/>
              <w:right w:val="single" w:sz="4" w:space="0" w:color="FFFFFF" w:themeColor="background2"/>
            </w:tcBorders>
            <w:shd w:val="clear" w:color="auto" w:fill="DFEBF1" w:themeFill="text2" w:themeFillTint="1A"/>
          </w:tcPr>
          <w:p w14:paraId="60D047E4" w14:textId="77777777" w:rsidR="006856BA" w:rsidRPr="00403431" w:rsidRDefault="006856BA" w:rsidP="006856BA">
            <w:pPr>
              <w:spacing w:before="120" w:after="120"/>
              <w:rPr>
                <w:sz w:val="18"/>
                <w:szCs w:val="18"/>
              </w:rPr>
            </w:pPr>
            <w:r w:rsidRPr="00403431">
              <w:rPr>
                <w:sz w:val="18"/>
                <w:szCs w:val="18"/>
              </w:rPr>
              <w:t>Endocrine, Nutritional and Metabolic System</w:t>
            </w:r>
          </w:p>
        </w:tc>
        <w:tc>
          <w:tcPr>
            <w:tcW w:w="1209" w:type="pct"/>
            <w:tcBorders>
              <w:top w:val="single" w:sz="4" w:space="0" w:color="FFFFFF" w:themeColor="background2"/>
              <w:left w:val="single" w:sz="4" w:space="0" w:color="FFFFFF" w:themeColor="background2"/>
            </w:tcBorders>
            <w:shd w:val="clear" w:color="auto" w:fill="DFEBF1" w:themeFill="text2" w:themeFillTint="1A"/>
          </w:tcPr>
          <w:p w14:paraId="3162D5E3" w14:textId="77777777" w:rsidR="006856BA" w:rsidRPr="00403431" w:rsidRDefault="006856BA" w:rsidP="006856BA">
            <w:pPr>
              <w:spacing w:before="120" w:after="120"/>
              <w:jc w:val="right"/>
              <w:rPr>
                <w:rFonts w:cs="Arial"/>
                <w:color w:val="1C1C1C"/>
                <w:sz w:val="18"/>
                <w:szCs w:val="18"/>
              </w:rPr>
            </w:pPr>
            <w:r w:rsidRPr="00403431">
              <w:rPr>
                <w:sz w:val="18"/>
                <w:szCs w:val="18"/>
              </w:rPr>
              <w:t>$2,893</w:t>
            </w:r>
          </w:p>
        </w:tc>
        <w:tc>
          <w:tcPr>
            <w:tcW w:w="1105" w:type="pct"/>
            <w:tcBorders>
              <w:top w:val="single" w:sz="4" w:space="0" w:color="FFFFFF" w:themeColor="background2"/>
              <w:left w:val="single" w:sz="4" w:space="0" w:color="FFFFFF" w:themeColor="background2"/>
            </w:tcBorders>
            <w:shd w:val="clear" w:color="auto" w:fill="DFEBF1" w:themeFill="text2" w:themeFillTint="1A"/>
          </w:tcPr>
          <w:p w14:paraId="37B43A0F" w14:textId="77777777" w:rsidR="006856BA" w:rsidRPr="00403431" w:rsidRDefault="006856BA" w:rsidP="006856BA">
            <w:pPr>
              <w:spacing w:before="120" w:after="120"/>
              <w:jc w:val="right"/>
              <w:rPr>
                <w:rFonts w:cs="Arial"/>
                <w:color w:val="1C1C1C"/>
                <w:sz w:val="18"/>
                <w:szCs w:val="18"/>
              </w:rPr>
            </w:pPr>
            <w:r w:rsidRPr="00403431">
              <w:rPr>
                <w:sz w:val="18"/>
                <w:szCs w:val="18"/>
              </w:rPr>
              <w:t>8.85</w:t>
            </w:r>
          </w:p>
        </w:tc>
        <w:tc>
          <w:tcPr>
            <w:tcW w:w="1087" w:type="pct"/>
            <w:tcBorders>
              <w:top w:val="single" w:sz="4" w:space="0" w:color="FFFFFF" w:themeColor="background2"/>
              <w:left w:val="single" w:sz="4" w:space="0" w:color="FFFFFF" w:themeColor="background2"/>
            </w:tcBorders>
            <w:shd w:val="clear" w:color="auto" w:fill="DFEBF1" w:themeFill="text2" w:themeFillTint="1A"/>
          </w:tcPr>
          <w:p w14:paraId="18242E10" w14:textId="77777777" w:rsidR="006856BA" w:rsidRPr="00403431" w:rsidRDefault="006856BA" w:rsidP="006856BA">
            <w:pPr>
              <w:spacing w:before="120" w:after="120"/>
              <w:jc w:val="right"/>
              <w:rPr>
                <w:rFonts w:cs="Arial"/>
                <w:color w:val="1C1C1C"/>
                <w:sz w:val="18"/>
                <w:szCs w:val="18"/>
              </w:rPr>
            </w:pPr>
            <w:r w:rsidRPr="00403431">
              <w:rPr>
                <w:sz w:val="18"/>
                <w:szCs w:val="18"/>
              </w:rPr>
              <w:t>$327</w:t>
            </w:r>
          </w:p>
        </w:tc>
      </w:tr>
      <w:tr w:rsidR="006856BA" w:rsidRPr="00403431" w14:paraId="56878EC8" w14:textId="77777777" w:rsidTr="000532D8">
        <w:trPr>
          <w:cnfStyle w:val="000000010000" w:firstRow="0" w:lastRow="0" w:firstColumn="0" w:lastColumn="0" w:oddVBand="0" w:evenVBand="0" w:oddHBand="0" w:evenHBand="1" w:firstRowFirstColumn="0" w:firstRowLastColumn="0" w:lastRowFirstColumn="0" w:lastRowLastColumn="0"/>
          <w:cantSplit/>
          <w:trHeight w:val="20"/>
        </w:trPr>
        <w:tc>
          <w:tcPr>
            <w:tcW w:w="218" w:type="pct"/>
            <w:tcBorders>
              <w:bottom w:val="single" w:sz="4" w:space="0" w:color="D9D9D9" w:themeColor="background2" w:themeShade="D9"/>
            </w:tcBorders>
            <w:shd w:val="clear" w:color="auto" w:fill="DFEBF1" w:themeFill="text2" w:themeFillTint="1A"/>
          </w:tcPr>
          <w:p w14:paraId="2C9379EE" w14:textId="47B5ABC7" w:rsidR="006856BA" w:rsidRPr="00403431" w:rsidRDefault="00C55759" w:rsidP="006856BA">
            <w:pPr>
              <w:spacing w:before="120" w:after="120"/>
              <w:jc w:val="center"/>
              <w:rPr>
                <w:rFonts w:cs="Arial"/>
                <w:color w:val="000000"/>
                <w:sz w:val="18"/>
                <w:szCs w:val="18"/>
                <w:highlight w:val="yellow"/>
                <w:lang w:val="en-US"/>
              </w:rPr>
            </w:pPr>
            <w:r>
              <w:rPr>
                <w:sz w:val="18"/>
                <w:szCs w:val="18"/>
              </w:rPr>
              <w:t>0</w:t>
            </w:r>
            <w:r w:rsidR="006856BA" w:rsidRPr="00403431">
              <w:rPr>
                <w:sz w:val="18"/>
                <w:szCs w:val="18"/>
              </w:rPr>
              <w:t>4</w:t>
            </w:r>
          </w:p>
        </w:tc>
        <w:tc>
          <w:tcPr>
            <w:tcW w:w="1381" w:type="pct"/>
            <w:tcBorders>
              <w:left w:val="nil"/>
              <w:right w:val="single" w:sz="4" w:space="0" w:color="FFFFFF" w:themeColor="background2"/>
            </w:tcBorders>
            <w:shd w:val="clear" w:color="auto" w:fill="DFEBF1" w:themeFill="text2" w:themeFillTint="1A"/>
          </w:tcPr>
          <w:p w14:paraId="30B97B8D" w14:textId="77777777" w:rsidR="006856BA" w:rsidRPr="00403431" w:rsidRDefault="006856BA" w:rsidP="006856BA">
            <w:pPr>
              <w:spacing w:before="120" w:after="120"/>
              <w:rPr>
                <w:sz w:val="18"/>
                <w:szCs w:val="18"/>
              </w:rPr>
            </w:pPr>
            <w:r w:rsidRPr="00403431">
              <w:rPr>
                <w:sz w:val="18"/>
                <w:szCs w:val="18"/>
              </w:rPr>
              <w:t>Respiratory System</w:t>
            </w:r>
          </w:p>
        </w:tc>
        <w:tc>
          <w:tcPr>
            <w:tcW w:w="1209" w:type="pct"/>
            <w:tcBorders>
              <w:left w:val="single" w:sz="4" w:space="0" w:color="FFFFFF" w:themeColor="background2"/>
            </w:tcBorders>
            <w:shd w:val="clear" w:color="auto" w:fill="DFEBF1" w:themeFill="text2" w:themeFillTint="1A"/>
          </w:tcPr>
          <w:p w14:paraId="56C58CC3" w14:textId="77777777" w:rsidR="006856BA" w:rsidRPr="00403431" w:rsidRDefault="006856BA" w:rsidP="006856BA">
            <w:pPr>
              <w:spacing w:before="120" w:after="120"/>
              <w:jc w:val="right"/>
              <w:rPr>
                <w:rFonts w:cs="Arial"/>
                <w:color w:val="1C1C1C"/>
                <w:sz w:val="18"/>
                <w:szCs w:val="18"/>
                <w:highlight w:val="yellow"/>
              </w:rPr>
            </w:pPr>
            <w:r w:rsidRPr="00403431">
              <w:rPr>
                <w:sz w:val="18"/>
                <w:szCs w:val="18"/>
              </w:rPr>
              <w:t>$2,410</w:t>
            </w:r>
          </w:p>
        </w:tc>
        <w:tc>
          <w:tcPr>
            <w:tcW w:w="1105" w:type="pct"/>
            <w:tcBorders>
              <w:left w:val="single" w:sz="4" w:space="0" w:color="FFFFFF" w:themeColor="background2"/>
            </w:tcBorders>
            <w:shd w:val="clear" w:color="auto" w:fill="DFEBF1" w:themeFill="text2" w:themeFillTint="1A"/>
          </w:tcPr>
          <w:p w14:paraId="73B60C0C" w14:textId="77777777" w:rsidR="006856BA" w:rsidRPr="00403431" w:rsidRDefault="006856BA" w:rsidP="006856BA">
            <w:pPr>
              <w:spacing w:before="120" w:after="120"/>
              <w:jc w:val="right"/>
              <w:rPr>
                <w:rFonts w:cs="Arial"/>
                <w:color w:val="1C1C1C"/>
                <w:sz w:val="18"/>
                <w:szCs w:val="18"/>
                <w:highlight w:val="yellow"/>
              </w:rPr>
            </w:pPr>
            <w:r w:rsidRPr="00403431">
              <w:rPr>
                <w:sz w:val="18"/>
                <w:szCs w:val="18"/>
              </w:rPr>
              <w:t>7.23</w:t>
            </w:r>
          </w:p>
        </w:tc>
        <w:tc>
          <w:tcPr>
            <w:tcW w:w="1087" w:type="pct"/>
            <w:tcBorders>
              <w:left w:val="single" w:sz="4" w:space="0" w:color="FFFFFF" w:themeColor="background2"/>
            </w:tcBorders>
            <w:shd w:val="clear" w:color="auto" w:fill="DFEBF1" w:themeFill="text2" w:themeFillTint="1A"/>
          </w:tcPr>
          <w:p w14:paraId="29F92830" w14:textId="77777777" w:rsidR="006856BA" w:rsidRPr="00403431" w:rsidRDefault="006856BA" w:rsidP="006856BA">
            <w:pPr>
              <w:spacing w:before="120" w:after="120"/>
              <w:jc w:val="right"/>
              <w:rPr>
                <w:rFonts w:cs="Arial"/>
                <w:color w:val="1C1C1C"/>
                <w:sz w:val="18"/>
                <w:szCs w:val="18"/>
                <w:highlight w:val="yellow"/>
              </w:rPr>
            </w:pPr>
            <w:r w:rsidRPr="00403431">
              <w:rPr>
                <w:sz w:val="18"/>
                <w:szCs w:val="18"/>
              </w:rPr>
              <w:t>$333</w:t>
            </w:r>
          </w:p>
        </w:tc>
      </w:tr>
      <w:tr w:rsidR="006856BA" w:rsidRPr="00403431" w14:paraId="05C01111" w14:textId="77777777" w:rsidTr="000532D8">
        <w:trPr>
          <w:cnfStyle w:val="000000100000" w:firstRow="0" w:lastRow="0" w:firstColumn="0" w:lastColumn="0" w:oddVBand="0" w:evenVBand="0" w:oddHBand="1" w:evenHBand="0" w:firstRowFirstColumn="0" w:firstRowLastColumn="0" w:lastRowFirstColumn="0" w:lastRowLastColumn="0"/>
          <w:cantSplit/>
          <w:trHeight w:val="20"/>
        </w:trPr>
        <w:tc>
          <w:tcPr>
            <w:tcW w:w="218" w:type="pct"/>
            <w:tcBorders>
              <w:right w:val="none" w:sz="0" w:space="0" w:color="auto"/>
            </w:tcBorders>
            <w:shd w:val="clear" w:color="auto" w:fill="DFEBF1" w:themeFill="text2" w:themeFillTint="1A"/>
          </w:tcPr>
          <w:p w14:paraId="297D643A" w14:textId="1F8BC5E4" w:rsidR="006856BA" w:rsidRPr="00403431" w:rsidRDefault="00C55759" w:rsidP="006856BA">
            <w:pPr>
              <w:spacing w:before="120" w:after="120"/>
              <w:jc w:val="center"/>
              <w:rPr>
                <w:rFonts w:cs="Arial"/>
                <w:color w:val="1C1C1C"/>
                <w:sz w:val="18"/>
                <w:szCs w:val="18"/>
                <w:highlight w:val="yellow"/>
              </w:rPr>
            </w:pPr>
            <w:r>
              <w:rPr>
                <w:sz w:val="18"/>
                <w:szCs w:val="18"/>
              </w:rPr>
              <w:t>0</w:t>
            </w:r>
            <w:r w:rsidR="006856BA" w:rsidRPr="00403431">
              <w:rPr>
                <w:sz w:val="18"/>
                <w:szCs w:val="18"/>
              </w:rPr>
              <w:t>7</w:t>
            </w:r>
          </w:p>
        </w:tc>
        <w:tc>
          <w:tcPr>
            <w:tcW w:w="1381" w:type="pct"/>
            <w:tcBorders>
              <w:right w:val="single" w:sz="4" w:space="0" w:color="FFFFFF" w:themeColor="background2"/>
            </w:tcBorders>
            <w:shd w:val="clear" w:color="auto" w:fill="DFEBF1" w:themeFill="text2" w:themeFillTint="1A"/>
          </w:tcPr>
          <w:p w14:paraId="4A7AC92E" w14:textId="77777777" w:rsidR="006856BA" w:rsidRPr="00403431" w:rsidRDefault="006856BA" w:rsidP="006856BA">
            <w:pPr>
              <w:spacing w:before="120" w:after="120"/>
              <w:rPr>
                <w:sz w:val="18"/>
                <w:szCs w:val="18"/>
              </w:rPr>
            </w:pPr>
            <w:r w:rsidRPr="00403431">
              <w:rPr>
                <w:sz w:val="18"/>
                <w:szCs w:val="18"/>
              </w:rPr>
              <w:t>Hepatobiliary System and Pancreas</w:t>
            </w:r>
          </w:p>
        </w:tc>
        <w:tc>
          <w:tcPr>
            <w:tcW w:w="1209" w:type="pct"/>
            <w:tcBorders>
              <w:left w:val="single" w:sz="4" w:space="0" w:color="FFFFFF" w:themeColor="background2"/>
            </w:tcBorders>
            <w:shd w:val="clear" w:color="auto" w:fill="DFEBF1" w:themeFill="text2" w:themeFillTint="1A"/>
          </w:tcPr>
          <w:p w14:paraId="6384C7D2" w14:textId="77777777" w:rsidR="006856BA" w:rsidRPr="00403431" w:rsidRDefault="006856BA" w:rsidP="006856BA">
            <w:pPr>
              <w:spacing w:before="120" w:after="120"/>
              <w:jc w:val="right"/>
              <w:rPr>
                <w:rFonts w:cs="Arial"/>
                <w:color w:val="1C1C1C"/>
                <w:sz w:val="18"/>
                <w:szCs w:val="18"/>
                <w:highlight w:val="yellow"/>
              </w:rPr>
            </w:pPr>
            <w:r w:rsidRPr="00403431">
              <w:rPr>
                <w:sz w:val="18"/>
                <w:szCs w:val="18"/>
              </w:rPr>
              <w:t>$1,918</w:t>
            </w:r>
          </w:p>
        </w:tc>
        <w:tc>
          <w:tcPr>
            <w:tcW w:w="1105" w:type="pct"/>
            <w:tcBorders>
              <w:left w:val="single" w:sz="4" w:space="0" w:color="FFFFFF" w:themeColor="background2"/>
            </w:tcBorders>
            <w:shd w:val="clear" w:color="auto" w:fill="DFEBF1" w:themeFill="text2" w:themeFillTint="1A"/>
          </w:tcPr>
          <w:p w14:paraId="77F2A285" w14:textId="77777777" w:rsidR="006856BA" w:rsidRPr="00403431" w:rsidRDefault="006856BA" w:rsidP="006856BA">
            <w:pPr>
              <w:spacing w:before="120" w:after="120"/>
              <w:jc w:val="right"/>
              <w:rPr>
                <w:rFonts w:cs="Arial"/>
                <w:color w:val="1C1C1C"/>
                <w:sz w:val="18"/>
                <w:szCs w:val="18"/>
                <w:highlight w:val="yellow"/>
              </w:rPr>
            </w:pPr>
            <w:r w:rsidRPr="00403431">
              <w:rPr>
                <w:sz w:val="18"/>
                <w:szCs w:val="18"/>
              </w:rPr>
              <w:t>5.88</w:t>
            </w:r>
          </w:p>
        </w:tc>
        <w:tc>
          <w:tcPr>
            <w:tcW w:w="1087" w:type="pct"/>
            <w:tcBorders>
              <w:left w:val="single" w:sz="4" w:space="0" w:color="FFFFFF" w:themeColor="background2"/>
            </w:tcBorders>
            <w:shd w:val="clear" w:color="auto" w:fill="DFEBF1" w:themeFill="text2" w:themeFillTint="1A"/>
          </w:tcPr>
          <w:p w14:paraId="3251C35A" w14:textId="77777777" w:rsidR="006856BA" w:rsidRPr="00403431" w:rsidRDefault="006856BA" w:rsidP="006856BA">
            <w:pPr>
              <w:spacing w:before="120" w:after="120"/>
              <w:jc w:val="right"/>
              <w:rPr>
                <w:rFonts w:cs="Arial"/>
                <w:color w:val="1C1C1C"/>
                <w:sz w:val="18"/>
                <w:szCs w:val="18"/>
                <w:highlight w:val="yellow"/>
              </w:rPr>
            </w:pPr>
            <w:r w:rsidRPr="00403431">
              <w:rPr>
                <w:sz w:val="18"/>
                <w:szCs w:val="18"/>
              </w:rPr>
              <w:t>$326</w:t>
            </w:r>
          </w:p>
        </w:tc>
      </w:tr>
      <w:tr w:rsidR="006856BA" w:rsidRPr="00403431" w14:paraId="4CB4E51B" w14:textId="77777777" w:rsidTr="00C55759">
        <w:trPr>
          <w:cnfStyle w:val="000000010000" w:firstRow="0" w:lastRow="0" w:firstColumn="0" w:lastColumn="0" w:oddVBand="0" w:evenVBand="0" w:oddHBand="0" w:evenHBand="1" w:firstRowFirstColumn="0" w:firstRowLastColumn="0" w:lastRowFirstColumn="0" w:lastRowLastColumn="0"/>
          <w:cantSplit/>
          <w:trHeight w:val="20"/>
        </w:trPr>
        <w:tc>
          <w:tcPr>
            <w:tcW w:w="5000" w:type="pct"/>
            <w:gridSpan w:val="5"/>
            <w:vAlign w:val="center"/>
          </w:tcPr>
          <w:p w14:paraId="40D1D3BE" w14:textId="64D73C9B" w:rsidR="006856BA" w:rsidRPr="00403431" w:rsidRDefault="006856BA" w:rsidP="007175ED">
            <w:pPr>
              <w:spacing w:before="40" w:after="40"/>
              <w:jc w:val="center"/>
              <w:rPr>
                <w:b/>
                <w:sz w:val="18"/>
                <w:szCs w:val="18"/>
              </w:rPr>
            </w:pPr>
            <w:r w:rsidRPr="00403431">
              <w:rPr>
                <w:b/>
                <w:sz w:val="18"/>
                <w:szCs w:val="18"/>
              </w:rPr>
              <w:t>…</w:t>
            </w:r>
          </w:p>
        </w:tc>
      </w:tr>
      <w:tr w:rsidR="006856BA" w:rsidRPr="00403431" w14:paraId="01F68FEF" w14:textId="77777777" w:rsidTr="000532D8">
        <w:trPr>
          <w:cnfStyle w:val="000000100000" w:firstRow="0" w:lastRow="0" w:firstColumn="0" w:lastColumn="0" w:oddVBand="0" w:evenVBand="0" w:oddHBand="1" w:evenHBand="0" w:firstRowFirstColumn="0" w:firstRowLastColumn="0" w:lastRowFirstColumn="0" w:lastRowLastColumn="0"/>
          <w:cantSplit/>
          <w:trHeight w:val="20"/>
        </w:trPr>
        <w:tc>
          <w:tcPr>
            <w:tcW w:w="218" w:type="pct"/>
            <w:tcBorders>
              <w:right w:val="none" w:sz="0" w:space="0" w:color="auto"/>
            </w:tcBorders>
            <w:shd w:val="clear" w:color="auto" w:fill="F2F2F2" w:themeFill="accent6" w:themeFillShade="F2"/>
          </w:tcPr>
          <w:p w14:paraId="345B6396" w14:textId="7574EF9F" w:rsidR="006856BA" w:rsidRPr="00403431" w:rsidRDefault="00C55759" w:rsidP="006856BA">
            <w:pPr>
              <w:spacing w:before="120" w:after="120"/>
              <w:jc w:val="center"/>
              <w:rPr>
                <w:rFonts w:cs="Arial"/>
                <w:color w:val="1C1C1C"/>
                <w:sz w:val="18"/>
                <w:szCs w:val="18"/>
              </w:rPr>
            </w:pPr>
            <w:r>
              <w:rPr>
                <w:sz w:val="18"/>
                <w:szCs w:val="18"/>
              </w:rPr>
              <w:t>09</w:t>
            </w:r>
          </w:p>
        </w:tc>
        <w:tc>
          <w:tcPr>
            <w:tcW w:w="1381" w:type="pct"/>
            <w:tcBorders>
              <w:right w:val="single" w:sz="4" w:space="0" w:color="FFFFFF" w:themeColor="background2"/>
            </w:tcBorders>
            <w:shd w:val="clear" w:color="auto" w:fill="F2F2F2" w:themeFill="accent6" w:themeFillShade="F2"/>
          </w:tcPr>
          <w:p w14:paraId="310843FD" w14:textId="10CE0C95" w:rsidR="006856BA" w:rsidRPr="00403431" w:rsidRDefault="00C55759" w:rsidP="006856BA">
            <w:pPr>
              <w:spacing w:before="120" w:after="120"/>
              <w:rPr>
                <w:sz w:val="18"/>
                <w:szCs w:val="18"/>
              </w:rPr>
            </w:pPr>
            <w:r w:rsidRPr="00C55759">
              <w:rPr>
                <w:sz w:val="18"/>
                <w:szCs w:val="18"/>
              </w:rPr>
              <w:t>Diseases and Disorders of the Skin, Subcutaneous Tissue and Breast</w:t>
            </w:r>
          </w:p>
        </w:tc>
        <w:tc>
          <w:tcPr>
            <w:tcW w:w="1209" w:type="pct"/>
            <w:tcBorders>
              <w:left w:val="single" w:sz="4" w:space="0" w:color="FFFFFF" w:themeColor="background2"/>
            </w:tcBorders>
            <w:shd w:val="clear" w:color="auto" w:fill="F2F2F2" w:themeFill="accent6" w:themeFillShade="F2"/>
          </w:tcPr>
          <w:p w14:paraId="25251A3A" w14:textId="6AD47902" w:rsidR="006856BA" w:rsidRPr="00403431" w:rsidRDefault="00C55759" w:rsidP="006856BA">
            <w:pPr>
              <w:spacing w:before="120" w:after="120"/>
              <w:jc w:val="right"/>
              <w:rPr>
                <w:rFonts w:cs="Arial"/>
                <w:color w:val="1C1C1C"/>
                <w:sz w:val="18"/>
                <w:szCs w:val="18"/>
              </w:rPr>
            </w:pPr>
            <w:r>
              <w:rPr>
                <w:rFonts w:cs="Arial"/>
                <w:color w:val="1C1C1C"/>
                <w:sz w:val="18"/>
                <w:szCs w:val="18"/>
              </w:rPr>
              <w:t>$529</w:t>
            </w:r>
          </w:p>
        </w:tc>
        <w:tc>
          <w:tcPr>
            <w:tcW w:w="1105" w:type="pct"/>
            <w:tcBorders>
              <w:left w:val="single" w:sz="4" w:space="0" w:color="FFFFFF" w:themeColor="background2"/>
            </w:tcBorders>
            <w:shd w:val="clear" w:color="auto" w:fill="F2F2F2" w:themeFill="background2" w:themeFillShade="F2"/>
          </w:tcPr>
          <w:p w14:paraId="1B6BEA54" w14:textId="7A16AEB6" w:rsidR="006856BA" w:rsidRPr="00403431" w:rsidRDefault="00C55759" w:rsidP="006856BA">
            <w:pPr>
              <w:spacing w:before="120" w:after="120"/>
              <w:jc w:val="right"/>
              <w:rPr>
                <w:rFonts w:cs="Arial"/>
                <w:color w:val="1C1C1C"/>
                <w:sz w:val="18"/>
                <w:szCs w:val="18"/>
              </w:rPr>
            </w:pPr>
            <w:r>
              <w:rPr>
                <w:rFonts w:cs="Arial"/>
                <w:color w:val="1C1C1C"/>
                <w:sz w:val="18"/>
                <w:szCs w:val="18"/>
              </w:rPr>
              <w:t>1.69</w:t>
            </w:r>
          </w:p>
        </w:tc>
        <w:tc>
          <w:tcPr>
            <w:tcW w:w="1087" w:type="pct"/>
            <w:tcBorders>
              <w:left w:val="single" w:sz="4" w:space="0" w:color="FFFFFF" w:themeColor="background2"/>
            </w:tcBorders>
            <w:shd w:val="clear" w:color="auto" w:fill="F2F2F2" w:themeFill="background2" w:themeFillShade="F2"/>
          </w:tcPr>
          <w:p w14:paraId="16096864" w14:textId="5DFEF755" w:rsidR="006856BA" w:rsidRPr="00403431" w:rsidRDefault="00C55759" w:rsidP="006856BA">
            <w:pPr>
              <w:spacing w:before="120" w:after="120"/>
              <w:jc w:val="right"/>
              <w:rPr>
                <w:rFonts w:cs="Arial"/>
                <w:color w:val="1C1C1C"/>
                <w:sz w:val="18"/>
                <w:szCs w:val="18"/>
              </w:rPr>
            </w:pPr>
            <w:r>
              <w:rPr>
                <w:rFonts w:cs="Arial"/>
                <w:color w:val="1C1C1C"/>
                <w:sz w:val="18"/>
                <w:szCs w:val="18"/>
              </w:rPr>
              <w:t>$314</w:t>
            </w:r>
          </w:p>
        </w:tc>
      </w:tr>
      <w:tr w:rsidR="006856BA" w:rsidRPr="00403431" w14:paraId="3729452F" w14:textId="77777777" w:rsidTr="000532D8">
        <w:trPr>
          <w:cnfStyle w:val="000000010000" w:firstRow="0" w:lastRow="0" w:firstColumn="0" w:lastColumn="0" w:oddVBand="0" w:evenVBand="0" w:oddHBand="0" w:evenHBand="1" w:firstRowFirstColumn="0" w:firstRowLastColumn="0" w:lastRowFirstColumn="0" w:lastRowLastColumn="0"/>
          <w:cantSplit/>
          <w:trHeight w:val="20"/>
        </w:trPr>
        <w:tc>
          <w:tcPr>
            <w:tcW w:w="218" w:type="pct"/>
            <w:tcBorders>
              <w:bottom w:val="single" w:sz="4" w:space="0" w:color="D9D9D9" w:themeColor="background2" w:themeShade="D9"/>
            </w:tcBorders>
            <w:shd w:val="clear" w:color="auto" w:fill="F2F2F2" w:themeFill="accent6" w:themeFillShade="F2"/>
          </w:tcPr>
          <w:p w14:paraId="6AFC81DD" w14:textId="77777777" w:rsidR="006856BA" w:rsidRPr="00403431" w:rsidRDefault="006856BA" w:rsidP="006856BA">
            <w:pPr>
              <w:spacing w:before="120" w:after="120"/>
              <w:jc w:val="center"/>
              <w:rPr>
                <w:rFonts w:cs="Arial"/>
                <w:color w:val="1C1C1C"/>
                <w:sz w:val="18"/>
                <w:szCs w:val="18"/>
              </w:rPr>
            </w:pPr>
            <w:r w:rsidRPr="00403431">
              <w:rPr>
                <w:sz w:val="18"/>
                <w:szCs w:val="18"/>
              </w:rPr>
              <w:t>15</w:t>
            </w:r>
          </w:p>
        </w:tc>
        <w:tc>
          <w:tcPr>
            <w:tcW w:w="1381" w:type="pct"/>
            <w:tcBorders>
              <w:left w:val="nil"/>
              <w:right w:val="single" w:sz="4" w:space="0" w:color="FFFFFF" w:themeColor="background2"/>
            </w:tcBorders>
            <w:shd w:val="clear" w:color="auto" w:fill="F2F2F2" w:themeFill="accent6" w:themeFillShade="F2"/>
          </w:tcPr>
          <w:p w14:paraId="740EE469" w14:textId="77777777" w:rsidR="006856BA" w:rsidRPr="00403431" w:rsidRDefault="006856BA" w:rsidP="006856BA">
            <w:pPr>
              <w:spacing w:before="120" w:after="120"/>
              <w:rPr>
                <w:sz w:val="18"/>
                <w:szCs w:val="18"/>
              </w:rPr>
            </w:pPr>
            <w:r w:rsidRPr="00403431">
              <w:rPr>
                <w:sz w:val="18"/>
                <w:szCs w:val="18"/>
              </w:rPr>
              <w:t>Newborn and other Neonates</w:t>
            </w:r>
          </w:p>
        </w:tc>
        <w:tc>
          <w:tcPr>
            <w:tcW w:w="1209" w:type="pct"/>
            <w:tcBorders>
              <w:left w:val="single" w:sz="4" w:space="0" w:color="FFFFFF" w:themeColor="background2"/>
            </w:tcBorders>
            <w:shd w:val="clear" w:color="auto" w:fill="F2F2F2" w:themeFill="accent6" w:themeFillShade="F2"/>
          </w:tcPr>
          <w:p w14:paraId="7A5D7AEA" w14:textId="77777777" w:rsidR="006856BA" w:rsidRPr="00403431" w:rsidRDefault="006856BA" w:rsidP="006856BA">
            <w:pPr>
              <w:spacing w:before="120" w:after="120"/>
              <w:jc w:val="right"/>
              <w:rPr>
                <w:rFonts w:cs="Arial"/>
                <w:color w:val="1C1C1C"/>
                <w:sz w:val="18"/>
                <w:szCs w:val="18"/>
              </w:rPr>
            </w:pPr>
            <w:r w:rsidRPr="00403431">
              <w:rPr>
                <w:sz w:val="18"/>
                <w:szCs w:val="18"/>
              </w:rPr>
              <w:t>$317</w:t>
            </w:r>
          </w:p>
        </w:tc>
        <w:tc>
          <w:tcPr>
            <w:tcW w:w="1105" w:type="pct"/>
            <w:tcBorders>
              <w:left w:val="single" w:sz="4" w:space="0" w:color="FFFFFF" w:themeColor="background2"/>
            </w:tcBorders>
            <w:shd w:val="clear" w:color="auto" w:fill="F2F2F2" w:themeFill="background2" w:themeFillShade="F2"/>
          </w:tcPr>
          <w:p w14:paraId="6F415D10" w14:textId="77777777" w:rsidR="006856BA" w:rsidRPr="00403431" w:rsidRDefault="006856BA" w:rsidP="006856BA">
            <w:pPr>
              <w:spacing w:before="120" w:after="120"/>
              <w:jc w:val="right"/>
              <w:rPr>
                <w:rFonts w:cs="Arial"/>
                <w:color w:val="1C1C1C"/>
                <w:sz w:val="18"/>
                <w:szCs w:val="18"/>
              </w:rPr>
            </w:pPr>
            <w:r w:rsidRPr="00403431">
              <w:rPr>
                <w:sz w:val="18"/>
                <w:szCs w:val="18"/>
              </w:rPr>
              <w:t>1.12</w:t>
            </w:r>
          </w:p>
        </w:tc>
        <w:tc>
          <w:tcPr>
            <w:tcW w:w="1087" w:type="pct"/>
            <w:tcBorders>
              <w:left w:val="single" w:sz="4" w:space="0" w:color="FFFFFF" w:themeColor="background2"/>
            </w:tcBorders>
            <w:shd w:val="clear" w:color="auto" w:fill="F2F2F2" w:themeFill="background2" w:themeFillShade="F2"/>
          </w:tcPr>
          <w:p w14:paraId="399C2AF8" w14:textId="77777777" w:rsidR="006856BA" w:rsidRPr="00403431" w:rsidRDefault="006856BA" w:rsidP="006856BA">
            <w:pPr>
              <w:spacing w:before="120" w:after="120"/>
              <w:jc w:val="right"/>
              <w:rPr>
                <w:rFonts w:cs="Arial"/>
                <w:color w:val="1C1C1C"/>
                <w:sz w:val="18"/>
                <w:szCs w:val="18"/>
              </w:rPr>
            </w:pPr>
            <w:r w:rsidRPr="00403431">
              <w:rPr>
                <w:sz w:val="18"/>
                <w:szCs w:val="18"/>
              </w:rPr>
              <w:t>$284</w:t>
            </w:r>
          </w:p>
        </w:tc>
      </w:tr>
      <w:tr w:rsidR="006856BA" w:rsidRPr="00403431" w14:paraId="12088B0B" w14:textId="77777777" w:rsidTr="000532D8">
        <w:trPr>
          <w:cnfStyle w:val="000000100000" w:firstRow="0" w:lastRow="0" w:firstColumn="0" w:lastColumn="0" w:oddVBand="0" w:evenVBand="0" w:oddHBand="1" w:evenHBand="0" w:firstRowFirstColumn="0" w:firstRowLastColumn="0" w:lastRowFirstColumn="0" w:lastRowLastColumn="0"/>
          <w:cantSplit/>
          <w:trHeight w:val="20"/>
        </w:trPr>
        <w:tc>
          <w:tcPr>
            <w:tcW w:w="218" w:type="pct"/>
            <w:tcBorders>
              <w:right w:val="none" w:sz="0" w:space="0" w:color="auto"/>
            </w:tcBorders>
            <w:shd w:val="clear" w:color="auto" w:fill="F2F2F2" w:themeFill="accent6" w:themeFillShade="F2"/>
          </w:tcPr>
          <w:p w14:paraId="454FF4CA" w14:textId="77777777" w:rsidR="006856BA" w:rsidRPr="00403431" w:rsidRDefault="006856BA" w:rsidP="006856BA">
            <w:pPr>
              <w:spacing w:before="120" w:after="120"/>
              <w:jc w:val="center"/>
              <w:rPr>
                <w:sz w:val="18"/>
                <w:szCs w:val="18"/>
              </w:rPr>
            </w:pPr>
            <w:r w:rsidRPr="00403431">
              <w:rPr>
                <w:sz w:val="18"/>
                <w:szCs w:val="18"/>
              </w:rPr>
              <w:t>14</w:t>
            </w:r>
          </w:p>
        </w:tc>
        <w:tc>
          <w:tcPr>
            <w:tcW w:w="1381" w:type="pct"/>
            <w:tcBorders>
              <w:right w:val="single" w:sz="4" w:space="0" w:color="FFFFFF" w:themeColor="background2"/>
            </w:tcBorders>
            <w:shd w:val="clear" w:color="auto" w:fill="F2F2F2" w:themeFill="accent6" w:themeFillShade="F2"/>
          </w:tcPr>
          <w:p w14:paraId="276EC59F" w14:textId="77777777" w:rsidR="006856BA" w:rsidRPr="00403431" w:rsidRDefault="006856BA" w:rsidP="006856BA">
            <w:pPr>
              <w:spacing w:before="120" w:after="120"/>
              <w:rPr>
                <w:sz w:val="18"/>
                <w:szCs w:val="18"/>
              </w:rPr>
            </w:pPr>
            <w:r w:rsidRPr="00403431">
              <w:rPr>
                <w:sz w:val="18"/>
                <w:szCs w:val="18"/>
              </w:rPr>
              <w:t>Pregnancy, Childbirth and Puerperium</w:t>
            </w:r>
          </w:p>
        </w:tc>
        <w:tc>
          <w:tcPr>
            <w:tcW w:w="1209" w:type="pct"/>
            <w:tcBorders>
              <w:left w:val="single" w:sz="4" w:space="0" w:color="FFFFFF" w:themeColor="background2"/>
            </w:tcBorders>
            <w:shd w:val="clear" w:color="auto" w:fill="F2F2F2" w:themeFill="accent6" w:themeFillShade="F2"/>
          </w:tcPr>
          <w:p w14:paraId="5FA02F3D" w14:textId="77777777" w:rsidR="006856BA" w:rsidRPr="00403431" w:rsidRDefault="006856BA" w:rsidP="006856BA">
            <w:pPr>
              <w:spacing w:before="120" w:after="120"/>
              <w:jc w:val="right"/>
              <w:rPr>
                <w:sz w:val="18"/>
                <w:szCs w:val="18"/>
              </w:rPr>
            </w:pPr>
            <w:r w:rsidRPr="00403431">
              <w:rPr>
                <w:sz w:val="18"/>
                <w:szCs w:val="18"/>
              </w:rPr>
              <w:t>$305</w:t>
            </w:r>
          </w:p>
        </w:tc>
        <w:tc>
          <w:tcPr>
            <w:tcW w:w="1105" w:type="pct"/>
            <w:tcBorders>
              <w:left w:val="single" w:sz="4" w:space="0" w:color="FFFFFF" w:themeColor="background2"/>
            </w:tcBorders>
            <w:shd w:val="clear" w:color="auto" w:fill="F2F2F2" w:themeFill="background2" w:themeFillShade="F2"/>
          </w:tcPr>
          <w:p w14:paraId="1F412622" w14:textId="77777777" w:rsidR="006856BA" w:rsidRPr="00403431" w:rsidRDefault="006856BA" w:rsidP="006856BA">
            <w:pPr>
              <w:spacing w:before="120" w:after="120"/>
              <w:jc w:val="right"/>
              <w:rPr>
                <w:sz w:val="18"/>
                <w:szCs w:val="18"/>
              </w:rPr>
            </w:pPr>
            <w:r w:rsidRPr="00403431">
              <w:rPr>
                <w:sz w:val="18"/>
                <w:szCs w:val="18"/>
              </w:rPr>
              <w:t>1.04</w:t>
            </w:r>
          </w:p>
        </w:tc>
        <w:tc>
          <w:tcPr>
            <w:tcW w:w="1087" w:type="pct"/>
            <w:tcBorders>
              <w:left w:val="single" w:sz="4" w:space="0" w:color="FFFFFF" w:themeColor="background2"/>
            </w:tcBorders>
            <w:shd w:val="clear" w:color="auto" w:fill="F2F2F2" w:themeFill="background2" w:themeFillShade="F2"/>
          </w:tcPr>
          <w:p w14:paraId="21609A34" w14:textId="77777777" w:rsidR="006856BA" w:rsidRPr="00403431" w:rsidRDefault="006856BA" w:rsidP="006856BA">
            <w:pPr>
              <w:spacing w:before="120" w:after="120"/>
              <w:jc w:val="right"/>
              <w:rPr>
                <w:sz w:val="18"/>
                <w:szCs w:val="18"/>
              </w:rPr>
            </w:pPr>
            <w:r w:rsidRPr="00403431">
              <w:rPr>
                <w:sz w:val="18"/>
                <w:szCs w:val="18"/>
              </w:rPr>
              <w:t>$293</w:t>
            </w:r>
          </w:p>
        </w:tc>
      </w:tr>
    </w:tbl>
    <w:p w14:paraId="7475A451" w14:textId="2A15440E" w:rsidR="00651A99" w:rsidRDefault="006856BA" w:rsidP="00651A99">
      <w:r>
        <w:rPr>
          <w:highlight w:val="yellow"/>
        </w:rPr>
        <w:br/>
      </w:r>
    </w:p>
    <w:p w14:paraId="602DACB0" w14:textId="59EB68F2" w:rsidR="00651A99" w:rsidRDefault="00651A99" w:rsidP="00651A99">
      <w:pPr>
        <w:pStyle w:val="Heading3"/>
        <w:numPr>
          <w:ilvl w:val="0"/>
          <w:numId w:val="0"/>
        </w:numPr>
        <w:ind w:left="720" w:hanging="720"/>
      </w:pPr>
      <w:bookmarkStart w:id="148" w:name="_Ref119404958"/>
      <w:bookmarkStart w:id="149" w:name="_Toc121130822"/>
      <w:r>
        <w:t>C.3.</w:t>
      </w:r>
      <w:r w:rsidR="00E43756">
        <w:t>4</w:t>
      </w:r>
      <w:r>
        <w:t xml:space="preserve"> Analysis of historical changes in GUI product bundle benefits per episode</w:t>
      </w:r>
      <w:bookmarkEnd w:id="148"/>
      <w:bookmarkEnd w:id="149"/>
    </w:p>
    <w:p w14:paraId="5346C01E" w14:textId="78466CA0" w:rsidR="00651A99" w:rsidRDefault="00651A99" w:rsidP="00651A99">
      <w:r>
        <w:fldChar w:fldCharType="begin"/>
      </w:r>
      <w:r>
        <w:instrText xml:space="preserve"> REF _Ref119576095 \h </w:instrText>
      </w:r>
      <w:r>
        <w:fldChar w:fldCharType="separate"/>
      </w:r>
      <w:r w:rsidR="00106CD4">
        <w:t xml:space="preserve">Table </w:t>
      </w:r>
      <w:r w:rsidR="00106CD4">
        <w:rPr>
          <w:noProof/>
        </w:rPr>
        <w:t>25</w:t>
      </w:r>
      <w:r>
        <w:fldChar w:fldCharType="end"/>
      </w:r>
      <w:r>
        <w:t xml:space="preserve"> details the relative change in PL benefits per episode from 2019-20 to 2020-21, across the 20 GUI product bundles with 100 or more episodes in 2020-21. This excludes GUI product bundles A21A1 (Feeding Tubes), A24A1 (</w:t>
      </w:r>
      <w:proofErr w:type="spellStart"/>
      <w:r>
        <w:t>Caecostomy</w:t>
      </w:r>
      <w:proofErr w:type="spellEnd"/>
      <w:r>
        <w:t xml:space="preserve"> Tubes), A41A1 (</w:t>
      </w:r>
      <w:proofErr w:type="spellStart"/>
      <w:r>
        <w:t>Occluder</w:t>
      </w:r>
      <w:proofErr w:type="spellEnd"/>
      <w:r>
        <w:t xml:space="preserve"> Pins), and A56A1 (Dura Repair, Membrane Sealants), which each have fewer than 100 episodes in 2020-21.</w:t>
      </w:r>
    </w:p>
    <w:p w14:paraId="5C45131E" w14:textId="4C3B673B" w:rsidR="00651A99" w:rsidRDefault="00651A99" w:rsidP="00651A99">
      <w:pPr>
        <w:pStyle w:val="Caption"/>
      </w:pPr>
      <w:bookmarkStart w:id="150" w:name="_Ref119576095"/>
      <w:r>
        <w:t xml:space="preserve">Table </w:t>
      </w:r>
      <w:fldSimple w:instr=" SEQ Table \* ARABIC ">
        <w:r w:rsidR="00106CD4">
          <w:rPr>
            <w:noProof/>
          </w:rPr>
          <w:t>25</w:t>
        </w:r>
      </w:fldSimple>
      <w:bookmarkEnd w:id="150"/>
      <w:r>
        <w:t xml:space="preserve"> GUI product bundle relative change in PL benefits per episode from 2019-2020 to 2020-2021</w:t>
      </w:r>
    </w:p>
    <w:tbl>
      <w:tblPr>
        <w:tblStyle w:val="IHPATable"/>
        <w:tblW w:w="4436" w:type="pct"/>
        <w:tblLayout w:type="fixed"/>
        <w:tblLook w:val="0020" w:firstRow="1" w:lastRow="0" w:firstColumn="0" w:lastColumn="0" w:noHBand="0" w:noVBand="0"/>
        <w:tblDescription w:val="Table 25 shows the GUI product bundle against the relative change in PL benefits per episode from 2029-20 to 2020-21 with the percentages shown against the products and bundle. "/>
      </w:tblPr>
      <w:tblGrid>
        <w:gridCol w:w="1279"/>
        <w:gridCol w:w="4391"/>
        <w:gridCol w:w="2973"/>
      </w:tblGrid>
      <w:tr w:rsidR="00651A99" w:rsidRPr="00172A65" w14:paraId="6745E015" w14:textId="77777777" w:rsidTr="00DF031E">
        <w:trPr>
          <w:cnfStyle w:val="100000000000" w:firstRow="1" w:lastRow="0" w:firstColumn="0" w:lastColumn="0" w:oddVBand="0" w:evenVBand="0" w:oddHBand="0" w:evenHBand="0" w:firstRowFirstColumn="0" w:firstRowLastColumn="0" w:lastRowFirstColumn="0" w:lastRowLastColumn="0"/>
          <w:trHeight w:val="20"/>
          <w:tblHeader/>
        </w:trPr>
        <w:tc>
          <w:tcPr>
            <w:tcW w:w="3279" w:type="pct"/>
            <w:gridSpan w:val="2"/>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FFFFFF" w:themeColor="background2"/>
            </w:tcBorders>
            <w:shd w:val="clear" w:color="auto" w:fill="104F99" w:themeFill="accent2"/>
            <w:vAlign w:val="center"/>
          </w:tcPr>
          <w:p w14:paraId="60FB4608" w14:textId="101523C6" w:rsidR="00651A99" w:rsidRPr="00172A65" w:rsidRDefault="00651A99" w:rsidP="00DF031E">
            <w:pPr>
              <w:spacing w:before="120" w:after="120"/>
              <w:jc w:val="center"/>
              <w:rPr>
                <w:rFonts w:cs="Arial"/>
                <w:b/>
                <w:bCs/>
                <w:color w:val="FFFFFF" w:themeColor="background2"/>
                <w:szCs w:val="18"/>
                <w:lang w:val="en-US"/>
              </w:rPr>
            </w:pPr>
            <w:r w:rsidRPr="00172A65">
              <w:rPr>
                <w:rFonts w:cs="Arial"/>
                <w:b/>
                <w:bCs/>
                <w:color w:val="FFFFFF" w:themeColor="background2"/>
                <w:szCs w:val="18"/>
                <w:lang w:val="en-US"/>
              </w:rPr>
              <w:t xml:space="preserve">GUI </w:t>
            </w:r>
            <w:r w:rsidR="006A23C0">
              <w:rPr>
                <w:rFonts w:cs="Arial"/>
                <w:b/>
                <w:bCs/>
                <w:color w:val="FFFFFF" w:themeColor="background2"/>
                <w:szCs w:val="18"/>
                <w:lang w:val="en-US"/>
              </w:rPr>
              <w:t>product bundle</w:t>
            </w:r>
          </w:p>
        </w:tc>
        <w:tc>
          <w:tcPr>
            <w:tcW w:w="1721" w:type="pct"/>
            <w:tcBorders>
              <w:top w:val="single" w:sz="4" w:space="0" w:color="808080" w:themeColor="background2" w:themeShade="80"/>
              <w:left w:val="single" w:sz="4" w:space="0" w:color="FFFFFF" w:themeColor="background2"/>
              <w:bottom w:val="single" w:sz="4" w:space="0" w:color="808080" w:themeColor="background2" w:themeShade="80"/>
              <w:right w:val="single" w:sz="4" w:space="0" w:color="808080" w:themeColor="background2" w:themeShade="80"/>
            </w:tcBorders>
            <w:shd w:val="clear" w:color="auto" w:fill="104F99" w:themeFill="accent2"/>
            <w:vAlign w:val="center"/>
          </w:tcPr>
          <w:p w14:paraId="22BA7C79" w14:textId="2EAC7DBF" w:rsidR="00651A99" w:rsidRPr="00172A65" w:rsidRDefault="00651A99" w:rsidP="00DF031E">
            <w:pPr>
              <w:spacing w:before="120" w:after="120"/>
              <w:jc w:val="center"/>
              <w:rPr>
                <w:rFonts w:cs="Arial"/>
                <w:b/>
                <w:bCs/>
                <w:color w:val="FFFFFF" w:themeColor="background2"/>
                <w:szCs w:val="18"/>
                <w:lang w:val="en-US"/>
              </w:rPr>
            </w:pPr>
            <w:r w:rsidRPr="00172A65">
              <w:rPr>
                <w:rFonts w:cs="Arial"/>
                <w:b/>
                <w:bCs/>
                <w:color w:val="FFFFFF" w:themeColor="background2"/>
                <w:szCs w:val="18"/>
                <w:lang w:val="en-US"/>
              </w:rPr>
              <w:t>Relative change in PL benefits per episode from 2019-20 to 2020-21</w:t>
            </w:r>
          </w:p>
        </w:tc>
      </w:tr>
      <w:tr w:rsidR="00651A99" w:rsidRPr="00172A65" w14:paraId="6428BE8C" w14:textId="77777777" w:rsidTr="00DF031E">
        <w:trPr>
          <w:cnfStyle w:val="000000100000" w:firstRow="0" w:lastRow="0" w:firstColumn="0" w:lastColumn="0" w:oddVBand="0" w:evenVBand="0" w:oddHBand="1" w:evenHBand="0" w:firstRowFirstColumn="0" w:firstRowLastColumn="0" w:lastRowFirstColumn="0" w:lastRowLastColumn="0"/>
          <w:trHeight w:val="510"/>
        </w:trPr>
        <w:tc>
          <w:tcPr>
            <w:tcW w:w="7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7EB27352" w14:textId="77777777" w:rsidR="00651A99" w:rsidRPr="00172A65" w:rsidRDefault="00651A99" w:rsidP="00DF031E">
            <w:pPr>
              <w:spacing w:before="120" w:after="120"/>
              <w:rPr>
                <w:rFonts w:cs="Arial"/>
                <w:sz w:val="18"/>
                <w:szCs w:val="18"/>
              </w:rPr>
            </w:pPr>
            <w:r w:rsidRPr="00172A65">
              <w:rPr>
                <w:rFonts w:cs="Arial"/>
                <w:sz w:val="18"/>
                <w:szCs w:val="18"/>
              </w:rPr>
              <w:t>A13A1</w:t>
            </w:r>
          </w:p>
        </w:tc>
        <w:tc>
          <w:tcPr>
            <w:tcW w:w="25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EFF0DFF" w14:textId="77777777" w:rsidR="00651A99" w:rsidRPr="00172A65" w:rsidRDefault="00651A99" w:rsidP="00DF031E">
            <w:pPr>
              <w:spacing w:before="120" w:after="120"/>
              <w:rPr>
                <w:rFonts w:cs="Arial"/>
                <w:sz w:val="18"/>
                <w:szCs w:val="18"/>
              </w:rPr>
            </w:pPr>
            <w:r w:rsidRPr="00172A65">
              <w:rPr>
                <w:rFonts w:cs="Arial"/>
                <w:sz w:val="18"/>
                <w:szCs w:val="18"/>
              </w:rPr>
              <w:t>Infusion Pumps, Spring Powered</w:t>
            </w:r>
          </w:p>
        </w:tc>
        <w:tc>
          <w:tcPr>
            <w:tcW w:w="172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9C8B732" w14:textId="77777777" w:rsidR="00651A99" w:rsidRPr="00172A65" w:rsidRDefault="00651A99" w:rsidP="00DF031E">
            <w:pPr>
              <w:spacing w:before="120" w:after="120"/>
              <w:jc w:val="right"/>
              <w:rPr>
                <w:rFonts w:cs="Arial"/>
                <w:sz w:val="18"/>
                <w:szCs w:val="18"/>
              </w:rPr>
            </w:pPr>
            <w:r w:rsidRPr="00172A65">
              <w:rPr>
                <w:rFonts w:cs="Arial"/>
                <w:sz w:val="18"/>
                <w:szCs w:val="18"/>
              </w:rPr>
              <w:t>-36.9%</w:t>
            </w:r>
          </w:p>
        </w:tc>
      </w:tr>
      <w:tr w:rsidR="00651A99" w:rsidRPr="00172A65" w14:paraId="39A84DDB" w14:textId="77777777" w:rsidTr="00DF031E">
        <w:trPr>
          <w:cnfStyle w:val="000000010000" w:firstRow="0" w:lastRow="0" w:firstColumn="0" w:lastColumn="0" w:oddVBand="0" w:evenVBand="0" w:oddHBand="0" w:evenHBand="1" w:firstRowFirstColumn="0" w:firstRowLastColumn="0" w:lastRowFirstColumn="0" w:lastRowLastColumn="0"/>
          <w:trHeight w:val="510"/>
        </w:trPr>
        <w:tc>
          <w:tcPr>
            <w:tcW w:w="7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0A22E258" w14:textId="77777777" w:rsidR="00651A99" w:rsidRPr="00172A65" w:rsidRDefault="00651A99" w:rsidP="00DF031E">
            <w:pPr>
              <w:spacing w:before="120" w:after="120"/>
              <w:rPr>
                <w:rFonts w:cs="Arial"/>
                <w:sz w:val="18"/>
                <w:szCs w:val="18"/>
              </w:rPr>
            </w:pPr>
            <w:r w:rsidRPr="00172A65">
              <w:rPr>
                <w:rFonts w:cs="Arial"/>
                <w:sz w:val="18"/>
                <w:szCs w:val="18"/>
              </w:rPr>
              <w:t>A51A1</w:t>
            </w:r>
          </w:p>
        </w:tc>
        <w:tc>
          <w:tcPr>
            <w:tcW w:w="25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7520981" w14:textId="77777777" w:rsidR="00651A99" w:rsidRPr="00172A65" w:rsidRDefault="00651A99" w:rsidP="00DF031E">
            <w:pPr>
              <w:spacing w:before="120" w:after="120"/>
              <w:rPr>
                <w:rFonts w:cs="Arial"/>
                <w:sz w:val="18"/>
                <w:szCs w:val="18"/>
              </w:rPr>
            </w:pPr>
            <w:r w:rsidRPr="00172A65">
              <w:rPr>
                <w:rFonts w:cs="Arial"/>
                <w:sz w:val="18"/>
                <w:szCs w:val="18"/>
              </w:rPr>
              <w:t>Adhesion Barriers</w:t>
            </w:r>
          </w:p>
        </w:tc>
        <w:tc>
          <w:tcPr>
            <w:tcW w:w="172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21439B44" w14:textId="77777777" w:rsidR="00651A99" w:rsidRPr="00172A65" w:rsidRDefault="00651A99" w:rsidP="00DF031E">
            <w:pPr>
              <w:spacing w:before="120" w:after="120"/>
              <w:jc w:val="right"/>
              <w:rPr>
                <w:rFonts w:cs="Arial"/>
                <w:sz w:val="18"/>
                <w:szCs w:val="18"/>
              </w:rPr>
            </w:pPr>
            <w:r w:rsidRPr="00172A65">
              <w:rPr>
                <w:rFonts w:cs="Arial"/>
                <w:sz w:val="18"/>
                <w:szCs w:val="18"/>
              </w:rPr>
              <w:t>-12.2%</w:t>
            </w:r>
          </w:p>
        </w:tc>
      </w:tr>
      <w:tr w:rsidR="00651A99" w:rsidRPr="00172A65" w14:paraId="63A9189D" w14:textId="77777777" w:rsidTr="00DF031E">
        <w:trPr>
          <w:cnfStyle w:val="000000100000" w:firstRow="0" w:lastRow="0" w:firstColumn="0" w:lastColumn="0" w:oddVBand="0" w:evenVBand="0" w:oddHBand="1" w:evenHBand="0" w:firstRowFirstColumn="0" w:firstRowLastColumn="0" w:lastRowFirstColumn="0" w:lastRowLastColumn="0"/>
          <w:trHeight w:val="510"/>
        </w:trPr>
        <w:tc>
          <w:tcPr>
            <w:tcW w:w="7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08BF8F59" w14:textId="77777777" w:rsidR="00651A99" w:rsidRPr="00172A65" w:rsidRDefault="00651A99" w:rsidP="00DF031E">
            <w:pPr>
              <w:spacing w:before="120" w:after="120"/>
              <w:rPr>
                <w:rFonts w:cs="Arial"/>
                <w:sz w:val="18"/>
                <w:szCs w:val="18"/>
              </w:rPr>
            </w:pPr>
            <w:r w:rsidRPr="00172A65">
              <w:rPr>
                <w:rFonts w:cs="Arial"/>
                <w:sz w:val="18"/>
                <w:szCs w:val="18"/>
              </w:rPr>
              <w:t>A43A1</w:t>
            </w:r>
          </w:p>
        </w:tc>
        <w:tc>
          <w:tcPr>
            <w:tcW w:w="25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7EAF311" w14:textId="77777777" w:rsidR="00651A99" w:rsidRPr="00172A65" w:rsidRDefault="00651A99" w:rsidP="00DF031E">
            <w:pPr>
              <w:spacing w:before="120" w:after="120"/>
              <w:rPr>
                <w:rFonts w:cs="Arial"/>
                <w:sz w:val="18"/>
                <w:szCs w:val="18"/>
              </w:rPr>
            </w:pPr>
            <w:r w:rsidRPr="00172A65">
              <w:rPr>
                <w:rFonts w:cs="Arial"/>
                <w:sz w:val="18"/>
                <w:szCs w:val="18"/>
              </w:rPr>
              <w:t>Sponges</w:t>
            </w:r>
          </w:p>
        </w:tc>
        <w:tc>
          <w:tcPr>
            <w:tcW w:w="172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4B7BB3AF" w14:textId="77777777" w:rsidR="00651A99" w:rsidRPr="00172A65" w:rsidRDefault="00651A99" w:rsidP="00DF031E">
            <w:pPr>
              <w:spacing w:before="120" w:after="120"/>
              <w:jc w:val="right"/>
              <w:rPr>
                <w:rFonts w:cs="Arial"/>
                <w:sz w:val="18"/>
                <w:szCs w:val="18"/>
              </w:rPr>
            </w:pPr>
            <w:r w:rsidRPr="00172A65">
              <w:rPr>
                <w:rFonts w:cs="Arial"/>
                <w:sz w:val="18"/>
                <w:szCs w:val="18"/>
              </w:rPr>
              <w:t>-9.4%</w:t>
            </w:r>
          </w:p>
        </w:tc>
      </w:tr>
      <w:tr w:rsidR="00651A99" w:rsidRPr="00172A65" w14:paraId="5A2F5461" w14:textId="77777777" w:rsidTr="00DF031E">
        <w:trPr>
          <w:cnfStyle w:val="000000010000" w:firstRow="0" w:lastRow="0" w:firstColumn="0" w:lastColumn="0" w:oddVBand="0" w:evenVBand="0" w:oddHBand="0" w:evenHBand="1" w:firstRowFirstColumn="0" w:firstRowLastColumn="0" w:lastRowFirstColumn="0" w:lastRowLastColumn="0"/>
          <w:trHeight w:val="510"/>
        </w:trPr>
        <w:tc>
          <w:tcPr>
            <w:tcW w:w="7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69222948" w14:textId="77777777" w:rsidR="00651A99" w:rsidRPr="00172A65" w:rsidRDefault="00651A99" w:rsidP="00DF031E">
            <w:pPr>
              <w:spacing w:before="120" w:after="120"/>
              <w:rPr>
                <w:rFonts w:cs="Arial"/>
                <w:sz w:val="18"/>
                <w:szCs w:val="18"/>
              </w:rPr>
            </w:pPr>
            <w:r w:rsidRPr="00172A65">
              <w:rPr>
                <w:rFonts w:cs="Arial"/>
                <w:sz w:val="18"/>
                <w:szCs w:val="18"/>
              </w:rPr>
              <w:t>A22A1</w:t>
            </w:r>
          </w:p>
        </w:tc>
        <w:tc>
          <w:tcPr>
            <w:tcW w:w="25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E969EB9" w14:textId="77777777" w:rsidR="00651A99" w:rsidRPr="00172A65" w:rsidRDefault="00651A99" w:rsidP="00DF031E">
            <w:pPr>
              <w:spacing w:before="120" w:after="120"/>
              <w:rPr>
                <w:rFonts w:cs="Arial"/>
                <w:sz w:val="18"/>
                <w:szCs w:val="18"/>
              </w:rPr>
            </w:pPr>
            <w:r w:rsidRPr="00172A65">
              <w:rPr>
                <w:rFonts w:cs="Arial"/>
                <w:sz w:val="18"/>
                <w:szCs w:val="18"/>
              </w:rPr>
              <w:t>Gastrostomy Tubes</w:t>
            </w:r>
          </w:p>
        </w:tc>
        <w:tc>
          <w:tcPr>
            <w:tcW w:w="172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53540ACE" w14:textId="77777777" w:rsidR="00651A99" w:rsidRPr="00172A65" w:rsidRDefault="00651A99" w:rsidP="00DF031E">
            <w:pPr>
              <w:spacing w:before="120" w:after="120"/>
              <w:jc w:val="right"/>
              <w:rPr>
                <w:rFonts w:cs="Arial"/>
                <w:sz w:val="18"/>
                <w:szCs w:val="18"/>
              </w:rPr>
            </w:pPr>
            <w:r w:rsidRPr="00172A65">
              <w:rPr>
                <w:rFonts w:cs="Arial"/>
                <w:sz w:val="18"/>
                <w:szCs w:val="18"/>
              </w:rPr>
              <w:t>-1.9%</w:t>
            </w:r>
          </w:p>
        </w:tc>
      </w:tr>
      <w:tr w:rsidR="00651A99" w:rsidRPr="00172A65" w14:paraId="05D245F2" w14:textId="77777777" w:rsidTr="00DF031E">
        <w:trPr>
          <w:cnfStyle w:val="000000100000" w:firstRow="0" w:lastRow="0" w:firstColumn="0" w:lastColumn="0" w:oddVBand="0" w:evenVBand="0" w:oddHBand="1" w:evenHBand="0" w:firstRowFirstColumn="0" w:firstRowLastColumn="0" w:lastRowFirstColumn="0" w:lastRowLastColumn="0"/>
          <w:trHeight w:val="510"/>
        </w:trPr>
        <w:tc>
          <w:tcPr>
            <w:tcW w:w="7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64C4FB62" w14:textId="77777777" w:rsidR="00651A99" w:rsidRPr="00172A65" w:rsidRDefault="00651A99" w:rsidP="00DF031E">
            <w:pPr>
              <w:spacing w:before="120" w:after="120"/>
              <w:rPr>
                <w:rFonts w:cs="Arial"/>
                <w:sz w:val="18"/>
                <w:szCs w:val="18"/>
              </w:rPr>
            </w:pPr>
            <w:r w:rsidRPr="00172A65">
              <w:rPr>
                <w:rFonts w:cs="Arial"/>
                <w:sz w:val="18"/>
                <w:szCs w:val="18"/>
              </w:rPr>
              <w:t>A46A1</w:t>
            </w:r>
          </w:p>
        </w:tc>
        <w:tc>
          <w:tcPr>
            <w:tcW w:w="25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3ECB8E3" w14:textId="77777777" w:rsidR="00651A99" w:rsidRPr="00172A65" w:rsidRDefault="00651A99" w:rsidP="00DF031E">
            <w:pPr>
              <w:spacing w:before="120" w:after="120"/>
              <w:rPr>
                <w:rFonts w:cs="Arial"/>
                <w:sz w:val="18"/>
                <w:szCs w:val="18"/>
              </w:rPr>
            </w:pPr>
            <w:r w:rsidRPr="00172A65">
              <w:rPr>
                <w:rFonts w:cs="Arial"/>
                <w:sz w:val="18"/>
                <w:szCs w:val="18"/>
              </w:rPr>
              <w:t>Foam</w:t>
            </w:r>
          </w:p>
        </w:tc>
        <w:tc>
          <w:tcPr>
            <w:tcW w:w="172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5B7DD7F2" w14:textId="77777777" w:rsidR="00651A99" w:rsidRPr="00172A65" w:rsidRDefault="00651A99" w:rsidP="00DF031E">
            <w:pPr>
              <w:spacing w:before="120" w:after="120"/>
              <w:jc w:val="right"/>
              <w:rPr>
                <w:rFonts w:cs="Arial"/>
                <w:sz w:val="18"/>
                <w:szCs w:val="18"/>
              </w:rPr>
            </w:pPr>
            <w:r w:rsidRPr="00172A65">
              <w:rPr>
                <w:rFonts w:cs="Arial"/>
                <w:sz w:val="18"/>
                <w:szCs w:val="18"/>
              </w:rPr>
              <w:t>-1.8%</w:t>
            </w:r>
          </w:p>
        </w:tc>
      </w:tr>
      <w:tr w:rsidR="00651A99" w:rsidRPr="00172A65" w14:paraId="15013C15" w14:textId="77777777" w:rsidTr="00DF031E">
        <w:trPr>
          <w:cnfStyle w:val="000000010000" w:firstRow="0" w:lastRow="0" w:firstColumn="0" w:lastColumn="0" w:oddVBand="0" w:evenVBand="0" w:oddHBand="0" w:evenHBand="1" w:firstRowFirstColumn="0" w:firstRowLastColumn="0" w:lastRowFirstColumn="0" w:lastRowLastColumn="0"/>
          <w:trHeight w:val="510"/>
        </w:trPr>
        <w:tc>
          <w:tcPr>
            <w:tcW w:w="7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6ED1FF05" w14:textId="77777777" w:rsidR="00651A99" w:rsidRPr="00172A65" w:rsidRDefault="00651A99" w:rsidP="00DF031E">
            <w:pPr>
              <w:spacing w:before="120" w:after="120"/>
              <w:rPr>
                <w:rFonts w:cs="Arial"/>
                <w:sz w:val="18"/>
                <w:szCs w:val="18"/>
              </w:rPr>
            </w:pPr>
            <w:r w:rsidRPr="00172A65">
              <w:rPr>
                <w:rFonts w:cs="Arial"/>
                <w:sz w:val="18"/>
                <w:szCs w:val="18"/>
              </w:rPr>
              <w:t>A52A1</w:t>
            </w:r>
          </w:p>
        </w:tc>
        <w:tc>
          <w:tcPr>
            <w:tcW w:w="25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931662B" w14:textId="77777777" w:rsidR="00651A99" w:rsidRPr="00172A65" w:rsidRDefault="00651A99" w:rsidP="00DF031E">
            <w:pPr>
              <w:spacing w:before="120" w:after="120"/>
              <w:rPr>
                <w:rFonts w:cs="Arial"/>
                <w:sz w:val="18"/>
                <w:szCs w:val="18"/>
              </w:rPr>
            </w:pPr>
            <w:r w:rsidRPr="00172A65">
              <w:rPr>
                <w:rFonts w:cs="Arial"/>
                <w:sz w:val="18"/>
                <w:szCs w:val="18"/>
              </w:rPr>
              <w:t>Internal Adhesives</w:t>
            </w:r>
          </w:p>
        </w:tc>
        <w:tc>
          <w:tcPr>
            <w:tcW w:w="172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47294322" w14:textId="77777777" w:rsidR="00651A99" w:rsidRPr="00172A65" w:rsidRDefault="00651A99" w:rsidP="00DF031E">
            <w:pPr>
              <w:spacing w:before="120" w:after="120"/>
              <w:jc w:val="right"/>
              <w:rPr>
                <w:rFonts w:cs="Arial"/>
                <w:sz w:val="18"/>
                <w:szCs w:val="18"/>
              </w:rPr>
            </w:pPr>
            <w:r w:rsidRPr="00172A65">
              <w:rPr>
                <w:rFonts w:cs="Arial"/>
                <w:sz w:val="18"/>
                <w:szCs w:val="18"/>
              </w:rPr>
              <w:t>-1.2%</w:t>
            </w:r>
          </w:p>
        </w:tc>
      </w:tr>
      <w:tr w:rsidR="00651A99" w:rsidRPr="00172A65" w14:paraId="19864CF2" w14:textId="77777777" w:rsidTr="00DF031E">
        <w:trPr>
          <w:cnfStyle w:val="000000100000" w:firstRow="0" w:lastRow="0" w:firstColumn="0" w:lastColumn="0" w:oddVBand="0" w:evenVBand="0" w:oddHBand="1" w:evenHBand="0" w:firstRowFirstColumn="0" w:firstRowLastColumn="0" w:lastRowFirstColumn="0" w:lastRowLastColumn="0"/>
          <w:trHeight w:val="510"/>
        </w:trPr>
        <w:tc>
          <w:tcPr>
            <w:tcW w:w="7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6B6AA51A" w14:textId="77777777" w:rsidR="00651A99" w:rsidRPr="00172A65" w:rsidRDefault="00651A99" w:rsidP="00DF031E">
            <w:pPr>
              <w:spacing w:before="120" w:after="120"/>
              <w:rPr>
                <w:rFonts w:cs="Arial"/>
                <w:sz w:val="18"/>
                <w:szCs w:val="18"/>
              </w:rPr>
            </w:pPr>
            <w:r w:rsidRPr="00172A65">
              <w:rPr>
                <w:rFonts w:cs="Arial"/>
                <w:sz w:val="18"/>
                <w:szCs w:val="18"/>
              </w:rPr>
              <w:t>A53A1</w:t>
            </w:r>
          </w:p>
        </w:tc>
        <w:tc>
          <w:tcPr>
            <w:tcW w:w="25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54CCE7A" w14:textId="77777777" w:rsidR="00651A99" w:rsidRPr="00172A65" w:rsidRDefault="00651A99" w:rsidP="00DF031E">
            <w:pPr>
              <w:spacing w:before="120" w:after="120"/>
              <w:rPr>
                <w:rFonts w:cs="Arial"/>
                <w:sz w:val="18"/>
                <w:szCs w:val="18"/>
              </w:rPr>
            </w:pPr>
            <w:r w:rsidRPr="00172A65">
              <w:rPr>
                <w:rFonts w:cs="Arial"/>
                <w:sz w:val="18"/>
                <w:szCs w:val="18"/>
              </w:rPr>
              <w:t>Ligating Items</w:t>
            </w:r>
          </w:p>
        </w:tc>
        <w:tc>
          <w:tcPr>
            <w:tcW w:w="172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1E9A1E3A" w14:textId="77777777" w:rsidR="00651A99" w:rsidRPr="00172A65" w:rsidRDefault="00651A99" w:rsidP="00DF031E">
            <w:pPr>
              <w:spacing w:before="120" w:after="120"/>
              <w:jc w:val="right"/>
              <w:rPr>
                <w:rFonts w:cs="Arial"/>
                <w:sz w:val="18"/>
                <w:szCs w:val="18"/>
              </w:rPr>
            </w:pPr>
            <w:r w:rsidRPr="00172A65">
              <w:rPr>
                <w:rFonts w:cs="Arial"/>
                <w:sz w:val="18"/>
                <w:szCs w:val="18"/>
              </w:rPr>
              <w:t>-1.1%</w:t>
            </w:r>
          </w:p>
        </w:tc>
      </w:tr>
      <w:tr w:rsidR="00651A99" w:rsidRPr="00172A65" w14:paraId="0A906ACE" w14:textId="77777777" w:rsidTr="00DF031E">
        <w:trPr>
          <w:cnfStyle w:val="000000010000" w:firstRow="0" w:lastRow="0" w:firstColumn="0" w:lastColumn="0" w:oddVBand="0" w:evenVBand="0" w:oddHBand="0" w:evenHBand="1" w:firstRowFirstColumn="0" w:firstRowLastColumn="0" w:lastRowFirstColumn="0" w:lastRowLastColumn="0"/>
          <w:trHeight w:val="510"/>
        </w:trPr>
        <w:tc>
          <w:tcPr>
            <w:tcW w:w="7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5042AA64" w14:textId="77777777" w:rsidR="00651A99" w:rsidRPr="00172A65" w:rsidRDefault="00651A99" w:rsidP="00DF031E">
            <w:pPr>
              <w:spacing w:before="120" w:after="120"/>
              <w:rPr>
                <w:rFonts w:cs="Arial"/>
                <w:sz w:val="18"/>
                <w:szCs w:val="18"/>
              </w:rPr>
            </w:pPr>
            <w:r w:rsidRPr="00172A65">
              <w:rPr>
                <w:rFonts w:cs="Arial"/>
                <w:sz w:val="18"/>
                <w:szCs w:val="18"/>
              </w:rPr>
              <w:t>A44A1</w:t>
            </w:r>
          </w:p>
        </w:tc>
        <w:tc>
          <w:tcPr>
            <w:tcW w:w="25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88FAD4C" w14:textId="77777777" w:rsidR="00651A99" w:rsidRPr="00172A65" w:rsidRDefault="00651A99" w:rsidP="00DF031E">
            <w:pPr>
              <w:spacing w:before="120" w:after="120"/>
              <w:rPr>
                <w:rFonts w:cs="Arial"/>
                <w:sz w:val="18"/>
                <w:szCs w:val="18"/>
              </w:rPr>
            </w:pPr>
            <w:r w:rsidRPr="00172A65">
              <w:rPr>
                <w:rFonts w:cs="Arial"/>
                <w:sz w:val="18"/>
                <w:szCs w:val="18"/>
              </w:rPr>
              <w:t>Pliable Patches</w:t>
            </w:r>
          </w:p>
        </w:tc>
        <w:tc>
          <w:tcPr>
            <w:tcW w:w="172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2AF816D3" w14:textId="77777777" w:rsidR="00651A99" w:rsidRPr="00172A65" w:rsidRDefault="00651A99" w:rsidP="00DF031E">
            <w:pPr>
              <w:spacing w:before="120" w:after="120"/>
              <w:jc w:val="right"/>
              <w:rPr>
                <w:rFonts w:cs="Arial"/>
                <w:sz w:val="18"/>
                <w:szCs w:val="18"/>
              </w:rPr>
            </w:pPr>
            <w:r w:rsidRPr="00172A65">
              <w:rPr>
                <w:rFonts w:cs="Arial"/>
                <w:sz w:val="18"/>
                <w:szCs w:val="18"/>
              </w:rPr>
              <w:t>-0.5%</w:t>
            </w:r>
          </w:p>
        </w:tc>
      </w:tr>
      <w:tr w:rsidR="00651A99" w:rsidRPr="00172A65" w14:paraId="34AE8001" w14:textId="77777777" w:rsidTr="00DF031E">
        <w:trPr>
          <w:cnfStyle w:val="000000100000" w:firstRow="0" w:lastRow="0" w:firstColumn="0" w:lastColumn="0" w:oddVBand="0" w:evenVBand="0" w:oddHBand="1" w:evenHBand="0" w:firstRowFirstColumn="0" w:firstRowLastColumn="0" w:lastRowFirstColumn="0" w:lastRowLastColumn="0"/>
          <w:trHeight w:val="510"/>
        </w:trPr>
        <w:tc>
          <w:tcPr>
            <w:tcW w:w="7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615E259E" w14:textId="77777777" w:rsidR="00651A99" w:rsidRPr="00172A65" w:rsidRDefault="00651A99" w:rsidP="00DF031E">
            <w:pPr>
              <w:spacing w:before="120" w:after="120"/>
              <w:rPr>
                <w:rFonts w:cs="Arial"/>
                <w:sz w:val="18"/>
                <w:szCs w:val="18"/>
              </w:rPr>
            </w:pPr>
            <w:r w:rsidRPr="00172A65">
              <w:rPr>
                <w:rFonts w:cs="Arial"/>
                <w:sz w:val="18"/>
                <w:szCs w:val="18"/>
              </w:rPr>
              <w:t>A19A1</w:t>
            </w:r>
          </w:p>
        </w:tc>
        <w:tc>
          <w:tcPr>
            <w:tcW w:w="25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3D614DB" w14:textId="77777777" w:rsidR="00651A99" w:rsidRPr="00172A65" w:rsidRDefault="00651A99" w:rsidP="00DF031E">
            <w:pPr>
              <w:spacing w:before="120" w:after="120"/>
              <w:rPr>
                <w:rFonts w:cs="Arial"/>
                <w:sz w:val="18"/>
                <w:szCs w:val="18"/>
              </w:rPr>
            </w:pPr>
            <w:r w:rsidRPr="00172A65">
              <w:rPr>
                <w:rFonts w:cs="Arial"/>
                <w:sz w:val="18"/>
                <w:szCs w:val="18"/>
              </w:rPr>
              <w:t>Drug Delivery Accessories</w:t>
            </w:r>
          </w:p>
        </w:tc>
        <w:tc>
          <w:tcPr>
            <w:tcW w:w="172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76EB1C6D" w14:textId="77777777" w:rsidR="00651A99" w:rsidRPr="00172A65" w:rsidRDefault="00651A99" w:rsidP="00DF031E">
            <w:pPr>
              <w:spacing w:before="120" w:after="120"/>
              <w:jc w:val="right"/>
              <w:rPr>
                <w:rFonts w:cs="Arial"/>
                <w:sz w:val="18"/>
                <w:szCs w:val="18"/>
              </w:rPr>
            </w:pPr>
            <w:r w:rsidRPr="00172A65">
              <w:rPr>
                <w:rFonts w:cs="Arial"/>
                <w:sz w:val="18"/>
                <w:szCs w:val="18"/>
              </w:rPr>
              <w:t>0.7%</w:t>
            </w:r>
          </w:p>
        </w:tc>
      </w:tr>
      <w:tr w:rsidR="00651A99" w:rsidRPr="00172A65" w14:paraId="155DE169" w14:textId="77777777" w:rsidTr="00DF031E">
        <w:trPr>
          <w:cnfStyle w:val="000000010000" w:firstRow="0" w:lastRow="0" w:firstColumn="0" w:lastColumn="0" w:oddVBand="0" w:evenVBand="0" w:oddHBand="0" w:evenHBand="1" w:firstRowFirstColumn="0" w:firstRowLastColumn="0" w:lastRowFirstColumn="0" w:lastRowLastColumn="0"/>
          <w:trHeight w:val="510"/>
        </w:trPr>
        <w:tc>
          <w:tcPr>
            <w:tcW w:w="7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25716A53" w14:textId="77777777" w:rsidR="00651A99" w:rsidRPr="00172A65" w:rsidRDefault="00651A99" w:rsidP="00DF031E">
            <w:pPr>
              <w:spacing w:before="120" w:after="120"/>
              <w:rPr>
                <w:rFonts w:cs="Arial"/>
                <w:sz w:val="18"/>
                <w:szCs w:val="18"/>
              </w:rPr>
            </w:pPr>
            <w:r w:rsidRPr="00172A65">
              <w:rPr>
                <w:rFonts w:cs="Arial"/>
                <w:sz w:val="18"/>
                <w:szCs w:val="18"/>
              </w:rPr>
              <w:t>A49A1</w:t>
            </w:r>
          </w:p>
        </w:tc>
        <w:tc>
          <w:tcPr>
            <w:tcW w:w="25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B08C254" w14:textId="77777777" w:rsidR="00651A99" w:rsidRPr="00172A65" w:rsidRDefault="00651A99" w:rsidP="00DF031E">
            <w:pPr>
              <w:spacing w:before="120" w:after="120"/>
              <w:rPr>
                <w:rFonts w:cs="Arial"/>
                <w:sz w:val="18"/>
                <w:szCs w:val="18"/>
              </w:rPr>
            </w:pPr>
            <w:proofErr w:type="spellStart"/>
            <w:r w:rsidRPr="00172A65">
              <w:rPr>
                <w:rFonts w:cs="Arial"/>
                <w:sz w:val="18"/>
                <w:szCs w:val="18"/>
              </w:rPr>
              <w:t>Haemostatic</w:t>
            </w:r>
            <w:proofErr w:type="spellEnd"/>
            <w:r w:rsidRPr="00172A65">
              <w:rPr>
                <w:rFonts w:cs="Arial"/>
                <w:sz w:val="18"/>
                <w:szCs w:val="18"/>
              </w:rPr>
              <w:t xml:space="preserve"> Accessories</w:t>
            </w:r>
          </w:p>
        </w:tc>
        <w:tc>
          <w:tcPr>
            <w:tcW w:w="172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6A13D1A0" w14:textId="77777777" w:rsidR="00651A99" w:rsidRPr="00172A65" w:rsidRDefault="00651A99" w:rsidP="00DF031E">
            <w:pPr>
              <w:spacing w:before="120" w:after="120"/>
              <w:jc w:val="right"/>
              <w:rPr>
                <w:rFonts w:cs="Arial"/>
                <w:sz w:val="18"/>
                <w:szCs w:val="18"/>
              </w:rPr>
            </w:pPr>
            <w:r w:rsidRPr="00172A65">
              <w:rPr>
                <w:rFonts w:cs="Arial"/>
                <w:sz w:val="18"/>
                <w:szCs w:val="18"/>
              </w:rPr>
              <w:t>0.8%</w:t>
            </w:r>
          </w:p>
        </w:tc>
      </w:tr>
      <w:tr w:rsidR="00651A99" w:rsidRPr="00172A65" w14:paraId="42EE8020" w14:textId="77777777" w:rsidTr="00DF031E">
        <w:trPr>
          <w:cnfStyle w:val="000000100000" w:firstRow="0" w:lastRow="0" w:firstColumn="0" w:lastColumn="0" w:oddVBand="0" w:evenVBand="0" w:oddHBand="1" w:evenHBand="0" w:firstRowFirstColumn="0" w:firstRowLastColumn="0" w:lastRowFirstColumn="0" w:lastRowLastColumn="0"/>
          <w:trHeight w:val="510"/>
        </w:trPr>
        <w:tc>
          <w:tcPr>
            <w:tcW w:w="7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4D9D3D67" w14:textId="77777777" w:rsidR="00651A99" w:rsidRPr="00172A65" w:rsidRDefault="00651A99" w:rsidP="00DF031E">
            <w:pPr>
              <w:spacing w:before="120" w:after="120"/>
              <w:rPr>
                <w:rFonts w:cs="Arial"/>
                <w:sz w:val="18"/>
                <w:szCs w:val="18"/>
              </w:rPr>
            </w:pPr>
            <w:r w:rsidRPr="00172A65">
              <w:rPr>
                <w:rFonts w:cs="Arial"/>
                <w:sz w:val="18"/>
                <w:szCs w:val="18"/>
              </w:rPr>
              <w:t>A57A1</w:t>
            </w:r>
          </w:p>
        </w:tc>
        <w:tc>
          <w:tcPr>
            <w:tcW w:w="25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24498477" w14:textId="77777777" w:rsidR="00651A99" w:rsidRPr="00172A65" w:rsidRDefault="00651A99" w:rsidP="00DF031E">
            <w:pPr>
              <w:spacing w:before="120" w:after="120"/>
              <w:rPr>
                <w:rFonts w:cs="Arial"/>
                <w:sz w:val="18"/>
                <w:szCs w:val="18"/>
              </w:rPr>
            </w:pPr>
            <w:r w:rsidRPr="00172A65">
              <w:rPr>
                <w:rFonts w:cs="Arial"/>
                <w:sz w:val="18"/>
                <w:szCs w:val="18"/>
              </w:rPr>
              <w:t>Arterial Closure Items</w:t>
            </w:r>
          </w:p>
        </w:tc>
        <w:tc>
          <w:tcPr>
            <w:tcW w:w="172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336BA039" w14:textId="77777777" w:rsidR="00651A99" w:rsidRPr="00172A65" w:rsidRDefault="00651A99" w:rsidP="00DF031E">
            <w:pPr>
              <w:spacing w:before="120" w:after="120"/>
              <w:jc w:val="right"/>
              <w:rPr>
                <w:rFonts w:cs="Arial"/>
                <w:sz w:val="18"/>
                <w:szCs w:val="18"/>
              </w:rPr>
            </w:pPr>
            <w:r w:rsidRPr="00172A65">
              <w:rPr>
                <w:rFonts w:cs="Arial"/>
                <w:sz w:val="18"/>
                <w:szCs w:val="18"/>
              </w:rPr>
              <w:t>1.3%</w:t>
            </w:r>
          </w:p>
        </w:tc>
      </w:tr>
      <w:tr w:rsidR="00651A99" w:rsidRPr="00172A65" w14:paraId="2CD1363A" w14:textId="77777777" w:rsidTr="00DF031E">
        <w:trPr>
          <w:cnfStyle w:val="000000010000" w:firstRow="0" w:lastRow="0" w:firstColumn="0" w:lastColumn="0" w:oddVBand="0" w:evenVBand="0" w:oddHBand="0" w:evenHBand="1" w:firstRowFirstColumn="0" w:firstRowLastColumn="0" w:lastRowFirstColumn="0" w:lastRowLastColumn="0"/>
          <w:trHeight w:val="510"/>
        </w:trPr>
        <w:tc>
          <w:tcPr>
            <w:tcW w:w="7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52B62829" w14:textId="77777777" w:rsidR="00651A99" w:rsidRPr="00172A65" w:rsidRDefault="00651A99" w:rsidP="00DF031E">
            <w:pPr>
              <w:spacing w:before="120" w:after="120"/>
              <w:rPr>
                <w:rFonts w:cs="Arial"/>
                <w:sz w:val="18"/>
                <w:szCs w:val="18"/>
              </w:rPr>
            </w:pPr>
            <w:r w:rsidRPr="00172A65">
              <w:rPr>
                <w:rFonts w:cs="Arial"/>
                <w:sz w:val="18"/>
                <w:szCs w:val="18"/>
              </w:rPr>
              <w:t>A45A1</w:t>
            </w:r>
          </w:p>
        </w:tc>
        <w:tc>
          <w:tcPr>
            <w:tcW w:w="25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312F933F" w14:textId="77777777" w:rsidR="00651A99" w:rsidRPr="00172A65" w:rsidRDefault="00651A99" w:rsidP="00DF031E">
            <w:pPr>
              <w:spacing w:before="120" w:after="120"/>
              <w:rPr>
                <w:rFonts w:cs="Arial"/>
                <w:sz w:val="18"/>
                <w:szCs w:val="18"/>
              </w:rPr>
            </w:pPr>
            <w:r w:rsidRPr="00172A65">
              <w:rPr>
                <w:rFonts w:cs="Arial"/>
                <w:sz w:val="18"/>
                <w:szCs w:val="18"/>
              </w:rPr>
              <w:t>Matrix</w:t>
            </w:r>
          </w:p>
        </w:tc>
        <w:tc>
          <w:tcPr>
            <w:tcW w:w="172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0930B660" w14:textId="77777777" w:rsidR="00651A99" w:rsidRPr="00172A65" w:rsidRDefault="00651A99" w:rsidP="00DF031E">
            <w:pPr>
              <w:spacing w:before="120" w:after="120"/>
              <w:jc w:val="right"/>
              <w:rPr>
                <w:rFonts w:cs="Arial"/>
                <w:sz w:val="18"/>
                <w:szCs w:val="18"/>
              </w:rPr>
            </w:pPr>
            <w:r w:rsidRPr="00172A65">
              <w:rPr>
                <w:rFonts w:cs="Arial"/>
                <w:sz w:val="18"/>
                <w:szCs w:val="18"/>
              </w:rPr>
              <w:t>1.3%</w:t>
            </w:r>
          </w:p>
        </w:tc>
      </w:tr>
      <w:tr w:rsidR="00651A99" w:rsidRPr="00172A65" w14:paraId="312B0A24" w14:textId="77777777" w:rsidTr="00DF031E">
        <w:trPr>
          <w:cnfStyle w:val="000000100000" w:firstRow="0" w:lastRow="0" w:firstColumn="0" w:lastColumn="0" w:oddVBand="0" w:evenVBand="0" w:oddHBand="1" w:evenHBand="0" w:firstRowFirstColumn="0" w:firstRowLastColumn="0" w:lastRowFirstColumn="0" w:lastRowLastColumn="0"/>
          <w:trHeight w:val="510"/>
        </w:trPr>
        <w:tc>
          <w:tcPr>
            <w:tcW w:w="7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711A0F22" w14:textId="77777777" w:rsidR="00651A99" w:rsidRPr="00172A65" w:rsidRDefault="00651A99" w:rsidP="00DF031E">
            <w:pPr>
              <w:spacing w:before="120" w:after="120"/>
              <w:rPr>
                <w:rFonts w:cs="Arial"/>
                <w:sz w:val="18"/>
                <w:szCs w:val="18"/>
              </w:rPr>
            </w:pPr>
            <w:r w:rsidRPr="00172A65">
              <w:rPr>
                <w:rFonts w:cs="Arial"/>
                <w:sz w:val="18"/>
                <w:szCs w:val="18"/>
              </w:rPr>
              <w:t>A31A1</w:t>
            </w:r>
          </w:p>
        </w:tc>
        <w:tc>
          <w:tcPr>
            <w:tcW w:w="25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FC370CF" w14:textId="77777777" w:rsidR="00651A99" w:rsidRPr="00172A65" w:rsidRDefault="00651A99" w:rsidP="00DF031E">
            <w:pPr>
              <w:spacing w:before="120" w:after="120"/>
              <w:rPr>
                <w:rFonts w:cs="Arial"/>
                <w:sz w:val="18"/>
                <w:szCs w:val="18"/>
              </w:rPr>
            </w:pPr>
            <w:r w:rsidRPr="00172A65">
              <w:rPr>
                <w:rFonts w:cs="Arial"/>
                <w:sz w:val="18"/>
                <w:szCs w:val="18"/>
              </w:rPr>
              <w:t>Percutaneous Catheters</w:t>
            </w:r>
          </w:p>
        </w:tc>
        <w:tc>
          <w:tcPr>
            <w:tcW w:w="172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57CB6693" w14:textId="77777777" w:rsidR="00651A99" w:rsidRPr="00172A65" w:rsidRDefault="00651A99" w:rsidP="00DF031E">
            <w:pPr>
              <w:spacing w:before="120" w:after="120"/>
              <w:jc w:val="right"/>
              <w:rPr>
                <w:rFonts w:cs="Arial"/>
                <w:sz w:val="18"/>
                <w:szCs w:val="18"/>
              </w:rPr>
            </w:pPr>
            <w:r w:rsidRPr="00172A65">
              <w:rPr>
                <w:rFonts w:cs="Arial"/>
                <w:sz w:val="18"/>
                <w:szCs w:val="18"/>
              </w:rPr>
              <w:t>3.3%</w:t>
            </w:r>
          </w:p>
        </w:tc>
      </w:tr>
      <w:tr w:rsidR="00651A99" w:rsidRPr="00172A65" w14:paraId="2CF197DC" w14:textId="77777777" w:rsidTr="00DF031E">
        <w:trPr>
          <w:cnfStyle w:val="000000010000" w:firstRow="0" w:lastRow="0" w:firstColumn="0" w:lastColumn="0" w:oddVBand="0" w:evenVBand="0" w:oddHBand="0" w:evenHBand="1" w:firstRowFirstColumn="0" w:firstRowLastColumn="0" w:lastRowFirstColumn="0" w:lastRowLastColumn="0"/>
          <w:trHeight w:val="510"/>
        </w:trPr>
        <w:tc>
          <w:tcPr>
            <w:tcW w:w="7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5B30E0C4" w14:textId="77777777" w:rsidR="00651A99" w:rsidRPr="00172A65" w:rsidRDefault="00651A99" w:rsidP="00DF031E">
            <w:pPr>
              <w:spacing w:before="120" w:after="120"/>
              <w:rPr>
                <w:rFonts w:cs="Arial"/>
                <w:sz w:val="18"/>
                <w:szCs w:val="18"/>
              </w:rPr>
            </w:pPr>
            <w:r w:rsidRPr="00172A65">
              <w:rPr>
                <w:rFonts w:cs="Arial"/>
                <w:sz w:val="18"/>
                <w:szCs w:val="18"/>
              </w:rPr>
              <w:t>A11A1</w:t>
            </w:r>
          </w:p>
        </w:tc>
        <w:tc>
          <w:tcPr>
            <w:tcW w:w="25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D2BA94C" w14:textId="77777777" w:rsidR="00651A99" w:rsidRPr="00172A65" w:rsidRDefault="00651A99" w:rsidP="00DF031E">
            <w:pPr>
              <w:spacing w:before="120" w:after="120"/>
              <w:rPr>
                <w:rFonts w:cs="Arial"/>
                <w:sz w:val="18"/>
                <w:szCs w:val="18"/>
              </w:rPr>
            </w:pPr>
            <w:r w:rsidRPr="00172A65">
              <w:rPr>
                <w:rFonts w:cs="Arial"/>
                <w:sz w:val="18"/>
                <w:szCs w:val="18"/>
              </w:rPr>
              <w:t>Infusion Pumps, Balloon Based</w:t>
            </w:r>
          </w:p>
        </w:tc>
        <w:tc>
          <w:tcPr>
            <w:tcW w:w="172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0F0AD09C" w14:textId="77777777" w:rsidR="00651A99" w:rsidRPr="00172A65" w:rsidRDefault="00651A99" w:rsidP="00DF031E">
            <w:pPr>
              <w:spacing w:before="120" w:after="120"/>
              <w:jc w:val="right"/>
              <w:rPr>
                <w:rFonts w:cs="Arial"/>
                <w:sz w:val="18"/>
                <w:szCs w:val="18"/>
              </w:rPr>
            </w:pPr>
            <w:r w:rsidRPr="00172A65">
              <w:rPr>
                <w:rFonts w:cs="Arial"/>
                <w:sz w:val="18"/>
                <w:szCs w:val="18"/>
              </w:rPr>
              <w:t>3.3%</w:t>
            </w:r>
          </w:p>
        </w:tc>
      </w:tr>
      <w:tr w:rsidR="00651A99" w:rsidRPr="00172A65" w14:paraId="735CA334" w14:textId="77777777" w:rsidTr="00DF031E">
        <w:trPr>
          <w:cnfStyle w:val="000000100000" w:firstRow="0" w:lastRow="0" w:firstColumn="0" w:lastColumn="0" w:oddVBand="0" w:evenVBand="0" w:oddHBand="1" w:evenHBand="0" w:firstRowFirstColumn="0" w:firstRowLastColumn="0" w:lastRowFirstColumn="0" w:lastRowLastColumn="0"/>
          <w:trHeight w:val="510"/>
        </w:trPr>
        <w:tc>
          <w:tcPr>
            <w:tcW w:w="7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4B5BACB0" w14:textId="77777777" w:rsidR="00651A99" w:rsidRPr="00172A65" w:rsidRDefault="00651A99" w:rsidP="00DF031E">
            <w:pPr>
              <w:spacing w:before="120" w:after="120"/>
              <w:rPr>
                <w:rFonts w:cs="Arial"/>
                <w:sz w:val="18"/>
                <w:szCs w:val="18"/>
              </w:rPr>
            </w:pPr>
            <w:r w:rsidRPr="00172A65">
              <w:rPr>
                <w:rFonts w:cs="Arial"/>
                <w:sz w:val="18"/>
                <w:szCs w:val="18"/>
              </w:rPr>
              <w:t>A55A1</w:t>
            </w:r>
          </w:p>
        </w:tc>
        <w:tc>
          <w:tcPr>
            <w:tcW w:w="25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6FCA6A5" w14:textId="77777777" w:rsidR="00651A99" w:rsidRPr="00172A65" w:rsidRDefault="00651A99" w:rsidP="00DF031E">
            <w:pPr>
              <w:spacing w:before="120" w:after="120"/>
              <w:rPr>
                <w:rFonts w:cs="Arial"/>
                <w:sz w:val="18"/>
                <w:szCs w:val="18"/>
              </w:rPr>
            </w:pPr>
            <w:r w:rsidRPr="00172A65">
              <w:rPr>
                <w:rFonts w:cs="Arial"/>
                <w:sz w:val="18"/>
                <w:szCs w:val="18"/>
              </w:rPr>
              <w:t>Dura Repair, Liquid Sealants</w:t>
            </w:r>
          </w:p>
        </w:tc>
        <w:tc>
          <w:tcPr>
            <w:tcW w:w="172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7591BF16" w14:textId="77777777" w:rsidR="00651A99" w:rsidRPr="00172A65" w:rsidRDefault="00651A99" w:rsidP="00DF031E">
            <w:pPr>
              <w:spacing w:before="120" w:after="120"/>
              <w:jc w:val="right"/>
              <w:rPr>
                <w:rFonts w:cs="Arial"/>
                <w:sz w:val="18"/>
                <w:szCs w:val="18"/>
              </w:rPr>
            </w:pPr>
            <w:r w:rsidRPr="00172A65">
              <w:rPr>
                <w:rFonts w:cs="Arial"/>
                <w:sz w:val="18"/>
                <w:szCs w:val="18"/>
              </w:rPr>
              <w:t>3.5%</w:t>
            </w:r>
          </w:p>
        </w:tc>
      </w:tr>
      <w:tr w:rsidR="00651A99" w:rsidRPr="00172A65" w14:paraId="15C89393" w14:textId="77777777" w:rsidTr="00DF031E">
        <w:trPr>
          <w:cnfStyle w:val="000000010000" w:firstRow="0" w:lastRow="0" w:firstColumn="0" w:lastColumn="0" w:oddVBand="0" w:evenVBand="0" w:oddHBand="0" w:evenHBand="1" w:firstRowFirstColumn="0" w:firstRowLastColumn="0" w:lastRowFirstColumn="0" w:lastRowLastColumn="0"/>
          <w:trHeight w:val="510"/>
        </w:trPr>
        <w:tc>
          <w:tcPr>
            <w:tcW w:w="7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43EDF79A" w14:textId="77777777" w:rsidR="00651A99" w:rsidRPr="00172A65" w:rsidRDefault="00651A99" w:rsidP="00DF031E">
            <w:pPr>
              <w:spacing w:before="120" w:after="120"/>
              <w:rPr>
                <w:rFonts w:cs="Arial"/>
                <w:sz w:val="18"/>
                <w:szCs w:val="18"/>
              </w:rPr>
            </w:pPr>
            <w:r w:rsidRPr="00172A65">
              <w:rPr>
                <w:rFonts w:cs="Arial"/>
                <w:sz w:val="18"/>
                <w:szCs w:val="18"/>
              </w:rPr>
              <w:t>A59A1</w:t>
            </w:r>
          </w:p>
        </w:tc>
        <w:tc>
          <w:tcPr>
            <w:tcW w:w="25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1B40B693" w14:textId="77777777" w:rsidR="00651A99" w:rsidRPr="00172A65" w:rsidRDefault="00651A99" w:rsidP="00DF031E">
            <w:pPr>
              <w:spacing w:before="120" w:after="120"/>
              <w:rPr>
                <w:rFonts w:cs="Arial"/>
                <w:sz w:val="18"/>
                <w:szCs w:val="18"/>
              </w:rPr>
            </w:pPr>
            <w:r w:rsidRPr="00172A65">
              <w:rPr>
                <w:rFonts w:cs="Arial"/>
                <w:sz w:val="18"/>
                <w:szCs w:val="18"/>
              </w:rPr>
              <w:t>Closure Accessories</w:t>
            </w:r>
          </w:p>
        </w:tc>
        <w:tc>
          <w:tcPr>
            <w:tcW w:w="172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1CA8E0E6" w14:textId="77777777" w:rsidR="00651A99" w:rsidRPr="00172A65" w:rsidRDefault="00651A99" w:rsidP="00DF031E">
            <w:pPr>
              <w:spacing w:before="120" w:after="120"/>
              <w:jc w:val="right"/>
              <w:rPr>
                <w:rFonts w:cs="Arial"/>
                <w:sz w:val="18"/>
                <w:szCs w:val="18"/>
              </w:rPr>
            </w:pPr>
            <w:r w:rsidRPr="00172A65">
              <w:rPr>
                <w:rFonts w:cs="Arial"/>
                <w:sz w:val="18"/>
                <w:szCs w:val="18"/>
              </w:rPr>
              <w:t>3.5%</w:t>
            </w:r>
          </w:p>
        </w:tc>
      </w:tr>
      <w:tr w:rsidR="00651A99" w:rsidRPr="00172A65" w14:paraId="319DF072" w14:textId="77777777" w:rsidTr="00DF031E">
        <w:trPr>
          <w:cnfStyle w:val="000000100000" w:firstRow="0" w:lastRow="0" w:firstColumn="0" w:lastColumn="0" w:oddVBand="0" w:evenVBand="0" w:oddHBand="1" w:evenHBand="0" w:firstRowFirstColumn="0" w:firstRowLastColumn="0" w:lastRowFirstColumn="0" w:lastRowLastColumn="0"/>
          <w:trHeight w:val="510"/>
        </w:trPr>
        <w:tc>
          <w:tcPr>
            <w:tcW w:w="7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4AD234D6" w14:textId="77777777" w:rsidR="00651A99" w:rsidRPr="00172A65" w:rsidRDefault="00651A99" w:rsidP="00DF031E">
            <w:pPr>
              <w:spacing w:before="120" w:after="120"/>
              <w:rPr>
                <w:rFonts w:cs="Arial"/>
                <w:sz w:val="18"/>
                <w:szCs w:val="18"/>
              </w:rPr>
            </w:pPr>
            <w:r w:rsidRPr="00172A65">
              <w:rPr>
                <w:rFonts w:cs="Arial"/>
                <w:sz w:val="18"/>
                <w:szCs w:val="18"/>
              </w:rPr>
              <w:t>A54A1</w:t>
            </w:r>
          </w:p>
        </w:tc>
        <w:tc>
          <w:tcPr>
            <w:tcW w:w="25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7D41C5B0" w14:textId="77777777" w:rsidR="00651A99" w:rsidRPr="00172A65" w:rsidRDefault="00651A99" w:rsidP="00DF031E">
            <w:pPr>
              <w:spacing w:before="120" w:after="120"/>
              <w:rPr>
                <w:rFonts w:cs="Arial"/>
                <w:sz w:val="18"/>
                <w:szCs w:val="18"/>
              </w:rPr>
            </w:pPr>
            <w:r w:rsidRPr="00172A65">
              <w:rPr>
                <w:rFonts w:cs="Arial"/>
                <w:sz w:val="18"/>
                <w:szCs w:val="18"/>
              </w:rPr>
              <w:t>Staples and Tackers</w:t>
            </w:r>
          </w:p>
        </w:tc>
        <w:tc>
          <w:tcPr>
            <w:tcW w:w="172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5F49E9DF" w14:textId="77777777" w:rsidR="00651A99" w:rsidRPr="00172A65" w:rsidRDefault="00651A99" w:rsidP="00DF031E">
            <w:pPr>
              <w:spacing w:before="120" w:after="120"/>
              <w:jc w:val="right"/>
              <w:rPr>
                <w:rFonts w:cs="Arial"/>
                <w:sz w:val="18"/>
                <w:szCs w:val="18"/>
              </w:rPr>
            </w:pPr>
            <w:r w:rsidRPr="00172A65">
              <w:rPr>
                <w:rFonts w:cs="Arial"/>
                <w:sz w:val="18"/>
                <w:szCs w:val="18"/>
              </w:rPr>
              <w:t>4.3%</w:t>
            </w:r>
          </w:p>
        </w:tc>
      </w:tr>
      <w:tr w:rsidR="00651A99" w:rsidRPr="00172A65" w14:paraId="0AE0F826" w14:textId="77777777" w:rsidTr="00DF031E">
        <w:trPr>
          <w:cnfStyle w:val="000000010000" w:firstRow="0" w:lastRow="0" w:firstColumn="0" w:lastColumn="0" w:oddVBand="0" w:evenVBand="0" w:oddHBand="0" w:evenHBand="1" w:firstRowFirstColumn="0" w:firstRowLastColumn="0" w:lastRowFirstColumn="0" w:lastRowLastColumn="0"/>
          <w:trHeight w:val="510"/>
        </w:trPr>
        <w:tc>
          <w:tcPr>
            <w:tcW w:w="7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131E167D" w14:textId="77777777" w:rsidR="00651A99" w:rsidRPr="00172A65" w:rsidRDefault="00651A99" w:rsidP="00DF031E">
            <w:pPr>
              <w:spacing w:before="120" w:after="120"/>
              <w:rPr>
                <w:rFonts w:cs="Arial"/>
                <w:sz w:val="18"/>
                <w:szCs w:val="18"/>
              </w:rPr>
            </w:pPr>
            <w:r w:rsidRPr="00172A65">
              <w:rPr>
                <w:rFonts w:cs="Arial"/>
                <w:sz w:val="18"/>
                <w:szCs w:val="18"/>
              </w:rPr>
              <w:t>A12A1</w:t>
            </w:r>
          </w:p>
        </w:tc>
        <w:tc>
          <w:tcPr>
            <w:tcW w:w="25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0451816C" w14:textId="77777777" w:rsidR="00651A99" w:rsidRPr="00172A65" w:rsidRDefault="00651A99" w:rsidP="00DF031E">
            <w:pPr>
              <w:spacing w:before="120" w:after="120"/>
              <w:rPr>
                <w:rFonts w:cs="Arial"/>
                <w:sz w:val="18"/>
                <w:szCs w:val="18"/>
              </w:rPr>
            </w:pPr>
            <w:r w:rsidRPr="00172A65">
              <w:rPr>
                <w:rFonts w:cs="Arial"/>
                <w:sz w:val="18"/>
                <w:szCs w:val="18"/>
              </w:rPr>
              <w:t>Infusion Pumps, Battery Powered</w:t>
            </w:r>
          </w:p>
        </w:tc>
        <w:tc>
          <w:tcPr>
            <w:tcW w:w="172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45DEAEB4" w14:textId="77777777" w:rsidR="00651A99" w:rsidRPr="00172A65" w:rsidRDefault="00651A99" w:rsidP="00DF031E">
            <w:pPr>
              <w:spacing w:before="120" w:after="120"/>
              <w:jc w:val="right"/>
              <w:rPr>
                <w:rFonts w:cs="Arial"/>
                <w:sz w:val="18"/>
                <w:szCs w:val="18"/>
              </w:rPr>
            </w:pPr>
            <w:r w:rsidRPr="00172A65">
              <w:rPr>
                <w:rFonts w:cs="Arial"/>
                <w:sz w:val="18"/>
                <w:szCs w:val="18"/>
              </w:rPr>
              <w:t>4.8%</w:t>
            </w:r>
          </w:p>
        </w:tc>
      </w:tr>
      <w:tr w:rsidR="00651A99" w:rsidRPr="00172A65" w14:paraId="7266A49A" w14:textId="77777777" w:rsidTr="00DF031E">
        <w:trPr>
          <w:cnfStyle w:val="000000100000" w:firstRow="0" w:lastRow="0" w:firstColumn="0" w:lastColumn="0" w:oddVBand="0" w:evenVBand="0" w:oddHBand="1" w:evenHBand="0" w:firstRowFirstColumn="0" w:firstRowLastColumn="0" w:lastRowFirstColumn="0" w:lastRowLastColumn="0"/>
          <w:trHeight w:val="510"/>
        </w:trPr>
        <w:tc>
          <w:tcPr>
            <w:tcW w:w="7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739C8B97" w14:textId="77777777" w:rsidR="00651A99" w:rsidRPr="00172A65" w:rsidRDefault="00651A99" w:rsidP="00DF031E">
            <w:pPr>
              <w:spacing w:before="120" w:after="120"/>
              <w:rPr>
                <w:rFonts w:cs="Arial"/>
                <w:sz w:val="18"/>
                <w:szCs w:val="18"/>
              </w:rPr>
            </w:pPr>
            <w:r w:rsidRPr="00172A65">
              <w:rPr>
                <w:rFonts w:cs="Arial"/>
                <w:sz w:val="18"/>
                <w:szCs w:val="18"/>
              </w:rPr>
              <w:t>A42A1</w:t>
            </w:r>
          </w:p>
        </w:tc>
        <w:tc>
          <w:tcPr>
            <w:tcW w:w="25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57A40C20" w14:textId="77777777" w:rsidR="00651A99" w:rsidRPr="00172A65" w:rsidRDefault="00651A99" w:rsidP="00DF031E">
            <w:pPr>
              <w:spacing w:before="120" w:after="120"/>
              <w:rPr>
                <w:rFonts w:cs="Arial"/>
                <w:sz w:val="18"/>
                <w:szCs w:val="18"/>
              </w:rPr>
            </w:pPr>
            <w:r w:rsidRPr="00172A65">
              <w:rPr>
                <w:rFonts w:cs="Arial"/>
                <w:sz w:val="18"/>
                <w:szCs w:val="18"/>
              </w:rPr>
              <w:t>Powder</w:t>
            </w:r>
          </w:p>
        </w:tc>
        <w:tc>
          <w:tcPr>
            <w:tcW w:w="172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4B721399" w14:textId="77777777" w:rsidR="00651A99" w:rsidRPr="00172A65" w:rsidRDefault="00651A99" w:rsidP="00DF031E">
            <w:pPr>
              <w:spacing w:before="120" w:after="120"/>
              <w:jc w:val="right"/>
              <w:rPr>
                <w:rFonts w:cs="Arial"/>
                <w:sz w:val="18"/>
                <w:szCs w:val="18"/>
              </w:rPr>
            </w:pPr>
            <w:r w:rsidRPr="00172A65">
              <w:rPr>
                <w:rFonts w:cs="Arial"/>
                <w:sz w:val="18"/>
                <w:szCs w:val="18"/>
              </w:rPr>
              <w:t>8.1%</w:t>
            </w:r>
          </w:p>
        </w:tc>
      </w:tr>
      <w:tr w:rsidR="00651A99" w:rsidRPr="00172A65" w14:paraId="03CE5D6D" w14:textId="77777777" w:rsidTr="00DF031E">
        <w:trPr>
          <w:cnfStyle w:val="000000010000" w:firstRow="0" w:lastRow="0" w:firstColumn="0" w:lastColumn="0" w:oddVBand="0" w:evenVBand="0" w:oddHBand="0" w:evenHBand="1" w:firstRowFirstColumn="0" w:firstRowLastColumn="0" w:lastRowFirstColumn="0" w:lastRowLastColumn="0"/>
          <w:trHeight w:val="510"/>
        </w:trPr>
        <w:tc>
          <w:tcPr>
            <w:tcW w:w="7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66C5A7D9" w14:textId="77777777" w:rsidR="00651A99" w:rsidRPr="00172A65" w:rsidRDefault="00651A99" w:rsidP="00DF031E">
            <w:pPr>
              <w:spacing w:before="120" w:after="120"/>
              <w:rPr>
                <w:rFonts w:cs="Arial"/>
                <w:sz w:val="18"/>
                <w:szCs w:val="18"/>
              </w:rPr>
            </w:pPr>
            <w:r w:rsidRPr="00172A65">
              <w:rPr>
                <w:rFonts w:cs="Arial"/>
                <w:sz w:val="18"/>
                <w:szCs w:val="18"/>
              </w:rPr>
              <w:t>A23A1</w:t>
            </w:r>
          </w:p>
        </w:tc>
        <w:tc>
          <w:tcPr>
            <w:tcW w:w="2540"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vAlign w:val="center"/>
          </w:tcPr>
          <w:p w14:paraId="47C50C12" w14:textId="77777777" w:rsidR="00651A99" w:rsidRPr="00172A65" w:rsidRDefault="00651A99" w:rsidP="00DF031E">
            <w:pPr>
              <w:spacing w:before="120" w:after="120"/>
              <w:rPr>
                <w:rFonts w:cs="Arial"/>
                <w:sz w:val="18"/>
                <w:szCs w:val="18"/>
              </w:rPr>
            </w:pPr>
            <w:r w:rsidRPr="00172A65">
              <w:rPr>
                <w:rFonts w:cs="Arial"/>
                <w:sz w:val="18"/>
                <w:szCs w:val="18"/>
              </w:rPr>
              <w:t>Jejunostomy Tubes</w:t>
            </w:r>
          </w:p>
        </w:tc>
        <w:tc>
          <w:tcPr>
            <w:tcW w:w="1721" w:type="pct"/>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vAlign w:val="center"/>
          </w:tcPr>
          <w:p w14:paraId="6D6CD904" w14:textId="77777777" w:rsidR="00651A99" w:rsidRPr="00172A65" w:rsidRDefault="00651A99" w:rsidP="00DF031E">
            <w:pPr>
              <w:spacing w:before="120" w:after="120"/>
              <w:jc w:val="right"/>
              <w:rPr>
                <w:rFonts w:cs="Arial"/>
                <w:sz w:val="18"/>
                <w:szCs w:val="18"/>
              </w:rPr>
            </w:pPr>
            <w:r w:rsidRPr="00172A65">
              <w:rPr>
                <w:rFonts w:cs="Arial"/>
                <w:sz w:val="18"/>
                <w:szCs w:val="18"/>
              </w:rPr>
              <w:t>9.8%</w:t>
            </w:r>
          </w:p>
        </w:tc>
      </w:tr>
    </w:tbl>
    <w:p w14:paraId="1EE2D286" w14:textId="77777777" w:rsidR="00651A99" w:rsidRDefault="00651A99" w:rsidP="00651A99"/>
    <w:p w14:paraId="7EB333CB" w14:textId="77777777" w:rsidR="00651A99" w:rsidRDefault="00651A99" w:rsidP="00651A99">
      <w:r>
        <w:t>The top five decreases in PL benefits per episode from 2019-20 to 2020-21 occurred for the following GUI bundles.</w:t>
      </w:r>
    </w:p>
    <w:p w14:paraId="3BD70023" w14:textId="77777777" w:rsidR="00651A99" w:rsidRDefault="00651A99" w:rsidP="00651A99">
      <w:r>
        <w:rPr>
          <w:b/>
        </w:rPr>
        <w:t>Infusion Pumps, Spring Powered (A13A1)</w:t>
      </w:r>
    </w:p>
    <w:p w14:paraId="422D0F43" w14:textId="77777777" w:rsidR="00651A99" w:rsidRDefault="00651A99" w:rsidP="00651A99">
      <w:r>
        <w:t xml:space="preserve">Of all GUI product bundles, A13A1 saw the largest relative decrease (36.9 per cent) in average PL benefits per episode from 2019-20 to 2020-21. This change in average benefit per episode was the result of significant reduction in the use of particular products from the A13 (Infusion Pumps, Spring Powered) product class, which changed the product mix within the GUI product bundle and lowered the average PL benefits per episode of the bundle. </w:t>
      </w:r>
    </w:p>
    <w:p w14:paraId="55AF614B" w14:textId="77777777" w:rsidR="00651A99" w:rsidRDefault="00651A99" w:rsidP="00651A99">
      <w:r>
        <w:t>The decrease in usage of particular products from the A13 product class was also reflected in a decrease in the number of A13A1 bundles, from 3,017 episodes in 2019-20 to 1,989 episodes in 2020-21. Furthermore, the decrease in usage of products from the A13 product class coincided with an increase in usage of products from the A11 (Infusion Pumps, Balloon Based) product class. This change in product usage was observed across a broad range of providers and occurred progressively over the four-year period from 2017-18 to 2020-21.</w:t>
      </w:r>
    </w:p>
    <w:p w14:paraId="44345FED" w14:textId="77777777" w:rsidR="00651A99" w:rsidRDefault="00651A99" w:rsidP="00651A99">
      <w:r>
        <w:rPr>
          <w:b/>
        </w:rPr>
        <w:t>Adhesion Barriers (A51A1)</w:t>
      </w:r>
    </w:p>
    <w:p w14:paraId="2850CD3B" w14:textId="77777777" w:rsidR="00651A99" w:rsidRDefault="00651A99" w:rsidP="00651A99">
      <w:r>
        <w:t xml:space="preserve">The average PL benefits per episode for the A51A1 product bundle decreased 12.2 per cent from 2019-20 to 2020-21. This decrease was driven by significant increases in usage of particular products within the A51 (Adhesion Barriers) product class. The products that saw significant growth in usage also had relatively lower PL scheduled benefits among products in the A51 product class, which resulted in the decrease in average PL benefits per episode for the product bundle. The increase in usage of particular products within the A51 product episodes in 2019-20 to 9,690 episodes in 2020-21. The upward trend in A51A1 bundles and the downward trend in A51A1 average PL benefits per episode was consistent across the four years from 2017-18 to 2020-21. </w:t>
      </w:r>
    </w:p>
    <w:p w14:paraId="3EDE2ADF" w14:textId="77777777" w:rsidR="00651A99" w:rsidRDefault="00651A99" w:rsidP="00651A99">
      <w:r>
        <w:rPr>
          <w:b/>
        </w:rPr>
        <w:t>Sponges (A43A1)</w:t>
      </w:r>
    </w:p>
    <w:p w14:paraId="6C1F9011" w14:textId="77777777" w:rsidR="00651A99" w:rsidRDefault="00651A99" w:rsidP="00651A99">
      <w:r>
        <w:t>The average PL benefits per episode for the A43A1 product bundle decreased by 9.4 per cent from 2019-20 to 2020-21. This change was driven by a relative decrease of 6.6 per cent in average PL benefits per item for the bundle combined with a relative decrease of 3.0 per cent in average items per episode for the bundle. The decrease in average PL benefits per item of the bundle was the result of an increase in usage of a particular product with relatively lower PL scheduled benefit among the A43 (Sponges) product class, combined with a decrease in the usage of another product with relatively high PL scheduled benefit within A43. However, overall the number of A43A1 bundles increased from 36,184 in 2019-20 to 38,004 in 2020-21. The downward trend in A43A1 average PL benefits per episode was consistent across all four years from 2017-2018 to 2020-21.</w:t>
      </w:r>
    </w:p>
    <w:p w14:paraId="11E6BAF7" w14:textId="77777777" w:rsidR="00651A99" w:rsidRDefault="00651A99" w:rsidP="00651A99">
      <w:r>
        <w:rPr>
          <w:b/>
        </w:rPr>
        <w:t>Gastrostomy Tubes (A22A1)</w:t>
      </w:r>
    </w:p>
    <w:p w14:paraId="5B9F40AA" w14:textId="77777777" w:rsidR="00651A99" w:rsidRDefault="00651A99" w:rsidP="00651A99">
      <w:r>
        <w:t>The A22A1 product bundle saw a decrease in average PL benefits per episode of 1.9 per cent from 2019-20 to 2020-21. However, this change is not reflective of a trend over the four year period from 2017-18 to 2020-21, with the average PL benefits per episode for the A22A1 bundle over the four-year period remaining steady around the 2020-21 level.</w:t>
      </w:r>
    </w:p>
    <w:p w14:paraId="078096AC" w14:textId="77777777" w:rsidR="00651A99" w:rsidRDefault="00651A99" w:rsidP="00651A99">
      <w:pPr>
        <w:rPr>
          <w:b/>
        </w:rPr>
      </w:pPr>
      <w:r>
        <w:rPr>
          <w:b/>
        </w:rPr>
        <w:t>Foam (A46A1)</w:t>
      </w:r>
    </w:p>
    <w:p w14:paraId="6B2100F3" w14:textId="77777777" w:rsidR="00651A99" w:rsidRDefault="00651A99" w:rsidP="00651A99">
      <w:r>
        <w:t>The A46A1 product bundle saw a 1.8 per cent decrease in average PL benefits per episode from 2019-20 to 2020-21. With only one PL benefit level among the products of the A46 (Foam) product class, this decrease is solely driven by a decrease in average items per episode. However, the decrease from 2019-20 to 2020-21 is not reflective of a trend over the longer term, with average PL benefits per episode for the A46A1 product bundle remaining with 1.8 per cent of the 2020-21 level across all four years.</w:t>
      </w:r>
    </w:p>
    <w:p w14:paraId="6C2E5A84" w14:textId="77777777" w:rsidR="00651A99" w:rsidRDefault="00651A99" w:rsidP="00651A99">
      <w:r>
        <w:t>The top five increases in PL benefits per episode from 2019-20 to 2020-21 occurred for the following GUI product bundles.</w:t>
      </w:r>
    </w:p>
    <w:p w14:paraId="49537E0D" w14:textId="77777777" w:rsidR="00651A99" w:rsidRDefault="00651A99" w:rsidP="00651A99">
      <w:pPr>
        <w:rPr>
          <w:b/>
        </w:rPr>
      </w:pPr>
      <w:r>
        <w:rPr>
          <w:b/>
        </w:rPr>
        <w:t>Jejunostomy Tubes (A23A1)</w:t>
      </w:r>
    </w:p>
    <w:p w14:paraId="23179B8E" w14:textId="77777777" w:rsidR="00651A99" w:rsidRDefault="00651A99" w:rsidP="00651A99">
      <w:r>
        <w:t>The average PL benefits per episode of the A23A1 product bundle increased by 9.8 per cent from 2019-20 to 2020-21. This change was driven by an increase in usage of products with relatively high PL scheduled benefit among the A23 (Jejunostomy Tubes) product class. This increase in usage of particular products coincided with an overall increase in the number of A23A1 bundles, from 182 episodes in 2019-20 to 220 episodes in 2020-21.</w:t>
      </w:r>
    </w:p>
    <w:p w14:paraId="5BB76077" w14:textId="77777777" w:rsidR="00651A99" w:rsidRDefault="00651A99" w:rsidP="00651A99">
      <w:pPr>
        <w:rPr>
          <w:b/>
        </w:rPr>
      </w:pPr>
      <w:r>
        <w:rPr>
          <w:b/>
        </w:rPr>
        <w:t>Powder (A42A1)</w:t>
      </w:r>
    </w:p>
    <w:p w14:paraId="24FC92D1" w14:textId="77777777" w:rsidR="00651A99" w:rsidRDefault="00651A99" w:rsidP="00651A99">
      <w:r>
        <w:t>The average PL benefits per episode of the A42A1 product bundle increased by 8.1 per cent from 2019-20 to 2020-21. This increase was the combined effect of a 4.8 per cent increase in the average PL benefits per item of the bundle and a 3.2 per cent increase in the average items per episode of the bundle. The growth in average PL benefits per item of the bundle was driven by significant increases in usage of products from the A42 (Powder) product class with relatively high PL scheduled benefit within the class. Growth in A42A1 PL benefits per item has been consistent over the four years from 2017-18 to 2020-21, with growth in A42A1 items per episode being consistent over the three years since 2018-19.</w:t>
      </w:r>
    </w:p>
    <w:p w14:paraId="089930C0" w14:textId="77777777" w:rsidR="00651A99" w:rsidRDefault="00651A99" w:rsidP="00651A99">
      <w:pPr>
        <w:rPr>
          <w:b/>
        </w:rPr>
      </w:pPr>
      <w:r>
        <w:rPr>
          <w:b/>
        </w:rPr>
        <w:t>Infusion Pumps, Battery Powered (A12A1)</w:t>
      </w:r>
    </w:p>
    <w:p w14:paraId="77EFDA89" w14:textId="77777777" w:rsidR="00651A99" w:rsidRDefault="00651A99" w:rsidP="00651A99">
      <w:r>
        <w:t>The average PL benefits per episode of the A12A1 product bundle increased by 4.8 per cent from 2019-20 to 2020-21. There are two PL scheduled benefit levels within the A12 product class (i.e. $407 and $2,805), and while there was substantially more growth in usage of products from the lower PL schedule benefit compared with growth in usage of products from the higher PL scheduled benefit level, the large difference in PL scheduled benefit levels resulted in an overall increase in average PL benefits per item for A12A1 bundles. There was no historical trend in this change, with A12A1 average PL benefits per episode keeping within the 2019-20 to 2020-21 range across all four years from 2017-18 to 2020-21.</w:t>
      </w:r>
    </w:p>
    <w:p w14:paraId="479FC117" w14:textId="77777777" w:rsidR="00651A99" w:rsidRDefault="00651A99" w:rsidP="00651A99">
      <w:pPr>
        <w:rPr>
          <w:b/>
        </w:rPr>
      </w:pPr>
      <w:r>
        <w:rPr>
          <w:b/>
        </w:rPr>
        <w:t>Staples and Tackers (A54A1)</w:t>
      </w:r>
    </w:p>
    <w:p w14:paraId="56BF6AFE" w14:textId="77777777" w:rsidR="00651A99" w:rsidRDefault="00651A99" w:rsidP="00651A99">
      <w:r>
        <w:t>The A54A1 product bundle saw a 4.3 per cent increase in average PL benefits per episode from 2019-20 to 2020-21. This change was the combined effect of a 1.2 per cent increase in average benefits per item for the bundle and a 3.0 per cent increase in items per episode for the bundle. These annual increases were not consistent across the four years, with benefits per episode increasing 1.5 per cent per annum on average, benefits per item increasing 0.5 per cent per annum on average, and items per episode increasing 0.9 per cent per annum on average.</w:t>
      </w:r>
    </w:p>
    <w:p w14:paraId="087871BC" w14:textId="77777777" w:rsidR="00651A99" w:rsidRDefault="00651A99" w:rsidP="00651A99">
      <w:pPr>
        <w:rPr>
          <w:b/>
        </w:rPr>
      </w:pPr>
      <w:r>
        <w:rPr>
          <w:b/>
        </w:rPr>
        <w:t>Closure Accessories (A59A1)</w:t>
      </w:r>
    </w:p>
    <w:p w14:paraId="0FAFFC83" w14:textId="77777777" w:rsidR="00651A99" w:rsidRDefault="00651A99" w:rsidP="00651A99">
      <w:r>
        <w:t>The A59A1 product bundle had a 3.5 per cent increase in average PL benefits per episode from 2019-20 to 2020-21. This change was the combined effect of a 1.9 per cent growth in average PL benefits per item for the bundle and a 1.6 per cent growth in items per episode. The four-year trend for A59A1 PL benefits per episode was 2.4 per cent per annum.</w:t>
      </w:r>
    </w:p>
    <w:p w14:paraId="6D76DE71" w14:textId="77777777" w:rsidR="00651A99" w:rsidRDefault="00651A99" w:rsidP="00651A99"/>
    <w:p w14:paraId="4A4FDA47" w14:textId="77777777" w:rsidR="00651A99" w:rsidRPr="007175ED" w:rsidRDefault="00651A99" w:rsidP="00F44793"/>
    <w:p w14:paraId="74B26150" w14:textId="290B2512" w:rsidR="0004364C" w:rsidRDefault="0004364C" w:rsidP="00F44793">
      <w:pPr>
        <w:pStyle w:val="ListParagraph"/>
      </w:pPr>
    </w:p>
    <w:p w14:paraId="3FC41905" w14:textId="77777777" w:rsidR="00353860" w:rsidRDefault="00353860">
      <w:pPr>
        <w:spacing w:line="259" w:lineRule="auto"/>
        <w:rPr>
          <w:rFonts w:eastAsiaTheme="majorEastAsia" w:cstheme="majorBidi"/>
          <w:b/>
          <w:sz w:val="72"/>
          <w:szCs w:val="32"/>
        </w:rPr>
      </w:pPr>
      <w:r>
        <w:br w:type="page"/>
      </w:r>
    </w:p>
    <w:p w14:paraId="622BAF89" w14:textId="77777777" w:rsidR="007F2BE1" w:rsidRDefault="007F2BE1" w:rsidP="0004364C">
      <w:pPr>
        <w:pStyle w:val="Heading1"/>
        <w:numPr>
          <w:ilvl w:val="0"/>
          <w:numId w:val="0"/>
        </w:numPr>
        <w:ind w:left="432"/>
        <w:sectPr w:rsidR="007F2BE1" w:rsidSect="007F2BE1">
          <w:pgSz w:w="11906" w:h="16838" w:code="9"/>
          <w:pgMar w:top="1440" w:right="1077" w:bottom="1440" w:left="1077" w:header="709" w:footer="709" w:gutter="0"/>
          <w:cols w:space="708"/>
          <w:docGrid w:linePitch="360"/>
        </w:sectPr>
      </w:pPr>
    </w:p>
    <w:p w14:paraId="18EF9BE1" w14:textId="7DCECD22" w:rsidR="0004364C" w:rsidRDefault="00E471CD" w:rsidP="0004364C">
      <w:pPr>
        <w:pStyle w:val="Heading1"/>
        <w:numPr>
          <w:ilvl w:val="0"/>
          <w:numId w:val="0"/>
        </w:numPr>
        <w:ind w:left="432"/>
      </w:pPr>
      <w:bookmarkStart w:id="151" w:name="_Ref119920263"/>
      <w:bookmarkStart w:id="152" w:name="_Toc121130823"/>
      <w:r>
        <w:t>Appendix</w:t>
      </w:r>
      <w:r w:rsidR="0004364C">
        <w:t xml:space="preserve"> </w:t>
      </w:r>
      <w:r w:rsidR="00576672">
        <w:t>D</w:t>
      </w:r>
      <w:r w:rsidR="0004364C">
        <w:t xml:space="preserve"> –</w:t>
      </w:r>
      <w:r w:rsidR="00576672">
        <w:t xml:space="preserve"> </w:t>
      </w:r>
      <w:r w:rsidR="00465AF6">
        <w:t>General Use Item bundle</w:t>
      </w:r>
      <w:r w:rsidR="00576672">
        <w:t xml:space="preserve"> variation statistics</w:t>
      </w:r>
      <w:bookmarkEnd w:id="151"/>
      <w:bookmarkEnd w:id="152"/>
    </w:p>
    <w:p w14:paraId="0A323A08" w14:textId="77777777" w:rsidR="00576672" w:rsidRDefault="00576672" w:rsidP="00576672"/>
    <w:p w14:paraId="2FC6FC72" w14:textId="47D07B12" w:rsidR="00576672" w:rsidRDefault="00576672" w:rsidP="007304BA">
      <w:pPr>
        <w:pStyle w:val="TableFigureheading"/>
      </w:pPr>
      <w:r>
        <w:t>Table D1: General Use Item variation statistics</w:t>
      </w:r>
    </w:p>
    <w:p w14:paraId="240E41C0" w14:textId="2FD22E03" w:rsidR="007304BA" w:rsidRDefault="007304BA" w:rsidP="007304BA">
      <w:r>
        <w:t xml:space="preserve">Provided as a supplementary </w:t>
      </w:r>
      <w:r w:rsidR="000D0466">
        <w:t xml:space="preserve">table in </w:t>
      </w:r>
      <w:r>
        <w:t>MS Excel Workbook</w:t>
      </w:r>
      <w:r w:rsidR="000D0466">
        <w:t xml:space="preserve"> format.</w:t>
      </w:r>
    </w:p>
    <w:p w14:paraId="03010B87" w14:textId="7E841A5B" w:rsidR="00576672" w:rsidRDefault="00576672" w:rsidP="00576672"/>
    <w:p w14:paraId="0EE3E394" w14:textId="1929E2E7" w:rsidR="00353860" w:rsidRDefault="00353860" w:rsidP="00576672"/>
    <w:p w14:paraId="303B8576" w14:textId="77777777" w:rsidR="00EA0D2F" w:rsidRPr="00530F59" w:rsidRDefault="00EA0D2F" w:rsidP="00530F59">
      <w:pPr>
        <w:sectPr w:rsidR="00EA0D2F" w:rsidRPr="00530F59" w:rsidSect="007304BA">
          <w:pgSz w:w="11906" w:h="16838" w:code="9"/>
          <w:pgMar w:top="1440" w:right="1077" w:bottom="1440" w:left="1077" w:header="709" w:footer="709" w:gutter="0"/>
          <w:cols w:space="708"/>
          <w:docGrid w:linePitch="360"/>
        </w:sectPr>
      </w:pPr>
    </w:p>
    <w:p w14:paraId="70D1B456" w14:textId="77777777" w:rsidR="00502A09" w:rsidRDefault="00502A09" w:rsidP="00502A09">
      <w:pPr>
        <w:spacing w:after="360"/>
        <w:rPr>
          <w:color w:val="FFFFFF" w:themeColor="background2"/>
        </w:rPr>
      </w:pPr>
      <w:r>
        <w:rPr>
          <w:noProof/>
          <w:color w:val="FFFFFF" w:themeColor="background2"/>
          <w:lang w:val="en-US"/>
        </w:rPr>
        <w:drawing>
          <wp:inline distT="0" distB="0" distL="0" distR="0" wp14:anchorId="1B889885" wp14:editId="1F4FAD5E">
            <wp:extent cx="1764880" cy="396484"/>
            <wp:effectExtent l="0" t="0" r="6985" b="3810"/>
            <wp:docPr id="108" name="Picture 108" descr="Independent Health and Aged Care Pric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Independent Health and Aged Care Pricing Authority"/>
                    <pic:cNvPicPr>
                      <a:picLocks noChangeAspect="1" noChangeArrowheads="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1764880" cy="396484"/>
                    </a:xfrm>
                    <a:prstGeom prst="rect">
                      <a:avLst/>
                    </a:prstGeom>
                  </pic:spPr>
                </pic:pic>
              </a:graphicData>
            </a:graphic>
          </wp:inline>
        </w:drawing>
      </w:r>
    </w:p>
    <w:p w14:paraId="38002CD9" w14:textId="77777777" w:rsidR="00502A09" w:rsidRPr="00502A09" w:rsidRDefault="00502A09" w:rsidP="00502A09">
      <w:pPr>
        <w:spacing w:after="360"/>
      </w:pPr>
      <w:r w:rsidRPr="00502A09">
        <w:t>Independent Health and Aged Care Pricing Authority</w:t>
      </w:r>
    </w:p>
    <w:p w14:paraId="79C53FFE" w14:textId="70D8B269" w:rsidR="00502A09" w:rsidRPr="00502A09" w:rsidRDefault="00183129" w:rsidP="00502A09">
      <w:pPr>
        <w:spacing w:after="360"/>
        <w:rPr>
          <w:color w:val="104F99" w:themeColor="accent2"/>
        </w:rPr>
      </w:pPr>
      <w:r>
        <w:rPr>
          <w:color w:val="104F99" w:themeColor="accent2"/>
        </w:rPr>
        <w:t xml:space="preserve">Eora Nation, </w:t>
      </w:r>
      <w:r w:rsidR="00502A09" w:rsidRPr="00502A09">
        <w:rPr>
          <w:color w:val="104F99" w:themeColor="accent2"/>
        </w:rPr>
        <w:t xml:space="preserve">Level </w:t>
      </w:r>
      <w:r w:rsidR="007403BC">
        <w:rPr>
          <w:color w:val="104F99" w:themeColor="accent2"/>
        </w:rPr>
        <w:t>12</w:t>
      </w:r>
      <w:r w:rsidR="00502A09" w:rsidRPr="00502A09">
        <w:rPr>
          <w:color w:val="104F99" w:themeColor="accent2"/>
        </w:rPr>
        <w:t>, 1 Oxford Street</w:t>
      </w:r>
      <w:r w:rsidR="00502A09" w:rsidRPr="00502A09">
        <w:rPr>
          <w:color w:val="104F99" w:themeColor="accent2"/>
        </w:rPr>
        <w:br/>
        <w:t>Sydney NSW 2000</w:t>
      </w:r>
    </w:p>
    <w:p w14:paraId="1F34F833" w14:textId="4A1189C7" w:rsidR="00502A09" w:rsidRPr="00502A09" w:rsidRDefault="00502A09" w:rsidP="00502A09">
      <w:pPr>
        <w:spacing w:after="360"/>
      </w:pPr>
      <w:r w:rsidRPr="00502A09">
        <w:t xml:space="preserve">Phone </w:t>
      </w:r>
      <w:r w:rsidRPr="00502A09">
        <w:rPr>
          <w:color w:val="104F99" w:themeColor="accent2"/>
        </w:rPr>
        <w:t>02 8215 1100</w:t>
      </w:r>
      <w:r w:rsidRPr="00502A09">
        <w:br/>
        <w:t xml:space="preserve">Email </w:t>
      </w:r>
      <w:hyperlink r:id="rId26" w:history="1">
        <w:r w:rsidR="005972D0" w:rsidRPr="00D10674">
          <w:rPr>
            <w:rStyle w:val="Hyperlink"/>
          </w:rPr>
          <w:t>enquiries.ihacpa@ihacpa.gov.au</w:t>
        </w:r>
      </w:hyperlink>
      <w:r w:rsidRPr="00502A09">
        <w:br/>
        <w:t xml:space="preserve">Twitter </w:t>
      </w:r>
      <w:hyperlink r:id="rId27" w:history="1">
        <w:r w:rsidRPr="001E2B0D">
          <w:rPr>
            <w:rStyle w:val="Hyperlink"/>
          </w:rPr>
          <w:t>@IH</w:t>
        </w:r>
        <w:r w:rsidR="007403BC" w:rsidRPr="001E2B0D">
          <w:rPr>
            <w:rStyle w:val="Hyperlink"/>
          </w:rPr>
          <w:t>AC</w:t>
        </w:r>
        <w:r w:rsidRPr="001E2B0D">
          <w:rPr>
            <w:rStyle w:val="Hyperlink"/>
          </w:rPr>
          <w:t>PA</w:t>
        </w:r>
      </w:hyperlink>
    </w:p>
    <w:p w14:paraId="4E2278FE" w14:textId="1DDF8464" w:rsidR="00502A09" w:rsidRPr="00502A09" w:rsidRDefault="00000000" w:rsidP="00502A09">
      <w:pPr>
        <w:spacing w:after="360"/>
        <w:rPr>
          <w:color w:val="104F99" w:themeColor="accent2"/>
        </w:rPr>
      </w:pPr>
      <w:hyperlink r:id="rId28" w:history="1">
        <w:r w:rsidR="00502A09" w:rsidRPr="001E2B0D">
          <w:rPr>
            <w:rStyle w:val="Hyperlink"/>
          </w:rPr>
          <w:t>www.ih</w:t>
        </w:r>
        <w:r w:rsidR="007403BC" w:rsidRPr="001E2B0D">
          <w:rPr>
            <w:rStyle w:val="Hyperlink"/>
          </w:rPr>
          <w:t>ac</w:t>
        </w:r>
        <w:r w:rsidR="00502A09" w:rsidRPr="001E2B0D">
          <w:rPr>
            <w:rStyle w:val="Hyperlink"/>
          </w:rPr>
          <w:t>pa.gov.au</w:t>
        </w:r>
      </w:hyperlink>
    </w:p>
    <w:p w14:paraId="55FBC7ED" w14:textId="77777777" w:rsidR="00502A09" w:rsidRPr="00502A09" w:rsidRDefault="00502A09" w:rsidP="00F95700">
      <w:pPr>
        <w:spacing w:after="360"/>
        <w:rPr>
          <w:color w:val="104F99" w:themeColor="accent2"/>
        </w:rPr>
      </w:pPr>
    </w:p>
    <w:sectPr w:rsidR="00502A09" w:rsidRPr="00502A09" w:rsidSect="00C5503B">
      <w:headerReference w:type="default" r:id="rId29"/>
      <w:footerReference w:type="default" r:id="rId30"/>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E1CF4" w14:textId="77777777" w:rsidR="005C40E2" w:rsidRDefault="005C40E2" w:rsidP="00DC0458">
      <w:pPr>
        <w:spacing w:after="0" w:line="240" w:lineRule="auto"/>
      </w:pPr>
      <w:r>
        <w:separator/>
      </w:r>
    </w:p>
  </w:endnote>
  <w:endnote w:type="continuationSeparator" w:id="0">
    <w:p w14:paraId="72F2BE3D" w14:textId="77777777" w:rsidR="005C40E2" w:rsidRDefault="005C40E2" w:rsidP="00DC0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regular">
    <w:altName w:val="Calibri"/>
    <w:panose1 w:val="020B0604020202020204"/>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Josefin Sans Bold">
    <w:panose1 w:val="00000000000000000000"/>
    <w:charset w:val="4D"/>
    <w:family w:val="auto"/>
    <w:pitch w:val="variable"/>
    <w:sig w:usb0="A00000FF" w:usb1="4000204B" w:usb2="00000000" w:usb3="00000000" w:csb0="00000193" w:csb1="00000000"/>
  </w:font>
  <w:font w:name="Fira Sans">
    <w:panose1 w:val="020B0604020202020204"/>
    <w:charset w:val="00"/>
    <w:family w:val="swiss"/>
    <w:pitch w:val="variable"/>
    <w:sig w:usb0="600002FF" w:usb1="00000001" w:usb2="00000000" w:usb3="00000000" w:csb0="0000019F" w:csb1="00000000"/>
  </w:font>
  <w:font w:name="Futura PT Book">
    <w:altName w:val="Century Gothic"/>
    <w:panose1 w:val="020B0602020204020303"/>
    <w:charset w:val="00"/>
    <w:family w:val="swiss"/>
    <w:notTrueType/>
    <w:pitch w:val="variable"/>
    <w:sig w:usb0="A00002FF" w:usb1="5000204B" w:usb2="00000000" w:usb3="00000000" w:csb0="00000097"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72FE9" w14:textId="6A78321E" w:rsidR="00951BFA" w:rsidRPr="00314E88" w:rsidRDefault="00951BFA" w:rsidP="00493FE8">
    <w:pPr>
      <w:rPr>
        <w:sz w:val="28"/>
        <w:szCs w:val="28"/>
      </w:rPr>
    </w:pPr>
    <w:r w:rsidRPr="00314E88">
      <w:rPr>
        <w:sz w:val="28"/>
        <w:szCs w:val="28"/>
      </w:rPr>
      <w:t>Version 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C27FA" w14:textId="41D43093" w:rsidR="00951BFA" w:rsidRDefault="00951BFA" w:rsidP="00E24D0E">
    <w:pPr>
      <w:pStyle w:val="Footer"/>
      <w:tabs>
        <w:tab w:val="clear" w:pos="4680"/>
        <w:tab w:val="clear" w:pos="9360"/>
        <w:tab w:val="center" w:pos="9498"/>
        <w:tab w:val="right" w:pos="9746"/>
      </w:tabs>
    </w:pPr>
    <w:r w:rsidRPr="00D20B03">
      <w:rPr>
        <w:b/>
        <w:bCs/>
      </w:rPr>
      <w:t>IHACPA</w:t>
    </w:r>
    <w:r>
      <w:t xml:space="preserve"> </w:t>
    </w:r>
    <w:r w:rsidR="00BC05D1">
      <w:t>Advice on Bundling Arrangements for General Use Items on the Prostheses List</w:t>
    </w:r>
    <w:r>
      <w:tab/>
    </w:r>
    <w:r>
      <w:fldChar w:fldCharType="begin"/>
    </w:r>
    <w:r>
      <w:instrText xml:space="preserve"> PAGE   \* MERGEFORMAT </w:instrText>
    </w:r>
    <w:r>
      <w:fldChar w:fldCharType="separate"/>
    </w:r>
    <w:r w:rsidR="006F0A9B">
      <w:rPr>
        <w:noProof/>
      </w:rPr>
      <w:t>65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4D0C" w14:textId="60247024" w:rsidR="00977B35" w:rsidRDefault="00977B35" w:rsidP="00E24D0E">
    <w:pPr>
      <w:pStyle w:val="Footer"/>
      <w:tabs>
        <w:tab w:val="clear" w:pos="4680"/>
        <w:tab w:val="clear" w:pos="9360"/>
        <w:tab w:val="center" w:pos="9498"/>
        <w:tab w:val="right" w:pos="9746"/>
      </w:tabs>
    </w:pPr>
    <w:r w:rsidRPr="00D20B03">
      <w:rPr>
        <w:b/>
        <w:bCs/>
      </w:rPr>
      <w:t>IHACPA</w:t>
    </w:r>
    <w:r>
      <w:t xml:space="preserve"> Advice on Bundling Arrangements for General Use Items on the Prostheses List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98AF0" w14:textId="77777777" w:rsidR="005C40E2" w:rsidRDefault="005C40E2" w:rsidP="00DC0458">
      <w:pPr>
        <w:spacing w:after="0" w:line="240" w:lineRule="auto"/>
      </w:pPr>
      <w:r>
        <w:separator/>
      </w:r>
    </w:p>
  </w:footnote>
  <w:footnote w:type="continuationSeparator" w:id="0">
    <w:p w14:paraId="122B35E2" w14:textId="77777777" w:rsidR="005C40E2" w:rsidRDefault="005C40E2" w:rsidP="00DC0458">
      <w:pPr>
        <w:spacing w:after="0" w:line="240" w:lineRule="auto"/>
      </w:pPr>
      <w:r>
        <w:continuationSeparator/>
      </w:r>
    </w:p>
  </w:footnote>
  <w:footnote w:id="1">
    <w:p w14:paraId="1916666E" w14:textId="7B4621DE" w:rsidR="00163D61" w:rsidRPr="00163D61" w:rsidRDefault="00163D61">
      <w:pPr>
        <w:pStyle w:val="FootnoteText"/>
        <w:rPr>
          <w:lang w:val="en-AU"/>
        </w:rPr>
      </w:pPr>
      <w:r>
        <w:rPr>
          <w:rStyle w:val="FootnoteReference"/>
        </w:rPr>
        <w:footnoteRef/>
      </w:r>
      <w:r>
        <w:t xml:space="preserve"> </w:t>
      </w:r>
      <w:hyperlink r:id="rId1" w:history="1">
        <w:r>
          <w:rPr>
            <w:rStyle w:val="Hyperlink"/>
          </w:rPr>
          <w:t>ICD-10-AM/ACHI/ACS classification system</w:t>
        </w:r>
      </w:hyperlink>
    </w:p>
  </w:footnote>
  <w:footnote w:id="2">
    <w:p w14:paraId="015F18D5" w14:textId="2713845B" w:rsidR="00951BFA" w:rsidRPr="006572A9" w:rsidRDefault="00951BFA" w:rsidP="00F96D99">
      <w:pPr>
        <w:pStyle w:val="FootnoteText"/>
      </w:pPr>
      <w:r w:rsidRPr="006572A9">
        <w:rPr>
          <w:rStyle w:val="FootnoteReference"/>
        </w:rPr>
        <w:footnoteRef/>
      </w:r>
      <w:r w:rsidRPr="006572A9">
        <w:t xml:space="preserve"> </w:t>
      </w:r>
      <w:hyperlink r:id="rId2" w:history="1">
        <w:r w:rsidRPr="006572A9">
          <w:rPr>
            <w:rStyle w:val="Hyperlink"/>
            <w:color w:val="auto"/>
          </w:rPr>
          <w:t>The National Health Reform Agreement</w:t>
        </w:r>
      </w:hyperlink>
    </w:p>
  </w:footnote>
  <w:footnote w:id="3">
    <w:p w14:paraId="38485309" w14:textId="77777777" w:rsidR="00951BFA" w:rsidRPr="00C51428" w:rsidRDefault="00951BFA" w:rsidP="00F96D99">
      <w:pPr>
        <w:pStyle w:val="FootnoteText"/>
      </w:pPr>
      <w:r w:rsidRPr="006572A9">
        <w:rPr>
          <w:rStyle w:val="FootnoteReference"/>
        </w:rPr>
        <w:footnoteRef/>
      </w:r>
      <w:r w:rsidRPr="006572A9">
        <w:t xml:space="preserve"> </w:t>
      </w:r>
      <w:hyperlink r:id="rId3" w:history="1">
        <w:r w:rsidRPr="006572A9">
          <w:rPr>
            <w:u w:val="single"/>
          </w:rPr>
          <w:t>Benchmark Price for Prostheses in Australian Public Hospitals 2020</w:t>
        </w:r>
        <w:r>
          <w:rPr>
            <w:u w:val="single"/>
          </w:rPr>
          <w:t>–</w:t>
        </w:r>
        <w:r w:rsidRPr="006572A9">
          <w:rPr>
            <w:u w:val="single"/>
          </w:rPr>
          <w:t>21</w:t>
        </w:r>
      </w:hyperlink>
    </w:p>
  </w:footnote>
  <w:footnote w:id="4">
    <w:p w14:paraId="49A647D4" w14:textId="77777777" w:rsidR="00951BFA" w:rsidRDefault="00951BFA" w:rsidP="00F96D99">
      <w:pPr>
        <w:pStyle w:val="FootnoteText"/>
      </w:pPr>
      <w:r w:rsidRPr="00E644E5">
        <w:rPr>
          <w:rStyle w:val="FootnoteReference"/>
        </w:rPr>
        <w:footnoteRef/>
      </w:r>
      <w:r w:rsidRPr="00E644E5">
        <w:t xml:space="preserve"> </w:t>
      </w:r>
      <w:hyperlink r:id="rId4" w:history="1">
        <w:r w:rsidRPr="00E644E5">
          <w:rPr>
            <w:rStyle w:val="Hyperlink"/>
            <w:color w:val="auto"/>
          </w:rPr>
          <w:t>CIRG Outcome Notes</w:t>
        </w:r>
      </w:hyperlink>
    </w:p>
  </w:footnote>
  <w:footnote w:id="5">
    <w:p w14:paraId="0B1E60DE" w14:textId="77777777" w:rsidR="00951BFA" w:rsidRPr="006572A9" w:rsidRDefault="00951BFA" w:rsidP="00F96D99">
      <w:pPr>
        <w:pStyle w:val="FootnoteText"/>
      </w:pPr>
      <w:r w:rsidRPr="006572A9">
        <w:rPr>
          <w:rStyle w:val="FootnoteReference"/>
        </w:rPr>
        <w:footnoteRef/>
      </w:r>
      <w:r w:rsidRPr="006572A9">
        <w:t xml:space="preserve"> </w:t>
      </w:r>
      <w:hyperlink r:id="rId5" w:history="1">
        <w:r w:rsidRPr="006572A9">
          <w:rPr>
            <w:u w:val="single"/>
          </w:rPr>
          <w:t>Department advice on Prostheses List reforms</w:t>
        </w:r>
      </w:hyperlink>
    </w:p>
  </w:footnote>
  <w:footnote w:id="6">
    <w:p w14:paraId="2776D7C0" w14:textId="77777777" w:rsidR="00951BFA" w:rsidRPr="006572A9" w:rsidRDefault="00951BFA" w:rsidP="00F96D99">
      <w:pPr>
        <w:pStyle w:val="FootnoteText"/>
      </w:pPr>
      <w:r w:rsidRPr="006572A9">
        <w:rPr>
          <w:rStyle w:val="FootnoteReference"/>
        </w:rPr>
        <w:footnoteRef/>
      </w:r>
      <w:r w:rsidRPr="006572A9">
        <w:t xml:space="preserve"> </w:t>
      </w:r>
      <w:hyperlink r:id="rId6" w:history="1">
        <w:r w:rsidRPr="006572A9">
          <w:rPr>
            <w:rStyle w:val="Hyperlink"/>
            <w:color w:val="auto"/>
          </w:rPr>
          <w:t>Prostheses List publication</w:t>
        </w:r>
      </w:hyperlink>
    </w:p>
  </w:footnote>
  <w:footnote w:id="7">
    <w:p w14:paraId="153FB5F2" w14:textId="77777777" w:rsidR="00951BFA" w:rsidRPr="00F51CD3" w:rsidRDefault="00951BFA" w:rsidP="00F96D99">
      <w:pPr>
        <w:pStyle w:val="FootnoteText"/>
      </w:pPr>
      <w:r w:rsidRPr="006572A9">
        <w:rPr>
          <w:rStyle w:val="FootnoteReference"/>
        </w:rPr>
        <w:footnoteRef/>
      </w:r>
      <w:r w:rsidRPr="006572A9">
        <w:t xml:space="preserve"> </w:t>
      </w:r>
      <w:hyperlink r:id="rId7" w:history="1">
        <w:r w:rsidRPr="006572A9">
          <w:rPr>
            <w:rStyle w:val="Hyperlink"/>
            <w:color w:val="auto"/>
          </w:rPr>
          <w:t>Department advice on March 2023 Prostheses List scheduled benefits for General Use Items</w:t>
        </w:r>
      </w:hyperlink>
    </w:p>
  </w:footnote>
  <w:footnote w:id="8">
    <w:p w14:paraId="147845DF" w14:textId="24611E7A" w:rsidR="001C18B3" w:rsidRPr="001C18B3" w:rsidRDefault="001C18B3">
      <w:pPr>
        <w:pStyle w:val="FootnoteText"/>
        <w:rPr>
          <w:lang w:val="en-AU"/>
        </w:rPr>
      </w:pPr>
      <w:r>
        <w:rPr>
          <w:rStyle w:val="FootnoteReference"/>
        </w:rPr>
        <w:footnoteRef/>
      </w:r>
      <w:r>
        <w:t xml:space="preserve"> </w:t>
      </w:r>
      <w:hyperlink r:id="rId8" w:history="1">
        <w:r>
          <w:rPr>
            <w:rStyle w:val="Hyperlink"/>
          </w:rPr>
          <w:t>Department advice on March 2023 PL scheduled benefits</w:t>
        </w:r>
      </w:hyperlink>
    </w:p>
  </w:footnote>
  <w:footnote w:id="9">
    <w:p w14:paraId="36D42678" w14:textId="676761E6" w:rsidR="001C18B3" w:rsidRPr="001C18B3" w:rsidRDefault="001C18B3">
      <w:pPr>
        <w:pStyle w:val="FootnoteText"/>
        <w:rPr>
          <w:lang w:val="en-AU"/>
        </w:rPr>
      </w:pPr>
      <w:r>
        <w:rPr>
          <w:rStyle w:val="FootnoteReference"/>
        </w:rPr>
        <w:footnoteRef/>
      </w:r>
      <w:r>
        <w:t xml:space="preserve"> </w:t>
      </w:r>
      <w:hyperlink r:id="rId9" w:history="1">
        <w:r>
          <w:rPr>
            <w:rStyle w:val="Hyperlink"/>
          </w:rPr>
          <w:t>Episode of admitted patient care METEOR registration</w:t>
        </w:r>
      </w:hyperlink>
    </w:p>
  </w:footnote>
  <w:footnote w:id="10">
    <w:p w14:paraId="18F3734C" w14:textId="70809DA2" w:rsidR="00ED5C6B" w:rsidRPr="00ED5C6B" w:rsidRDefault="00ED5C6B">
      <w:pPr>
        <w:pStyle w:val="FootnoteText"/>
        <w:rPr>
          <w:lang w:val="en-AU"/>
        </w:rPr>
      </w:pPr>
      <w:r>
        <w:rPr>
          <w:rStyle w:val="FootnoteReference"/>
        </w:rPr>
        <w:footnoteRef/>
      </w:r>
      <w:r>
        <w:t xml:space="preserve"> </w:t>
      </w:r>
      <w:hyperlink r:id="rId10" w:history="1">
        <w:r>
          <w:rPr>
            <w:rStyle w:val="Hyperlink"/>
          </w:rPr>
          <w:t>ICD-10-AM/ACHI/ACS classification systems</w:t>
        </w:r>
      </w:hyperlink>
    </w:p>
  </w:footnote>
  <w:footnote w:id="11">
    <w:p w14:paraId="6DD0837F" w14:textId="77777777" w:rsidR="00ED5C6B" w:rsidRPr="00ED5C6B" w:rsidRDefault="00ED5C6B" w:rsidP="00ED5C6B">
      <w:pPr>
        <w:pStyle w:val="FootnoteText"/>
        <w:rPr>
          <w:lang w:val="en-AU"/>
        </w:rPr>
      </w:pPr>
      <w:r>
        <w:rPr>
          <w:rStyle w:val="FootnoteReference"/>
        </w:rPr>
        <w:footnoteRef/>
      </w:r>
      <w:r>
        <w:t xml:space="preserve"> </w:t>
      </w:r>
      <w:hyperlink r:id="rId11" w:history="1">
        <w:r>
          <w:rPr>
            <w:rStyle w:val="Hyperlink"/>
          </w:rPr>
          <w:t>AR-DRG classification system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3CBE" w14:textId="77777777" w:rsidR="00951BFA" w:rsidRDefault="00951BFA">
    <w:pPr>
      <w:pStyle w:val="Header"/>
    </w:pPr>
    <w:r>
      <w:rPr>
        <w:noProof/>
        <w:lang w:val="en-US"/>
      </w:rPr>
      <w:drawing>
        <wp:anchor distT="0" distB="0" distL="114300" distR="114300" simplePos="0" relativeHeight="251657728" behindDoc="1" locked="0" layoutInCell="1" allowOverlap="1" wp14:anchorId="6AA9FC9E" wp14:editId="38E87E55">
          <wp:simplePos x="0" y="0"/>
          <wp:positionH relativeFrom="margin">
            <wp:posOffset>-685800</wp:posOffset>
          </wp:positionH>
          <wp:positionV relativeFrom="paragraph">
            <wp:posOffset>-449580</wp:posOffset>
          </wp:positionV>
          <wp:extent cx="7573925" cy="10712174"/>
          <wp:effectExtent l="0" t="0" r="825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925" cy="1071217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59371" w14:textId="6A63683F" w:rsidR="00951BFA" w:rsidRDefault="00951B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58B2" w14:textId="77777777" w:rsidR="00951BFA" w:rsidRDefault="00951BFA">
    <w:pPr>
      <w:pStyle w:val="Header"/>
    </w:pPr>
    <w:r>
      <w:rPr>
        <w:noProof/>
        <w:lang w:val="en-US"/>
      </w:rPr>
      <w:drawing>
        <wp:anchor distT="0" distB="0" distL="114300" distR="114300" simplePos="0" relativeHeight="251656704" behindDoc="1" locked="0" layoutInCell="1" allowOverlap="1" wp14:anchorId="1C3073B7" wp14:editId="3A3C5DD5">
          <wp:simplePos x="0" y="0"/>
          <wp:positionH relativeFrom="column">
            <wp:posOffset>-682480</wp:posOffset>
          </wp:positionH>
          <wp:positionV relativeFrom="paragraph">
            <wp:posOffset>-449580</wp:posOffset>
          </wp:positionV>
          <wp:extent cx="7567238" cy="10699668"/>
          <wp:effectExtent l="0" t="0" r="0" b="6985"/>
          <wp:wrapNone/>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7238" cy="1069966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2A15"/>
    <w:multiLevelType w:val="hybridMultilevel"/>
    <w:tmpl w:val="58EA6ACA"/>
    <w:lvl w:ilvl="0" w:tplc="FFFFFFFF">
      <w:numFmt w:val="bullet"/>
      <w:lvlText w:val="–"/>
      <w:lvlJc w:val="left"/>
      <w:pPr>
        <w:ind w:left="720" w:hanging="720"/>
      </w:pPr>
      <w:rPr>
        <w:rFonts w:ascii="Fira Sans regular" w:eastAsiaTheme="minorHAnsi" w:hAnsi="Fira Sans regular" w:cstheme="minorBidi" w:hint="default"/>
      </w:rPr>
    </w:lvl>
    <w:lvl w:ilvl="1" w:tplc="5E622CB2">
      <w:numFmt w:val="bullet"/>
      <w:pStyle w:val="ListLevel1"/>
      <w:lvlText w:val="–"/>
      <w:lvlJc w:val="left"/>
      <w:pPr>
        <w:ind w:left="1080" w:hanging="360"/>
      </w:pPr>
      <w:rPr>
        <w:rFonts w:ascii="Fira Sans regular" w:eastAsiaTheme="minorHAnsi" w:hAnsi="Fira Sans regular"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65A6D24"/>
    <w:multiLevelType w:val="multilevel"/>
    <w:tmpl w:val="A99C666C"/>
    <w:lvl w:ilvl="0">
      <w:start w:val="10"/>
      <w:numFmt w:val="decimal"/>
      <w:lvlText w:val="%1"/>
      <w:lvlJc w:val="left"/>
      <w:pPr>
        <w:ind w:left="720" w:hanging="720"/>
      </w:pPr>
      <w:rPr>
        <w:rFonts w:hint="default"/>
      </w:rPr>
    </w:lvl>
    <w:lvl w:ilvl="1">
      <w:start w:val="9"/>
      <w:numFmt w:val="decimalZero"/>
      <w:lvlText w:val="%1.%2"/>
      <w:lvlJc w:val="left"/>
      <w:pPr>
        <w:ind w:left="720" w:hanging="720"/>
      </w:pPr>
      <w:rPr>
        <w:rFonts w:hint="default"/>
      </w:rPr>
    </w:lvl>
    <w:lvl w:ilvl="2">
      <w:start w:val="2"/>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DB6255A"/>
    <w:multiLevelType w:val="hybridMultilevel"/>
    <w:tmpl w:val="33825A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C61BF4"/>
    <w:multiLevelType w:val="hybridMultilevel"/>
    <w:tmpl w:val="B73028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A042DF"/>
    <w:multiLevelType w:val="hybridMultilevel"/>
    <w:tmpl w:val="B73028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521778"/>
    <w:multiLevelType w:val="multilevel"/>
    <w:tmpl w:val="6C72DCD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3BC7144F"/>
    <w:multiLevelType w:val="hybridMultilevel"/>
    <w:tmpl w:val="7B560F0C"/>
    <w:lvl w:ilvl="0" w:tplc="7146EB06">
      <w:start w:val="1"/>
      <w:numFmt w:val="bullet"/>
      <w:lvlText w:val=""/>
      <w:lvlJc w:val="left"/>
      <w:pPr>
        <w:ind w:left="720" w:hanging="360"/>
      </w:pPr>
      <w:rPr>
        <w:rFonts w:ascii="Symbol" w:hAnsi="Symbol" w:hint="default"/>
        <w:color w:val="auto"/>
        <w:spacing w:val="-4"/>
        <w:w w:val="100"/>
        <w:sz w:val="19"/>
        <w:szCs w:val="19"/>
        <w:lang w:val="en-US" w:eastAsia="en-US" w:bidi="en-US"/>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2771496"/>
    <w:multiLevelType w:val="hybridMultilevel"/>
    <w:tmpl w:val="F1C6DC38"/>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2C3C09"/>
    <w:multiLevelType w:val="hybridMultilevel"/>
    <w:tmpl w:val="B324E7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44A5030"/>
    <w:multiLevelType w:val="hybridMultilevel"/>
    <w:tmpl w:val="8BD298AA"/>
    <w:lvl w:ilvl="0" w:tplc="D53AA28A">
      <w:numFmt w:val="bullet"/>
      <w:lvlText w:val="–"/>
      <w:lvlJc w:val="left"/>
      <w:pPr>
        <w:ind w:left="720" w:hanging="720"/>
      </w:pPr>
      <w:rPr>
        <w:rFonts w:ascii="Fira Sans regular" w:eastAsiaTheme="minorHAnsi" w:hAnsi="Fira Sans regular" w:cstheme="minorBidi" w:hint="default"/>
      </w:rPr>
    </w:lvl>
    <w:lvl w:ilvl="1" w:tplc="2B7ED244">
      <w:start w:val="1"/>
      <w:numFmt w:val="bullet"/>
      <w:pStyle w:val="ListLevel2"/>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0" w15:restartNumberingAfterBreak="0">
    <w:nsid w:val="573834A7"/>
    <w:multiLevelType w:val="hybridMultilevel"/>
    <w:tmpl w:val="6AEC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0D50D2"/>
    <w:multiLevelType w:val="hybridMultilevel"/>
    <w:tmpl w:val="B45EF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ECD183A"/>
    <w:multiLevelType w:val="hybridMultilevel"/>
    <w:tmpl w:val="21EEED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5B76DB3"/>
    <w:multiLevelType w:val="hybridMultilevel"/>
    <w:tmpl w:val="65A03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7F27D6"/>
    <w:multiLevelType w:val="hybridMultilevel"/>
    <w:tmpl w:val="06B6B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31371B"/>
    <w:multiLevelType w:val="hybridMultilevel"/>
    <w:tmpl w:val="732A898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2974AD8"/>
    <w:multiLevelType w:val="hybridMultilevel"/>
    <w:tmpl w:val="086E9D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C3F43EE"/>
    <w:multiLevelType w:val="hybridMultilevel"/>
    <w:tmpl w:val="66704AB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8" w15:restartNumberingAfterBreak="0">
    <w:nsid w:val="7EB82D13"/>
    <w:multiLevelType w:val="hybridMultilevel"/>
    <w:tmpl w:val="D3E0D3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98163385">
    <w:abstractNumId w:val="9"/>
  </w:num>
  <w:num w:numId="2" w16cid:durableId="291598070">
    <w:abstractNumId w:val="0"/>
  </w:num>
  <w:num w:numId="3" w16cid:durableId="219944125">
    <w:abstractNumId w:val="5"/>
  </w:num>
  <w:num w:numId="4" w16cid:durableId="1693875337">
    <w:abstractNumId w:val="17"/>
  </w:num>
  <w:num w:numId="5" w16cid:durableId="626007891">
    <w:abstractNumId w:val="6"/>
  </w:num>
  <w:num w:numId="6" w16cid:durableId="1709336653">
    <w:abstractNumId w:val="10"/>
  </w:num>
  <w:num w:numId="7" w16cid:durableId="1298536370">
    <w:abstractNumId w:val="13"/>
  </w:num>
  <w:num w:numId="8" w16cid:durableId="1419592628">
    <w:abstractNumId w:val="14"/>
  </w:num>
  <w:num w:numId="9" w16cid:durableId="993491495">
    <w:abstractNumId w:val="2"/>
  </w:num>
  <w:num w:numId="10" w16cid:durableId="433132364">
    <w:abstractNumId w:val="11"/>
  </w:num>
  <w:num w:numId="11" w16cid:durableId="53435069">
    <w:abstractNumId w:val="7"/>
  </w:num>
  <w:num w:numId="12" w16cid:durableId="839539618">
    <w:abstractNumId w:val="15"/>
  </w:num>
  <w:num w:numId="13" w16cid:durableId="1740131674">
    <w:abstractNumId w:val="1"/>
  </w:num>
  <w:num w:numId="14" w16cid:durableId="1674142612">
    <w:abstractNumId w:val="4"/>
  </w:num>
  <w:num w:numId="15" w16cid:durableId="1898932180">
    <w:abstractNumId w:val="3"/>
  </w:num>
  <w:num w:numId="16" w16cid:durableId="37511870">
    <w:abstractNumId w:val="8"/>
  </w:num>
  <w:num w:numId="17" w16cid:durableId="1790737794">
    <w:abstractNumId w:val="18"/>
  </w:num>
  <w:num w:numId="18" w16cid:durableId="809135016">
    <w:abstractNumId w:val="12"/>
  </w:num>
  <w:num w:numId="19" w16cid:durableId="420487405">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E50"/>
    <w:rsid w:val="00000C47"/>
    <w:rsid w:val="00002F99"/>
    <w:rsid w:val="00003A6F"/>
    <w:rsid w:val="0000418D"/>
    <w:rsid w:val="00006557"/>
    <w:rsid w:val="00007BBC"/>
    <w:rsid w:val="00010DBE"/>
    <w:rsid w:val="00010EF5"/>
    <w:rsid w:val="0001336C"/>
    <w:rsid w:val="00013FF2"/>
    <w:rsid w:val="000143E9"/>
    <w:rsid w:val="000143F2"/>
    <w:rsid w:val="00014618"/>
    <w:rsid w:val="000160A3"/>
    <w:rsid w:val="00020A8B"/>
    <w:rsid w:val="00023714"/>
    <w:rsid w:val="00025BEC"/>
    <w:rsid w:val="00025CB5"/>
    <w:rsid w:val="0002751D"/>
    <w:rsid w:val="0003220C"/>
    <w:rsid w:val="00032E7D"/>
    <w:rsid w:val="00033058"/>
    <w:rsid w:val="000332EA"/>
    <w:rsid w:val="0003448E"/>
    <w:rsid w:val="00036024"/>
    <w:rsid w:val="00036438"/>
    <w:rsid w:val="00040667"/>
    <w:rsid w:val="00042041"/>
    <w:rsid w:val="000433AE"/>
    <w:rsid w:val="0004364C"/>
    <w:rsid w:val="00045735"/>
    <w:rsid w:val="00045A56"/>
    <w:rsid w:val="00045EEF"/>
    <w:rsid w:val="000462E9"/>
    <w:rsid w:val="000472D3"/>
    <w:rsid w:val="00047B95"/>
    <w:rsid w:val="00047EFD"/>
    <w:rsid w:val="000504AB"/>
    <w:rsid w:val="00051B61"/>
    <w:rsid w:val="000532D8"/>
    <w:rsid w:val="0005490F"/>
    <w:rsid w:val="00056A58"/>
    <w:rsid w:val="00060586"/>
    <w:rsid w:val="00061024"/>
    <w:rsid w:val="0006377E"/>
    <w:rsid w:val="00065017"/>
    <w:rsid w:val="00066684"/>
    <w:rsid w:val="00066724"/>
    <w:rsid w:val="00066ACA"/>
    <w:rsid w:val="0006709E"/>
    <w:rsid w:val="00070754"/>
    <w:rsid w:val="00072137"/>
    <w:rsid w:val="0007389D"/>
    <w:rsid w:val="0007504C"/>
    <w:rsid w:val="0007513C"/>
    <w:rsid w:val="000768C1"/>
    <w:rsid w:val="00077CF5"/>
    <w:rsid w:val="00080E73"/>
    <w:rsid w:val="000811A9"/>
    <w:rsid w:val="00083D2A"/>
    <w:rsid w:val="000873C9"/>
    <w:rsid w:val="00090951"/>
    <w:rsid w:val="00090B5E"/>
    <w:rsid w:val="0009217E"/>
    <w:rsid w:val="00095821"/>
    <w:rsid w:val="00095D41"/>
    <w:rsid w:val="00097DE8"/>
    <w:rsid w:val="000A0E74"/>
    <w:rsid w:val="000A1964"/>
    <w:rsid w:val="000A4D91"/>
    <w:rsid w:val="000A4E2D"/>
    <w:rsid w:val="000A5A40"/>
    <w:rsid w:val="000A7B83"/>
    <w:rsid w:val="000B03E8"/>
    <w:rsid w:val="000B3731"/>
    <w:rsid w:val="000B5951"/>
    <w:rsid w:val="000B65DB"/>
    <w:rsid w:val="000B6A81"/>
    <w:rsid w:val="000C259C"/>
    <w:rsid w:val="000C39D8"/>
    <w:rsid w:val="000C535A"/>
    <w:rsid w:val="000D00BC"/>
    <w:rsid w:val="000D0466"/>
    <w:rsid w:val="000D10AF"/>
    <w:rsid w:val="000D56BF"/>
    <w:rsid w:val="000D755B"/>
    <w:rsid w:val="000E395C"/>
    <w:rsid w:val="000E7BBC"/>
    <w:rsid w:val="000F0043"/>
    <w:rsid w:val="000F13AF"/>
    <w:rsid w:val="000F1C1F"/>
    <w:rsid w:val="000F1E8A"/>
    <w:rsid w:val="000F3D57"/>
    <w:rsid w:val="000F64D8"/>
    <w:rsid w:val="000F6592"/>
    <w:rsid w:val="000F71BA"/>
    <w:rsid w:val="00100335"/>
    <w:rsid w:val="001035A0"/>
    <w:rsid w:val="0010464A"/>
    <w:rsid w:val="00106CD4"/>
    <w:rsid w:val="00110898"/>
    <w:rsid w:val="00111960"/>
    <w:rsid w:val="00111A82"/>
    <w:rsid w:val="00111B44"/>
    <w:rsid w:val="00113363"/>
    <w:rsid w:val="00113805"/>
    <w:rsid w:val="00114166"/>
    <w:rsid w:val="0011488E"/>
    <w:rsid w:val="00115614"/>
    <w:rsid w:val="001167EE"/>
    <w:rsid w:val="001175EF"/>
    <w:rsid w:val="00117F09"/>
    <w:rsid w:val="0012539C"/>
    <w:rsid w:val="00131343"/>
    <w:rsid w:val="00131361"/>
    <w:rsid w:val="00131442"/>
    <w:rsid w:val="0013483F"/>
    <w:rsid w:val="001353F8"/>
    <w:rsid w:val="001377D5"/>
    <w:rsid w:val="0014160A"/>
    <w:rsid w:val="00142424"/>
    <w:rsid w:val="00143BCD"/>
    <w:rsid w:val="00153263"/>
    <w:rsid w:val="00157641"/>
    <w:rsid w:val="00163D61"/>
    <w:rsid w:val="001650A8"/>
    <w:rsid w:val="00165D3D"/>
    <w:rsid w:val="00167F0B"/>
    <w:rsid w:val="00170122"/>
    <w:rsid w:val="00172A65"/>
    <w:rsid w:val="001734AB"/>
    <w:rsid w:val="00174F1F"/>
    <w:rsid w:val="001751A8"/>
    <w:rsid w:val="0018015F"/>
    <w:rsid w:val="00180221"/>
    <w:rsid w:val="001804B6"/>
    <w:rsid w:val="0018246F"/>
    <w:rsid w:val="001829AA"/>
    <w:rsid w:val="00183129"/>
    <w:rsid w:val="0018569B"/>
    <w:rsid w:val="00185AF8"/>
    <w:rsid w:val="00186209"/>
    <w:rsid w:val="00191D9E"/>
    <w:rsid w:val="00191EF7"/>
    <w:rsid w:val="00192AA9"/>
    <w:rsid w:val="001938B6"/>
    <w:rsid w:val="00193A6E"/>
    <w:rsid w:val="00197788"/>
    <w:rsid w:val="001A03B7"/>
    <w:rsid w:val="001A0615"/>
    <w:rsid w:val="001A07C5"/>
    <w:rsid w:val="001A2A82"/>
    <w:rsid w:val="001A2F61"/>
    <w:rsid w:val="001A669F"/>
    <w:rsid w:val="001A71F3"/>
    <w:rsid w:val="001B19F0"/>
    <w:rsid w:val="001B1A99"/>
    <w:rsid w:val="001B29EE"/>
    <w:rsid w:val="001B2E8E"/>
    <w:rsid w:val="001C04ED"/>
    <w:rsid w:val="001C1620"/>
    <w:rsid w:val="001C18B3"/>
    <w:rsid w:val="001C6BE6"/>
    <w:rsid w:val="001D0C8B"/>
    <w:rsid w:val="001D2F72"/>
    <w:rsid w:val="001D5BB8"/>
    <w:rsid w:val="001D5BBA"/>
    <w:rsid w:val="001D778B"/>
    <w:rsid w:val="001D7EE8"/>
    <w:rsid w:val="001E1702"/>
    <w:rsid w:val="001E2B0D"/>
    <w:rsid w:val="001E3202"/>
    <w:rsid w:val="001E4ADB"/>
    <w:rsid w:val="001F0771"/>
    <w:rsid w:val="001F34B0"/>
    <w:rsid w:val="001F4298"/>
    <w:rsid w:val="002032C2"/>
    <w:rsid w:val="00205610"/>
    <w:rsid w:val="00214AB4"/>
    <w:rsid w:val="00217B98"/>
    <w:rsid w:val="00222459"/>
    <w:rsid w:val="00222C94"/>
    <w:rsid w:val="00223DF2"/>
    <w:rsid w:val="002263FB"/>
    <w:rsid w:val="00227CD1"/>
    <w:rsid w:val="002302C3"/>
    <w:rsid w:val="00230C82"/>
    <w:rsid w:val="002323C4"/>
    <w:rsid w:val="0023285E"/>
    <w:rsid w:val="00233D00"/>
    <w:rsid w:val="0023667A"/>
    <w:rsid w:val="002373C7"/>
    <w:rsid w:val="00240887"/>
    <w:rsid w:val="00240DE3"/>
    <w:rsid w:val="002411AB"/>
    <w:rsid w:val="00242315"/>
    <w:rsid w:val="002451FD"/>
    <w:rsid w:val="00245DAA"/>
    <w:rsid w:val="002461F1"/>
    <w:rsid w:val="002508FD"/>
    <w:rsid w:val="002518FA"/>
    <w:rsid w:val="00251D10"/>
    <w:rsid w:val="00251E57"/>
    <w:rsid w:val="00253F2E"/>
    <w:rsid w:val="002541B0"/>
    <w:rsid w:val="00256DBD"/>
    <w:rsid w:val="00257856"/>
    <w:rsid w:val="00257DF2"/>
    <w:rsid w:val="00260F22"/>
    <w:rsid w:val="0026150C"/>
    <w:rsid w:val="00264D19"/>
    <w:rsid w:val="00270287"/>
    <w:rsid w:val="002709C4"/>
    <w:rsid w:val="00276510"/>
    <w:rsid w:val="00280202"/>
    <w:rsid w:val="0028227E"/>
    <w:rsid w:val="00283547"/>
    <w:rsid w:val="00284F52"/>
    <w:rsid w:val="00291D49"/>
    <w:rsid w:val="00292F5C"/>
    <w:rsid w:val="002948E2"/>
    <w:rsid w:val="002953F0"/>
    <w:rsid w:val="00296E48"/>
    <w:rsid w:val="002976B7"/>
    <w:rsid w:val="002A132E"/>
    <w:rsid w:val="002A46FC"/>
    <w:rsid w:val="002A6194"/>
    <w:rsid w:val="002A75A0"/>
    <w:rsid w:val="002B0BA0"/>
    <w:rsid w:val="002B0C8A"/>
    <w:rsid w:val="002B2F76"/>
    <w:rsid w:val="002B4FA2"/>
    <w:rsid w:val="002B50A4"/>
    <w:rsid w:val="002B51F6"/>
    <w:rsid w:val="002B52DD"/>
    <w:rsid w:val="002B5A67"/>
    <w:rsid w:val="002C059D"/>
    <w:rsid w:val="002C32E5"/>
    <w:rsid w:val="002C67E4"/>
    <w:rsid w:val="002D0AE0"/>
    <w:rsid w:val="002D0F24"/>
    <w:rsid w:val="002E0BD5"/>
    <w:rsid w:val="002E20AA"/>
    <w:rsid w:val="002E2957"/>
    <w:rsid w:val="002E68BD"/>
    <w:rsid w:val="002F174B"/>
    <w:rsid w:val="002F44BE"/>
    <w:rsid w:val="00301599"/>
    <w:rsid w:val="00301CB4"/>
    <w:rsid w:val="0030315D"/>
    <w:rsid w:val="003040E3"/>
    <w:rsid w:val="00304DBD"/>
    <w:rsid w:val="00304EAD"/>
    <w:rsid w:val="00307D50"/>
    <w:rsid w:val="003114DD"/>
    <w:rsid w:val="003140E1"/>
    <w:rsid w:val="00314798"/>
    <w:rsid w:val="00314E88"/>
    <w:rsid w:val="00314FF7"/>
    <w:rsid w:val="00316315"/>
    <w:rsid w:val="00320840"/>
    <w:rsid w:val="00321F4F"/>
    <w:rsid w:val="00323131"/>
    <w:rsid w:val="0032358C"/>
    <w:rsid w:val="00324E88"/>
    <w:rsid w:val="00326568"/>
    <w:rsid w:val="0033077C"/>
    <w:rsid w:val="00330EA0"/>
    <w:rsid w:val="00331FB2"/>
    <w:rsid w:val="003404B6"/>
    <w:rsid w:val="00341E4A"/>
    <w:rsid w:val="00342C6F"/>
    <w:rsid w:val="00342C97"/>
    <w:rsid w:val="00343015"/>
    <w:rsid w:val="00343358"/>
    <w:rsid w:val="0035050D"/>
    <w:rsid w:val="0035149C"/>
    <w:rsid w:val="00352658"/>
    <w:rsid w:val="00352692"/>
    <w:rsid w:val="00353860"/>
    <w:rsid w:val="0035405B"/>
    <w:rsid w:val="00357AD8"/>
    <w:rsid w:val="00364908"/>
    <w:rsid w:val="00366F79"/>
    <w:rsid w:val="00370A66"/>
    <w:rsid w:val="00371EAC"/>
    <w:rsid w:val="0037287B"/>
    <w:rsid w:val="00372990"/>
    <w:rsid w:val="00374D0F"/>
    <w:rsid w:val="003763EF"/>
    <w:rsid w:val="003767EB"/>
    <w:rsid w:val="003773A8"/>
    <w:rsid w:val="00377EA6"/>
    <w:rsid w:val="00380203"/>
    <w:rsid w:val="00381D3A"/>
    <w:rsid w:val="0038265F"/>
    <w:rsid w:val="00382F91"/>
    <w:rsid w:val="003842F9"/>
    <w:rsid w:val="003851EE"/>
    <w:rsid w:val="00385303"/>
    <w:rsid w:val="00386011"/>
    <w:rsid w:val="00386200"/>
    <w:rsid w:val="003969A2"/>
    <w:rsid w:val="003A0A23"/>
    <w:rsid w:val="003A36C5"/>
    <w:rsid w:val="003A517F"/>
    <w:rsid w:val="003A62DB"/>
    <w:rsid w:val="003B24B2"/>
    <w:rsid w:val="003B34C2"/>
    <w:rsid w:val="003B5E95"/>
    <w:rsid w:val="003C1822"/>
    <w:rsid w:val="003C360C"/>
    <w:rsid w:val="003C5DED"/>
    <w:rsid w:val="003C76F2"/>
    <w:rsid w:val="003D0C71"/>
    <w:rsid w:val="003D3EC5"/>
    <w:rsid w:val="003D4E30"/>
    <w:rsid w:val="003D5BBD"/>
    <w:rsid w:val="003D6E5F"/>
    <w:rsid w:val="003D725B"/>
    <w:rsid w:val="003D72FB"/>
    <w:rsid w:val="003E190A"/>
    <w:rsid w:val="003E26F7"/>
    <w:rsid w:val="003E633C"/>
    <w:rsid w:val="003E780A"/>
    <w:rsid w:val="003F0F38"/>
    <w:rsid w:val="003F28E3"/>
    <w:rsid w:val="003F32F8"/>
    <w:rsid w:val="003F4DE9"/>
    <w:rsid w:val="003F5252"/>
    <w:rsid w:val="003F6008"/>
    <w:rsid w:val="003F674B"/>
    <w:rsid w:val="003F6D0D"/>
    <w:rsid w:val="003F777F"/>
    <w:rsid w:val="00401247"/>
    <w:rsid w:val="00402E0C"/>
    <w:rsid w:val="00403431"/>
    <w:rsid w:val="00412C7F"/>
    <w:rsid w:val="0041409D"/>
    <w:rsid w:val="00414492"/>
    <w:rsid w:val="00415DEE"/>
    <w:rsid w:val="00416657"/>
    <w:rsid w:val="00416DF0"/>
    <w:rsid w:val="00417CE4"/>
    <w:rsid w:val="00425B3A"/>
    <w:rsid w:val="00425D27"/>
    <w:rsid w:val="00435010"/>
    <w:rsid w:val="004359BC"/>
    <w:rsid w:val="0043713D"/>
    <w:rsid w:val="0043793A"/>
    <w:rsid w:val="0044027A"/>
    <w:rsid w:val="00440461"/>
    <w:rsid w:val="00443F6B"/>
    <w:rsid w:val="00444E8B"/>
    <w:rsid w:val="00444FEB"/>
    <w:rsid w:val="0044581C"/>
    <w:rsid w:val="0044696C"/>
    <w:rsid w:val="00447765"/>
    <w:rsid w:val="0045033D"/>
    <w:rsid w:val="00451341"/>
    <w:rsid w:val="00455D73"/>
    <w:rsid w:val="00456FFF"/>
    <w:rsid w:val="00461D28"/>
    <w:rsid w:val="004621A6"/>
    <w:rsid w:val="00465AF6"/>
    <w:rsid w:val="00465F74"/>
    <w:rsid w:val="0046603E"/>
    <w:rsid w:val="004661EE"/>
    <w:rsid w:val="00466577"/>
    <w:rsid w:val="0047026A"/>
    <w:rsid w:val="004722BB"/>
    <w:rsid w:val="00483D6C"/>
    <w:rsid w:val="00490001"/>
    <w:rsid w:val="00492533"/>
    <w:rsid w:val="004930EE"/>
    <w:rsid w:val="00493780"/>
    <w:rsid w:val="00493FE8"/>
    <w:rsid w:val="0049520A"/>
    <w:rsid w:val="004A10DF"/>
    <w:rsid w:val="004A1501"/>
    <w:rsid w:val="004A21CC"/>
    <w:rsid w:val="004A4019"/>
    <w:rsid w:val="004A5A11"/>
    <w:rsid w:val="004A6783"/>
    <w:rsid w:val="004A7750"/>
    <w:rsid w:val="004B3A34"/>
    <w:rsid w:val="004B41E3"/>
    <w:rsid w:val="004C0371"/>
    <w:rsid w:val="004C38D0"/>
    <w:rsid w:val="004C68AF"/>
    <w:rsid w:val="004C7F7B"/>
    <w:rsid w:val="004D211D"/>
    <w:rsid w:val="004D38F0"/>
    <w:rsid w:val="004D4208"/>
    <w:rsid w:val="004D55DD"/>
    <w:rsid w:val="004D6ACC"/>
    <w:rsid w:val="004D7DD4"/>
    <w:rsid w:val="004E1FA0"/>
    <w:rsid w:val="004E32DE"/>
    <w:rsid w:val="004E6918"/>
    <w:rsid w:val="004E6D75"/>
    <w:rsid w:val="004E70BF"/>
    <w:rsid w:val="004E72A6"/>
    <w:rsid w:val="004F0DF9"/>
    <w:rsid w:val="004F15DB"/>
    <w:rsid w:val="004F3E94"/>
    <w:rsid w:val="004F7443"/>
    <w:rsid w:val="00502A09"/>
    <w:rsid w:val="00502E63"/>
    <w:rsid w:val="00507E89"/>
    <w:rsid w:val="0051700D"/>
    <w:rsid w:val="00520232"/>
    <w:rsid w:val="005229E3"/>
    <w:rsid w:val="00523413"/>
    <w:rsid w:val="005253A7"/>
    <w:rsid w:val="00526C78"/>
    <w:rsid w:val="00530F59"/>
    <w:rsid w:val="005325FC"/>
    <w:rsid w:val="00533885"/>
    <w:rsid w:val="00533E3A"/>
    <w:rsid w:val="0053446C"/>
    <w:rsid w:val="00537B02"/>
    <w:rsid w:val="00543703"/>
    <w:rsid w:val="00543EEB"/>
    <w:rsid w:val="00544AF6"/>
    <w:rsid w:val="00545216"/>
    <w:rsid w:val="00545BB1"/>
    <w:rsid w:val="005466F1"/>
    <w:rsid w:val="00547EB4"/>
    <w:rsid w:val="005506AC"/>
    <w:rsid w:val="00551CE2"/>
    <w:rsid w:val="00551E94"/>
    <w:rsid w:val="00552319"/>
    <w:rsid w:val="005633D2"/>
    <w:rsid w:val="00567DCD"/>
    <w:rsid w:val="0057395F"/>
    <w:rsid w:val="00573EEA"/>
    <w:rsid w:val="00576672"/>
    <w:rsid w:val="005824F4"/>
    <w:rsid w:val="00583A06"/>
    <w:rsid w:val="0058590F"/>
    <w:rsid w:val="0058651B"/>
    <w:rsid w:val="00594C8D"/>
    <w:rsid w:val="00595D93"/>
    <w:rsid w:val="005972D0"/>
    <w:rsid w:val="005A10F5"/>
    <w:rsid w:val="005A4AC7"/>
    <w:rsid w:val="005A53E4"/>
    <w:rsid w:val="005A673E"/>
    <w:rsid w:val="005A70F1"/>
    <w:rsid w:val="005A7D85"/>
    <w:rsid w:val="005B109E"/>
    <w:rsid w:val="005B42C3"/>
    <w:rsid w:val="005B5AC0"/>
    <w:rsid w:val="005C0E56"/>
    <w:rsid w:val="005C0F82"/>
    <w:rsid w:val="005C13C2"/>
    <w:rsid w:val="005C1C9E"/>
    <w:rsid w:val="005C1E68"/>
    <w:rsid w:val="005C40E2"/>
    <w:rsid w:val="005C433C"/>
    <w:rsid w:val="005D23C5"/>
    <w:rsid w:val="005D3EC3"/>
    <w:rsid w:val="005D6AC3"/>
    <w:rsid w:val="005E01B3"/>
    <w:rsid w:val="005E1763"/>
    <w:rsid w:val="005E3DF4"/>
    <w:rsid w:val="005F2F7C"/>
    <w:rsid w:val="005F4521"/>
    <w:rsid w:val="005F460F"/>
    <w:rsid w:val="005F7854"/>
    <w:rsid w:val="00601AD9"/>
    <w:rsid w:val="00604426"/>
    <w:rsid w:val="006058CF"/>
    <w:rsid w:val="006077DE"/>
    <w:rsid w:val="00610EF0"/>
    <w:rsid w:val="0061483A"/>
    <w:rsid w:val="006152E4"/>
    <w:rsid w:val="0061559A"/>
    <w:rsid w:val="006157ED"/>
    <w:rsid w:val="006205EE"/>
    <w:rsid w:val="00626280"/>
    <w:rsid w:val="00627016"/>
    <w:rsid w:val="0063187D"/>
    <w:rsid w:val="00636846"/>
    <w:rsid w:val="00636875"/>
    <w:rsid w:val="0063693F"/>
    <w:rsid w:val="006410E4"/>
    <w:rsid w:val="006428B5"/>
    <w:rsid w:val="00646BDD"/>
    <w:rsid w:val="00647750"/>
    <w:rsid w:val="006505AA"/>
    <w:rsid w:val="00651A99"/>
    <w:rsid w:val="00652E91"/>
    <w:rsid w:val="00656967"/>
    <w:rsid w:val="00656FA5"/>
    <w:rsid w:val="006570CA"/>
    <w:rsid w:val="00660910"/>
    <w:rsid w:val="00660A21"/>
    <w:rsid w:val="00664BDB"/>
    <w:rsid w:val="00671B56"/>
    <w:rsid w:val="00673757"/>
    <w:rsid w:val="00676D4E"/>
    <w:rsid w:val="0068062F"/>
    <w:rsid w:val="006832C4"/>
    <w:rsid w:val="006856BA"/>
    <w:rsid w:val="00685E62"/>
    <w:rsid w:val="00687BAB"/>
    <w:rsid w:val="00692015"/>
    <w:rsid w:val="00693AD8"/>
    <w:rsid w:val="00696175"/>
    <w:rsid w:val="00697D58"/>
    <w:rsid w:val="006A212C"/>
    <w:rsid w:val="006A23C0"/>
    <w:rsid w:val="006A2E7B"/>
    <w:rsid w:val="006A4584"/>
    <w:rsid w:val="006B06AD"/>
    <w:rsid w:val="006B1576"/>
    <w:rsid w:val="006B2BBF"/>
    <w:rsid w:val="006B6D1F"/>
    <w:rsid w:val="006B7CEC"/>
    <w:rsid w:val="006C0FB6"/>
    <w:rsid w:val="006C10CF"/>
    <w:rsid w:val="006C13CE"/>
    <w:rsid w:val="006C1A86"/>
    <w:rsid w:val="006C2033"/>
    <w:rsid w:val="006C681A"/>
    <w:rsid w:val="006C7912"/>
    <w:rsid w:val="006C7C6D"/>
    <w:rsid w:val="006D17E6"/>
    <w:rsid w:val="006D18A1"/>
    <w:rsid w:val="006D3C42"/>
    <w:rsid w:val="006D551D"/>
    <w:rsid w:val="006D5A81"/>
    <w:rsid w:val="006D5F5D"/>
    <w:rsid w:val="006D6B09"/>
    <w:rsid w:val="006D7E55"/>
    <w:rsid w:val="006E0A27"/>
    <w:rsid w:val="006E2B56"/>
    <w:rsid w:val="006E351D"/>
    <w:rsid w:val="006E3E89"/>
    <w:rsid w:val="006E536C"/>
    <w:rsid w:val="006F0A9B"/>
    <w:rsid w:val="006F2EFC"/>
    <w:rsid w:val="006F5609"/>
    <w:rsid w:val="006F7E30"/>
    <w:rsid w:val="007033DC"/>
    <w:rsid w:val="007041ED"/>
    <w:rsid w:val="00705604"/>
    <w:rsid w:val="00706AFC"/>
    <w:rsid w:val="00707A91"/>
    <w:rsid w:val="007102CA"/>
    <w:rsid w:val="00713ADC"/>
    <w:rsid w:val="007148BB"/>
    <w:rsid w:val="007168EB"/>
    <w:rsid w:val="007173B4"/>
    <w:rsid w:val="007175ED"/>
    <w:rsid w:val="007206E6"/>
    <w:rsid w:val="007247D7"/>
    <w:rsid w:val="00726CF5"/>
    <w:rsid w:val="0073035B"/>
    <w:rsid w:val="007304BA"/>
    <w:rsid w:val="00731F56"/>
    <w:rsid w:val="0073221E"/>
    <w:rsid w:val="00732277"/>
    <w:rsid w:val="00736437"/>
    <w:rsid w:val="00737F94"/>
    <w:rsid w:val="007403BC"/>
    <w:rsid w:val="0074152E"/>
    <w:rsid w:val="00743062"/>
    <w:rsid w:val="00743073"/>
    <w:rsid w:val="007450FA"/>
    <w:rsid w:val="007463FE"/>
    <w:rsid w:val="00747E56"/>
    <w:rsid w:val="00753010"/>
    <w:rsid w:val="0075343D"/>
    <w:rsid w:val="00753D7F"/>
    <w:rsid w:val="00761160"/>
    <w:rsid w:val="00761AE6"/>
    <w:rsid w:val="0076235F"/>
    <w:rsid w:val="00762936"/>
    <w:rsid w:val="00767379"/>
    <w:rsid w:val="0076798D"/>
    <w:rsid w:val="00767B82"/>
    <w:rsid w:val="00767ED0"/>
    <w:rsid w:val="007702DF"/>
    <w:rsid w:val="00771F7A"/>
    <w:rsid w:val="0077245A"/>
    <w:rsid w:val="007757BE"/>
    <w:rsid w:val="00775B31"/>
    <w:rsid w:val="00775E50"/>
    <w:rsid w:val="007764C1"/>
    <w:rsid w:val="00777715"/>
    <w:rsid w:val="00783D57"/>
    <w:rsid w:val="007847AA"/>
    <w:rsid w:val="0078790F"/>
    <w:rsid w:val="00790630"/>
    <w:rsid w:val="00790C87"/>
    <w:rsid w:val="00791671"/>
    <w:rsid w:val="00792D57"/>
    <w:rsid w:val="007A17A6"/>
    <w:rsid w:val="007A5462"/>
    <w:rsid w:val="007A552A"/>
    <w:rsid w:val="007A5EE8"/>
    <w:rsid w:val="007A6EB8"/>
    <w:rsid w:val="007A74BA"/>
    <w:rsid w:val="007B05F7"/>
    <w:rsid w:val="007B0CC0"/>
    <w:rsid w:val="007B0CF4"/>
    <w:rsid w:val="007B5B73"/>
    <w:rsid w:val="007B659C"/>
    <w:rsid w:val="007C0C0E"/>
    <w:rsid w:val="007C1B0F"/>
    <w:rsid w:val="007C1BF1"/>
    <w:rsid w:val="007C3261"/>
    <w:rsid w:val="007C7B01"/>
    <w:rsid w:val="007C7B14"/>
    <w:rsid w:val="007D2336"/>
    <w:rsid w:val="007D2A79"/>
    <w:rsid w:val="007D6ED8"/>
    <w:rsid w:val="007E01F4"/>
    <w:rsid w:val="007E0942"/>
    <w:rsid w:val="007E5BAD"/>
    <w:rsid w:val="007F1459"/>
    <w:rsid w:val="007F2BE1"/>
    <w:rsid w:val="007F3660"/>
    <w:rsid w:val="007F4EB6"/>
    <w:rsid w:val="007F66BE"/>
    <w:rsid w:val="00801B78"/>
    <w:rsid w:val="00814AD7"/>
    <w:rsid w:val="00815B40"/>
    <w:rsid w:val="00815BAA"/>
    <w:rsid w:val="008175F5"/>
    <w:rsid w:val="00822066"/>
    <w:rsid w:val="0082484E"/>
    <w:rsid w:val="00825DC3"/>
    <w:rsid w:val="00825EA6"/>
    <w:rsid w:val="00826132"/>
    <w:rsid w:val="0082671B"/>
    <w:rsid w:val="0082723D"/>
    <w:rsid w:val="00827745"/>
    <w:rsid w:val="008341A4"/>
    <w:rsid w:val="00835CBA"/>
    <w:rsid w:val="00836ECA"/>
    <w:rsid w:val="00843E3E"/>
    <w:rsid w:val="008445B6"/>
    <w:rsid w:val="008464D8"/>
    <w:rsid w:val="00853E84"/>
    <w:rsid w:val="00854DD0"/>
    <w:rsid w:val="0086073C"/>
    <w:rsid w:val="00862130"/>
    <w:rsid w:val="0086277B"/>
    <w:rsid w:val="00863548"/>
    <w:rsid w:val="00866EF5"/>
    <w:rsid w:val="0087102D"/>
    <w:rsid w:val="008818E2"/>
    <w:rsid w:val="00884B95"/>
    <w:rsid w:val="008919D7"/>
    <w:rsid w:val="00894B63"/>
    <w:rsid w:val="00894C61"/>
    <w:rsid w:val="0089767F"/>
    <w:rsid w:val="008A1A2C"/>
    <w:rsid w:val="008A5E4F"/>
    <w:rsid w:val="008A7022"/>
    <w:rsid w:val="008B5669"/>
    <w:rsid w:val="008B5EF1"/>
    <w:rsid w:val="008C3858"/>
    <w:rsid w:val="008C6256"/>
    <w:rsid w:val="008C6837"/>
    <w:rsid w:val="008D13C6"/>
    <w:rsid w:val="008D22C1"/>
    <w:rsid w:val="008D3054"/>
    <w:rsid w:val="008D3FD4"/>
    <w:rsid w:val="008D4D74"/>
    <w:rsid w:val="008D6E19"/>
    <w:rsid w:val="008E03CD"/>
    <w:rsid w:val="008E2008"/>
    <w:rsid w:val="008E2A0F"/>
    <w:rsid w:val="008E322A"/>
    <w:rsid w:val="008F0C49"/>
    <w:rsid w:val="008F3693"/>
    <w:rsid w:val="008F40B9"/>
    <w:rsid w:val="008F5211"/>
    <w:rsid w:val="008F59EC"/>
    <w:rsid w:val="008F62E5"/>
    <w:rsid w:val="008F6578"/>
    <w:rsid w:val="00902588"/>
    <w:rsid w:val="009059B8"/>
    <w:rsid w:val="00915DE4"/>
    <w:rsid w:val="0091738E"/>
    <w:rsid w:val="00917900"/>
    <w:rsid w:val="00921626"/>
    <w:rsid w:val="00925643"/>
    <w:rsid w:val="00925939"/>
    <w:rsid w:val="00931BC8"/>
    <w:rsid w:val="0093325B"/>
    <w:rsid w:val="0093534E"/>
    <w:rsid w:val="00937238"/>
    <w:rsid w:val="009504EC"/>
    <w:rsid w:val="00951BFA"/>
    <w:rsid w:val="00951CE3"/>
    <w:rsid w:val="00953AE8"/>
    <w:rsid w:val="009563FE"/>
    <w:rsid w:val="00960434"/>
    <w:rsid w:val="00960F6B"/>
    <w:rsid w:val="009613F6"/>
    <w:rsid w:val="00970563"/>
    <w:rsid w:val="009721F9"/>
    <w:rsid w:val="00973F33"/>
    <w:rsid w:val="0097438C"/>
    <w:rsid w:val="00977B35"/>
    <w:rsid w:val="0098241A"/>
    <w:rsid w:val="00983BDC"/>
    <w:rsid w:val="0098447F"/>
    <w:rsid w:val="00986BB7"/>
    <w:rsid w:val="0099052B"/>
    <w:rsid w:val="00995081"/>
    <w:rsid w:val="0099561C"/>
    <w:rsid w:val="009957D4"/>
    <w:rsid w:val="0099588D"/>
    <w:rsid w:val="00995EDB"/>
    <w:rsid w:val="00997520"/>
    <w:rsid w:val="009A100E"/>
    <w:rsid w:val="009A1449"/>
    <w:rsid w:val="009A76F9"/>
    <w:rsid w:val="009B3433"/>
    <w:rsid w:val="009B3790"/>
    <w:rsid w:val="009B5B2C"/>
    <w:rsid w:val="009B63F6"/>
    <w:rsid w:val="009B758E"/>
    <w:rsid w:val="009B7D93"/>
    <w:rsid w:val="009C123F"/>
    <w:rsid w:val="009C12AD"/>
    <w:rsid w:val="009C167E"/>
    <w:rsid w:val="009C1D72"/>
    <w:rsid w:val="009C28D0"/>
    <w:rsid w:val="009C5336"/>
    <w:rsid w:val="009D03B4"/>
    <w:rsid w:val="009D4018"/>
    <w:rsid w:val="009D4108"/>
    <w:rsid w:val="009D5D9B"/>
    <w:rsid w:val="009D60B4"/>
    <w:rsid w:val="009D638D"/>
    <w:rsid w:val="009D6A53"/>
    <w:rsid w:val="009E050D"/>
    <w:rsid w:val="009E3737"/>
    <w:rsid w:val="009E386D"/>
    <w:rsid w:val="009E47E9"/>
    <w:rsid w:val="009E51CB"/>
    <w:rsid w:val="009E54C2"/>
    <w:rsid w:val="009E5FB4"/>
    <w:rsid w:val="009F0D81"/>
    <w:rsid w:val="009F4B02"/>
    <w:rsid w:val="009F52C3"/>
    <w:rsid w:val="009F53BB"/>
    <w:rsid w:val="009F5B3D"/>
    <w:rsid w:val="009F75FA"/>
    <w:rsid w:val="009F7AA4"/>
    <w:rsid w:val="00A107EF"/>
    <w:rsid w:val="00A111E1"/>
    <w:rsid w:val="00A11AF8"/>
    <w:rsid w:val="00A12D05"/>
    <w:rsid w:val="00A13141"/>
    <w:rsid w:val="00A13421"/>
    <w:rsid w:val="00A14D2B"/>
    <w:rsid w:val="00A16F01"/>
    <w:rsid w:val="00A2184D"/>
    <w:rsid w:val="00A21CFC"/>
    <w:rsid w:val="00A225C2"/>
    <w:rsid w:val="00A22839"/>
    <w:rsid w:val="00A2337B"/>
    <w:rsid w:val="00A233C3"/>
    <w:rsid w:val="00A24DF5"/>
    <w:rsid w:val="00A26012"/>
    <w:rsid w:val="00A27F7F"/>
    <w:rsid w:val="00A3273E"/>
    <w:rsid w:val="00A34B3F"/>
    <w:rsid w:val="00A3527D"/>
    <w:rsid w:val="00A36A90"/>
    <w:rsid w:val="00A376A7"/>
    <w:rsid w:val="00A41AD1"/>
    <w:rsid w:val="00A43AAA"/>
    <w:rsid w:val="00A4476D"/>
    <w:rsid w:val="00A44A6C"/>
    <w:rsid w:val="00A4596F"/>
    <w:rsid w:val="00A47BBB"/>
    <w:rsid w:val="00A52B51"/>
    <w:rsid w:val="00A548BD"/>
    <w:rsid w:val="00A54E61"/>
    <w:rsid w:val="00A5570F"/>
    <w:rsid w:val="00A5626C"/>
    <w:rsid w:val="00A563FC"/>
    <w:rsid w:val="00A64417"/>
    <w:rsid w:val="00A65DC3"/>
    <w:rsid w:val="00A703CF"/>
    <w:rsid w:val="00A7212F"/>
    <w:rsid w:val="00A72429"/>
    <w:rsid w:val="00A751F6"/>
    <w:rsid w:val="00A75239"/>
    <w:rsid w:val="00A77528"/>
    <w:rsid w:val="00A77B94"/>
    <w:rsid w:val="00A8259D"/>
    <w:rsid w:val="00A841E5"/>
    <w:rsid w:val="00A84276"/>
    <w:rsid w:val="00A84C85"/>
    <w:rsid w:val="00A85448"/>
    <w:rsid w:val="00A915EF"/>
    <w:rsid w:val="00A930C2"/>
    <w:rsid w:val="00A9787D"/>
    <w:rsid w:val="00AA0647"/>
    <w:rsid w:val="00AA0832"/>
    <w:rsid w:val="00AA1854"/>
    <w:rsid w:val="00AA1CAC"/>
    <w:rsid w:val="00AA283E"/>
    <w:rsid w:val="00AA4282"/>
    <w:rsid w:val="00AA4613"/>
    <w:rsid w:val="00AA5CD5"/>
    <w:rsid w:val="00AA666E"/>
    <w:rsid w:val="00AA7066"/>
    <w:rsid w:val="00AA73B2"/>
    <w:rsid w:val="00AB0B69"/>
    <w:rsid w:val="00AB1AD1"/>
    <w:rsid w:val="00AB3218"/>
    <w:rsid w:val="00AB3C46"/>
    <w:rsid w:val="00AB5216"/>
    <w:rsid w:val="00AB70E0"/>
    <w:rsid w:val="00AC3DF7"/>
    <w:rsid w:val="00AC4CDE"/>
    <w:rsid w:val="00AC548F"/>
    <w:rsid w:val="00AD0178"/>
    <w:rsid w:val="00AD0FA5"/>
    <w:rsid w:val="00AD1085"/>
    <w:rsid w:val="00AD11EB"/>
    <w:rsid w:val="00AD22E1"/>
    <w:rsid w:val="00AD3455"/>
    <w:rsid w:val="00AD705C"/>
    <w:rsid w:val="00AE1033"/>
    <w:rsid w:val="00AE1068"/>
    <w:rsid w:val="00AE5228"/>
    <w:rsid w:val="00AF182C"/>
    <w:rsid w:val="00AF3771"/>
    <w:rsid w:val="00AF526A"/>
    <w:rsid w:val="00B04E3A"/>
    <w:rsid w:val="00B05A8F"/>
    <w:rsid w:val="00B0651F"/>
    <w:rsid w:val="00B06923"/>
    <w:rsid w:val="00B11E69"/>
    <w:rsid w:val="00B12FA6"/>
    <w:rsid w:val="00B1411C"/>
    <w:rsid w:val="00B1483F"/>
    <w:rsid w:val="00B1744B"/>
    <w:rsid w:val="00B17E04"/>
    <w:rsid w:val="00B217C8"/>
    <w:rsid w:val="00B22D8D"/>
    <w:rsid w:val="00B24FFA"/>
    <w:rsid w:val="00B27BA0"/>
    <w:rsid w:val="00B31956"/>
    <w:rsid w:val="00B31EDD"/>
    <w:rsid w:val="00B32FDD"/>
    <w:rsid w:val="00B34CD4"/>
    <w:rsid w:val="00B444C8"/>
    <w:rsid w:val="00B45A91"/>
    <w:rsid w:val="00B4653C"/>
    <w:rsid w:val="00B46656"/>
    <w:rsid w:val="00B51030"/>
    <w:rsid w:val="00B52514"/>
    <w:rsid w:val="00B56087"/>
    <w:rsid w:val="00B577DE"/>
    <w:rsid w:val="00B651FD"/>
    <w:rsid w:val="00B65F03"/>
    <w:rsid w:val="00B673BA"/>
    <w:rsid w:val="00B70137"/>
    <w:rsid w:val="00B718FB"/>
    <w:rsid w:val="00B75EB8"/>
    <w:rsid w:val="00B76D0E"/>
    <w:rsid w:val="00B7752D"/>
    <w:rsid w:val="00B77822"/>
    <w:rsid w:val="00B82DA4"/>
    <w:rsid w:val="00B87169"/>
    <w:rsid w:val="00B87BAE"/>
    <w:rsid w:val="00B92ACB"/>
    <w:rsid w:val="00B93411"/>
    <w:rsid w:val="00B93997"/>
    <w:rsid w:val="00B943BE"/>
    <w:rsid w:val="00B96544"/>
    <w:rsid w:val="00BA09DF"/>
    <w:rsid w:val="00BA18C5"/>
    <w:rsid w:val="00BA3FB1"/>
    <w:rsid w:val="00BA5093"/>
    <w:rsid w:val="00BA5B0E"/>
    <w:rsid w:val="00BA682C"/>
    <w:rsid w:val="00BB0644"/>
    <w:rsid w:val="00BB2C8F"/>
    <w:rsid w:val="00BB4C8F"/>
    <w:rsid w:val="00BB686E"/>
    <w:rsid w:val="00BC01D2"/>
    <w:rsid w:val="00BC05D1"/>
    <w:rsid w:val="00BC2580"/>
    <w:rsid w:val="00BC2BB7"/>
    <w:rsid w:val="00BC391D"/>
    <w:rsid w:val="00BC3B92"/>
    <w:rsid w:val="00BC3EF3"/>
    <w:rsid w:val="00BC4946"/>
    <w:rsid w:val="00BC5589"/>
    <w:rsid w:val="00BC55D8"/>
    <w:rsid w:val="00BC6058"/>
    <w:rsid w:val="00BC6852"/>
    <w:rsid w:val="00BD0508"/>
    <w:rsid w:val="00BD1E7E"/>
    <w:rsid w:val="00BD25FC"/>
    <w:rsid w:val="00BD3D29"/>
    <w:rsid w:val="00BE0B0A"/>
    <w:rsid w:val="00BE46F2"/>
    <w:rsid w:val="00BE5F98"/>
    <w:rsid w:val="00BE609E"/>
    <w:rsid w:val="00BE60DB"/>
    <w:rsid w:val="00BF5671"/>
    <w:rsid w:val="00BF627B"/>
    <w:rsid w:val="00BF6A6A"/>
    <w:rsid w:val="00BF6D49"/>
    <w:rsid w:val="00C03CE6"/>
    <w:rsid w:val="00C05C32"/>
    <w:rsid w:val="00C05DE1"/>
    <w:rsid w:val="00C07AC3"/>
    <w:rsid w:val="00C07FAF"/>
    <w:rsid w:val="00C1306C"/>
    <w:rsid w:val="00C13F6A"/>
    <w:rsid w:val="00C14435"/>
    <w:rsid w:val="00C20BEB"/>
    <w:rsid w:val="00C216FE"/>
    <w:rsid w:val="00C217E7"/>
    <w:rsid w:val="00C23384"/>
    <w:rsid w:val="00C25063"/>
    <w:rsid w:val="00C25A76"/>
    <w:rsid w:val="00C32BF6"/>
    <w:rsid w:val="00C32E26"/>
    <w:rsid w:val="00C33275"/>
    <w:rsid w:val="00C336E8"/>
    <w:rsid w:val="00C352AF"/>
    <w:rsid w:val="00C35445"/>
    <w:rsid w:val="00C354B3"/>
    <w:rsid w:val="00C40903"/>
    <w:rsid w:val="00C414C8"/>
    <w:rsid w:val="00C41A6F"/>
    <w:rsid w:val="00C42370"/>
    <w:rsid w:val="00C426C8"/>
    <w:rsid w:val="00C42C0B"/>
    <w:rsid w:val="00C43C8D"/>
    <w:rsid w:val="00C46014"/>
    <w:rsid w:val="00C4675D"/>
    <w:rsid w:val="00C471F6"/>
    <w:rsid w:val="00C47514"/>
    <w:rsid w:val="00C5016C"/>
    <w:rsid w:val="00C535FE"/>
    <w:rsid w:val="00C538E0"/>
    <w:rsid w:val="00C54865"/>
    <w:rsid w:val="00C5503B"/>
    <w:rsid w:val="00C55759"/>
    <w:rsid w:val="00C6089E"/>
    <w:rsid w:val="00C6132F"/>
    <w:rsid w:val="00C61A87"/>
    <w:rsid w:val="00C637F1"/>
    <w:rsid w:val="00C63C23"/>
    <w:rsid w:val="00C6680E"/>
    <w:rsid w:val="00C678EA"/>
    <w:rsid w:val="00C75D74"/>
    <w:rsid w:val="00C77872"/>
    <w:rsid w:val="00C77C99"/>
    <w:rsid w:val="00C822A5"/>
    <w:rsid w:val="00C82581"/>
    <w:rsid w:val="00C868E9"/>
    <w:rsid w:val="00C86BFF"/>
    <w:rsid w:val="00C86F9E"/>
    <w:rsid w:val="00C8759E"/>
    <w:rsid w:val="00C93CE9"/>
    <w:rsid w:val="00C9437F"/>
    <w:rsid w:val="00C9443C"/>
    <w:rsid w:val="00C94F8F"/>
    <w:rsid w:val="00C9519B"/>
    <w:rsid w:val="00C9633E"/>
    <w:rsid w:val="00CA0F3B"/>
    <w:rsid w:val="00CA13CF"/>
    <w:rsid w:val="00CB42A8"/>
    <w:rsid w:val="00CB4D04"/>
    <w:rsid w:val="00CB537A"/>
    <w:rsid w:val="00CB7C0D"/>
    <w:rsid w:val="00CB7D20"/>
    <w:rsid w:val="00CC0100"/>
    <w:rsid w:val="00CC198E"/>
    <w:rsid w:val="00CC2BFB"/>
    <w:rsid w:val="00CC6D1C"/>
    <w:rsid w:val="00CD4C50"/>
    <w:rsid w:val="00CD63A9"/>
    <w:rsid w:val="00CD7581"/>
    <w:rsid w:val="00CE043A"/>
    <w:rsid w:val="00CE1C8B"/>
    <w:rsid w:val="00CE57EA"/>
    <w:rsid w:val="00CE626E"/>
    <w:rsid w:val="00CE7DAB"/>
    <w:rsid w:val="00CF08C5"/>
    <w:rsid w:val="00CF0E16"/>
    <w:rsid w:val="00CF1753"/>
    <w:rsid w:val="00CF1961"/>
    <w:rsid w:val="00CF1A59"/>
    <w:rsid w:val="00CF26C0"/>
    <w:rsid w:val="00CF5B4C"/>
    <w:rsid w:val="00CF65B8"/>
    <w:rsid w:val="00CF6BAE"/>
    <w:rsid w:val="00CF73B6"/>
    <w:rsid w:val="00D004C4"/>
    <w:rsid w:val="00D00CF7"/>
    <w:rsid w:val="00D02CA7"/>
    <w:rsid w:val="00D05F18"/>
    <w:rsid w:val="00D060C5"/>
    <w:rsid w:val="00D075DD"/>
    <w:rsid w:val="00D07825"/>
    <w:rsid w:val="00D116D6"/>
    <w:rsid w:val="00D126CB"/>
    <w:rsid w:val="00D16327"/>
    <w:rsid w:val="00D2031A"/>
    <w:rsid w:val="00D20B03"/>
    <w:rsid w:val="00D214A4"/>
    <w:rsid w:val="00D23E2A"/>
    <w:rsid w:val="00D25C26"/>
    <w:rsid w:val="00D26593"/>
    <w:rsid w:val="00D33166"/>
    <w:rsid w:val="00D332C0"/>
    <w:rsid w:val="00D36313"/>
    <w:rsid w:val="00D36A36"/>
    <w:rsid w:val="00D42C2A"/>
    <w:rsid w:val="00D43D7D"/>
    <w:rsid w:val="00D44498"/>
    <w:rsid w:val="00D44503"/>
    <w:rsid w:val="00D464F3"/>
    <w:rsid w:val="00D51DA9"/>
    <w:rsid w:val="00D51E0E"/>
    <w:rsid w:val="00D546F5"/>
    <w:rsid w:val="00D56DC1"/>
    <w:rsid w:val="00D57F76"/>
    <w:rsid w:val="00D65CC3"/>
    <w:rsid w:val="00D664CC"/>
    <w:rsid w:val="00D70359"/>
    <w:rsid w:val="00D74691"/>
    <w:rsid w:val="00D7640C"/>
    <w:rsid w:val="00D8061E"/>
    <w:rsid w:val="00D81A3A"/>
    <w:rsid w:val="00D81F2C"/>
    <w:rsid w:val="00D82DC7"/>
    <w:rsid w:val="00D82FEB"/>
    <w:rsid w:val="00D8418F"/>
    <w:rsid w:val="00D8514A"/>
    <w:rsid w:val="00D85CF5"/>
    <w:rsid w:val="00D86436"/>
    <w:rsid w:val="00D866EB"/>
    <w:rsid w:val="00D8680B"/>
    <w:rsid w:val="00D901B5"/>
    <w:rsid w:val="00D9124B"/>
    <w:rsid w:val="00D91D02"/>
    <w:rsid w:val="00D95177"/>
    <w:rsid w:val="00D96293"/>
    <w:rsid w:val="00DA1178"/>
    <w:rsid w:val="00DA30A4"/>
    <w:rsid w:val="00DA4207"/>
    <w:rsid w:val="00DA6235"/>
    <w:rsid w:val="00DB20E7"/>
    <w:rsid w:val="00DB36EB"/>
    <w:rsid w:val="00DB78A9"/>
    <w:rsid w:val="00DC0458"/>
    <w:rsid w:val="00DC0D33"/>
    <w:rsid w:val="00DC11EE"/>
    <w:rsid w:val="00DC2C60"/>
    <w:rsid w:val="00DC319C"/>
    <w:rsid w:val="00DC396F"/>
    <w:rsid w:val="00DC4421"/>
    <w:rsid w:val="00DC7E68"/>
    <w:rsid w:val="00DD17BE"/>
    <w:rsid w:val="00DE0683"/>
    <w:rsid w:val="00DE23B8"/>
    <w:rsid w:val="00DE3A1B"/>
    <w:rsid w:val="00DE43AA"/>
    <w:rsid w:val="00DE4CE6"/>
    <w:rsid w:val="00DE5355"/>
    <w:rsid w:val="00DE58D9"/>
    <w:rsid w:val="00DF4B98"/>
    <w:rsid w:val="00E0007C"/>
    <w:rsid w:val="00E00D4B"/>
    <w:rsid w:val="00E0206E"/>
    <w:rsid w:val="00E05B21"/>
    <w:rsid w:val="00E1043A"/>
    <w:rsid w:val="00E11EB5"/>
    <w:rsid w:val="00E13744"/>
    <w:rsid w:val="00E15EE9"/>
    <w:rsid w:val="00E20F03"/>
    <w:rsid w:val="00E217D6"/>
    <w:rsid w:val="00E21A98"/>
    <w:rsid w:val="00E23664"/>
    <w:rsid w:val="00E24247"/>
    <w:rsid w:val="00E24545"/>
    <w:rsid w:val="00E24D0E"/>
    <w:rsid w:val="00E24D47"/>
    <w:rsid w:val="00E254A6"/>
    <w:rsid w:val="00E25963"/>
    <w:rsid w:val="00E276BE"/>
    <w:rsid w:val="00E340DA"/>
    <w:rsid w:val="00E34502"/>
    <w:rsid w:val="00E349AC"/>
    <w:rsid w:val="00E353BC"/>
    <w:rsid w:val="00E36179"/>
    <w:rsid w:val="00E36361"/>
    <w:rsid w:val="00E37212"/>
    <w:rsid w:val="00E37A29"/>
    <w:rsid w:val="00E40CCE"/>
    <w:rsid w:val="00E426C6"/>
    <w:rsid w:val="00E42CC0"/>
    <w:rsid w:val="00E43756"/>
    <w:rsid w:val="00E44E14"/>
    <w:rsid w:val="00E4543F"/>
    <w:rsid w:val="00E4622F"/>
    <w:rsid w:val="00E471CD"/>
    <w:rsid w:val="00E475F8"/>
    <w:rsid w:val="00E47B0B"/>
    <w:rsid w:val="00E503E9"/>
    <w:rsid w:val="00E508D1"/>
    <w:rsid w:val="00E56247"/>
    <w:rsid w:val="00E60917"/>
    <w:rsid w:val="00E62523"/>
    <w:rsid w:val="00E65A0F"/>
    <w:rsid w:val="00E6651F"/>
    <w:rsid w:val="00E702EE"/>
    <w:rsid w:val="00E70BB4"/>
    <w:rsid w:val="00E71A16"/>
    <w:rsid w:val="00E749F4"/>
    <w:rsid w:val="00E75824"/>
    <w:rsid w:val="00E75F54"/>
    <w:rsid w:val="00E77FE8"/>
    <w:rsid w:val="00E81121"/>
    <w:rsid w:val="00E81930"/>
    <w:rsid w:val="00E8193A"/>
    <w:rsid w:val="00E833F5"/>
    <w:rsid w:val="00E84BB5"/>
    <w:rsid w:val="00E85FCC"/>
    <w:rsid w:val="00E86637"/>
    <w:rsid w:val="00E87BBC"/>
    <w:rsid w:val="00E916DD"/>
    <w:rsid w:val="00E91CC2"/>
    <w:rsid w:val="00E91D40"/>
    <w:rsid w:val="00E92ACF"/>
    <w:rsid w:val="00E96538"/>
    <w:rsid w:val="00EA025F"/>
    <w:rsid w:val="00EA05D2"/>
    <w:rsid w:val="00EA070A"/>
    <w:rsid w:val="00EA0CDD"/>
    <w:rsid w:val="00EA0D2F"/>
    <w:rsid w:val="00EA1637"/>
    <w:rsid w:val="00EA43E2"/>
    <w:rsid w:val="00EA48D2"/>
    <w:rsid w:val="00EA4BD2"/>
    <w:rsid w:val="00EA4C82"/>
    <w:rsid w:val="00EA50D4"/>
    <w:rsid w:val="00EA76D8"/>
    <w:rsid w:val="00EA7DCB"/>
    <w:rsid w:val="00EB40B0"/>
    <w:rsid w:val="00EB7949"/>
    <w:rsid w:val="00EC0A94"/>
    <w:rsid w:val="00EC1B8E"/>
    <w:rsid w:val="00EC1BA3"/>
    <w:rsid w:val="00EC352F"/>
    <w:rsid w:val="00EC35EB"/>
    <w:rsid w:val="00EC4537"/>
    <w:rsid w:val="00EC49CE"/>
    <w:rsid w:val="00EC4DC7"/>
    <w:rsid w:val="00EC5385"/>
    <w:rsid w:val="00EC6E75"/>
    <w:rsid w:val="00ED5C6B"/>
    <w:rsid w:val="00ED654F"/>
    <w:rsid w:val="00EE1EF4"/>
    <w:rsid w:val="00EE285E"/>
    <w:rsid w:val="00EF4486"/>
    <w:rsid w:val="00EF5D3C"/>
    <w:rsid w:val="00EF5F9A"/>
    <w:rsid w:val="00F00916"/>
    <w:rsid w:val="00F009BC"/>
    <w:rsid w:val="00F00CF7"/>
    <w:rsid w:val="00F016EC"/>
    <w:rsid w:val="00F0286F"/>
    <w:rsid w:val="00F038DC"/>
    <w:rsid w:val="00F05D39"/>
    <w:rsid w:val="00F05E52"/>
    <w:rsid w:val="00F108EA"/>
    <w:rsid w:val="00F124AA"/>
    <w:rsid w:val="00F26B21"/>
    <w:rsid w:val="00F26E72"/>
    <w:rsid w:val="00F27F5E"/>
    <w:rsid w:val="00F32951"/>
    <w:rsid w:val="00F34709"/>
    <w:rsid w:val="00F36ADD"/>
    <w:rsid w:val="00F412C3"/>
    <w:rsid w:val="00F4155C"/>
    <w:rsid w:val="00F44793"/>
    <w:rsid w:val="00F45D9D"/>
    <w:rsid w:val="00F47E69"/>
    <w:rsid w:val="00F50C71"/>
    <w:rsid w:val="00F51123"/>
    <w:rsid w:val="00F51659"/>
    <w:rsid w:val="00F51809"/>
    <w:rsid w:val="00F52F48"/>
    <w:rsid w:val="00F568E9"/>
    <w:rsid w:val="00F5768E"/>
    <w:rsid w:val="00F657D3"/>
    <w:rsid w:val="00F6618F"/>
    <w:rsid w:val="00F67821"/>
    <w:rsid w:val="00F710AF"/>
    <w:rsid w:val="00F72C9E"/>
    <w:rsid w:val="00F74945"/>
    <w:rsid w:val="00F7625C"/>
    <w:rsid w:val="00F80272"/>
    <w:rsid w:val="00F8217B"/>
    <w:rsid w:val="00F83EC5"/>
    <w:rsid w:val="00F84818"/>
    <w:rsid w:val="00F86743"/>
    <w:rsid w:val="00F87F2B"/>
    <w:rsid w:val="00F911B4"/>
    <w:rsid w:val="00F917F0"/>
    <w:rsid w:val="00F952FA"/>
    <w:rsid w:val="00F95659"/>
    <w:rsid w:val="00F95700"/>
    <w:rsid w:val="00F96D99"/>
    <w:rsid w:val="00F9764E"/>
    <w:rsid w:val="00FA0332"/>
    <w:rsid w:val="00FA0B55"/>
    <w:rsid w:val="00FA12D1"/>
    <w:rsid w:val="00FA52A3"/>
    <w:rsid w:val="00FA798E"/>
    <w:rsid w:val="00FB0DD2"/>
    <w:rsid w:val="00FB2A3D"/>
    <w:rsid w:val="00FB37C6"/>
    <w:rsid w:val="00FB3A6E"/>
    <w:rsid w:val="00FB73C8"/>
    <w:rsid w:val="00FC0684"/>
    <w:rsid w:val="00FC19D0"/>
    <w:rsid w:val="00FC23E4"/>
    <w:rsid w:val="00FC276A"/>
    <w:rsid w:val="00FC3426"/>
    <w:rsid w:val="00FC3951"/>
    <w:rsid w:val="00FC4050"/>
    <w:rsid w:val="00FC4B2D"/>
    <w:rsid w:val="00FD30ED"/>
    <w:rsid w:val="00FD3F13"/>
    <w:rsid w:val="00FD5632"/>
    <w:rsid w:val="00FD58E0"/>
    <w:rsid w:val="00FD6EEF"/>
    <w:rsid w:val="00FD7F8C"/>
    <w:rsid w:val="00FE1737"/>
    <w:rsid w:val="00FE4BC8"/>
    <w:rsid w:val="00FF2D7D"/>
    <w:rsid w:val="00FF4F96"/>
    <w:rsid w:val="00FF5ABC"/>
    <w:rsid w:val="0275C9EE"/>
    <w:rsid w:val="03D4ECC6"/>
    <w:rsid w:val="3E24BE4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2FC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49520A"/>
    <w:pPr>
      <w:spacing w:line="288" w:lineRule="auto"/>
    </w:pPr>
    <w:rPr>
      <w:rFonts w:ascii="Arial" w:hAnsi="Arial"/>
      <w:color w:val="15272F" w:themeColor="text1"/>
    </w:rPr>
  </w:style>
  <w:style w:type="paragraph" w:styleId="Heading1">
    <w:name w:val="heading 1"/>
    <w:basedOn w:val="Normal"/>
    <w:next w:val="Normal"/>
    <w:link w:val="Heading1Char"/>
    <w:uiPriority w:val="9"/>
    <w:qFormat/>
    <w:rsid w:val="0049520A"/>
    <w:pPr>
      <w:keepNext/>
      <w:keepLines/>
      <w:numPr>
        <w:numId w:val="3"/>
      </w:numPr>
      <w:spacing w:after="480"/>
      <w:outlineLvl w:val="0"/>
    </w:pPr>
    <w:rPr>
      <w:rFonts w:eastAsiaTheme="majorEastAsia" w:cstheme="majorBidi"/>
      <w:b/>
      <w:sz w:val="72"/>
      <w:szCs w:val="32"/>
    </w:rPr>
  </w:style>
  <w:style w:type="paragraph" w:styleId="Heading2">
    <w:name w:val="heading 2"/>
    <w:basedOn w:val="Normal"/>
    <w:next w:val="Normal"/>
    <w:link w:val="Heading2Char"/>
    <w:uiPriority w:val="9"/>
    <w:unhideWhenUsed/>
    <w:qFormat/>
    <w:rsid w:val="0049520A"/>
    <w:pPr>
      <w:keepNext/>
      <w:keepLines/>
      <w:numPr>
        <w:ilvl w:val="1"/>
        <w:numId w:val="3"/>
      </w:numPr>
      <w:spacing w:before="120" w:after="240"/>
      <w:outlineLvl w:val="1"/>
    </w:pPr>
    <w:rPr>
      <w:rFonts w:eastAsiaTheme="majorEastAsia" w:cstheme="majorBidi"/>
      <w:b/>
      <w:color w:val="104F99" w:themeColor="accent2"/>
      <w:sz w:val="36"/>
      <w:szCs w:val="26"/>
    </w:rPr>
  </w:style>
  <w:style w:type="paragraph" w:styleId="Heading3">
    <w:name w:val="heading 3"/>
    <w:basedOn w:val="Normal"/>
    <w:next w:val="Normal"/>
    <w:link w:val="Heading3Char"/>
    <w:uiPriority w:val="9"/>
    <w:unhideWhenUsed/>
    <w:qFormat/>
    <w:rsid w:val="007F3660"/>
    <w:pPr>
      <w:keepNext/>
      <w:keepLines/>
      <w:numPr>
        <w:ilvl w:val="2"/>
        <w:numId w:val="3"/>
      </w:numPr>
      <w:spacing w:before="120" w:after="240"/>
      <w:outlineLvl w:val="2"/>
    </w:pPr>
    <w:rPr>
      <w:rFonts w:eastAsiaTheme="majorEastAsia" w:cstheme="majorBidi"/>
      <w:b/>
      <w:color w:val="008F55" w:themeColor="accent4"/>
      <w:sz w:val="26"/>
      <w:szCs w:val="24"/>
    </w:rPr>
  </w:style>
  <w:style w:type="paragraph" w:styleId="Heading4">
    <w:name w:val="heading 4"/>
    <w:basedOn w:val="Normal"/>
    <w:next w:val="Normal"/>
    <w:link w:val="Heading4Char"/>
    <w:uiPriority w:val="9"/>
    <w:unhideWhenUsed/>
    <w:qFormat/>
    <w:rsid w:val="007F3660"/>
    <w:pPr>
      <w:keepNext/>
      <w:keepLines/>
      <w:numPr>
        <w:ilvl w:val="3"/>
        <w:numId w:val="3"/>
      </w:numPr>
      <w:spacing w:before="12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rsid w:val="007F3660"/>
    <w:pPr>
      <w:keepNext/>
      <w:keepLines/>
      <w:numPr>
        <w:ilvl w:val="4"/>
        <w:numId w:val="3"/>
      </w:numPr>
      <w:spacing w:before="40" w:after="0"/>
      <w:outlineLvl w:val="4"/>
    </w:pPr>
    <w:rPr>
      <w:rFonts w:eastAsiaTheme="majorEastAsia" w:cstheme="majorBidi"/>
      <w:b/>
      <w:color w:val="0F1D23" w:themeColor="accent1" w:themeShade="BF"/>
    </w:rPr>
  </w:style>
  <w:style w:type="paragraph" w:styleId="Heading6">
    <w:name w:val="heading 6"/>
    <w:basedOn w:val="Normal"/>
    <w:next w:val="Normal"/>
    <w:link w:val="Heading6Char"/>
    <w:uiPriority w:val="9"/>
    <w:semiHidden/>
    <w:unhideWhenUsed/>
    <w:qFormat/>
    <w:rsid w:val="003F4DE9"/>
    <w:pPr>
      <w:keepNext/>
      <w:keepLines/>
      <w:numPr>
        <w:ilvl w:val="5"/>
        <w:numId w:val="3"/>
      </w:numPr>
      <w:spacing w:before="40" w:after="0"/>
      <w:outlineLvl w:val="5"/>
    </w:pPr>
    <w:rPr>
      <w:rFonts w:asciiTheme="majorHAnsi" w:eastAsiaTheme="majorEastAsia" w:hAnsiTheme="majorHAnsi" w:cstheme="majorBidi"/>
      <w:color w:val="0A1317" w:themeColor="accent1" w:themeShade="7F"/>
    </w:rPr>
  </w:style>
  <w:style w:type="paragraph" w:styleId="Heading7">
    <w:name w:val="heading 7"/>
    <w:basedOn w:val="Normal"/>
    <w:next w:val="Normal"/>
    <w:link w:val="Heading7Char"/>
    <w:uiPriority w:val="9"/>
    <w:semiHidden/>
    <w:unhideWhenUsed/>
    <w:qFormat/>
    <w:rsid w:val="003F4DE9"/>
    <w:pPr>
      <w:keepNext/>
      <w:keepLines/>
      <w:numPr>
        <w:ilvl w:val="6"/>
        <w:numId w:val="3"/>
      </w:numPr>
      <w:spacing w:before="40" w:after="0"/>
      <w:outlineLvl w:val="6"/>
    </w:pPr>
    <w:rPr>
      <w:rFonts w:asciiTheme="majorHAnsi" w:eastAsiaTheme="majorEastAsia" w:hAnsiTheme="majorHAnsi" w:cstheme="majorBidi"/>
      <w:i/>
      <w:iCs/>
      <w:color w:val="0A1317" w:themeColor="accent1" w:themeShade="7F"/>
    </w:rPr>
  </w:style>
  <w:style w:type="paragraph" w:styleId="Heading8">
    <w:name w:val="heading 8"/>
    <w:basedOn w:val="Normal"/>
    <w:next w:val="Normal"/>
    <w:link w:val="Heading8Char"/>
    <w:uiPriority w:val="9"/>
    <w:semiHidden/>
    <w:unhideWhenUsed/>
    <w:qFormat/>
    <w:rsid w:val="003F4DE9"/>
    <w:pPr>
      <w:keepNext/>
      <w:keepLines/>
      <w:numPr>
        <w:ilvl w:val="7"/>
        <w:numId w:val="3"/>
      </w:numPr>
      <w:spacing w:before="40" w:after="0"/>
      <w:outlineLvl w:val="7"/>
    </w:pPr>
    <w:rPr>
      <w:rFonts w:asciiTheme="majorHAnsi" w:eastAsiaTheme="majorEastAsia" w:hAnsiTheme="majorHAnsi" w:cstheme="majorBidi"/>
      <w:color w:val="294D5D" w:themeColor="text1" w:themeTint="D8"/>
      <w:sz w:val="21"/>
      <w:szCs w:val="21"/>
    </w:rPr>
  </w:style>
  <w:style w:type="paragraph" w:styleId="Heading9">
    <w:name w:val="heading 9"/>
    <w:basedOn w:val="Normal"/>
    <w:next w:val="Normal"/>
    <w:link w:val="Heading9Char"/>
    <w:uiPriority w:val="9"/>
    <w:semiHidden/>
    <w:unhideWhenUsed/>
    <w:qFormat/>
    <w:rsid w:val="003F4DE9"/>
    <w:pPr>
      <w:keepNext/>
      <w:keepLines/>
      <w:numPr>
        <w:ilvl w:val="8"/>
        <w:numId w:val="3"/>
      </w:numPr>
      <w:spacing w:before="40" w:after="0"/>
      <w:outlineLvl w:val="8"/>
    </w:pPr>
    <w:rPr>
      <w:rFonts w:asciiTheme="majorHAnsi" w:eastAsiaTheme="majorEastAsia" w:hAnsiTheme="majorHAnsi" w:cstheme="majorBidi"/>
      <w:i/>
      <w:iCs/>
      <w:color w:val="294D5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520A"/>
    <w:rPr>
      <w:rFonts w:ascii="Arial" w:eastAsiaTheme="majorEastAsia" w:hAnsi="Arial" w:cstheme="majorBidi"/>
      <w:b/>
      <w:color w:val="15272F" w:themeColor="text1"/>
      <w:sz w:val="72"/>
      <w:szCs w:val="32"/>
    </w:rPr>
  </w:style>
  <w:style w:type="paragraph" w:styleId="Title">
    <w:name w:val="Title"/>
    <w:basedOn w:val="Normal"/>
    <w:next w:val="Normal"/>
    <w:link w:val="TitleChar"/>
    <w:uiPriority w:val="10"/>
    <w:qFormat/>
    <w:rsid w:val="0049520A"/>
    <w:pPr>
      <w:spacing w:after="840" w:line="240" w:lineRule="auto"/>
      <w:contextualSpacing/>
    </w:pPr>
    <w:rPr>
      <w:rFonts w:eastAsiaTheme="majorEastAsia" w:cstheme="majorBidi"/>
      <w:b/>
      <w:spacing w:val="-10"/>
      <w:kern w:val="28"/>
      <w:sz w:val="84"/>
      <w:szCs w:val="56"/>
    </w:rPr>
  </w:style>
  <w:style w:type="character" w:customStyle="1" w:styleId="TitleChar">
    <w:name w:val="Title Char"/>
    <w:basedOn w:val="DefaultParagraphFont"/>
    <w:link w:val="Title"/>
    <w:uiPriority w:val="10"/>
    <w:rsid w:val="0049520A"/>
    <w:rPr>
      <w:rFonts w:ascii="Arial" w:eastAsiaTheme="majorEastAsia" w:hAnsi="Arial" w:cstheme="majorBidi"/>
      <w:b/>
      <w:color w:val="15272F" w:themeColor="text1"/>
      <w:spacing w:val="-10"/>
      <w:kern w:val="28"/>
      <w:sz w:val="84"/>
      <w:szCs w:val="56"/>
    </w:rPr>
  </w:style>
  <w:style w:type="character" w:customStyle="1" w:styleId="Heading2Char">
    <w:name w:val="Heading 2 Char"/>
    <w:basedOn w:val="DefaultParagraphFont"/>
    <w:link w:val="Heading2"/>
    <w:uiPriority w:val="9"/>
    <w:rsid w:val="0049520A"/>
    <w:rPr>
      <w:rFonts w:ascii="Arial" w:eastAsiaTheme="majorEastAsia" w:hAnsi="Arial" w:cstheme="majorBidi"/>
      <w:b/>
      <w:color w:val="104F99" w:themeColor="accent2"/>
      <w:sz w:val="36"/>
      <w:szCs w:val="26"/>
    </w:rPr>
  </w:style>
  <w:style w:type="character" w:customStyle="1" w:styleId="Heading3Char">
    <w:name w:val="Heading 3 Char"/>
    <w:basedOn w:val="DefaultParagraphFont"/>
    <w:link w:val="Heading3"/>
    <w:uiPriority w:val="9"/>
    <w:rsid w:val="007F3660"/>
    <w:rPr>
      <w:rFonts w:ascii="Arial" w:eastAsiaTheme="majorEastAsia" w:hAnsi="Arial" w:cstheme="majorBidi"/>
      <w:b/>
      <w:color w:val="008F55" w:themeColor="accent4"/>
      <w:sz w:val="26"/>
      <w:szCs w:val="24"/>
    </w:rPr>
  </w:style>
  <w:style w:type="character" w:customStyle="1" w:styleId="Heading4Char">
    <w:name w:val="Heading 4 Char"/>
    <w:basedOn w:val="DefaultParagraphFont"/>
    <w:link w:val="Heading4"/>
    <w:uiPriority w:val="9"/>
    <w:rsid w:val="007F3660"/>
    <w:rPr>
      <w:rFonts w:ascii="Arial" w:eastAsiaTheme="majorEastAsia" w:hAnsi="Arial" w:cstheme="majorBidi"/>
      <w:b/>
      <w:iCs/>
      <w:color w:val="15272F" w:themeColor="text1"/>
    </w:rPr>
  </w:style>
  <w:style w:type="paragraph" w:customStyle="1" w:styleId="ListLevel1">
    <w:name w:val="List Level 1"/>
    <w:basedOn w:val="ListLevel2"/>
    <w:link w:val="ListLevel1Char"/>
    <w:qFormat/>
    <w:rsid w:val="0049520A"/>
    <w:pPr>
      <w:numPr>
        <w:numId w:val="2"/>
      </w:numPr>
    </w:pPr>
  </w:style>
  <w:style w:type="paragraph" w:customStyle="1" w:styleId="ListLevel2">
    <w:name w:val="List Level 2"/>
    <w:basedOn w:val="Normal"/>
    <w:link w:val="ListLevel2Char"/>
    <w:qFormat/>
    <w:rsid w:val="0049520A"/>
    <w:pPr>
      <w:numPr>
        <w:ilvl w:val="1"/>
        <w:numId w:val="1"/>
      </w:numPr>
      <w:contextualSpacing/>
    </w:pPr>
  </w:style>
  <w:style w:type="paragraph" w:styleId="Header">
    <w:name w:val="header"/>
    <w:basedOn w:val="Normal"/>
    <w:link w:val="HeaderChar"/>
    <w:uiPriority w:val="99"/>
    <w:unhideWhenUsed/>
    <w:rsid w:val="007F3660"/>
    <w:pPr>
      <w:tabs>
        <w:tab w:val="center" w:pos="4680"/>
        <w:tab w:val="right" w:pos="9360"/>
      </w:tabs>
      <w:spacing w:after="0" w:line="240" w:lineRule="auto"/>
    </w:pPr>
  </w:style>
  <w:style w:type="character" w:customStyle="1" w:styleId="ListLevel1Char">
    <w:name w:val="List Level 1 Char"/>
    <w:basedOn w:val="ListLevel2Char"/>
    <w:link w:val="ListLevel1"/>
    <w:rsid w:val="0049520A"/>
    <w:rPr>
      <w:rFonts w:ascii="Arial" w:hAnsi="Arial"/>
      <w:color w:val="15272F" w:themeColor="text1"/>
    </w:rPr>
  </w:style>
  <w:style w:type="character" w:customStyle="1" w:styleId="ListLevel2Char">
    <w:name w:val="List Level 2 Char"/>
    <w:basedOn w:val="DefaultParagraphFont"/>
    <w:link w:val="ListLevel2"/>
    <w:rsid w:val="0049520A"/>
    <w:rPr>
      <w:rFonts w:ascii="Arial" w:hAnsi="Arial"/>
      <w:color w:val="15272F" w:themeColor="text1"/>
    </w:rPr>
  </w:style>
  <w:style w:type="character" w:customStyle="1" w:styleId="HeaderChar">
    <w:name w:val="Header Char"/>
    <w:basedOn w:val="DefaultParagraphFont"/>
    <w:link w:val="Header"/>
    <w:uiPriority w:val="99"/>
    <w:rsid w:val="007F3660"/>
    <w:rPr>
      <w:rFonts w:ascii="Fira Sans" w:hAnsi="Fira Sans"/>
      <w:color w:val="15272F" w:themeColor="text1"/>
    </w:rPr>
  </w:style>
  <w:style w:type="paragraph" w:styleId="Footer">
    <w:name w:val="footer"/>
    <w:basedOn w:val="Normal"/>
    <w:link w:val="FooterChar"/>
    <w:uiPriority w:val="99"/>
    <w:unhideWhenUsed/>
    <w:rsid w:val="007F36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660"/>
    <w:rPr>
      <w:rFonts w:ascii="Fira Sans" w:hAnsi="Fira Sans"/>
      <w:color w:val="15272F" w:themeColor="text1"/>
    </w:rPr>
  </w:style>
  <w:style w:type="paragraph" w:styleId="ListParagraph">
    <w:name w:val="List Paragraph"/>
    <w:aliases w:val="Recommendation,List Paragraph1,Bullet table,Bullet L1,dot point 1,Bullet point,Bullets,CV text,Dot pt,F5 List Paragraph,FooterText,L,List Paragraph11,List Paragraph111,List Paragraph2,Medium Grid 1 - Accent 21,NAST Quote"/>
    <w:basedOn w:val="Normal"/>
    <w:link w:val="ListParagraphChar"/>
    <w:uiPriority w:val="34"/>
    <w:qFormat/>
    <w:rsid w:val="007F3660"/>
    <w:pPr>
      <w:ind w:left="720"/>
      <w:contextualSpacing/>
    </w:pPr>
  </w:style>
  <w:style w:type="paragraph" w:customStyle="1" w:styleId="TableFigureheading">
    <w:name w:val="Table/Figure heading"/>
    <w:basedOn w:val="Heading4"/>
    <w:link w:val="TableFigureheadingChar"/>
    <w:qFormat/>
    <w:rsid w:val="007F3660"/>
    <w:pPr>
      <w:numPr>
        <w:ilvl w:val="0"/>
        <w:numId w:val="0"/>
      </w:numPr>
      <w:spacing w:before="240"/>
    </w:pPr>
    <w:rPr>
      <w:b w:val="0"/>
      <w:color w:val="008F55" w:themeColor="accent4"/>
    </w:rPr>
  </w:style>
  <w:style w:type="table" w:customStyle="1" w:styleId="IHACPATable">
    <w:name w:val="IHACPA Table"/>
    <w:basedOn w:val="TableNormal"/>
    <w:uiPriority w:val="99"/>
    <w:rsid w:val="007F3660"/>
    <w:pPr>
      <w:spacing w:after="0" w:line="240" w:lineRule="auto"/>
    </w:pPr>
    <w:rPr>
      <w:sz w:val="18"/>
    </w:rPr>
    <w:tblPr>
      <w:tblStyleRowBandSize w:val="1"/>
    </w:tblPr>
    <w:tblStylePr w:type="firstRow">
      <w:tblPr/>
      <w:tcPr>
        <w:shd w:val="clear" w:color="auto" w:fill="15272F" w:themeFill="text2"/>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character" w:customStyle="1" w:styleId="TableFigureheadingChar">
    <w:name w:val="Table/Figure heading Char"/>
    <w:basedOn w:val="Heading4Char"/>
    <w:link w:val="TableFigureheading"/>
    <w:rsid w:val="007F3660"/>
    <w:rPr>
      <w:rFonts w:ascii="Fira Sans" w:eastAsiaTheme="majorEastAsia" w:hAnsi="Fira Sans" w:cstheme="majorBidi"/>
      <w:b w:val="0"/>
      <w:iCs/>
      <w:color w:val="008F55" w:themeColor="accent4"/>
    </w:rPr>
  </w:style>
  <w:style w:type="table" w:styleId="TableGrid">
    <w:name w:val="Table Grid"/>
    <w:basedOn w:val="TableNormal"/>
    <w:uiPriority w:val="39"/>
    <w:rsid w:val="007F3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HPATable">
    <w:name w:val="IHPA Table"/>
    <w:basedOn w:val="TableNormal"/>
    <w:uiPriority w:val="99"/>
    <w:rsid w:val="007F3660"/>
    <w:pPr>
      <w:spacing w:after="0" w:line="240" w:lineRule="auto"/>
    </w:pPr>
    <w:tblPr>
      <w:tblStyleRowBandSize w:val="1"/>
    </w:tblPr>
    <w:tblStylePr w:type="firstRow">
      <w:rPr>
        <w:rFonts w:asciiTheme="minorHAnsi" w:hAnsiTheme="minorHAnsi"/>
        <w:color w:val="FFFFFF" w:themeColor="background2"/>
        <w:sz w:val="18"/>
      </w:rPr>
      <w:tblPr/>
      <w:tcPr>
        <w:shd w:val="clear" w:color="auto" w:fill="008F55" w:themeFill="accent4"/>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paragraph" w:customStyle="1" w:styleId="Footnote">
    <w:name w:val="Footnote"/>
    <w:basedOn w:val="Normal"/>
    <w:link w:val="FootnoteChar"/>
    <w:qFormat/>
    <w:rsid w:val="0049520A"/>
    <w:pPr>
      <w:spacing w:after="120"/>
    </w:pPr>
    <w:rPr>
      <w:sz w:val="16"/>
      <w:szCs w:val="15"/>
    </w:rPr>
  </w:style>
  <w:style w:type="character" w:customStyle="1" w:styleId="FootnoteChar">
    <w:name w:val="Footnote Char"/>
    <w:basedOn w:val="DefaultParagraphFont"/>
    <w:link w:val="Footnote"/>
    <w:rsid w:val="0049520A"/>
    <w:rPr>
      <w:rFonts w:ascii="Arial" w:hAnsi="Arial"/>
      <w:color w:val="15272F" w:themeColor="text1"/>
      <w:sz w:val="16"/>
      <w:szCs w:val="15"/>
    </w:rPr>
  </w:style>
  <w:style w:type="character" w:styleId="Hyperlink">
    <w:name w:val="Hyperlink"/>
    <w:basedOn w:val="DefaultParagraphFont"/>
    <w:uiPriority w:val="99"/>
    <w:unhideWhenUsed/>
    <w:rsid w:val="007F3660"/>
    <w:rPr>
      <w:color w:val="0080C4" w:themeColor="hyperlink"/>
      <w:u w:val="single"/>
    </w:rPr>
  </w:style>
  <w:style w:type="paragraph" w:styleId="TOC1">
    <w:name w:val="toc 1"/>
    <w:basedOn w:val="Normal"/>
    <w:next w:val="Normal"/>
    <w:autoRedefine/>
    <w:uiPriority w:val="39"/>
    <w:unhideWhenUsed/>
    <w:rsid w:val="00047B95"/>
    <w:pPr>
      <w:tabs>
        <w:tab w:val="left" w:pos="660"/>
        <w:tab w:val="right" w:leader="dot" w:pos="9736"/>
      </w:tabs>
      <w:spacing w:before="240" w:after="120" w:line="276" w:lineRule="auto"/>
    </w:pPr>
    <w:rPr>
      <w:b/>
      <w:sz w:val="28"/>
    </w:rPr>
  </w:style>
  <w:style w:type="paragraph" w:customStyle="1" w:styleId="CoverTitle">
    <w:name w:val="Cover Title"/>
    <w:basedOn w:val="Title"/>
    <w:link w:val="CoverTitleChar"/>
    <w:qFormat/>
    <w:rsid w:val="0049520A"/>
    <w:pPr>
      <w:spacing w:after="720"/>
      <w:ind w:right="1242"/>
    </w:pPr>
    <w:rPr>
      <w:color w:val="FFFFFF" w:themeColor="background2"/>
      <w:sz w:val="96"/>
      <w:szCs w:val="96"/>
    </w:rPr>
  </w:style>
  <w:style w:type="paragraph" w:customStyle="1" w:styleId="Coversubtitle">
    <w:name w:val="Cover subtitle"/>
    <w:basedOn w:val="CoverTitle"/>
    <w:link w:val="CoversubtitleChar"/>
    <w:qFormat/>
    <w:rsid w:val="0049520A"/>
    <w:rPr>
      <w:color w:val="54C1AF" w:themeColor="accent5"/>
      <w:sz w:val="48"/>
      <w:szCs w:val="48"/>
    </w:rPr>
  </w:style>
  <w:style w:type="character" w:customStyle="1" w:styleId="CoverTitleChar">
    <w:name w:val="Cover Title Char"/>
    <w:basedOn w:val="TitleChar"/>
    <w:link w:val="CoverTitle"/>
    <w:rsid w:val="0049520A"/>
    <w:rPr>
      <w:rFonts w:ascii="Arial" w:eastAsiaTheme="majorEastAsia" w:hAnsi="Arial" w:cstheme="majorBidi"/>
      <w:b/>
      <w:color w:val="FFFFFF" w:themeColor="background2"/>
      <w:spacing w:val="-10"/>
      <w:kern w:val="28"/>
      <w:sz w:val="96"/>
      <w:szCs w:val="96"/>
    </w:rPr>
  </w:style>
  <w:style w:type="character" w:customStyle="1" w:styleId="UnresolvedMention1">
    <w:name w:val="Unresolved Mention1"/>
    <w:basedOn w:val="DefaultParagraphFont"/>
    <w:uiPriority w:val="99"/>
    <w:semiHidden/>
    <w:unhideWhenUsed/>
    <w:rsid w:val="007F3660"/>
    <w:rPr>
      <w:color w:val="605E5C"/>
      <w:shd w:val="clear" w:color="auto" w:fill="E1DFDD"/>
    </w:rPr>
  </w:style>
  <w:style w:type="character" w:customStyle="1" w:styleId="CoversubtitleChar">
    <w:name w:val="Cover subtitle Char"/>
    <w:basedOn w:val="CoverTitleChar"/>
    <w:link w:val="Coversubtitle"/>
    <w:rsid w:val="0049520A"/>
    <w:rPr>
      <w:rFonts w:ascii="Arial" w:eastAsiaTheme="majorEastAsia" w:hAnsi="Arial" w:cstheme="majorBidi"/>
      <w:b/>
      <w:color w:val="54C1AF" w:themeColor="accent5"/>
      <w:spacing w:val="-10"/>
      <w:kern w:val="28"/>
      <w:sz w:val="48"/>
      <w:szCs w:val="48"/>
    </w:rPr>
  </w:style>
  <w:style w:type="paragraph" w:customStyle="1" w:styleId="Copyrightcopy">
    <w:name w:val="Copyright copy"/>
    <w:basedOn w:val="Normal"/>
    <w:next w:val="Normal"/>
    <w:qFormat/>
    <w:rsid w:val="0049520A"/>
    <w:pPr>
      <w:ind w:right="4064"/>
    </w:pPr>
    <w:rPr>
      <w:sz w:val="18"/>
    </w:rPr>
  </w:style>
  <w:style w:type="paragraph" w:customStyle="1" w:styleId="Copyrightheading">
    <w:name w:val="Copyright heading"/>
    <w:basedOn w:val="Heading4"/>
    <w:next w:val="Normal"/>
    <w:qFormat/>
    <w:rsid w:val="0049520A"/>
    <w:pPr>
      <w:numPr>
        <w:ilvl w:val="0"/>
        <w:numId w:val="0"/>
      </w:numPr>
    </w:pPr>
  </w:style>
  <w:style w:type="character" w:customStyle="1" w:styleId="Heading5Char">
    <w:name w:val="Heading 5 Char"/>
    <w:basedOn w:val="DefaultParagraphFont"/>
    <w:link w:val="Heading5"/>
    <w:uiPriority w:val="9"/>
    <w:semiHidden/>
    <w:rsid w:val="007F3660"/>
    <w:rPr>
      <w:rFonts w:ascii="Arial" w:eastAsiaTheme="majorEastAsia" w:hAnsi="Arial" w:cstheme="majorBidi"/>
      <w:b/>
      <w:color w:val="0F1D23" w:themeColor="accent1" w:themeShade="BF"/>
    </w:rPr>
  </w:style>
  <w:style w:type="paragraph" w:styleId="NoSpacing">
    <w:name w:val="No Spacing"/>
    <w:uiPriority w:val="1"/>
    <w:rsid w:val="0049520A"/>
    <w:pPr>
      <w:spacing w:after="0" w:line="240" w:lineRule="auto"/>
    </w:pPr>
    <w:rPr>
      <w:rFonts w:ascii="Arial" w:hAnsi="Arial"/>
      <w:color w:val="15272F" w:themeColor="text1"/>
    </w:rPr>
  </w:style>
  <w:style w:type="paragraph" w:styleId="Subtitle">
    <w:name w:val="Subtitle"/>
    <w:basedOn w:val="Normal"/>
    <w:next w:val="Normal"/>
    <w:link w:val="SubtitleChar"/>
    <w:uiPriority w:val="11"/>
    <w:rsid w:val="007F3660"/>
    <w:pPr>
      <w:numPr>
        <w:ilvl w:val="1"/>
      </w:numPr>
    </w:pPr>
    <w:rPr>
      <w:rFonts w:eastAsiaTheme="minorEastAsia"/>
      <w:color w:val="45809A" w:themeColor="text1" w:themeTint="A5"/>
      <w:spacing w:val="15"/>
    </w:rPr>
  </w:style>
  <w:style w:type="character" w:customStyle="1" w:styleId="SubtitleChar">
    <w:name w:val="Subtitle Char"/>
    <w:basedOn w:val="DefaultParagraphFont"/>
    <w:link w:val="Subtitle"/>
    <w:uiPriority w:val="11"/>
    <w:rsid w:val="007F3660"/>
    <w:rPr>
      <w:rFonts w:ascii="Fira Sans" w:eastAsiaTheme="minorEastAsia" w:hAnsi="Fira Sans"/>
      <w:color w:val="45809A" w:themeColor="text1" w:themeTint="A5"/>
      <w:spacing w:val="15"/>
    </w:rPr>
  </w:style>
  <w:style w:type="paragraph" w:styleId="TOCHeading">
    <w:name w:val="TOC Heading"/>
    <w:basedOn w:val="Heading1"/>
    <w:next w:val="Normal"/>
    <w:uiPriority w:val="39"/>
    <w:unhideWhenUsed/>
    <w:qFormat/>
    <w:rsid w:val="0076798D"/>
    <w:pPr>
      <w:numPr>
        <w:numId w:val="0"/>
      </w:numPr>
      <w:spacing w:before="240" w:after="0" w:line="259" w:lineRule="auto"/>
      <w:outlineLvl w:val="9"/>
    </w:pPr>
    <w:rPr>
      <w:rFonts w:asciiTheme="majorHAnsi" w:hAnsiTheme="majorHAnsi"/>
      <w:b w:val="0"/>
      <w:color w:val="0F1D23" w:themeColor="accent1" w:themeShade="BF"/>
      <w:sz w:val="32"/>
      <w:lang w:val="en-US"/>
    </w:rPr>
  </w:style>
  <w:style w:type="paragraph" w:styleId="TOC2">
    <w:name w:val="toc 2"/>
    <w:basedOn w:val="Normal"/>
    <w:next w:val="Normal"/>
    <w:autoRedefine/>
    <w:uiPriority w:val="39"/>
    <w:unhideWhenUsed/>
    <w:rsid w:val="0076798D"/>
    <w:pPr>
      <w:spacing w:after="100"/>
      <w:ind w:left="220"/>
    </w:pPr>
  </w:style>
  <w:style w:type="paragraph" w:styleId="TOC3">
    <w:name w:val="toc 3"/>
    <w:basedOn w:val="Normal"/>
    <w:next w:val="Normal"/>
    <w:autoRedefine/>
    <w:uiPriority w:val="39"/>
    <w:unhideWhenUsed/>
    <w:rsid w:val="0076798D"/>
    <w:pPr>
      <w:spacing w:after="100"/>
      <w:ind w:left="440"/>
    </w:pPr>
  </w:style>
  <w:style w:type="paragraph" w:customStyle="1" w:styleId="TableParagraph">
    <w:name w:val="Table Paragraph"/>
    <w:basedOn w:val="Normal"/>
    <w:uiPriority w:val="1"/>
    <w:qFormat/>
    <w:rsid w:val="0076798D"/>
    <w:pPr>
      <w:widowControl w:val="0"/>
      <w:autoSpaceDE w:val="0"/>
      <w:autoSpaceDN w:val="0"/>
      <w:spacing w:before="62" w:after="0" w:line="240" w:lineRule="auto"/>
      <w:ind w:left="50"/>
    </w:pPr>
    <w:rPr>
      <w:rFonts w:eastAsia="Futura PT Book" w:cs="Futura PT Book"/>
      <w:color w:val="58595A"/>
      <w:sz w:val="18"/>
      <w:szCs w:val="18"/>
      <w:lang w:val="en-AU" w:bidi="en-US"/>
    </w:rPr>
  </w:style>
  <w:style w:type="table" w:styleId="TableGridLight">
    <w:name w:val="Grid Table Light"/>
    <w:basedOn w:val="TableNormal"/>
    <w:uiPriority w:val="40"/>
    <w:rsid w:val="0076798D"/>
    <w:pPr>
      <w:widowControl w:val="0"/>
      <w:autoSpaceDE w:val="0"/>
      <w:autoSpaceDN w:val="0"/>
      <w:spacing w:after="0" w:line="240" w:lineRule="auto"/>
    </w:pPr>
    <w:rPr>
      <w:lang w:val="en-US"/>
    </w:rPr>
    <w:tblPr>
      <w:tblInd w:w="0" w:type="nil"/>
      <w:tblBorders>
        <w:top w:val="single" w:sz="4" w:space="0" w:color="379887" w:themeColor="background1" w:themeShade="BF"/>
        <w:left w:val="single" w:sz="4" w:space="0" w:color="379887" w:themeColor="background1" w:themeShade="BF"/>
        <w:bottom w:val="single" w:sz="4" w:space="0" w:color="379887" w:themeColor="background1" w:themeShade="BF"/>
        <w:right w:val="single" w:sz="4" w:space="0" w:color="379887" w:themeColor="background1" w:themeShade="BF"/>
        <w:insideH w:val="single" w:sz="4" w:space="0" w:color="379887" w:themeColor="background1" w:themeShade="BF"/>
        <w:insideV w:val="single" w:sz="4" w:space="0" w:color="379887" w:themeColor="background1" w:themeShade="BF"/>
      </w:tblBorders>
    </w:tblPr>
  </w:style>
  <w:style w:type="character" w:styleId="CommentReference">
    <w:name w:val="annotation reference"/>
    <w:basedOn w:val="DefaultParagraphFont"/>
    <w:uiPriority w:val="99"/>
    <w:semiHidden/>
    <w:unhideWhenUsed/>
    <w:rsid w:val="0076798D"/>
    <w:rPr>
      <w:sz w:val="16"/>
      <w:szCs w:val="16"/>
    </w:rPr>
  </w:style>
  <w:style w:type="paragraph" w:styleId="CommentText">
    <w:name w:val="annotation text"/>
    <w:basedOn w:val="Normal"/>
    <w:link w:val="CommentTextChar"/>
    <w:uiPriority w:val="99"/>
    <w:unhideWhenUsed/>
    <w:rsid w:val="0076798D"/>
    <w:pPr>
      <w:spacing w:line="240" w:lineRule="auto"/>
    </w:pPr>
    <w:rPr>
      <w:sz w:val="20"/>
      <w:szCs w:val="20"/>
    </w:rPr>
  </w:style>
  <w:style w:type="character" w:customStyle="1" w:styleId="CommentTextChar">
    <w:name w:val="Comment Text Char"/>
    <w:basedOn w:val="DefaultParagraphFont"/>
    <w:link w:val="CommentText"/>
    <w:uiPriority w:val="99"/>
    <w:rsid w:val="0076798D"/>
    <w:rPr>
      <w:rFonts w:ascii="Arial" w:hAnsi="Arial"/>
      <w:color w:val="15272F" w:themeColor="text1"/>
      <w:sz w:val="20"/>
      <w:szCs w:val="20"/>
    </w:rPr>
  </w:style>
  <w:style w:type="paragraph" w:styleId="CommentSubject">
    <w:name w:val="annotation subject"/>
    <w:basedOn w:val="CommentText"/>
    <w:next w:val="CommentText"/>
    <w:link w:val="CommentSubjectChar"/>
    <w:uiPriority w:val="99"/>
    <w:semiHidden/>
    <w:unhideWhenUsed/>
    <w:rsid w:val="0076798D"/>
    <w:rPr>
      <w:b/>
      <w:bCs/>
    </w:rPr>
  </w:style>
  <w:style w:type="character" w:customStyle="1" w:styleId="CommentSubjectChar">
    <w:name w:val="Comment Subject Char"/>
    <w:basedOn w:val="CommentTextChar"/>
    <w:link w:val="CommentSubject"/>
    <w:uiPriority w:val="99"/>
    <w:semiHidden/>
    <w:rsid w:val="0076798D"/>
    <w:rPr>
      <w:rFonts w:ascii="Arial" w:hAnsi="Arial"/>
      <w:b/>
      <w:bCs/>
      <w:color w:val="15272F" w:themeColor="text1"/>
      <w:sz w:val="20"/>
      <w:szCs w:val="20"/>
    </w:rPr>
  </w:style>
  <w:style w:type="paragraph" w:styleId="BalloonText">
    <w:name w:val="Balloon Text"/>
    <w:basedOn w:val="Normal"/>
    <w:link w:val="BalloonTextChar"/>
    <w:uiPriority w:val="99"/>
    <w:semiHidden/>
    <w:unhideWhenUsed/>
    <w:rsid w:val="007679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98D"/>
    <w:rPr>
      <w:rFonts w:ascii="Segoe UI" w:hAnsi="Segoe UI" w:cs="Segoe UI"/>
      <w:color w:val="15272F" w:themeColor="text1"/>
      <w:sz w:val="18"/>
      <w:szCs w:val="18"/>
    </w:rPr>
  </w:style>
  <w:style w:type="character" w:customStyle="1" w:styleId="Heading6Char">
    <w:name w:val="Heading 6 Char"/>
    <w:basedOn w:val="DefaultParagraphFont"/>
    <w:link w:val="Heading6"/>
    <w:uiPriority w:val="9"/>
    <w:semiHidden/>
    <w:rsid w:val="003F4DE9"/>
    <w:rPr>
      <w:rFonts w:asciiTheme="majorHAnsi" w:eastAsiaTheme="majorEastAsia" w:hAnsiTheme="majorHAnsi" w:cstheme="majorBidi"/>
      <w:color w:val="0A1317" w:themeColor="accent1" w:themeShade="7F"/>
    </w:rPr>
  </w:style>
  <w:style w:type="character" w:customStyle="1" w:styleId="Heading7Char">
    <w:name w:val="Heading 7 Char"/>
    <w:basedOn w:val="DefaultParagraphFont"/>
    <w:link w:val="Heading7"/>
    <w:uiPriority w:val="9"/>
    <w:semiHidden/>
    <w:rsid w:val="003F4DE9"/>
    <w:rPr>
      <w:rFonts w:asciiTheme="majorHAnsi" w:eastAsiaTheme="majorEastAsia" w:hAnsiTheme="majorHAnsi" w:cstheme="majorBidi"/>
      <w:i/>
      <w:iCs/>
      <w:color w:val="0A1317" w:themeColor="accent1" w:themeShade="7F"/>
    </w:rPr>
  </w:style>
  <w:style w:type="character" w:customStyle="1" w:styleId="Heading8Char">
    <w:name w:val="Heading 8 Char"/>
    <w:basedOn w:val="DefaultParagraphFont"/>
    <w:link w:val="Heading8"/>
    <w:uiPriority w:val="9"/>
    <w:semiHidden/>
    <w:rsid w:val="003F4DE9"/>
    <w:rPr>
      <w:rFonts w:asciiTheme="majorHAnsi" w:eastAsiaTheme="majorEastAsia" w:hAnsiTheme="majorHAnsi" w:cstheme="majorBidi"/>
      <w:color w:val="294D5D" w:themeColor="text1" w:themeTint="D8"/>
      <w:sz w:val="21"/>
      <w:szCs w:val="21"/>
    </w:rPr>
  </w:style>
  <w:style w:type="character" w:customStyle="1" w:styleId="Heading9Char">
    <w:name w:val="Heading 9 Char"/>
    <w:basedOn w:val="DefaultParagraphFont"/>
    <w:link w:val="Heading9"/>
    <w:uiPriority w:val="9"/>
    <w:semiHidden/>
    <w:rsid w:val="003F4DE9"/>
    <w:rPr>
      <w:rFonts w:asciiTheme="majorHAnsi" w:eastAsiaTheme="majorEastAsia" w:hAnsiTheme="majorHAnsi" w:cstheme="majorBidi"/>
      <w:i/>
      <w:iCs/>
      <w:color w:val="294D5D" w:themeColor="text1" w:themeTint="D8"/>
      <w:sz w:val="21"/>
      <w:szCs w:val="21"/>
    </w:rPr>
  </w:style>
  <w:style w:type="paragraph" w:styleId="Caption">
    <w:name w:val="caption"/>
    <w:basedOn w:val="Normal"/>
    <w:next w:val="Normal"/>
    <w:uiPriority w:val="35"/>
    <w:unhideWhenUsed/>
    <w:qFormat/>
    <w:rsid w:val="00461D28"/>
    <w:pPr>
      <w:spacing w:after="200" w:line="240" w:lineRule="auto"/>
    </w:pPr>
    <w:rPr>
      <w:iCs/>
      <w:color w:val="008F55" w:themeColor="accent4"/>
      <w:szCs w:val="18"/>
    </w:rPr>
  </w:style>
  <w:style w:type="paragraph" w:styleId="Revision">
    <w:name w:val="Revision"/>
    <w:hidden/>
    <w:uiPriority w:val="99"/>
    <w:semiHidden/>
    <w:rsid w:val="00A27F7F"/>
    <w:pPr>
      <w:spacing w:after="0" w:line="240" w:lineRule="auto"/>
    </w:pPr>
    <w:rPr>
      <w:rFonts w:ascii="Arial" w:hAnsi="Arial"/>
      <w:color w:val="15272F" w:themeColor="text1"/>
    </w:rPr>
  </w:style>
  <w:style w:type="paragraph" w:styleId="FootnoteText">
    <w:name w:val="footnote text"/>
    <w:basedOn w:val="Normal"/>
    <w:link w:val="FootnoteTextChar"/>
    <w:uiPriority w:val="99"/>
    <w:unhideWhenUsed/>
    <w:rsid w:val="0018246F"/>
    <w:pPr>
      <w:spacing w:after="0" w:line="240" w:lineRule="auto"/>
    </w:pPr>
    <w:rPr>
      <w:sz w:val="20"/>
      <w:szCs w:val="20"/>
    </w:rPr>
  </w:style>
  <w:style w:type="character" w:customStyle="1" w:styleId="FootnoteTextChar">
    <w:name w:val="Footnote Text Char"/>
    <w:basedOn w:val="DefaultParagraphFont"/>
    <w:link w:val="FootnoteText"/>
    <w:uiPriority w:val="99"/>
    <w:rsid w:val="0018246F"/>
    <w:rPr>
      <w:rFonts w:ascii="Arial" w:hAnsi="Arial"/>
      <w:color w:val="15272F" w:themeColor="text1"/>
      <w:sz w:val="20"/>
      <w:szCs w:val="20"/>
    </w:rPr>
  </w:style>
  <w:style w:type="character" w:styleId="FootnoteReference">
    <w:name w:val="footnote reference"/>
    <w:basedOn w:val="DefaultParagraphFont"/>
    <w:uiPriority w:val="99"/>
    <w:unhideWhenUsed/>
    <w:rsid w:val="0018246F"/>
    <w:rPr>
      <w:vertAlign w:val="superscript"/>
    </w:rPr>
  </w:style>
  <w:style w:type="character" w:customStyle="1" w:styleId="ListParagraphChar">
    <w:name w:val="List Paragraph Char"/>
    <w:aliases w:val="Recommendation Char,List Paragraph1 Char,Bullet table Char,Bullet L1 Char,dot point 1 Char,Bullet point Char,Bullets Char,CV text Char,Dot pt Char,F5 List Paragraph Char,FooterText Char,L Char,List Paragraph11 Char,NAST Quote Char"/>
    <w:link w:val="ListParagraph"/>
    <w:uiPriority w:val="34"/>
    <w:qFormat/>
    <w:locked/>
    <w:rsid w:val="00E0007C"/>
    <w:rPr>
      <w:rFonts w:ascii="Arial" w:hAnsi="Arial"/>
      <w:color w:val="15272F" w:themeColor="text1"/>
    </w:rPr>
  </w:style>
  <w:style w:type="character" w:styleId="UnresolvedMention">
    <w:name w:val="Unresolved Mention"/>
    <w:basedOn w:val="DefaultParagraphFont"/>
    <w:uiPriority w:val="99"/>
    <w:semiHidden/>
    <w:unhideWhenUsed/>
    <w:rsid w:val="00163D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14206">
      <w:bodyDiv w:val="1"/>
      <w:marLeft w:val="0"/>
      <w:marRight w:val="0"/>
      <w:marTop w:val="0"/>
      <w:marBottom w:val="0"/>
      <w:divBdr>
        <w:top w:val="none" w:sz="0" w:space="0" w:color="auto"/>
        <w:left w:val="none" w:sz="0" w:space="0" w:color="auto"/>
        <w:bottom w:val="none" w:sz="0" w:space="0" w:color="auto"/>
        <w:right w:val="none" w:sz="0" w:space="0" w:color="auto"/>
      </w:divBdr>
    </w:div>
    <w:div w:id="173308248">
      <w:bodyDiv w:val="1"/>
      <w:marLeft w:val="0"/>
      <w:marRight w:val="0"/>
      <w:marTop w:val="0"/>
      <w:marBottom w:val="0"/>
      <w:divBdr>
        <w:top w:val="none" w:sz="0" w:space="0" w:color="auto"/>
        <w:left w:val="none" w:sz="0" w:space="0" w:color="auto"/>
        <w:bottom w:val="none" w:sz="0" w:space="0" w:color="auto"/>
        <w:right w:val="none" w:sz="0" w:space="0" w:color="auto"/>
      </w:divBdr>
    </w:div>
    <w:div w:id="564530155">
      <w:bodyDiv w:val="1"/>
      <w:marLeft w:val="0"/>
      <w:marRight w:val="0"/>
      <w:marTop w:val="0"/>
      <w:marBottom w:val="0"/>
      <w:divBdr>
        <w:top w:val="none" w:sz="0" w:space="0" w:color="auto"/>
        <w:left w:val="none" w:sz="0" w:space="0" w:color="auto"/>
        <w:bottom w:val="none" w:sz="0" w:space="0" w:color="auto"/>
        <w:right w:val="none" w:sz="0" w:space="0" w:color="auto"/>
      </w:divBdr>
    </w:div>
    <w:div w:id="632367586">
      <w:bodyDiv w:val="1"/>
      <w:marLeft w:val="0"/>
      <w:marRight w:val="0"/>
      <w:marTop w:val="0"/>
      <w:marBottom w:val="0"/>
      <w:divBdr>
        <w:top w:val="none" w:sz="0" w:space="0" w:color="auto"/>
        <w:left w:val="none" w:sz="0" w:space="0" w:color="auto"/>
        <w:bottom w:val="none" w:sz="0" w:space="0" w:color="auto"/>
        <w:right w:val="none" w:sz="0" w:space="0" w:color="auto"/>
      </w:divBdr>
    </w:div>
    <w:div w:id="741677439">
      <w:bodyDiv w:val="1"/>
      <w:marLeft w:val="0"/>
      <w:marRight w:val="0"/>
      <w:marTop w:val="0"/>
      <w:marBottom w:val="0"/>
      <w:divBdr>
        <w:top w:val="none" w:sz="0" w:space="0" w:color="auto"/>
        <w:left w:val="none" w:sz="0" w:space="0" w:color="auto"/>
        <w:bottom w:val="none" w:sz="0" w:space="0" w:color="auto"/>
        <w:right w:val="none" w:sz="0" w:space="0" w:color="auto"/>
      </w:divBdr>
    </w:div>
    <w:div w:id="938869963">
      <w:bodyDiv w:val="1"/>
      <w:marLeft w:val="0"/>
      <w:marRight w:val="0"/>
      <w:marTop w:val="0"/>
      <w:marBottom w:val="0"/>
      <w:divBdr>
        <w:top w:val="none" w:sz="0" w:space="0" w:color="auto"/>
        <w:left w:val="none" w:sz="0" w:space="0" w:color="auto"/>
        <w:bottom w:val="none" w:sz="0" w:space="0" w:color="auto"/>
        <w:right w:val="none" w:sz="0" w:space="0" w:color="auto"/>
      </w:divBdr>
    </w:div>
    <w:div w:id="944314992">
      <w:bodyDiv w:val="1"/>
      <w:marLeft w:val="0"/>
      <w:marRight w:val="0"/>
      <w:marTop w:val="0"/>
      <w:marBottom w:val="0"/>
      <w:divBdr>
        <w:top w:val="none" w:sz="0" w:space="0" w:color="auto"/>
        <w:left w:val="none" w:sz="0" w:space="0" w:color="auto"/>
        <w:bottom w:val="none" w:sz="0" w:space="0" w:color="auto"/>
        <w:right w:val="none" w:sz="0" w:space="0" w:color="auto"/>
      </w:divBdr>
    </w:div>
    <w:div w:id="984314476">
      <w:bodyDiv w:val="1"/>
      <w:marLeft w:val="0"/>
      <w:marRight w:val="0"/>
      <w:marTop w:val="0"/>
      <w:marBottom w:val="0"/>
      <w:divBdr>
        <w:top w:val="none" w:sz="0" w:space="0" w:color="auto"/>
        <w:left w:val="none" w:sz="0" w:space="0" w:color="auto"/>
        <w:bottom w:val="none" w:sz="0" w:space="0" w:color="auto"/>
        <w:right w:val="none" w:sz="0" w:space="0" w:color="auto"/>
      </w:divBdr>
    </w:div>
    <w:div w:id="1182283653">
      <w:bodyDiv w:val="1"/>
      <w:marLeft w:val="0"/>
      <w:marRight w:val="0"/>
      <w:marTop w:val="0"/>
      <w:marBottom w:val="0"/>
      <w:divBdr>
        <w:top w:val="none" w:sz="0" w:space="0" w:color="auto"/>
        <w:left w:val="none" w:sz="0" w:space="0" w:color="auto"/>
        <w:bottom w:val="none" w:sz="0" w:space="0" w:color="auto"/>
        <w:right w:val="none" w:sz="0" w:space="0" w:color="auto"/>
      </w:divBdr>
    </w:div>
    <w:div w:id="1202476005">
      <w:bodyDiv w:val="1"/>
      <w:marLeft w:val="0"/>
      <w:marRight w:val="0"/>
      <w:marTop w:val="0"/>
      <w:marBottom w:val="0"/>
      <w:divBdr>
        <w:top w:val="none" w:sz="0" w:space="0" w:color="auto"/>
        <w:left w:val="none" w:sz="0" w:space="0" w:color="auto"/>
        <w:bottom w:val="none" w:sz="0" w:space="0" w:color="auto"/>
        <w:right w:val="none" w:sz="0" w:space="0" w:color="auto"/>
      </w:divBdr>
    </w:div>
    <w:div w:id="1204824702">
      <w:bodyDiv w:val="1"/>
      <w:marLeft w:val="0"/>
      <w:marRight w:val="0"/>
      <w:marTop w:val="0"/>
      <w:marBottom w:val="0"/>
      <w:divBdr>
        <w:top w:val="none" w:sz="0" w:space="0" w:color="auto"/>
        <w:left w:val="none" w:sz="0" w:space="0" w:color="auto"/>
        <w:bottom w:val="none" w:sz="0" w:space="0" w:color="auto"/>
        <w:right w:val="none" w:sz="0" w:space="0" w:color="auto"/>
      </w:divBdr>
    </w:div>
    <w:div w:id="1372808209">
      <w:bodyDiv w:val="1"/>
      <w:marLeft w:val="0"/>
      <w:marRight w:val="0"/>
      <w:marTop w:val="0"/>
      <w:marBottom w:val="0"/>
      <w:divBdr>
        <w:top w:val="none" w:sz="0" w:space="0" w:color="auto"/>
        <w:left w:val="none" w:sz="0" w:space="0" w:color="auto"/>
        <w:bottom w:val="none" w:sz="0" w:space="0" w:color="auto"/>
        <w:right w:val="none" w:sz="0" w:space="0" w:color="auto"/>
      </w:divBdr>
    </w:div>
    <w:div w:id="1425565626">
      <w:bodyDiv w:val="1"/>
      <w:marLeft w:val="0"/>
      <w:marRight w:val="0"/>
      <w:marTop w:val="0"/>
      <w:marBottom w:val="0"/>
      <w:divBdr>
        <w:top w:val="none" w:sz="0" w:space="0" w:color="auto"/>
        <w:left w:val="none" w:sz="0" w:space="0" w:color="auto"/>
        <w:bottom w:val="none" w:sz="0" w:space="0" w:color="auto"/>
        <w:right w:val="none" w:sz="0" w:space="0" w:color="auto"/>
      </w:divBdr>
    </w:div>
    <w:div w:id="1617982092">
      <w:bodyDiv w:val="1"/>
      <w:marLeft w:val="0"/>
      <w:marRight w:val="0"/>
      <w:marTop w:val="0"/>
      <w:marBottom w:val="0"/>
      <w:divBdr>
        <w:top w:val="none" w:sz="0" w:space="0" w:color="auto"/>
        <w:left w:val="none" w:sz="0" w:space="0" w:color="auto"/>
        <w:bottom w:val="none" w:sz="0" w:space="0" w:color="auto"/>
        <w:right w:val="none" w:sz="0" w:space="0" w:color="auto"/>
      </w:divBdr>
    </w:div>
    <w:div w:id="1867478761">
      <w:bodyDiv w:val="1"/>
      <w:marLeft w:val="0"/>
      <w:marRight w:val="0"/>
      <w:marTop w:val="0"/>
      <w:marBottom w:val="0"/>
      <w:divBdr>
        <w:top w:val="none" w:sz="0" w:space="0" w:color="auto"/>
        <w:left w:val="none" w:sz="0" w:space="0" w:color="auto"/>
        <w:bottom w:val="none" w:sz="0" w:space="0" w:color="auto"/>
        <w:right w:val="none" w:sz="0" w:space="0" w:color="auto"/>
      </w:divBdr>
    </w:div>
    <w:div w:id="1895775398">
      <w:bodyDiv w:val="1"/>
      <w:marLeft w:val="0"/>
      <w:marRight w:val="0"/>
      <w:marTop w:val="0"/>
      <w:marBottom w:val="0"/>
      <w:divBdr>
        <w:top w:val="none" w:sz="0" w:space="0" w:color="auto"/>
        <w:left w:val="none" w:sz="0" w:space="0" w:color="auto"/>
        <w:bottom w:val="none" w:sz="0" w:space="0" w:color="auto"/>
        <w:right w:val="none" w:sz="0" w:space="0" w:color="auto"/>
      </w:divBdr>
    </w:div>
    <w:div w:id="1931617521">
      <w:bodyDiv w:val="1"/>
      <w:marLeft w:val="0"/>
      <w:marRight w:val="0"/>
      <w:marTop w:val="0"/>
      <w:marBottom w:val="0"/>
      <w:divBdr>
        <w:top w:val="none" w:sz="0" w:space="0" w:color="auto"/>
        <w:left w:val="none" w:sz="0" w:space="0" w:color="auto"/>
        <w:bottom w:val="none" w:sz="0" w:space="0" w:color="auto"/>
        <w:right w:val="none" w:sz="0" w:space="0" w:color="auto"/>
      </w:divBdr>
    </w:div>
    <w:div w:id="2073189094">
      <w:bodyDiv w:val="1"/>
      <w:marLeft w:val="0"/>
      <w:marRight w:val="0"/>
      <w:marTop w:val="0"/>
      <w:marBottom w:val="0"/>
      <w:divBdr>
        <w:top w:val="none" w:sz="0" w:space="0" w:color="auto"/>
        <w:left w:val="none" w:sz="0" w:space="0" w:color="auto"/>
        <w:bottom w:val="none" w:sz="0" w:space="0" w:color="auto"/>
        <w:right w:val="none" w:sz="0" w:space="0" w:color="auto"/>
      </w:divBdr>
    </w:div>
    <w:div w:id="2105032262">
      <w:bodyDiv w:val="1"/>
      <w:marLeft w:val="0"/>
      <w:marRight w:val="0"/>
      <w:marTop w:val="0"/>
      <w:marBottom w:val="0"/>
      <w:divBdr>
        <w:top w:val="none" w:sz="0" w:space="0" w:color="auto"/>
        <w:left w:val="none" w:sz="0" w:space="0" w:color="auto"/>
        <w:bottom w:val="none" w:sz="0" w:space="0" w:color="auto"/>
        <w:right w:val="none" w:sz="0" w:space="0" w:color="auto"/>
      </w:divBdr>
    </w:div>
    <w:div w:id="212804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mailto:enquiries.ihacpa@ihacpa.gov.au" TargetMode="External"/><Relationship Id="rId3" Type="http://schemas.openxmlformats.org/officeDocument/2006/relationships/styles" Target="styles.xml"/><Relationship Id="rId21" Type="http://schemas.openxmlformats.org/officeDocument/2006/relationships/image" Target="media/image10.sv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svg"/><Relationship Id="rId25" Type="http://schemas.openxmlformats.org/officeDocument/2006/relationships/image" Target="media/image14.sv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hacpa.gov.au/resources/consultation-paper-bundling-arrangements-general-use-items-prostheses-list" TargetMode="External"/><Relationship Id="rId23" Type="http://schemas.openxmlformats.org/officeDocument/2006/relationships/image" Target="media/image12.svg"/><Relationship Id="rId28" Type="http://schemas.openxmlformats.org/officeDocument/2006/relationships/hyperlink" Target="http://www.ihacpa.gov.au/" TargetMode="External"/><Relationship Id="rId10" Type="http://schemas.openxmlformats.org/officeDocument/2006/relationships/header" Target="header1.xml"/><Relationship Id="rId19" Type="http://schemas.openxmlformats.org/officeDocument/2006/relationships/image" Target="media/image8.sv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hyperlink" Target="https://twitter.com/IHACPA" TargetMode="Externa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resources/publications/advice-on-the-prostheses-list-adjusted-benefit-amounts" TargetMode="External"/><Relationship Id="rId3" Type="http://schemas.openxmlformats.org/officeDocument/2006/relationships/hyperlink" Target="https://www.health.gov.au/resources/publications/benchmark-price-for-prostheses-in-australian-public-hospitals-2020-21" TargetMode="External"/><Relationship Id="rId7" Type="http://schemas.openxmlformats.org/officeDocument/2006/relationships/hyperlink" Target="https://www.health.gov.au/resources/publications/advice-on-the-prostheses-list-adjusted-benefit-amounts" TargetMode="External"/><Relationship Id="rId2" Type="http://schemas.openxmlformats.org/officeDocument/2006/relationships/hyperlink" Target="https://federalfinancialrelations.gov.au/agreements/national-health-reform-agreement" TargetMode="External"/><Relationship Id="rId1" Type="http://schemas.openxmlformats.org/officeDocument/2006/relationships/hyperlink" Target="https://www.ihacpa.gov.au/health-care/classification/icd-10-amachiacs" TargetMode="External"/><Relationship Id="rId6" Type="http://schemas.openxmlformats.org/officeDocument/2006/relationships/hyperlink" Target="https://www.health.gov.au/resources/publications/prostheses-list" TargetMode="External"/><Relationship Id="rId11" Type="http://schemas.openxmlformats.org/officeDocument/2006/relationships/hyperlink" Target="https://www.ihacpa.gov.au/health-care/classification/admitted-acute-care/ar-drgs" TargetMode="External"/><Relationship Id="rId5" Type="http://schemas.openxmlformats.org/officeDocument/2006/relationships/hyperlink" Target="https://www.health.gov.au/health-topics/private-health-insurance/the-prostheses-list/the-prostheses-list-reforms" TargetMode="External"/><Relationship Id="rId10" Type="http://schemas.openxmlformats.org/officeDocument/2006/relationships/hyperlink" Target="https://www.ihacpa.gov.au/health-care/classification/icd-10-amachiacs" TargetMode="External"/><Relationship Id="rId4" Type="http://schemas.openxmlformats.org/officeDocument/2006/relationships/hyperlink" Target="https://www.health.gov.au/resources/collections/clinical-implementation-reference-group-outcome-notes" TargetMode="External"/><Relationship Id="rId9" Type="http://schemas.openxmlformats.org/officeDocument/2006/relationships/hyperlink" Target="https://meteor.aihw.gov.au/content/26895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CA46C-BE91-45D6-9DF4-1EF1C7B2A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26748</Words>
  <Characters>140429</Characters>
  <Application>Microsoft Office Word</Application>
  <DocSecurity>0</DocSecurity>
  <Lines>5401</Lines>
  <Paragraphs>3482</Paragraphs>
  <ScaleCrop>false</ScaleCrop>
  <HeadingPairs>
    <vt:vector size="2" baseType="variant">
      <vt:variant>
        <vt:lpstr>Title</vt:lpstr>
      </vt:variant>
      <vt:variant>
        <vt:i4>1</vt:i4>
      </vt:variant>
    </vt:vector>
  </HeadingPairs>
  <TitlesOfParts>
    <vt:vector size="1" baseType="lpstr">
      <vt:lpstr>Advice on Bundling Arrangements for General Use Items on the Prostheses List - December 2022</vt:lpstr>
    </vt:vector>
  </TitlesOfParts>
  <Manager/>
  <Company/>
  <LinksUpToDate>false</LinksUpToDate>
  <CharactersWithSpaces>163695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Advice on Bundling Arrangements for General Use Items on the Prostheses List - December 2022</dc:title>
  <dc:subject>Prostheses List Reforms</dc:subject>
  <dc:creator/>
  <cp:keywords>prostheses list</cp:keywords>
  <dc:description/>
  <cp:lastModifiedBy/>
  <cp:revision>1</cp:revision>
  <dcterms:created xsi:type="dcterms:W3CDTF">2022-12-11T21:36:00Z</dcterms:created>
  <dcterms:modified xsi:type="dcterms:W3CDTF">2022-12-13T04:01:00Z</dcterms:modified>
  <cp:category/>
</cp:coreProperties>
</file>