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FB4F" w14:textId="6C8D1831" w:rsidR="007A7632" w:rsidRPr="007A7632" w:rsidRDefault="00694AC3" w:rsidP="007A7632">
      <w:pPr>
        <w:pStyle w:val="Heading1"/>
      </w:pPr>
      <w:r w:rsidRPr="007A7632">
        <w:t>S</w:t>
      </w:r>
      <w:r w:rsidR="00E82528" w:rsidRPr="007A7632">
        <w:t xml:space="preserve">tar </w:t>
      </w:r>
      <w:r w:rsidRPr="007A7632">
        <w:t>R</w:t>
      </w:r>
      <w:r w:rsidR="00E82528" w:rsidRPr="007A7632">
        <w:t>atings</w:t>
      </w:r>
      <w:r w:rsidR="00EF3B17" w:rsidRPr="007A7632">
        <w:t xml:space="preserve"> </w:t>
      </w:r>
    </w:p>
    <w:p w14:paraId="77A439A8" w14:textId="1C5D510E" w:rsidR="00292915" w:rsidRPr="002E3C98" w:rsidRDefault="00DA3109" w:rsidP="002E3C98">
      <w:pPr>
        <w:pStyle w:val="Introduction"/>
        <w:rPr>
          <w:rStyle w:val="eop"/>
        </w:rPr>
      </w:pPr>
      <w:r w:rsidRPr="002E3C98">
        <w:rPr>
          <w:rStyle w:val="eop"/>
        </w:rPr>
        <w:t>Star Ratings</w:t>
      </w:r>
      <w:r w:rsidR="002B0637">
        <w:rPr>
          <w:rStyle w:val="eop"/>
        </w:rPr>
        <w:t xml:space="preserve"> </w:t>
      </w:r>
      <w:r w:rsidR="00DD32A3">
        <w:rPr>
          <w:rStyle w:val="eop"/>
        </w:rPr>
        <w:t>help older Australians compare the quality of residential aged care</w:t>
      </w:r>
      <w:r w:rsidR="006C353C">
        <w:rPr>
          <w:rStyle w:val="eop"/>
        </w:rPr>
        <w:t>.</w:t>
      </w:r>
    </w:p>
    <w:p w14:paraId="7244D4E5" w14:textId="77777777" w:rsidR="00DA3109" w:rsidRPr="002E3C98" w:rsidRDefault="00DA3109" w:rsidP="002E3C98">
      <w:pPr>
        <w:pStyle w:val="Introduction"/>
        <w:rPr>
          <w:rStyle w:val="eop"/>
        </w:rPr>
      </w:pPr>
      <w:r w:rsidRPr="002E3C98">
        <w:rPr>
          <w:rStyle w:val="eop"/>
        </w:rPr>
        <w:t>Star Ratings are a key reform recommended by the Royal Commission into Aged Care</w:t>
      </w:r>
      <w:r w:rsidR="00027A58" w:rsidRPr="002E3C98">
        <w:rPr>
          <w:rStyle w:val="eop"/>
        </w:rPr>
        <w:t xml:space="preserve"> Quality and Safety. </w:t>
      </w:r>
    </w:p>
    <w:p w14:paraId="55A84090" w14:textId="77777777" w:rsidR="001172BA" w:rsidRPr="007A7632" w:rsidRDefault="00292915" w:rsidP="007A7632">
      <w:pPr>
        <w:pStyle w:val="Heading2"/>
        <w:rPr>
          <w:rStyle w:val="Strong"/>
          <w:b/>
          <w:bCs/>
        </w:rPr>
      </w:pPr>
      <w:r w:rsidRPr="007A7632">
        <w:rPr>
          <w:rStyle w:val="Strong"/>
          <w:b/>
          <w:bCs/>
        </w:rPr>
        <w:t xml:space="preserve">What are </w:t>
      </w:r>
      <w:r w:rsidR="00453931" w:rsidRPr="007A7632">
        <w:rPr>
          <w:rStyle w:val="Strong"/>
          <w:b/>
          <w:bCs/>
        </w:rPr>
        <w:t>S</w:t>
      </w:r>
      <w:r w:rsidRPr="007A7632">
        <w:rPr>
          <w:rStyle w:val="Strong"/>
          <w:b/>
          <w:bCs/>
        </w:rPr>
        <w:t xml:space="preserve">tar </w:t>
      </w:r>
      <w:r w:rsidR="00453931" w:rsidRPr="007A7632">
        <w:rPr>
          <w:rStyle w:val="Strong"/>
          <w:b/>
          <w:bCs/>
        </w:rPr>
        <w:t>R</w:t>
      </w:r>
      <w:r w:rsidRPr="007A7632">
        <w:rPr>
          <w:rStyle w:val="Strong"/>
          <w:b/>
          <w:bCs/>
        </w:rPr>
        <w:t>atings?</w:t>
      </w:r>
    </w:p>
    <w:p w14:paraId="57AA123D" w14:textId="073CF76F" w:rsidR="00D425AF" w:rsidRDefault="00D425AF" w:rsidP="00D425AF">
      <w:pPr>
        <w:pStyle w:val="NormalText"/>
      </w:pPr>
      <w:r>
        <w:t>All aged care homes receive an overall Star Rating and a rating against four sub</w:t>
      </w:r>
      <w:r>
        <w:rPr>
          <w:b/>
          <w:bCs/>
        </w:rPr>
        <w:t>-</w:t>
      </w:r>
      <w:r>
        <w:t>categories: </w:t>
      </w:r>
    </w:p>
    <w:p w14:paraId="328A9CAE" w14:textId="77777777" w:rsidR="00D425AF" w:rsidRDefault="00D425AF" w:rsidP="00D425AF">
      <w:pPr>
        <w:pStyle w:val="ListBullet"/>
        <w:numPr>
          <w:ilvl w:val="0"/>
          <w:numId w:val="14"/>
        </w:numPr>
      </w:pPr>
      <w:r>
        <w:rPr>
          <w:b/>
          <w:bCs/>
        </w:rPr>
        <w:t>Residents’ Experience</w:t>
      </w:r>
      <w:r>
        <w:t xml:space="preserve"> – aged care residents are interviewed about their overall experience of their aged care home. Residents’ Experience makes up 33 per cent of the overall Star Rating. </w:t>
      </w:r>
    </w:p>
    <w:p w14:paraId="0AA995FB" w14:textId="61ED0072" w:rsidR="00D425AF" w:rsidRDefault="00D425AF" w:rsidP="00D425AF">
      <w:pPr>
        <w:pStyle w:val="ListBullet"/>
        <w:numPr>
          <w:ilvl w:val="0"/>
          <w:numId w:val="14"/>
        </w:numPr>
      </w:pPr>
      <w:r>
        <w:rPr>
          <w:b/>
          <w:bCs/>
        </w:rPr>
        <w:t>Compliance</w:t>
      </w:r>
      <w:r>
        <w:t xml:space="preserve"> – </w:t>
      </w:r>
      <w:bookmarkStart w:id="0" w:name="_Hlk119610449"/>
      <w:r w:rsidR="00364E66">
        <w:t xml:space="preserve">regulatory decisions by </w:t>
      </w:r>
      <w:r>
        <w:t>the Aged Care Quality and Safety Commission including</w:t>
      </w:r>
      <w:r w:rsidR="00364E66">
        <w:t xml:space="preserve"> compliance with the</w:t>
      </w:r>
      <w:r>
        <w:t xml:space="preserve"> Aged Care Quality Standards</w:t>
      </w:r>
      <w:bookmarkEnd w:id="0"/>
      <w:r>
        <w:t>. Compliance makes up 30 per cent of the overall Star Rating.</w:t>
      </w:r>
    </w:p>
    <w:p w14:paraId="26EB7EB3" w14:textId="77777777" w:rsidR="00D425AF" w:rsidRDefault="00D425AF" w:rsidP="00D425AF">
      <w:pPr>
        <w:pStyle w:val="ListBullet"/>
        <w:numPr>
          <w:ilvl w:val="0"/>
          <w:numId w:val="14"/>
        </w:numPr>
      </w:pPr>
      <w:r>
        <w:rPr>
          <w:b/>
          <w:bCs/>
        </w:rPr>
        <w:t>Staffing</w:t>
      </w:r>
      <w:r>
        <w:t xml:space="preserve"> – the amount of care received from a registered nurse, enrolled </w:t>
      </w:r>
      <w:proofErr w:type="gramStart"/>
      <w:r>
        <w:t>nurse</w:t>
      </w:r>
      <w:proofErr w:type="gramEnd"/>
      <w:r>
        <w:t xml:space="preserve"> or personal care worker to each resident in an aged care home compared to the average care targets set by the Australian Government. Staffing makes up 22 per cent of the overall Star Rating. </w:t>
      </w:r>
    </w:p>
    <w:p w14:paraId="33685B91" w14:textId="3D969B8F" w:rsidR="00D425AF" w:rsidRDefault="00D425AF" w:rsidP="00D425AF">
      <w:pPr>
        <w:pStyle w:val="ListBullet"/>
        <w:numPr>
          <w:ilvl w:val="0"/>
          <w:numId w:val="14"/>
        </w:numPr>
      </w:pPr>
      <w:r>
        <w:rPr>
          <w:b/>
          <w:bCs/>
        </w:rPr>
        <w:t>Quality Measures</w:t>
      </w:r>
      <w:r>
        <w:t xml:space="preserve"> – information about five crucial areas of care: falls and major injury, unplanned weight loss, pressure injuries, medication management and the use of physical restraint. Quality Measures makes up 15 per cent of the overall Star Rating. </w:t>
      </w:r>
    </w:p>
    <w:p w14:paraId="4A8A20D5" w14:textId="77777777" w:rsidR="005A1B99" w:rsidRDefault="005A1B99" w:rsidP="005A1B99">
      <w:pPr>
        <w:pStyle w:val="Header2"/>
      </w:pPr>
      <w:r>
        <w:t>What do the stars mean?  </w:t>
      </w:r>
    </w:p>
    <w:p w14:paraId="301A6405" w14:textId="77777777" w:rsidR="005A1B99" w:rsidRDefault="005A1B99" w:rsidP="005A1B99">
      <w:pPr>
        <w:pStyle w:val="ListBullet"/>
        <w:numPr>
          <w:ilvl w:val="0"/>
          <w:numId w:val="0"/>
        </w:numPr>
      </w:pPr>
      <w:r>
        <w:t>Aged care homes receive Star Ratings between 1 and 5 stars.  </w:t>
      </w:r>
    </w:p>
    <w:p w14:paraId="7F7BE915" w14:textId="41CC532D" w:rsidR="005A1B99" w:rsidRDefault="005A1B99" w:rsidP="005A1B99">
      <w:pPr>
        <w:pStyle w:val="ListBullet"/>
        <w:numPr>
          <w:ilvl w:val="0"/>
          <w:numId w:val="14"/>
        </w:numPr>
      </w:pPr>
      <w:r>
        <w:t>1 star – ‘significant improvement needed’</w:t>
      </w:r>
      <w:r w:rsidR="00CB5AF7">
        <w:t>.</w:t>
      </w:r>
      <w:r>
        <w:t>   </w:t>
      </w:r>
    </w:p>
    <w:p w14:paraId="4FA9BF97" w14:textId="569FC255" w:rsidR="005A1B99" w:rsidRDefault="005A1B99" w:rsidP="005A1B99">
      <w:pPr>
        <w:pStyle w:val="ListBullet"/>
        <w:numPr>
          <w:ilvl w:val="0"/>
          <w:numId w:val="14"/>
        </w:numPr>
      </w:pPr>
      <w:r>
        <w:t>2 stars – ‘improvement needed’</w:t>
      </w:r>
      <w:r w:rsidR="00CB5AF7">
        <w:t>.</w:t>
      </w:r>
      <w:r>
        <w:t> </w:t>
      </w:r>
    </w:p>
    <w:p w14:paraId="3E27F286" w14:textId="49EF20AD" w:rsidR="005A1B99" w:rsidRDefault="005A1B99" w:rsidP="005A1B99">
      <w:pPr>
        <w:pStyle w:val="ListBullet"/>
        <w:numPr>
          <w:ilvl w:val="0"/>
          <w:numId w:val="14"/>
        </w:numPr>
      </w:pPr>
      <w:r>
        <w:t>3 stars – an 'acceptable' quality of care</w:t>
      </w:r>
      <w:r w:rsidR="00CB5AF7">
        <w:t>.</w:t>
      </w:r>
      <w:r>
        <w:t>   </w:t>
      </w:r>
    </w:p>
    <w:p w14:paraId="1D8FE363" w14:textId="75C578F7" w:rsidR="005A1B99" w:rsidRDefault="005A1B99" w:rsidP="005A1B99">
      <w:pPr>
        <w:pStyle w:val="ListBullet"/>
        <w:numPr>
          <w:ilvl w:val="0"/>
          <w:numId w:val="14"/>
        </w:numPr>
      </w:pPr>
      <w:r>
        <w:t>4 stars – a 'good' quality of care</w:t>
      </w:r>
      <w:r w:rsidR="00CB5AF7">
        <w:t>.</w:t>
      </w:r>
      <w:r>
        <w:t> </w:t>
      </w:r>
    </w:p>
    <w:p w14:paraId="3413053D" w14:textId="0EA80E34" w:rsidR="005A1B99" w:rsidRDefault="005A1B99" w:rsidP="005A1B99">
      <w:pPr>
        <w:pStyle w:val="ListBullet"/>
        <w:numPr>
          <w:ilvl w:val="0"/>
          <w:numId w:val="14"/>
        </w:numPr>
      </w:pPr>
      <w:r>
        <w:t>5 stars – an 'excellent' quality of care</w:t>
      </w:r>
      <w:r w:rsidR="00CB5AF7">
        <w:t>.</w:t>
      </w:r>
    </w:p>
    <w:p w14:paraId="16C18044" w14:textId="77777777" w:rsidR="005A1B99" w:rsidRPr="00255DE6" w:rsidRDefault="005A1B99" w:rsidP="005A1B99">
      <w:pPr>
        <w:pStyle w:val="Header2"/>
        <w:rPr>
          <w:rStyle w:val="normaltextrun"/>
        </w:rPr>
      </w:pPr>
      <w:r w:rsidRPr="00255DE6">
        <w:rPr>
          <w:rStyle w:val="normaltextrun"/>
        </w:rPr>
        <w:lastRenderedPageBreak/>
        <w:t>What are the reporting requirements for Star Ratings?</w:t>
      </w:r>
    </w:p>
    <w:p w14:paraId="18626142" w14:textId="6FB72A1C" w:rsidR="005A1B99" w:rsidRPr="00464560" w:rsidRDefault="005A1B99" w:rsidP="005A1B99">
      <w:pPr>
        <w:pStyle w:val="NormalText"/>
        <w:rPr>
          <w:rStyle w:val="normaltextrun"/>
          <w:rFonts w:cs="Arial"/>
          <w:color w:val="1E1545" w:themeColor="text2"/>
        </w:rPr>
      </w:pPr>
      <w:r w:rsidRPr="6B3920AF">
        <w:rPr>
          <w:rStyle w:val="normaltextrun"/>
          <w:rFonts w:cs="Arial"/>
          <w:color w:val="1E1545" w:themeColor="text2"/>
        </w:rPr>
        <w:t xml:space="preserve">No additional reporting is required by providers for Star Ratings. All data that contributes to Star Ratings is </w:t>
      </w:r>
      <w:r w:rsidRPr="2CF0112E">
        <w:rPr>
          <w:rStyle w:val="normaltextrun"/>
          <w:rFonts w:cs="Arial"/>
          <w:color w:val="1E1545" w:themeColor="text2"/>
        </w:rPr>
        <w:t>reported through</w:t>
      </w:r>
      <w:r w:rsidRPr="6B3920AF">
        <w:rPr>
          <w:rStyle w:val="normaltextrun"/>
          <w:rFonts w:cs="Arial"/>
          <w:color w:val="1E1545" w:themeColor="text2"/>
        </w:rPr>
        <w:t xml:space="preserve"> existing mechanisms</w:t>
      </w:r>
      <w:r>
        <w:rPr>
          <w:rStyle w:val="normaltextrun"/>
          <w:rFonts w:cs="Arial"/>
          <w:color w:val="1E1545" w:themeColor="text2"/>
        </w:rPr>
        <w:t xml:space="preserve">. </w:t>
      </w:r>
    </w:p>
    <w:p w14:paraId="44BE76A8" w14:textId="77777777" w:rsidR="005A1B99" w:rsidRDefault="005A1B99" w:rsidP="005A1B99">
      <w:pPr>
        <w:pStyle w:val="Header2"/>
        <w:rPr>
          <w:rFonts w:ascii="Segoe UI" w:hAnsi="Segoe UI" w:cs="Segoe UI"/>
          <w:sz w:val="18"/>
          <w:szCs w:val="18"/>
        </w:rPr>
      </w:pPr>
      <w:r>
        <w:t>How often are Star Ratings updated? </w:t>
      </w:r>
    </w:p>
    <w:p w14:paraId="59DADF53" w14:textId="77777777" w:rsidR="005A1B99" w:rsidRDefault="005A1B99" w:rsidP="005A1B99">
      <w:pPr>
        <w:pStyle w:val="NormalText"/>
        <w:rPr>
          <w:rFonts w:ascii="Segoe UI" w:hAnsi="Segoe UI" w:cs="Segoe UI"/>
          <w:sz w:val="18"/>
          <w:szCs w:val="18"/>
        </w:rPr>
      </w:pPr>
      <w:r>
        <w:t>Star Ratings are based on the most recent available data and are updated at various times: </w:t>
      </w:r>
    </w:p>
    <w:p w14:paraId="3CB65A41" w14:textId="73AF4A98" w:rsidR="005A1B99" w:rsidRDefault="005A1B99" w:rsidP="005A1B99">
      <w:pPr>
        <w:pStyle w:val="ListBullet"/>
        <w:numPr>
          <w:ilvl w:val="0"/>
          <w:numId w:val="14"/>
        </w:numPr>
        <w:rPr>
          <w:lang w:eastAsia="en-AU"/>
        </w:rPr>
      </w:pPr>
      <w:r>
        <w:rPr>
          <w:lang w:eastAsia="en-AU"/>
        </w:rPr>
        <w:t>Residents’ Experience Rating – updated annually</w:t>
      </w:r>
      <w:r w:rsidR="00CB5AF7">
        <w:rPr>
          <w:lang w:eastAsia="en-AU"/>
        </w:rPr>
        <w:t>.</w:t>
      </w:r>
    </w:p>
    <w:p w14:paraId="3AB1470E" w14:textId="26CDA0E2" w:rsidR="005A1B99" w:rsidRDefault="005A1B99" w:rsidP="005A1B99">
      <w:pPr>
        <w:pStyle w:val="ListBullet"/>
        <w:numPr>
          <w:ilvl w:val="0"/>
          <w:numId w:val="14"/>
        </w:numPr>
        <w:rPr>
          <w:lang w:eastAsia="en-AU"/>
        </w:rPr>
      </w:pPr>
      <w:r>
        <w:rPr>
          <w:lang w:eastAsia="en-AU"/>
        </w:rPr>
        <w:t>Compliance Rating – updated daily</w:t>
      </w:r>
      <w:r w:rsidR="00CB5AF7">
        <w:rPr>
          <w:lang w:eastAsia="en-AU"/>
        </w:rPr>
        <w:t>.</w:t>
      </w:r>
      <w:r>
        <w:rPr>
          <w:lang w:eastAsia="en-AU"/>
        </w:rPr>
        <w:t> </w:t>
      </w:r>
    </w:p>
    <w:p w14:paraId="3DFFBCF4" w14:textId="39A1B4BA" w:rsidR="005A1B99" w:rsidRDefault="005A1B99" w:rsidP="005A1B99">
      <w:pPr>
        <w:pStyle w:val="ListBullet"/>
        <w:numPr>
          <w:ilvl w:val="0"/>
          <w:numId w:val="14"/>
        </w:numPr>
        <w:rPr>
          <w:lang w:eastAsia="en-AU"/>
        </w:rPr>
      </w:pPr>
      <w:r>
        <w:rPr>
          <w:lang w:eastAsia="en-AU"/>
        </w:rPr>
        <w:t>Staffing Rating – updated quarterly</w:t>
      </w:r>
      <w:r w:rsidR="00CB5AF7">
        <w:rPr>
          <w:lang w:eastAsia="en-AU"/>
        </w:rPr>
        <w:t>.</w:t>
      </w:r>
      <w:r>
        <w:rPr>
          <w:lang w:eastAsia="en-AU"/>
        </w:rPr>
        <w:t> </w:t>
      </w:r>
    </w:p>
    <w:p w14:paraId="1700A074" w14:textId="0B9F0702" w:rsidR="005A1B99" w:rsidRDefault="005A1B99" w:rsidP="005A1B99">
      <w:pPr>
        <w:pStyle w:val="ListBullet"/>
        <w:numPr>
          <w:ilvl w:val="0"/>
          <w:numId w:val="14"/>
        </w:numPr>
        <w:rPr>
          <w:lang w:eastAsia="en-AU"/>
        </w:rPr>
      </w:pPr>
      <w:r>
        <w:rPr>
          <w:lang w:eastAsia="en-AU"/>
        </w:rPr>
        <w:t>Quality Measures Rating – updated quarterly</w:t>
      </w:r>
      <w:r w:rsidR="00CB5AF7">
        <w:rPr>
          <w:lang w:eastAsia="en-AU"/>
        </w:rPr>
        <w:t>.</w:t>
      </w:r>
      <w:r>
        <w:rPr>
          <w:lang w:eastAsia="en-AU"/>
        </w:rPr>
        <w:t> </w:t>
      </w:r>
    </w:p>
    <w:p w14:paraId="0E184461" w14:textId="77777777" w:rsidR="005A1B99" w:rsidRDefault="005A1B99" w:rsidP="005A1B99">
      <w:pPr>
        <w:pStyle w:val="NormalText"/>
      </w:pPr>
      <w:r>
        <w:t>The overall Star Rating automatically recalculates when new data is available.   </w:t>
      </w:r>
    </w:p>
    <w:p w14:paraId="0B1FDC5F" w14:textId="77777777" w:rsidR="001172BA" w:rsidRPr="007A7632" w:rsidRDefault="00F25B7C" w:rsidP="007A7632">
      <w:pPr>
        <w:pStyle w:val="Heading2"/>
      </w:pPr>
      <w:r w:rsidRPr="007A7632">
        <w:t>Wh</w:t>
      </w:r>
      <w:r w:rsidR="00E3770E" w:rsidRPr="007A7632">
        <w:t xml:space="preserve">at are the benefits of </w:t>
      </w:r>
      <w:r w:rsidR="00453931" w:rsidRPr="007A7632">
        <w:t>Star R</w:t>
      </w:r>
      <w:r w:rsidR="00E3770E" w:rsidRPr="007A7632">
        <w:t>atings?</w:t>
      </w:r>
    </w:p>
    <w:p w14:paraId="7403E98C" w14:textId="77777777" w:rsidR="005A1B99" w:rsidRDefault="005A1B99" w:rsidP="005A1B99">
      <w:pPr>
        <w:pStyle w:val="NormalText"/>
        <w:rPr>
          <w:lang w:eastAsia="en-US"/>
        </w:rPr>
      </w:pPr>
      <w:r w:rsidRPr="6D297D63">
        <w:rPr>
          <w:lang w:eastAsia="en-US"/>
        </w:rPr>
        <w:t>Increased transparency about the quality of care in residential aged care will help rebuild trust in the sector. Star Ratings provides further benefits for providers, including:</w:t>
      </w:r>
    </w:p>
    <w:p w14:paraId="6B01C8FA" w14:textId="77777777" w:rsidR="00CB5AF7" w:rsidRDefault="00CB5AF7" w:rsidP="00CB5AF7">
      <w:pPr>
        <w:pStyle w:val="ListBullet"/>
      </w:pPr>
      <w:r>
        <w:t xml:space="preserve">a greater understanding of how your service is performing </w:t>
      </w:r>
    </w:p>
    <w:p w14:paraId="3E8806E5" w14:textId="6035AB84" w:rsidR="00CB5AF7" w:rsidRDefault="00CB5AF7" w:rsidP="00CB5AF7">
      <w:pPr>
        <w:pStyle w:val="ListBullet"/>
      </w:pPr>
      <w:r>
        <w:t>the ability to benchmark against other providers using nationally consistent quality measures</w:t>
      </w:r>
    </w:p>
    <w:p w14:paraId="7D4BCAFA" w14:textId="34957FCF" w:rsidR="002A7B4D" w:rsidRDefault="00CB5AF7" w:rsidP="00CB5AF7">
      <w:pPr>
        <w:pStyle w:val="ListBullet"/>
      </w:pPr>
      <w:r>
        <w:t>the opportunity to see the results of continuous improvement activities through improved Star Ratings</w:t>
      </w:r>
    </w:p>
    <w:p w14:paraId="6654F78C" w14:textId="614428F2" w:rsidR="00364E66" w:rsidRPr="00821EFB" w:rsidRDefault="00364E66" w:rsidP="00CB5AF7">
      <w:pPr>
        <w:pStyle w:val="ListBullet"/>
      </w:pPr>
      <w:r>
        <w:t>the opportunity to showcase your performance</w:t>
      </w:r>
      <w:r w:rsidR="008D172F">
        <w:t xml:space="preserve"> and quality of care you provide</w:t>
      </w:r>
    </w:p>
    <w:p w14:paraId="41737564" w14:textId="77777777" w:rsidR="00FC17C7" w:rsidRDefault="00513217" w:rsidP="007A7632">
      <w:pPr>
        <w:pStyle w:val="Heading2"/>
        <w:rPr>
          <w:rFonts w:eastAsiaTheme="minorEastAsia"/>
          <w:lang w:eastAsia="zh-CN"/>
        </w:rPr>
      </w:pPr>
      <w:r w:rsidRPr="00E6455E">
        <w:t>What assistance is available?</w:t>
      </w:r>
    </w:p>
    <w:p w14:paraId="36882084" w14:textId="77777777" w:rsidR="005A1B99" w:rsidRDefault="00513217" w:rsidP="00821EFB">
      <w:pPr>
        <w:pStyle w:val="NormalText"/>
        <w:rPr>
          <w:rFonts w:eastAsiaTheme="minorEastAsia"/>
          <w:lang w:eastAsia="zh-CN"/>
        </w:rPr>
      </w:pPr>
      <w:r w:rsidRPr="00513217">
        <w:rPr>
          <w:rFonts w:eastAsiaTheme="minorEastAsia"/>
          <w:lang w:eastAsia="zh-CN"/>
        </w:rPr>
        <w:t xml:space="preserve">Providers can contact the </w:t>
      </w:r>
      <w:r w:rsidR="007C59D6" w:rsidRPr="007C59D6">
        <w:rPr>
          <w:rFonts w:eastAsiaTheme="minorEastAsia"/>
          <w:lang w:eastAsia="zh-CN"/>
        </w:rPr>
        <w:t>My Aged Care service provider and assessor helpline</w:t>
      </w:r>
      <w:r w:rsidR="007C59D6">
        <w:rPr>
          <w:rFonts w:eastAsiaTheme="minorEastAsia"/>
          <w:lang w:eastAsia="zh-CN"/>
        </w:rPr>
        <w:t xml:space="preserve"> on</w:t>
      </w:r>
      <w:r w:rsidR="007C59D6" w:rsidRPr="007C59D6">
        <w:t xml:space="preserve"> </w:t>
      </w:r>
      <w:r w:rsidR="007C59D6" w:rsidRPr="007C59D6">
        <w:rPr>
          <w:rFonts w:eastAsiaTheme="minorEastAsia"/>
          <w:lang w:eastAsia="zh-CN"/>
        </w:rPr>
        <w:t>1800 836 799 from 8am to 8pm Monday to Friday or 10am to 2pm Saturday.</w:t>
      </w:r>
    </w:p>
    <w:p w14:paraId="63FE2A47" w14:textId="77777777" w:rsidR="003B2ED8" w:rsidRDefault="003B2ED8" w:rsidP="00821EFB">
      <w:pPr>
        <w:pStyle w:val="NormalText"/>
        <w:rPr>
          <w:rFonts w:eastAsiaTheme="minorEastAsia"/>
          <w:lang w:eastAsia="zh-CN"/>
        </w:rPr>
      </w:pPr>
    </w:p>
    <w:p w14:paraId="1BC09545" w14:textId="3DDC52EC" w:rsidR="006C353C" w:rsidRPr="00821EFB" w:rsidRDefault="006C353C" w:rsidP="00821EFB">
      <w:pPr>
        <w:pStyle w:val="NormalText"/>
        <w:rPr>
          <w:rFonts w:eastAsiaTheme="minorEastAsia"/>
          <w:lang w:eastAsia="zh-CN"/>
        </w:rPr>
      </w:pPr>
    </w:p>
    <w:sectPr w:rsidR="006C353C" w:rsidRPr="00821EFB" w:rsidSect="004A6752">
      <w:footerReference w:type="default" r:id="rId11"/>
      <w:headerReference w:type="first" r:id="rId12"/>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D773" w14:textId="77777777" w:rsidR="00E82438" w:rsidRDefault="00E82438" w:rsidP="001172BA">
      <w:r>
        <w:separator/>
      </w:r>
    </w:p>
  </w:endnote>
  <w:endnote w:type="continuationSeparator" w:id="0">
    <w:p w14:paraId="36744414" w14:textId="77777777" w:rsidR="00E82438" w:rsidRDefault="00E82438"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9695" w14:textId="49D1CD46" w:rsidR="00815F3E" w:rsidRDefault="00815F3E">
    <w:pPr>
      <w:pStyle w:val="Footer"/>
    </w:pPr>
    <w:r>
      <w:rPr>
        <w:noProof/>
      </w:rPr>
      <w:drawing>
        <wp:anchor distT="0" distB="0" distL="114300" distR="114300" simplePos="0" relativeHeight="251662336" behindDoc="1" locked="0" layoutInCell="1" allowOverlap="1" wp14:anchorId="10BCDEA8" wp14:editId="6B2E359E">
          <wp:simplePos x="0" y="0"/>
          <wp:positionH relativeFrom="page">
            <wp:posOffset>2203450</wp:posOffset>
          </wp:positionH>
          <wp:positionV relativeFrom="paragraph">
            <wp:posOffset>-1933575</wp:posOffset>
          </wp:positionV>
          <wp:extent cx="5372100" cy="2971800"/>
          <wp:effectExtent l="0" t="0" r="0" b="0"/>
          <wp:wrapTight wrapText="bothSides">
            <wp:wrapPolygon edited="0">
              <wp:start x="3140" y="0"/>
              <wp:lineTo x="2451" y="277"/>
              <wp:lineTo x="919" y="1800"/>
              <wp:lineTo x="460" y="3462"/>
              <wp:lineTo x="77" y="4431"/>
              <wp:lineTo x="0" y="5400"/>
              <wp:lineTo x="0" y="21462"/>
              <wp:lineTo x="21523" y="21462"/>
              <wp:lineTo x="21523" y="0"/>
              <wp:lineTo x="31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0" cy="2971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18BAF" w14:textId="77777777" w:rsidR="00E82438" w:rsidRDefault="00E82438" w:rsidP="001172BA"/>
  </w:footnote>
  <w:footnote w:type="continuationSeparator" w:id="0">
    <w:p w14:paraId="6EF37164" w14:textId="77777777" w:rsidR="00E82438" w:rsidRDefault="00E82438" w:rsidP="00117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03293"/>
      <w:docPartObj>
        <w:docPartGallery w:val="Page Numbers (Top of Page)"/>
        <w:docPartUnique/>
      </w:docPartObj>
    </w:sdtPr>
    <w:sdtEndPr>
      <w:rPr>
        <w:noProof/>
      </w:rPr>
    </w:sdtEndPr>
    <w:sdtContent>
      <w:p w14:paraId="502082E4" w14:textId="3484BCB0" w:rsidR="002A7B4D" w:rsidRDefault="00D425AF">
        <w:pPr>
          <w:pStyle w:val="Header"/>
        </w:pPr>
        <w:r w:rsidRPr="00D425AF">
          <w:rPr>
            <w:noProof/>
          </w:rPr>
          <w:drawing>
            <wp:anchor distT="0" distB="0" distL="114300" distR="114300" simplePos="0" relativeHeight="251660288" behindDoc="1" locked="0" layoutInCell="1" allowOverlap="1" wp14:anchorId="27C6E2A2" wp14:editId="30725EC9">
              <wp:simplePos x="0" y="0"/>
              <wp:positionH relativeFrom="page">
                <wp:posOffset>-44450</wp:posOffset>
              </wp:positionH>
              <wp:positionV relativeFrom="page">
                <wp:posOffset>-45720</wp:posOffset>
              </wp:positionV>
              <wp:extent cx="3609340" cy="828675"/>
              <wp:effectExtent l="0" t="0" r="0" b="0"/>
              <wp:wrapTight wrapText="bothSides">
                <wp:wrapPolygon edited="0">
                  <wp:start x="0" y="0"/>
                  <wp:lineTo x="0" y="20855"/>
                  <wp:lineTo x="19609" y="20855"/>
                  <wp:lineTo x="19837" y="19862"/>
                  <wp:lineTo x="20863" y="16883"/>
                  <wp:lineTo x="21319" y="8938"/>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34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5AF">
          <w:rPr>
            <w:noProof/>
          </w:rPr>
          <w:drawing>
            <wp:anchor distT="0" distB="0" distL="114300" distR="114300" simplePos="0" relativeHeight="251659264" behindDoc="1" locked="0" layoutInCell="1" allowOverlap="1" wp14:anchorId="323F3F61" wp14:editId="65E98A2E">
              <wp:simplePos x="0" y="0"/>
              <wp:positionH relativeFrom="page">
                <wp:posOffset>6350</wp:posOffset>
              </wp:positionH>
              <wp:positionV relativeFrom="paragraph">
                <wp:posOffset>-600710</wp:posOffset>
              </wp:positionV>
              <wp:extent cx="7562850" cy="32023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cstate="print">
                        <a:extLst>
                          <a:ext uri="{28A0092B-C50C-407E-A947-70E740481C1C}">
                            <a14:useLocalDpi xmlns:a14="http://schemas.microsoft.com/office/drawing/2010/main" val="0"/>
                          </a:ext>
                        </a:extLst>
                      </a:blip>
                      <a:srcRect t="20817" r="14807" b="25176"/>
                      <a:stretch/>
                    </pic:blipFill>
                    <pic:spPr bwMode="auto">
                      <a:xfrm>
                        <a:off x="0" y="0"/>
                        <a:ext cx="7562850" cy="320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EFB">
          <w:rPr>
            <w:noProof/>
          </w:rPr>
          <w:t xml:space="preserve">   </w:t>
        </w:r>
        <w:r w:rsidR="00821EFB">
          <w:t xml:space="preserve"> </w:t>
        </w:r>
        <w:r w:rsidR="002A7B4D">
          <w:fldChar w:fldCharType="begin"/>
        </w:r>
        <w:r w:rsidR="002A7B4D">
          <w:instrText xml:space="preserve"> PAGE   \* MERGEFORMAT </w:instrText>
        </w:r>
        <w:r w:rsidR="002A7B4D">
          <w:fldChar w:fldCharType="separate"/>
        </w:r>
        <w:r w:rsidR="002A7B4D">
          <w:rPr>
            <w:noProof/>
          </w:rPr>
          <w:t>2</w:t>
        </w:r>
        <w:r w:rsidR="002A7B4D">
          <w:rPr>
            <w:noProof/>
          </w:rPr>
          <w:fldChar w:fldCharType="end"/>
        </w:r>
      </w:p>
    </w:sdtContent>
  </w:sdt>
  <w:p w14:paraId="040A9317" w14:textId="5CB57239" w:rsidR="00553432" w:rsidRDefault="005534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D70"/>
    <w:multiLevelType w:val="hybridMultilevel"/>
    <w:tmpl w:val="4B4E6D54"/>
    <w:lvl w:ilvl="0" w:tplc="A8729DF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891523"/>
    <w:multiLevelType w:val="multilevel"/>
    <w:tmpl w:val="39560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6A1AC5"/>
    <w:multiLevelType w:val="multilevel"/>
    <w:tmpl w:val="D96C8A66"/>
    <w:lvl w:ilvl="0">
      <w:start w:val="1"/>
      <w:numFmt w:val="decimal"/>
      <w:pStyle w:val="ListNumber"/>
      <w:lvlText w:val="%1."/>
      <w:lvlJc w:val="left"/>
      <w:pPr>
        <w:ind w:left="714" w:hanging="357"/>
      </w:pPr>
      <w:rPr>
        <w:rFonts w:hint="default"/>
      </w:rPr>
    </w:lvl>
    <w:lvl w:ilvl="1">
      <w:start w:val="1"/>
      <w:numFmt w:val="lowerLetter"/>
      <w:pStyle w:val="ListNumber2"/>
      <w:lvlText w:val="%2)"/>
      <w:lvlJc w:val="left"/>
      <w:pPr>
        <w:ind w:left="1071" w:hanging="357"/>
      </w:pPr>
      <w:rPr>
        <w:rFonts w:hint="default"/>
      </w:rPr>
    </w:lvl>
    <w:lvl w:ilvl="2">
      <w:start w:val="1"/>
      <w:numFmt w:val="lowerRoman"/>
      <w:pStyle w:val="ListNumber3"/>
      <w:lvlText w:val="%3."/>
      <w:lvlJc w:val="left"/>
      <w:pPr>
        <w:ind w:left="1428" w:hanging="357"/>
      </w:pPr>
      <w:rPr>
        <w:rFonts w:hint="default"/>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3" w15:restartNumberingAfterBreak="0">
    <w:nsid w:val="19AF0C52"/>
    <w:multiLevelType w:val="hybridMultilevel"/>
    <w:tmpl w:val="B8D08AF6"/>
    <w:lvl w:ilvl="0" w:tplc="B7943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2A3879"/>
    <w:multiLevelType w:val="multilevel"/>
    <w:tmpl w:val="522C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7F2E7E"/>
    <w:multiLevelType w:val="multilevel"/>
    <w:tmpl w:val="B18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B74588"/>
    <w:multiLevelType w:val="hybridMultilevel"/>
    <w:tmpl w:val="8DE4110C"/>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6F31DC"/>
    <w:multiLevelType w:val="multilevel"/>
    <w:tmpl w:val="57608BA8"/>
    <w:lvl w:ilvl="0">
      <w:start w:val="1"/>
      <w:numFmt w:val="bullet"/>
      <w:pStyle w:val="ListBullet"/>
      <w:lvlText w:val="•"/>
      <w:lvlJc w:val="left"/>
      <w:pPr>
        <w:ind w:left="357" w:hanging="357"/>
      </w:pPr>
      <w:rPr>
        <w:rFonts w:ascii="Arial" w:hAnsi="Arial" w:hint="default"/>
        <w:color w:val="1E1545" w:themeColor="tex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77AE0EA0"/>
    <w:multiLevelType w:val="hybridMultilevel"/>
    <w:tmpl w:val="8904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2"/>
  </w:num>
  <w:num w:numId="12">
    <w:abstractNumId w:val="8"/>
  </w:num>
  <w:num w:numId="13">
    <w:abstractNumId w:val="0"/>
  </w:num>
  <w:num w:numId="1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2FCA"/>
    <w:rsid w:val="00006510"/>
    <w:rsid w:val="00012B7C"/>
    <w:rsid w:val="00015BBC"/>
    <w:rsid w:val="00027A58"/>
    <w:rsid w:val="000376BF"/>
    <w:rsid w:val="000D414C"/>
    <w:rsid w:val="000E12D2"/>
    <w:rsid w:val="00111C67"/>
    <w:rsid w:val="001172BA"/>
    <w:rsid w:val="00122797"/>
    <w:rsid w:val="00183361"/>
    <w:rsid w:val="001B282D"/>
    <w:rsid w:val="001C5A43"/>
    <w:rsid w:val="00226AD6"/>
    <w:rsid w:val="002342CC"/>
    <w:rsid w:val="002513ED"/>
    <w:rsid w:val="00281727"/>
    <w:rsid w:val="00281AA0"/>
    <w:rsid w:val="00292915"/>
    <w:rsid w:val="002A69B4"/>
    <w:rsid w:val="002A7B4D"/>
    <w:rsid w:val="002B0625"/>
    <w:rsid w:val="002B0637"/>
    <w:rsid w:val="002B4439"/>
    <w:rsid w:val="002C6D42"/>
    <w:rsid w:val="002D33FD"/>
    <w:rsid w:val="002E3C98"/>
    <w:rsid w:val="002E635A"/>
    <w:rsid w:val="00324CFE"/>
    <w:rsid w:val="00357902"/>
    <w:rsid w:val="00364E66"/>
    <w:rsid w:val="00373C4D"/>
    <w:rsid w:val="00386BEE"/>
    <w:rsid w:val="003A4580"/>
    <w:rsid w:val="003B2ED8"/>
    <w:rsid w:val="00453931"/>
    <w:rsid w:val="004A6752"/>
    <w:rsid w:val="004D57DF"/>
    <w:rsid w:val="0050333B"/>
    <w:rsid w:val="00503A42"/>
    <w:rsid w:val="00513217"/>
    <w:rsid w:val="005253ED"/>
    <w:rsid w:val="0052683F"/>
    <w:rsid w:val="0054403F"/>
    <w:rsid w:val="005478E5"/>
    <w:rsid w:val="00553432"/>
    <w:rsid w:val="00554E05"/>
    <w:rsid w:val="005748BB"/>
    <w:rsid w:val="005A1B99"/>
    <w:rsid w:val="005C6411"/>
    <w:rsid w:val="005D2170"/>
    <w:rsid w:val="005F1142"/>
    <w:rsid w:val="005F1B0A"/>
    <w:rsid w:val="0062424B"/>
    <w:rsid w:val="00670A45"/>
    <w:rsid w:val="00677B08"/>
    <w:rsid w:val="00694AC3"/>
    <w:rsid w:val="006C353C"/>
    <w:rsid w:val="006D1293"/>
    <w:rsid w:val="006D2E91"/>
    <w:rsid w:val="006E0737"/>
    <w:rsid w:val="006E2DD3"/>
    <w:rsid w:val="006E715A"/>
    <w:rsid w:val="006F1106"/>
    <w:rsid w:val="006F2C3A"/>
    <w:rsid w:val="006F3531"/>
    <w:rsid w:val="00716B60"/>
    <w:rsid w:val="00751FEB"/>
    <w:rsid w:val="0076500A"/>
    <w:rsid w:val="00792EFB"/>
    <w:rsid w:val="007A124A"/>
    <w:rsid w:val="007A7632"/>
    <w:rsid w:val="007B097E"/>
    <w:rsid w:val="007C59D6"/>
    <w:rsid w:val="008153BF"/>
    <w:rsid w:val="00815F3E"/>
    <w:rsid w:val="00821EFB"/>
    <w:rsid w:val="00832AB0"/>
    <w:rsid w:val="00837726"/>
    <w:rsid w:val="0084562A"/>
    <w:rsid w:val="00845C7B"/>
    <w:rsid w:val="0087505A"/>
    <w:rsid w:val="0089454D"/>
    <w:rsid w:val="008B3DAB"/>
    <w:rsid w:val="008C07ED"/>
    <w:rsid w:val="008C64C9"/>
    <w:rsid w:val="008D172F"/>
    <w:rsid w:val="00914504"/>
    <w:rsid w:val="00934A9C"/>
    <w:rsid w:val="00943FE8"/>
    <w:rsid w:val="009530EF"/>
    <w:rsid w:val="009615BD"/>
    <w:rsid w:val="00962DC0"/>
    <w:rsid w:val="009B3847"/>
    <w:rsid w:val="009C63E0"/>
    <w:rsid w:val="009F1401"/>
    <w:rsid w:val="00A354F9"/>
    <w:rsid w:val="00A356B8"/>
    <w:rsid w:val="00A41F93"/>
    <w:rsid w:val="00A656F1"/>
    <w:rsid w:val="00A77A66"/>
    <w:rsid w:val="00AC1609"/>
    <w:rsid w:val="00AC66C4"/>
    <w:rsid w:val="00AD2A5B"/>
    <w:rsid w:val="00AE3A74"/>
    <w:rsid w:val="00B116D0"/>
    <w:rsid w:val="00B167B6"/>
    <w:rsid w:val="00B20208"/>
    <w:rsid w:val="00B410D8"/>
    <w:rsid w:val="00B4225A"/>
    <w:rsid w:val="00B4695D"/>
    <w:rsid w:val="00B72A12"/>
    <w:rsid w:val="00B75508"/>
    <w:rsid w:val="00BC5182"/>
    <w:rsid w:val="00BD5460"/>
    <w:rsid w:val="00BD562D"/>
    <w:rsid w:val="00BF256C"/>
    <w:rsid w:val="00C242CA"/>
    <w:rsid w:val="00C64D2A"/>
    <w:rsid w:val="00C9048B"/>
    <w:rsid w:val="00CA089D"/>
    <w:rsid w:val="00CB5AF7"/>
    <w:rsid w:val="00CB7360"/>
    <w:rsid w:val="00CC7CA2"/>
    <w:rsid w:val="00CE10B7"/>
    <w:rsid w:val="00CF225C"/>
    <w:rsid w:val="00CF7F48"/>
    <w:rsid w:val="00D20FFC"/>
    <w:rsid w:val="00D21CC4"/>
    <w:rsid w:val="00D425AF"/>
    <w:rsid w:val="00DA3109"/>
    <w:rsid w:val="00DA756F"/>
    <w:rsid w:val="00DD32A3"/>
    <w:rsid w:val="00DE1F4E"/>
    <w:rsid w:val="00E03DF7"/>
    <w:rsid w:val="00E3770E"/>
    <w:rsid w:val="00E538D9"/>
    <w:rsid w:val="00E6455E"/>
    <w:rsid w:val="00E64B6F"/>
    <w:rsid w:val="00E667ED"/>
    <w:rsid w:val="00E8123A"/>
    <w:rsid w:val="00E82438"/>
    <w:rsid w:val="00E82528"/>
    <w:rsid w:val="00EA2032"/>
    <w:rsid w:val="00EB4B7D"/>
    <w:rsid w:val="00EC25AC"/>
    <w:rsid w:val="00EC5D60"/>
    <w:rsid w:val="00ED1FCA"/>
    <w:rsid w:val="00EF0853"/>
    <w:rsid w:val="00EF3B17"/>
    <w:rsid w:val="00EF4741"/>
    <w:rsid w:val="00F2057E"/>
    <w:rsid w:val="00F21AAD"/>
    <w:rsid w:val="00F21E3D"/>
    <w:rsid w:val="00F25B7C"/>
    <w:rsid w:val="00F708D3"/>
    <w:rsid w:val="00F768FA"/>
    <w:rsid w:val="00FB5FC1"/>
    <w:rsid w:val="00FC17C7"/>
    <w:rsid w:val="00FC5B6E"/>
    <w:rsid w:val="00FE14BB"/>
    <w:rsid w:val="042ED15F"/>
    <w:rsid w:val="10E6331D"/>
    <w:rsid w:val="15BC61C7"/>
    <w:rsid w:val="20729271"/>
    <w:rsid w:val="215ED262"/>
    <w:rsid w:val="22436F2D"/>
    <w:rsid w:val="250EBCAF"/>
    <w:rsid w:val="25B65723"/>
    <w:rsid w:val="27B4DA32"/>
    <w:rsid w:val="3CE41680"/>
    <w:rsid w:val="41858934"/>
    <w:rsid w:val="45BE5B1D"/>
    <w:rsid w:val="4F4333A4"/>
    <w:rsid w:val="5875EC0E"/>
    <w:rsid w:val="5A993515"/>
    <w:rsid w:val="60A64F66"/>
    <w:rsid w:val="612D9794"/>
    <w:rsid w:val="62F2B432"/>
    <w:rsid w:val="65B63A21"/>
    <w:rsid w:val="6CC8281B"/>
    <w:rsid w:val="6DFEF814"/>
    <w:rsid w:val="7761531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C5190F"/>
  <w15:chartTrackingRefBased/>
  <w15:docId w15:val="{5F931BE9-BC24-D44E-BC62-A67299F0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632"/>
    <w:rPr>
      <w:rFonts w:ascii="Times New Roman" w:eastAsia="Times New Roman" w:hAnsi="Times New Roman" w:cs="Times New Roman"/>
      <w:lang w:eastAsia="en-GB"/>
    </w:rPr>
  </w:style>
  <w:style w:type="paragraph" w:styleId="Heading1">
    <w:name w:val="heading 1"/>
    <w:basedOn w:val="Header1"/>
    <w:next w:val="Normal"/>
    <w:link w:val="Heading1Char"/>
    <w:uiPriority w:val="9"/>
    <w:rsid w:val="007A7632"/>
    <w:pPr>
      <w:spacing w:before="3960" w:beforeAutospacing="0"/>
      <w:outlineLvl w:val="0"/>
    </w:pPr>
    <w:rPr>
      <w:noProof/>
    </w:rPr>
  </w:style>
  <w:style w:type="paragraph" w:styleId="Heading2">
    <w:name w:val="heading 2"/>
    <w:basedOn w:val="Header2"/>
    <w:next w:val="Normal"/>
    <w:link w:val="Heading2Char"/>
    <w:uiPriority w:val="9"/>
    <w:unhideWhenUsed/>
    <w:qFormat/>
    <w:rsid w:val="007A7632"/>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hAnsi="Arial" w:cstheme="minorBidi"/>
      <w:noProof/>
      <w:color w:val="1E1545" w:themeColor="text1"/>
      <w:szCs w:val="20"/>
      <w:shd w:val="clear" w:color="auto" w:fill="FFFFFF"/>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eastAsiaTheme="minorEastAsia" w:hAnsi="Arial" w:cstheme="minorBidi"/>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eastAsiaTheme="minorEastAsia" w:hAnsi="Arial" w:cstheme="minorBidi"/>
      <w:color w:val="1E1545" w:themeColor="text1"/>
      <w:szCs w:val="20"/>
      <w:lang w:eastAsia="zh-CN"/>
    </w:rPr>
  </w:style>
  <w:style w:type="paragraph" w:styleId="ListBullet2">
    <w:name w:val="List Bullet 2"/>
    <w:basedOn w:val="Normal"/>
    <w:uiPriority w:val="99"/>
    <w:unhideWhenUsed/>
    <w:qFormat/>
    <w:rsid w:val="001172BA"/>
    <w:pPr>
      <w:numPr>
        <w:ilvl w:val="1"/>
        <w:numId w:val="1"/>
      </w:numPr>
      <w:spacing w:after="80"/>
      <w:ind w:left="1434"/>
    </w:pPr>
    <w:rPr>
      <w:rFonts w:ascii="Arial" w:eastAsiaTheme="minorEastAsia" w:hAnsi="Arial" w:cstheme="minorBidi"/>
      <w:color w:val="1E1545" w:themeColor="text1"/>
      <w:szCs w:val="20"/>
      <w:lang w:eastAsia="zh-CN"/>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eastAsiaTheme="minorEastAsia" w:hAnsi="Arial" w:cstheme="minorBidi"/>
      <w:color w:val="1E1545" w:themeColor="text1"/>
      <w:szCs w:val="20"/>
      <w:lang w:eastAsia="zh-CN"/>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eastAsiaTheme="minorEastAsia" w:hAnsi="Arial" w:cstheme="minorBidi"/>
      <w:color w:val="1E1545" w:themeColor="text1"/>
      <w:szCs w:val="20"/>
      <w:lang w:eastAsia="zh-CN"/>
    </w:rPr>
  </w:style>
  <w:style w:type="paragraph" w:styleId="ListNumber2">
    <w:name w:val="List Number 2"/>
    <w:basedOn w:val="Normal"/>
    <w:uiPriority w:val="99"/>
    <w:unhideWhenUsed/>
    <w:qFormat/>
    <w:rsid w:val="005F1B0A"/>
    <w:pPr>
      <w:numPr>
        <w:ilvl w:val="1"/>
        <w:numId w:val="3"/>
      </w:numPr>
      <w:spacing w:after="80"/>
    </w:pPr>
    <w:rPr>
      <w:rFonts w:ascii="Arial" w:eastAsiaTheme="minorEastAsia" w:hAnsi="Arial" w:cstheme="minorBidi"/>
      <w:color w:val="1E1545" w:themeColor="text1"/>
      <w:szCs w:val="20"/>
      <w:lang w:eastAsia="zh-CN"/>
    </w:rPr>
  </w:style>
  <w:style w:type="paragraph" w:styleId="ListNumber3">
    <w:name w:val="List Number 3"/>
    <w:basedOn w:val="Normal"/>
    <w:uiPriority w:val="99"/>
    <w:unhideWhenUsed/>
    <w:qFormat/>
    <w:rsid w:val="005F1B0A"/>
    <w:pPr>
      <w:numPr>
        <w:ilvl w:val="2"/>
        <w:numId w:val="3"/>
      </w:numPr>
      <w:spacing w:after="80"/>
    </w:pPr>
    <w:rPr>
      <w:rFonts w:ascii="Arial" w:eastAsiaTheme="minorEastAsia" w:hAnsi="Arial" w:cstheme="minorBidi"/>
      <w:color w:val="1E1545" w:themeColor="text1"/>
      <w:szCs w:val="20"/>
      <w:lang w:eastAsia="zh-CN"/>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7632"/>
    <w:rPr>
      <w:rFonts w:ascii="Arial" w:eastAsia="Times New Roman" w:hAnsi="Arial"/>
      <w:b/>
      <w:noProof/>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paragraph" w:customStyle="1" w:styleId="paragraph">
    <w:name w:val="paragraph"/>
    <w:basedOn w:val="Normal"/>
    <w:rsid w:val="00292915"/>
    <w:pPr>
      <w:spacing w:before="100" w:beforeAutospacing="1" w:after="100" w:afterAutospacing="1"/>
    </w:pPr>
    <w:rPr>
      <w:lang w:val="en-US" w:eastAsia="en-US"/>
    </w:rPr>
  </w:style>
  <w:style w:type="character" w:customStyle="1" w:styleId="normaltextrun">
    <w:name w:val="normaltextrun"/>
    <w:basedOn w:val="DefaultParagraphFont"/>
    <w:rsid w:val="00292915"/>
  </w:style>
  <w:style w:type="character" w:customStyle="1" w:styleId="eop">
    <w:name w:val="eop"/>
    <w:basedOn w:val="DefaultParagraphFont"/>
    <w:rsid w:val="00292915"/>
  </w:style>
  <w:style w:type="paragraph" w:styleId="ListParagraph">
    <w:name w:val="List Paragraph"/>
    <w:basedOn w:val="Normal"/>
    <w:uiPriority w:val="34"/>
    <w:qFormat/>
    <w:rsid w:val="008C64C9"/>
    <w:pPr>
      <w:ind w:left="720"/>
    </w:pPr>
    <w:rPr>
      <w:rFonts w:ascii="Calibri" w:eastAsiaTheme="minorHAnsi" w:hAnsi="Calibri"/>
      <w:sz w:val="22"/>
      <w:szCs w:val="22"/>
      <w:lang w:eastAsia="en-AU"/>
    </w:rPr>
  </w:style>
  <w:style w:type="character" w:styleId="CommentReference">
    <w:name w:val="annotation reference"/>
    <w:basedOn w:val="DefaultParagraphFont"/>
    <w:uiPriority w:val="99"/>
    <w:semiHidden/>
    <w:unhideWhenUsed/>
    <w:rsid w:val="00D20FFC"/>
    <w:rPr>
      <w:sz w:val="16"/>
      <w:szCs w:val="16"/>
    </w:rPr>
  </w:style>
  <w:style w:type="paragraph" w:styleId="CommentText">
    <w:name w:val="annotation text"/>
    <w:basedOn w:val="Normal"/>
    <w:link w:val="CommentTextChar"/>
    <w:uiPriority w:val="99"/>
    <w:semiHidden/>
    <w:unhideWhenUsed/>
    <w:rsid w:val="00D20FFC"/>
    <w:rPr>
      <w:sz w:val="20"/>
      <w:szCs w:val="20"/>
    </w:rPr>
  </w:style>
  <w:style w:type="character" w:customStyle="1" w:styleId="CommentTextChar">
    <w:name w:val="Comment Text Char"/>
    <w:basedOn w:val="DefaultParagraphFont"/>
    <w:link w:val="CommentText"/>
    <w:uiPriority w:val="99"/>
    <w:semiHidden/>
    <w:rsid w:val="00D20FF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20FFC"/>
    <w:rPr>
      <w:b/>
      <w:bCs/>
    </w:rPr>
  </w:style>
  <w:style w:type="character" w:customStyle="1" w:styleId="CommentSubjectChar">
    <w:name w:val="Comment Subject Char"/>
    <w:basedOn w:val="CommentTextChar"/>
    <w:link w:val="CommentSubject"/>
    <w:uiPriority w:val="99"/>
    <w:semiHidden/>
    <w:rsid w:val="00D20FFC"/>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rsid w:val="007A7632"/>
    <w:rPr>
      <w:rFonts w:ascii="Arial" w:eastAsia="Times New Roman" w:hAnsi="Arial"/>
      <w:b/>
      <w:bCs/>
      <w:noProof/>
      <w:color w:val="1E1644"/>
      <w:sz w:val="32"/>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5322">
      <w:bodyDiv w:val="1"/>
      <w:marLeft w:val="0"/>
      <w:marRight w:val="0"/>
      <w:marTop w:val="0"/>
      <w:marBottom w:val="0"/>
      <w:divBdr>
        <w:top w:val="none" w:sz="0" w:space="0" w:color="auto"/>
        <w:left w:val="none" w:sz="0" w:space="0" w:color="auto"/>
        <w:bottom w:val="none" w:sz="0" w:space="0" w:color="auto"/>
        <w:right w:val="none" w:sz="0" w:space="0" w:color="auto"/>
      </w:divBdr>
    </w:div>
    <w:div w:id="388384671">
      <w:bodyDiv w:val="1"/>
      <w:marLeft w:val="0"/>
      <w:marRight w:val="0"/>
      <w:marTop w:val="0"/>
      <w:marBottom w:val="0"/>
      <w:divBdr>
        <w:top w:val="none" w:sz="0" w:space="0" w:color="auto"/>
        <w:left w:val="none" w:sz="0" w:space="0" w:color="auto"/>
        <w:bottom w:val="none" w:sz="0" w:space="0" w:color="auto"/>
        <w:right w:val="none" w:sz="0" w:space="0" w:color="auto"/>
      </w:divBdr>
      <w:divsChild>
        <w:div w:id="986055609">
          <w:marLeft w:val="0"/>
          <w:marRight w:val="0"/>
          <w:marTop w:val="0"/>
          <w:marBottom w:val="0"/>
          <w:divBdr>
            <w:top w:val="none" w:sz="0" w:space="0" w:color="auto"/>
            <w:left w:val="none" w:sz="0" w:space="0" w:color="auto"/>
            <w:bottom w:val="none" w:sz="0" w:space="0" w:color="auto"/>
            <w:right w:val="none" w:sz="0" w:space="0" w:color="auto"/>
          </w:divBdr>
        </w:div>
        <w:div w:id="1079329931">
          <w:marLeft w:val="0"/>
          <w:marRight w:val="0"/>
          <w:marTop w:val="0"/>
          <w:marBottom w:val="0"/>
          <w:divBdr>
            <w:top w:val="none" w:sz="0" w:space="0" w:color="auto"/>
            <w:left w:val="none" w:sz="0" w:space="0" w:color="auto"/>
            <w:bottom w:val="none" w:sz="0" w:space="0" w:color="auto"/>
            <w:right w:val="none" w:sz="0" w:space="0" w:color="auto"/>
          </w:divBdr>
        </w:div>
      </w:divsChild>
    </w:div>
    <w:div w:id="415438035">
      <w:bodyDiv w:val="1"/>
      <w:marLeft w:val="0"/>
      <w:marRight w:val="0"/>
      <w:marTop w:val="0"/>
      <w:marBottom w:val="0"/>
      <w:divBdr>
        <w:top w:val="none" w:sz="0" w:space="0" w:color="auto"/>
        <w:left w:val="none" w:sz="0" w:space="0" w:color="auto"/>
        <w:bottom w:val="none" w:sz="0" w:space="0" w:color="auto"/>
        <w:right w:val="none" w:sz="0" w:space="0" w:color="auto"/>
      </w:divBdr>
      <w:divsChild>
        <w:div w:id="1108547985">
          <w:marLeft w:val="0"/>
          <w:marRight w:val="0"/>
          <w:marTop w:val="0"/>
          <w:marBottom w:val="0"/>
          <w:divBdr>
            <w:top w:val="none" w:sz="0" w:space="0" w:color="auto"/>
            <w:left w:val="none" w:sz="0" w:space="0" w:color="auto"/>
            <w:bottom w:val="none" w:sz="0" w:space="0" w:color="auto"/>
            <w:right w:val="none" w:sz="0" w:space="0" w:color="auto"/>
          </w:divBdr>
        </w:div>
        <w:div w:id="1287153078">
          <w:marLeft w:val="0"/>
          <w:marRight w:val="0"/>
          <w:marTop w:val="0"/>
          <w:marBottom w:val="0"/>
          <w:divBdr>
            <w:top w:val="none" w:sz="0" w:space="0" w:color="auto"/>
            <w:left w:val="none" w:sz="0" w:space="0" w:color="auto"/>
            <w:bottom w:val="none" w:sz="0" w:space="0" w:color="auto"/>
            <w:right w:val="none" w:sz="0" w:space="0" w:color="auto"/>
          </w:divBdr>
        </w:div>
        <w:div w:id="679550979">
          <w:marLeft w:val="0"/>
          <w:marRight w:val="0"/>
          <w:marTop w:val="0"/>
          <w:marBottom w:val="0"/>
          <w:divBdr>
            <w:top w:val="none" w:sz="0" w:space="0" w:color="auto"/>
            <w:left w:val="none" w:sz="0" w:space="0" w:color="auto"/>
            <w:bottom w:val="none" w:sz="0" w:space="0" w:color="auto"/>
            <w:right w:val="none" w:sz="0" w:space="0" w:color="auto"/>
          </w:divBdr>
        </w:div>
      </w:divsChild>
    </w:div>
    <w:div w:id="511647542">
      <w:bodyDiv w:val="1"/>
      <w:marLeft w:val="0"/>
      <w:marRight w:val="0"/>
      <w:marTop w:val="0"/>
      <w:marBottom w:val="0"/>
      <w:divBdr>
        <w:top w:val="none" w:sz="0" w:space="0" w:color="auto"/>
        <w:left w:val="none" w:sz="0" w:space="0" w:color="auto"/>
        <w:bottom w:val="none" w:sz="0" w:space="0" w:color="auto"/>
        <w:right w:val="none" w:sz="0" w:space="0" w:color="auto"/>
      </w:divBdr>
      <w:divsChild>
        <w:div w:id="49501523">
          <w:marLeft w:val="0"/>
          <w:marRight w:val="0"/>
          <w:marTop w:val="0"/>
          <w:marBottom w:val="0"/>
          <w:divBdr>
            <w:top w:val="none" w:sz="0" w:space="0" w:color="auto"/>
            <w:left w:val="none" w:sz="0" w:space="0" w:color="auto"/>
            <w:bottom w:val="none" w:sz="0" w:space="0" w:color="auto"/>
            <w:right w:val="none" w:sz="0" w:space="0" w:color="auto"/>
          </w:divBdr>
        </w:div>
        <w:div w:id="1842811127">
          <w:marLeft w:val="0"/>
          <w:marRight w:val="0"/>
          <w:marTop w:val="0"/>
          <w:marBottom w:val="0"/>
          <w:divBdr>
            <w:top w:val="none" w:sz="0" w:space="0" w:color="auto"/>
            <w:left w:val="none" w:sz="0" w:space="0" w:color="auto"/>
            <w:bottom w:val="none" w:sz="0" w:space="0" w:color="auto"/>
            <w:right w:val="none" w:sz="0" w:space="0" w:color="auto"/>
          </w:divBdr>
        </w:div>
        <w:div w:id="1845437196">
          <w:marLeft w:val="0"/>
          <w:marRight w:val="0"/>
          <w:marTop w:val="0"/>
          <w:marBottom w:val="0"/>
          <w:divBdr>
            <w:top w:val="none" w:sz="0" w:space="0" w:color="auto"/>
            <w:left w:val="none" w:sz="0" w:space="0" w:color="auto"/>
            <w:bottom w:val="none" w:sz="0" w:space="0" w:color="auto"/>
            <w:right w:val="none" w:sz="0" w:space="0" w:color="auto"/>
          </w:divBdr>
        </w:div>
      </w:divsChild>
    </w:div>
    <w:div w:id="539123760">
      <w:bodyDiv w:val="1"/>
      <w:marLeft w:val="0"/>
      <w:marRight w:val="0"/>
      <w:marTop w:val="0"/>
      <w:marBottom w:val="0"/>
      <w:divBdr>
        <w:top w:val="none" w:sz="0" w:space="0" w:color="auto"/>
        <w:left w:val="none" w:sz="0" w:space="0" w:color="auto"/>
        <w:bottom w:val="none" w:sz="0" w:space="0" w:color="auto"/>
        <w:right w:val="none" w:sz="0" w:space="0" w:color="auto"/>
      </w:divBdr>
    </w:div>
    <w:div w:id="583804025">
      <w:bodyDiv w:val="1"/>
      <w:marLeft w:val="0"/>
      <w:marRight w:val="0"/>
      <w:marTop w:val="0"/>
      <w:marBottom w:val="0"/>
      <w:divBdr>
        <w:top w:val="none" w:sz="0" w:space="0" w:color="auto"/>
        <w:left w:val="none" w:sz="0" w:space="0" w:color="auto"/>
        <w:bottom w:val="none" w:sz="0" w:space="0" w:color="auto"/>
        <w:right w:val="none" w:sz="0" w:space="0" w:color="auto"/>
      </w:divBdr>
    </w:div>
    <w:div w:id="714964837">
      <w:bodyDiv w:val="1"/>
      <w:marLeft w:val="0"/>
      <w:marRight w:val="0"/>
      <w:marTop w:val="0"/>
      <w:marBottom w:val="0"/>
      <w:divBdr>
        <w:top w:val="none" w:sz="0" w:space="0" w:color="auto"/>
        <w:left w:val="none" w:sz="0" w:space="0" w:color="auto"/>
        <w:bottom w:val="none" w:sz="0" w:space="0" w:color="auto"/>
        <w:right w:val="none" w:sz="0" w:space="0" w:color="auto"/>
      </w:divBdr>
    </w:div>
    <w:div w:id="992485424">
      <w:bodyDiv w:val="1"/>
      <w:marLeft w:val="0"/>
      <w:marRight w:val="0"/>
      <w:marTop w:val="0"/>
      <w:marBottom w:val="0"/>
      <w:divBdr>
        <w:top w:val="none" w:sz="0" w:space="0" w:color="auto"/>
        <w:left w:val="none" w:sz="0" w:space="0" w:color="auto"/>
        <w:bottom w:val="none" w:sz="0" w:space="0" w:color="auto"/>
        <w:right w:val="none" w:sz="0" w:space="0" w:color="auto"/>
      </w:divBdr>
      <w:divsChild>
        <w:div w:id="1503819314">
          <w:marLeft w:val="0"/>
          <w:marRight w:val="0"/>
          <w:marTop w:val="0"/>
          <w:marBottom w:val="0"/>
          <w:divBdr>
            <w:top w:val="none" w:sz="0" w:space="0" w:color="auto"/>
            <w:left w:val="none" w:sz="0" w:space="0" w:color="auto"/>
            <w:bottom w:val="none" w:sz="0" w:space="0" w:color="auto"/>
            <w:right w:val="none" w:sz="0" w:space="0" w:color="auto"/>
          </w:divBdr>
        </w:div>
        <w:div w:id="2006471600">
          <w:marLeft w:val="0"/>
          <w:marRight w:val="0"/>
          <w:marTop w:val="0"/>
          <w:marBottom w:val="0"/>
          <w:divBdr>
            <w:top w:val="none" w:sz="0" w:space="0" w:color="auto"/>
            <w:left w:val="none" w:sz="0" w:space="0" w:color="auto"/>
            <w:bottom w:val="none" w:sz="0" w:space="0" w:color="auto"/>
            <w:right w:val="none" w:sz="0" w:space="0" w:color="auto"/>
          </w:divBdr>
        </w:div>
        <w:div w:id="565916280">
          <w:marLeft w:val="0"/>
          <w:marRight w:val="0"/>
          <w:marTop w:val="0"/>
          <w:marBottom w:val="0"/>
          <w:divBdr>
            <w:top w:val="none" w:sz="0" w:space="0" w:color="auto"/>
            <w:left w:val="none" w:sz="0" w:space="0" w:color="auto"/>
            <w:bottom w:val="none" w:sz="0" w:space="0" w:color="auto"/>
            <w:right w:val="none" w:sz="0" w:space="0" w:color="auto"/>
          </w:divBdr>
        </w:div>
      </w:divsChild>
    </w:div>
    <w:div w:id="1314682130">
      <w:bodyDiv w:val="1"/>
      <w:marLeft w:val="0"/>
      <w:marRight w:val="0"/>
      <w:marTop w:val="0"/>
      <w:marBottom w:val="0"/>
      <w:divBdr>
        <w:top w:val="none" w:sz="0" w:space="0" w:color="auto"/>
        <w:left w:val="none" w:sz="0" w:space="0" w:color="auto"/>
        <w:bottom w:val="none" w:sz="0" w:space="0" w:color="auto"/>
        <w:right w:val="none" w:sz="0" w:space="0" w:color="auto"/>
      </w:divBdr>
      <w:divsChild>
        <w:div w:id="202132401">
          <w:marLeft w:val="0"/>
          <w:marRight w:val="0"/>
          <w:marTop w:val="0"/>
          <w:marBottom w:val="0"/>
          <w:divBdr>
            <w:top w:val="none" w:sz="0" w:space="0" w:color="auto"/>
            <w:left w:val="none" w:sz="0" w:space="0" w:color="auto"/>
            <w:bottom w:val="none" w:sz="0" w:space="0" w:color="auto"/>
            <w:right w:val="none" w:sz="0" w:space="0" w:color="auto"/>
          </w:divBdr>
        </w:div>
        <w:div w:id="757017104">
          <w:marLeft w:val="0"/>
          <w:marRight w:val="0"/>
          <w:marTop w:val="0"/>
          <w:marBottom w:val="0"/>
          <w:divBdr>
            <w:top w:val="none" w:sz="0" w:space="0" w:color="auto"/>
            <w:left w:val="none" w:sz="0" w:space="0" w:color="auto"/>
            <w:bottom w:val="none" w:sz="0" w:space="0" w:color="auto"/>
            <w:right w:val="none" w:sz="0" w:space="0" w:color="auto"/>
          </w:divBdr>
        </w:div>
      </w:divsChild>
    </w:div>
    <w:div w:id="1378621493">
      <w:bodyDiv w:val="1"/>
      <w:marLeft w:val="0"/>
      <w:marRight w:val="0"/>
      <w:marTop w:val="0"/>
      <w:marBottom w:val="0"/>
      <w:divBdr>
        <w:top w:val="none" w:sz="0" w:space="0" w:color="auto"/>
        <w:left w:val="none" w:sz="0" w:space="0" w:color="auto"/>
        <w:bottom w:val="none" w:sz="0" w:space="0" w:color="auto"/>
        <w:right w:val="none" w:sz="0" w:space="0" w:color="auto"/>
      </w:divBdr>
    </w:div>
    <w:div w:id="1460953374">
      <w:bodyDiv w:val="1"/>
      <w:marLeft w:val="0"/>
      <w:marRight w:val="0"/>
      <w:marTop w:val="0"/>
      <w:marBottom w:val="0"/>
      <w:divBdr>
        <w:top w:val="none" w:sz="0" w:space="0" w:color="auto"/>
        <w:left w:val="none" w:sz="0" w:space="0" w:color="auto"/>
        <w:bottom w:val="none" w:sz="0" w:space="0" w:color="auto"/>
        <w:right w:val="none" w:sz="0" w:space="0" w:color="auto"/>
      </w:divBdr>
    </w:div>
    <w:div w:id="1480535563">
      <w:bodyDiv w:val="1"/>
      <w:marLeft w:val="0"/>
      <w:marRight w:val="0"/>
      <w:marTop w:val="0"/>
      <w:marBottom w:val="0"/>
      <w:divBdr>
        <w:top w:val="none" w:sz="0" w:space="0" w:color="auto"/>
        <w:left w:val="none" w:sz="0" w:space="0" w:color="auto"/>
        <w:bottom w:val="none" w:sz="0" w:space="0" w:color="auto"/>
        <w:right w:val="none" w:sz="0" w:space="0" w:color="auto"/>
      </w:divBdr>
    </w:div>
    <w:div w:id="1701201897">
      <w:bodyDiv w:val="1"/>
      <w:marLeft w:val="0"/>
      <w:marRight w:val="0"/>
      <w:marTop w:val="0"/>
      <w:marBottom w:val="0"/>
      <w:divBdr>
        <w:top w:val="none" w:sz="0" w:space="0" w:color="auto"/>
        <w:left w:val="none" w:sz="0" w:space="0" w:color="auto"/>
        <w:bottom w:val="none" w:sz="0" w:space="0" w:color="auto"/>
        <w:right w:val="none" w:sz="0" w:space="0" w:color="auto"/>
      </w:divBdr>
      <w:divsChild>
        <w:div w:id="878203163">
          <w:marLeft w:val="0"/>
          <w:marRight w:val="0"/>
          <w:marTop w:val="0"/>
          <w:marBottom w:val="0"/>
          <w:divBdr>
            <w:top w:val="none" w:sz="0" w:space="0" w:color="auto"/>
            <w:left w:val="none" w:sz="0" w:space="0" w:color="auto"/>
            <w:bottom w:val="none" w:sz="0" w:space="0" w:color="auto"/>
            <w:right w:val="none" w:sz="0" w:space="0" w:color="auto"/>
          </w:divBdr>
        </w:div>
        <w:div w:id="526798774">
          <w:marLeft w:val="0"/>
          <w:marRight w:val="0"/>
          <w:marTop w:val="0"/>
          <w:marBottom w:val="0"/>
          <w:divBdr>
            <w:top w:val="none" w:sz="0" w:space="0" w:color="auto"/>
            <w:left w:val="none" w:sz="0" w:space="0" w:color="auto"/>
            <w:bottom w:val="none" w:sz="0" w:space="0" w:color="auto"/>
            <w:right w:val="none" w:sz="0" w:space="0" w:color="auto"/>
          </w:divBdr>
        </w:div>
        <w:div w:id="223032773">
          <w:marLeft w:val="0"/>
          <w:marRight w:val="0"/>
          <w:marTop w:val="0"/>
          <w:marBottom w:val="0"/>
          <w:divBdr>
            <w:top w:val="none" w:sz="0" w:space="0" w:color="auto"/>
            <w:left w:val="none" w:sz="0" w:space="0" w:color="auto"/>
            <w:bottom w:val="none" w:sz="0" w:space="0" w:color="auto"/>
            <w:right w:val="none" w:sz="0" w:space="0" w:color="auto"/>
          </w:divBdr>
        </w:div>
      </w:divsChild>
    </w:div>
    <w:div w:id="1711808427">
      <w:bodyDiv w:val="1"/>
      <w:marLeft w:val="0"/>
      <w:marRight w:val="0"/>
      <w:marTop w:val="0"/>
      <w:marBottom w:val="0"/>
      <w:divBdr>
        <w:top w:val="none" w:sz="0" w:space="0" w:color="auto"/>
        <w:left w:val="none" w:sz="0" w:space="0" w:color="auto"/>
        <w:bottom w:val="none" w:sz="0" w:space="0" w:color="auto"/>
        <w:right w:val="none" w:sz="0" w:space="0" w:color="auto"/>
      </w:divBdr>
      <w:divsChild>
        <w:div w:id="955604301">
          <w:marLeft w:val="0"/>
          <w:marRight w:val="0"/>
          <w:marTop w:val="0"/>
          <w:marBottom w:val="0"/>
          <w:divBdr>
            <w:top w:val="none" w:sz="0" w:space="0" w:color="auto"/>
            <w:left w:val="none" w:sz="0" w:space="0" w:color="auto"/>
            <w:bottom w:val="none" w:sz="0" w:space="0" w:color="auto"/>
            <w:right w:val="none" w:sz="0" w:space="0" w:color="auto"/>
          </w:divBdr>
        </w:div>
        <w:div w:id="1817256978">
          <w:marLeft w:val="0"/>
          <w:marRight w:val="0"/>
          <w:marTop w:val="0"/>
          <w:marBottom w:val="0"/>
          <w:divBdr>
            <w:top w:val="none" w:sz="0" w:space="0" w:color="auto"/>
            <w:left w:val="none" w:sz="0" w:space="0" w:color="auto"/>
            <w:bottom w:val="none" w:sz="0" w:space="0" w:color="auto"/>
            <w:right w:val="none" w:sz="0" w:space="0" w:color="auto"/>
          </w:divBdr>
        </w:div>
      </w:divsChild>
    </w:div>
    <w:div w:id="1895239027">
      <w:bodyDiv w:val="1"/>
      <w:marLeft w:val="0"/>
      <w:marRight w:val="0"/>
      <w:marTop w:val="0"/>
      <w:marBottom w:val="0"/>
      <w:divBdr>
        <w:top w:val="none" w:sz="0" w:space="0" w:color="auto"/>
        <w:left w:val="none" w:sz="0" w:space="0" w:color="auto"/>
        <w:bottom w:val="none" w:sz="0" w:space="0" w:color="auto"/>
        <w:right w:val="none" w:sz="0" w:space="0" w:color="auto"/>
      </w:divBdr>
    </w:div>
    <w:div w:id="19126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p:properties xmlns:p="http://schemas.microsoft.com/office/2006/metadata/properties" xmlns:pc="http://schemas.microsoft.com/office/infopath/2007/PartnerControls" xmlns:xsi="http://www.w3.org/2001/XMLSchema-instance">
  <documentManagement>
    <TaxCatchAll xmlns="0b3e3d46-dbf0-429e-a578-4ead2dab9a43"/>
    <lcf76f155ced4ddcb4097134ff3c332f xmlns="2a2220af-7b06-4401-8589-40fd11788b2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AEF5545-A15F-4956-9E8D-62AB5A496646}">
  <ds:schemaRefs>
    <ds:schemaRef ds:uri="http://schemas.microsoft.com/office/2006/metadata/properties"/>
    <ds:schemaRef ds:uri="http://purl.org/dc/terms/"/>
    <ds:schemaRef ds:uri="0b3e3d46-dbf0-429e-a578-4ead2dab9a43"/>
    <ds:schemaRef ds:uri="2a2220af-7b06-4401-8589-40fd11788b24"/>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346EFDF8-EDB9-443F-8AAC-0721C2B7A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Star Ratings Fact sheet for residential aged care providers</vt:lpstr>
    </vt:vector>
  </TitlesOfParts>
  <Manager/>
  <Company/>
  <LinksUpToDate>false</LinksUpToDate>
  <CharactersWithSpaces>2834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Ratings fact sheet for residential aged care providers</dc:title>
  <dc:subject/>
  <dc:creator>Australian Government Department of Health and Aged Care</dc:creator>
  <cp:keywords/>
  <dc:description/>
  <cp:lastModifiedBy>ARNOLD, Max</cp:lastModifiedBy>
  <cp:revision>3</cp:revision>
  <cp:lastPrinted>2022-08-08T04:51:00Z</cp:lastPrinted>
  <dcterms:created xsi:type="dcterms:W3CDTF">2022-11-18T01:08:00Z</dcterms:created>
  <dcterms:modified xsi:type="dcterms:W3CDTF">2022-11-18T01:29:00Z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ies>
</file>