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8777" w14:textId="4AB57485" w:rsidR="00E73366" w:rsidRPr="00AA3480" w:rsidRDefault="006B0C93" w:rsidP="00E73366">
      <w:r>
        <w:rPr>
          <w:noProof/>
        </w:rPr>
        <w:drawing>
          <wp:inline distT="0" distB="0" distL="0" distR="0" wp14:anchorId="2E43DC59" wp14:editId="0F32D586">
            <wp:extent cx="2695575" cy="647700"/>
            <wp:effectExtent l="0" t="0" r="9525"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crest"/>
                    <pic:cNvPicPr/>
                  </pic:nvPicPr>
                  <pic:blipFill>
                    <a:blip r:embed="rId8">
                      <a:extLst>
                        <a:ext uri="{28A0092B-C50C-407E-A947-70E740481C1C}">
                          <a14:useLocalDpi xmlns:a14="http://schemas.microsoft.com/office/drawing/2010/main" val="0"/>
                        </a:ext>
                      </a:extLst>
                    </a:blip>
                    <a:stretch>
                      <a:fillRect/>
                    </a:stretch>
                  </pic:blipFill>
                  <pic:spPr>
                    <a:xfrm>
                      <a:off x="0" y="0"/>
                      <a:ext cx="2695575" cy="647700"/>
                    </a:xfrm>
                    <a:prstGeom prst="rect">
                      <a:avLst/>
                    </a:prstGeom>
                  </pic:spPr>
                </pic:pic>
              </a:graphicData>
            </a:graphic>
          </wp:inline>
        </w:drawing>
      </w:r>
    </w:p>
    <w:p w14:paraId="7DF10BDD" w14:textId="77777777" w:rsidR="00E73366" w:rsidRPr="002847F5" w:rsidRDefault="00E73366" w:rsidP="002847F5">
      <w:pPr>
        <w:pStyle w:val="Title"/>
      </w:pPr>
      <w:r w:rsidRPr="00FC0242">
        <w:t>COST RECOVERY IMPLEMENTATION STATEMENT</w:t>
      </w:r>
    </w:p>
    <w:p w14:paraId="23610643" w14:textId="1C4691A0" w:rsidR="00350643" w:rsidRPr="002847F5" w:rsidRDefault="00E73366" w:rsidP="002847F5">
      <w:pPr>
        <w:pStyle w:val="Subtitle"/>
      </w:pPr>
      <w:r w:rsidRPr="00FC0242">
        <w:t>Administration of the Prostheses List</w:t>
      </w:r>
    </w:p>
    <w:p w14:paraId="5C39FE3F" w14:textId="2978D7DF" w:rsidR="00E73366" w:rsidRPr="00FC0242" w:rsidRDefault="00E73366" w:rsidP="00262D38">
      <w:pPr>
        <w:jc w:val="center"/>
        <w:rPr>
          <w:rStyle w:val="Strong"/>
        </w:rPr>
      </w:pPr>
      <w:r w:rsidRPr="00FC0242">
        <w:rPr>
          <w:rStyle w:val="Strong"/>
        </w:rPr>
        <w:t>1 July 20</w:t>
      </w:r>
      <w:r w:rsidR="000A0394" w:rsidRPr="00FC0242">
        <w:rPr>
          <w:rStyle w:val="Strong"/>
        </w:rPr>
        <w:t>2</w:t>
      </w:r>
      <w:r w:rsidR="003474F7" w:rsidRPr="00FC0242">
        <w:rPr>
          <w:rStyle w:val="Strong"/>
        </w:rPr>
        <w:t>2</w:t>
      </w:r>
      <w:r w:rsidRPr="00FC0242">
        <w:rPr>
          <w:rStyle w:val="Strong"/>
        </w:rPr>
        <w:t xml:space="preserve"> to 30 June </w:t>
      </w:r>
      <w:r w:rsidR="0083381C" w:rsidRPr="00FC0242">
        <w:rPr>
          <w:rStyle w:val="Strong"/>
        </w:rPr>
        <w:t>20</w:t>
      </w:r>
      <w:r w:rsidR="000A0394" w:rsidRPr="00FC0242">
        <w:rPr>
          <w:rStyle w:val="Strong"/>
        </w:rPr>
        <w:t>2</w:t>
      </w:r>
      <w:r w:rsidR="003474F7" w:rsidRPr="00FC0242">
        <w:rPr>
          <w:rStyle w:val="Strong"/>
        </w:rPr>
        <w:t>3</w:t>
      </w:r>
    </w:p>
    <w:p w14:paraId="17FA9F6E" w14:textId="75DE27D0" w:rsidR="00BE604F" w:rsidRPr="00FC7DBA" w:rsidRDefault="00BE604F" w:rsidP="00F602A4">
      <w:pPr>
        <w:jc w:val="center"/>
        <w:rPr>
          <w:rStyle w:val="Strong"/>
        </w:rPr>
      </w:pPr>
      <w:r w:rsidRPr="00FC7DBA">
        <w:rPr>
          <w:rStyle w:val="Strong"/>
        </w:rPr>
        <w:t>Version 1.</w:t>
      </w:r>
      <w:r w:rsidR="00D74B72" w:rsidRPr="00FC7DBA">
        <w:rPr>
          <w:rStyle w:val="Strong"/>
        </w:rPr>
        <w:t>2</w:t>
      </w:r>
    </w:p>
    <w:p w14:paraId="0000C214" w14:textId="173EC055" w:rsidR="00CA1625" w:rsidRPr="00FC0242" w:rsidRDefault="00CA1625" w:rsidP="007D2C9B">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pPr>
      <w:r w:rsidRPr="00FC0242">
        <w:t xml:space="preserve">Cost recovery involves government entities charging individuals or non-government organisations some or </w:t>
      </w:r>
      <w:proofErr w:type="gramStart"/>
      <w:r w:rsidRPr="00FC0242">
        <w:t>all of</w:t>
      </w:r>
      <w:proofErr w:type="gramEnd"/>
      <w:r w:rsidRPr="00FC0242">
        <w:t xml:space="preserve"> the efficient costs of a specific government activity. This may include goods, services or regulation, or a combination of them. The Australian Government Charging Framework, which incorporates the Cost Recovery Guidelines (the CRGs)</w:t>
      </w:r>
      <w:r w:rsidRPr="00FC0242">
        <w:rPr>
          <w:vertAlign w:val="superscript"/>
        </w:rPr>
        <w:footnoteReference w:id="1"/>
      </w:r>
      <w:r w:rsidRPr="00FC0242">
        <w:t>, sets</w:t>
      </w:r>
      <w:r w:rsidR="00E22DE1" w:rsidRPr="00FC0242">
        <w:t xml:space="preserve"> out the</w:t>
      </w:r>
      <w:r w:rsidRPr="00FC0242">
        <w:t xml:space="preserve"> framework under which government entities design, implement and review regulatory charging activities, consistent with the </w:t>
      </w:r>
      <w:r w:rsidRPr="00FC0242">
        <w:rPr>
          <w:i/>
        </w:rPr>
        <w:t>Public Governance, Performance and Accountability Act 2013</w:t>
      </w:r>
      <w:r w:rsidRPr="00FC0242">
        <w:t>.</w:t>
      </w:r>
    </w:p>
    <w:p w14:paraId="38223090" w14:textId="77777777" w:rsidR="00E73366" w:rsidRPr="00FC0242" w:rsidRDefault="00E73366" w:rsidP="00E73366">
      <w:pPr>
        <w:spacing w:line="480" w:lineRule="auto"/>
        <w:sectPr w:rsidR="00E73366" w:rsidRPr="00FC0242" w:rsidSect="00054D13">
          <w:footerReference w:type="default" r:id="rId9"/>
          <w:pgSz w:w="11906" w:h="16838"/>
          <w:pgMar w:top="719" w:right="1440" w:bottom="1418" w:left="1440" w:header="708" w:footer="708" w:gutter="0"/>
          <w:cols w:space="708"/>
          <w:docGrid w:linePitch="360"/>
        </w:sectPr>
      </w:pPr>
    </w:p>
    <w:p w14:paraId="12ADE01B" w14:textId="77777777" w:rsidR="00E73366" w:rsidRPr="00FC0242" w:rsidRDefault="00E73366" w:rsidP="00E73366">
      <w:pPr>
        <w:pStyle w:val="Heading1"/>
      </w:pPr>
      <w:r w:rsidRPr="00FC0242">
        <w:lastRenderedPageBreak/>
        <w:t>INTRODUCTION</w:t>
      </w:r>
    </w:p>
    <w:p w14:paraId="337B1A44" w14:textId="5E799E44" w:rsidR="00E73366" w:rsidRPr="00FC0242" w:rsidRDefault="00E73366" w:rsidP="00262D38">
      <w:pPr>
        <w:pStyle w:val="Heading2"/>
        <w:rPr>
          <w:rFonts w:eastAsia="SimSun"/>
          <w:i/>
        </w:rPr>
      </w:pPr>
      <w:r w:rsidRPr="00FC0242">
        <w:t>Purpose of the CRIS</w:t>
      </w:r>
    </w:p>
    <w:p w14:paraId="14AB6DDC" w14:textId="66AA4408" w:rsidR="00C02861" w:rsidRPr="00FC7DBA" w:rsidRDefault="00E73366" w:rsidP="002847F5">
      <w:r w:rsidRPr="00FC7DBA">
        <w:t>This Cost Recovery Implementation Statement (CRIS) provides information on how the Department of Health</w:t>
      </w:r>
      <w:r w:rsidR="00D108DE" w:rsidRPr="00FC7DBA">
        <w:t xml:space="preserve"> </w:t>
      </w:r>
      <w:r w:rsidR="009868F3" w:rsidRPr="00FC7DBA">
        <w:t xml:space="preserve">and Aged Care </w:t>
      </w:r>
      <w:r w:rsidR="00D108DE" w:rsidRPr="00FC7DBA">
        <w:t>(the Department)</w:t>
      </w:r>
      <w:r w:rsidRPr="00FC7DBA">
        <w:t xml:space="preserve"> implements cost recovery for the administration of the Prostheses List</w:t>
      </w:r>
      <w:r w:rsidR="00643273" w:rsidRPr="00FC7DBA">
        <w:t xml:space="preserve"> (</w:t>
      </w:r>
      <w:r w:rsidR="00A3466E" w:rsidRPr="00FC7DBA">
        <w:t>PL</w:t>
      </w:r>
      <w:r w:rsidR="00643273" w:rsidRPr="00FC7DBA">
        <w:t>)</w:t>
      </w:r>
      <w:r w:rsidRPr="00FC7DBA">
        <w:t>.</w:t>
      </w:r>
    </w:p>
    <w:p w14:paraId="0FA24B85" w14:textId="10C1B938" w:rsidR="00E73366" w:rsidRPr="002847F5" w:rsidRDefault="00E73366" w:rsidP="002847F5">
      <w:r w:rsidRPr="00FC7DBA">
        <w:t xml:space="preserve">It also reports financial and non-financial </w:t>
      </w:r>
      <w:r w:rsidR="00747324" w:rsidRPr="00FC7DBA">
        <w:t xml:space="preserve">results for the </w:t>
      </w:r>
      <w:r w:rsidR="00726037" w:rsidRPr="00FC7DBA">
        <w:t xml:space="preserve">2021-22 </w:t>
      </w:r>
      <w:r w:rsidR="00747324" w:rsidRPr="00FC7DBA">
        <w:t xml:space="preserve">financial year </w:t>
      </w:r>
      <w:r w:rsidRPr="00FC7DBA">
        <w:t xml:space="preserve">for </w:t>
      </w:r>
      <w:r w:rsidR="0025370F" w:rsidRPr="00FC7DBA">
        <w:t xml:space="preserve">the </w:t>
      </w:r>
      <w:r w:rsidRPr="00FC7DBA">
        <w:t xml:space="preserve">administration of the Prostheses List and contains financial forecasts for </w:t>
      </w:r>
      <w:r w:rsidR="00747324" w:rsidRPr="00FC7DBA">
        <w:t xml:space="preserve">the </w:t>
      </w:r>
      <w:r w:rsidR="004050F5" w:rsidRPr="00FC7DBA">
        <w:t xml:space="preserve">2022-23 </w:t>
      </w:r>
      <w:r w:rsidR="00747324" w:rsidRPr="00FC7DBA">
        <w:t xml:space="preserve">financial year </w:t>
      </w:r>
      <w:r w:rsidRPr="00FC7DBA">
        <w:t xml:space="preserve">and three forward years. </w:t>
      </w:r>
      <w:r w:rsidR="00D108DE" w:rsidRPr="00FC7DBA">
        <w:t>The Department</w:t>
      </w:r>
      <w:r w:rsidRPr="00FC7DBA">
        <w:t xml:space="preserve"> will maintain the CRIS until the activity or cost recovery for the activity has been </w:t>
      </w:r>
      <w:r w:rsidRPr="002847F5">
        <w:t>discontinued.</w:t>
      </w:r>
    </w:p>
    <w:p w14:paraId="4B2C04DB" w14:textId="77777777" w:rsidR="00312FDC" w:rsidRPr="00FC0242" w:rsidRDefault="00312FDC" w:rsidP="00312FDC">
      <w:pPr>
        <w:pStyle w:val="Heading2"/>
        <w:ind w:left="578" w:hanging="578"/>
      </w:pPr>
      <w:r w:rsidRPr="00FC0242">
        <w:t>Description of the activity</w:t>
      </w:r>
    </w:p>
    <w:p w14:paraId="72C31C06" w14:textId="3B9A4291" w:rsidR="00312FDC" w:rsidRPr="00FC0242" w:rsidRDefault="00312FDC" w:rsidP="00312FDC">
      <w:pPr>
        <w:rPr>
          <w:szCs w:val="22"/>
        </w:rPr>
      </w:pPr>
      <w:r w:rsidRPr="00FC0242">
        <w:rPr>
          <w:szCs w:val="22"/>
        </w:rPr>
        <w:t xml:space="preserve">The Prostheses List (the List) is the schedule to the </w:t>
      </w:r>
      <w:r w:rsidRPr="00FC0242">
        <w:rPr>
          <w:i/>
          <w:szCs w:val="22"/>
        </w:rPr>
        <w:t xml:space="preserve">Private Health Insurance (Prostheses) Rules </w:t>
      </w:r>
      <w:r w:rsidRPr="00FC0242">
        <w:rPr>
          <w:szCs w:val="22"/>
        </w:rPr>
        <w:t>(the Prostheses Rules) that provides privately insured patients access to safe and clinically effective medical devices.</w:t>
      </w:r>
    </w:p>
    <w:p w14:paraId="4217038C" w14:textId="1599C4E1" w:rsidR="00312FDC" w:rsidRPr="00FC0242" w:rsidRDefault="00643273" w:rsidP="00312FDC">
      <w:pPr>
        <w:spacing w:before="0" w:after="0"/>
        <w:rPr>
          <w:szCs w:val="22"/>
        </w:rPr>
      </w:pPr>
      <w:r w:rsidRPr="00FC0242">
        <w:rPr>
          <w:szCs w:val="22"/>
        </w:rPr>
        <w:t xml:space="preserve">The </w:t>
      </w:r>
      <w:r w:rsidR="00312FDC" w:rsidRPr="00FC0242">
        <w:rPr>
          <w:szCs w:val="22"/>
        </w:rPr>
        <w:t>List is divided into 3 parts:</w:t>
      </w:r>
    </w:p>
    <w:p w14:paraId="07EFE4F5" w14:textId="30A5BDFC" w:rsidR="00312FDC" w:rsidRPr="00FC0242" w:rsidRDefault="00312FDC" w:rsidP="00312FDC">
      <w:pPr>
        <w:pStyle w:val="ListParagraph"/>
        <w:numPr>
          <w:ilvl w:val="0"/>
          <w:numId w:val="34"/>
        </w:numPr>
        <w:spacing w:before="0" w:after="0"/>
        <w:rPr>
          <w:szCs w:val="22"/>
        </w:rPr>
      </w:pPr>
      <w:r w:rsidRPr="00FC0242">
        <w:rPr>
          <w:szCs w:val="22"/>
        </w:rPr>
        <w:t>Part A</w:t>
      </w:r>
      <w:r w:rsidR="002847F5">
        <w:rPr>
          <w:rFonts w:ascii="Courier New" w:hAnsi="Courier New" w:cs="Courier New"/>
          <w:szCs w:val="22"/>
        </w:rPr>
        <w:t>-</w:t>
      </w:r>
      <w:proofErr w:type="gramStart"/>
      <w:r w:rsidRPr="00FC0242">
        <w:rPr>
          <w:szCs w:val="22"/>
        </w:rPr>
        <w:t>Prostheses;</w:t>
      </w:r>
      <w:proofErr w:type="gramEnd"/>
    </w:p>
    <w:p w14:paraId="192F4F57" w14:textId="137110B6" w:rsidR="00312FDC" w:rsidRPr="00FC0242" w:rsidRDefault="00312FDC" w:rsidP="00312FDC">
      <w:pPr>
        <w:pStyle w:val="ListParagraph"/>
        <w:numPr>
          <w:ilvl w:val="0"/>
          <w:numId w:val="34"/>
        </w:numPr>
        <w:spacing w:before="0" w:after="0"/>
        <w:rPr>
          <w:szCs w:val="22"/>
        </w:rPr>
      </w:pPr>
      <w:r w:rsidRPr="00FC0242">
        <w:rPr>
          <w:szCs w:val="22"/>
        </w:rPr>
        <w:t>Part B</w:t>
      </w:r>
      <w:r w:rsidR="002847F5">
        <w:rPr>
          <w:rFonts w:ascii="Courier New" w:hAnsi="Courier New" w:cs="Courier New"/>
          <w:szCs w:val="22"/>
        </w:rPr>
        <w:t>-</w:t>
      </w:r>
      <w:r w:rsidRPr="00FC0242">
        <w:rPr>
          <w:szCs w:val="22"/>
        </w:rPr>
        <w:t xml:space="preserve">Human Tissue items; and </w:t>
      </w:r>
    </w:p>
    <w:p w14:paraId="47038942" w14:textId="1320AA4F" w:rsidR="00312FDC" w:rsidRPr="00FC0242" w:rsidRDefault="00312FDC" w:rsidP="00312FDC">
      <w:pPr>
        <w:pStyle w:val="ListParagraph"/>
        <w:numPr>
          <w:ilvl w:val="0"/>
          <w:numId w:val="34"/>
        </w:numPr>
        <w:spacing w:before="0" w:after="0"/>
        <w:rPr>
          <w:szCs w:val="22"/>
        </w:rPr>
      </w:pPr>
      <w:r w:rsidRPr="00FC0242">
        <w:rPr>
          <w:szCs w:val="22"/>
        </w:rPr>
        <w:t>Part C</w:t>
      </w:r>
      <w:r w:rsidR="002847F5">
        <w:rPr>
          <w:rFonts w:ascii="Courier New" w:hAnsi="Courier New" w:cs="Courier New"/>
          <w:szCs w:val="22"/>
        </w:rPr>
        <w:t>-</w:t>
      </w:r>
      <w:r w:rsidRPr="00FC0242">
        <w:rPr>
          <w:szCs w:val="22"/>
        </w:rPr>
        <w:t>items from groups of products specified by the Minister for Health</w:t>
      </w:r>
      <w:r w:rsidR="003C0AF4" w:rsidRPr="00FC0242">
        <w:rPr>
          <w:szCs w:val="22"/>
        </w:rPr>
        <w:t xml:space="preserve"> and Aged Care</w:t>
      </w:r>
      <w:r w:rsidRPr="00FC0242">
        <w:rPr>
          <w:szCs w:val="22"/>
        </w:rPr>
        <w:t xml:space="preserve">, including: </w:t>
      </w:r>
    </w:p>
    <w:p w14:paraId="6DB57BD8" w14:textId="77777777" w:rsidR="00312FDC" w:rsidRPr="00FC0242" w:rsidRDefault="00312FDC" w:rsidP="00312FDC">
      <w:pPr>
        <w:pStyle w:val="ListParagraph"/>
        <w:numPr>
          <w:ilvl w:val="1"/>
          <w:numId w:val="34"/>
        </w:numPr>
        <w:spacing w:before="0" w:after="0"/>
        <w:rPr>
          <w:szCs w:val="22"/>
        </w:rPr>
      </w:pPr>
      <w:r w:rsidRPr="00FC0242">
        <w:rPr>
          <w:szCs w:val="22"/>
        </w:rPr>
        <w:t xml:space="preserve">insulin infusion </w:t>
      </w:r>
      <w:proofErr w:type="gramStart"/>
      <w:r w:rsidRPr="00FC0242">
        <w:rPr>
          <w:szCs w:val="22"/>
        </w:rPr>
        <w:t>pumps;</w:t>
      </w:r>
      <w:proofErr w:type="gramEnd"/>
    </w:p>
    <w:p w14:paraId="665D099F" w14:textId="77777777" w:rsidR="00312FDC" w:rsidRPr="00FC0242" w:rsidRDefault="00312FDC" w:rsidP="00312FDC">
      <w:pPr>
        <w:pStyle w:val="ListParagraph"/>
        <w:numPr>
          <w:ilvl w:val="1"/>
          <w:numId w:val="34"/>
        </w:numPr>
        <w:spacing w:before="0" w:after="0"/>
        <w:rPr>
          <w:szCs w:val="22"/>
        </w:rPr>
      </w:pPr>
      <w:r w:rsidRPr="00FC0242">
        <w:rPr>
          <w:szCs w:val="22"/>
        </w:rPr>
        <w:t xml:space="preserve">implantable cardiac event </w:t>
      </w:r>
      <w:proofErr w:type="gramStart"/>
      <w:r w:rsidRPr="00FC0242">
        <w:rPr>
          <w:szCs w:val="22"/>
        </w:rPr>
        <w:t>recorders;</w:t>
      </w:r>
      <w:proofErr w:type="gramEnd"/>
      <w:r w:rsidRPr="00FC0242">
        <w:rPr>
          <w:szCs w:val="22"/>
        </w:rPr>
        <w:t xml:space="preserve"> </w:t>
      </w:r>
    </w:p>
    <w:p w14:paraId="1A471838" w14:textId="4722AEB9" w:rsidR="00312FDC" w:rsidRPr="00FC0242" w:rsidRDefault="00312FDC" w:rsidP="00312FDC">
      <w:pPr>
        <w:pStyle w:val="ListParagraph"/>
        <w:numPr>
          <w:ilvl w:val="1"/>
          <w:numId w:val="34"/>
        </w:numPr>
        <w:spacing w:before="0" w:after="0"/>
        <w:rPr>
          <w:szCs w:val="22"/>
        </w:rPr>
      </w:pPr>
      <w:r w:rsidRPr="00FC0242">
        <w:rPr>
          <w:szCs w:val="22"/>
        </w:rPr>
        <w:t>cardiac home/remote monitoring systems/cardiac ablation catheters; and</w:t>
      </w:r>
    </w:p>
    <w:p w14:paraId="199E5EE7" w14:textId="55721B9A" w:rsidR="00312FDC" w:rsidRPr="00FC0242" w:rsidRDefault="00312FDC" w:rsidP="00262D38">
      <w:pPr>
        <w:pStyle w:val="ListParagraph"/>
        <w:numPr>
          <w:ilvl w:val="1"/>
          <w:numId w:val="34"/>
        </w:numPr>
        <w:spacing w:before="0" w:after="0"/>
        <w:rPr>
          <w:szCs w:val="22"/>
        </w:rPr>
      </w:pPr>
      <w:r w:rsidRPr="00FC0242">
        <w:rPr>
          <w:szCs w:val="22"/>
        </w:rPr>
        <w:t>surgical ablation devices.</w:t>
      </w:r>
    </w:p>
    <w:p w14:paraId="6BAB8E65" w14:textId="77777777" w:rsidR="00312FDC" w:rsidRPr="00FC0242" w:rsidRDefault="00312FDC" w:rsidP="00312FDC">
      <w:pPr>
        <w:spacing w:before="0" w:after="0" w:line="276" w:lineRule="auto"/>
        <w:rPr>
          <w:szCs w:val="22"/>
        </w:rPr>
      </w:pPr>
      <w:r w:rsidRPr="00FC0242">
        <w:rPr>
          <w:szCs w:val="22"/>
        </w:rPr>
        <w:t>The activities involved in assessing applications and maintaining items on the List include:</w:t>
      </w:r>
    </w:p>
    <w:p w14:paraId="2F82A7A9" w14:textId="77777777" w:rsidR="00312FDC" w:rsidRPr="00FC0242" w:rsidRDefault="00312FDC" w:rsidP="00312FDC">
      <w:pPr>
        <w:pStyle w:val="ListParagraph"/>
        <w:numPr>
          <w:ilvl w:val="0"/>
          <w:numId w:val="11"/>
        </w:numPr>
        <w:spacing w:before="0" w:after="0"/>
        <w:rPr>
          <w:szCs w:val="22"/>
        </w:rPr>
      </w:pPr>
      <w:r w:rsidRPr="00FC0242">
        <w:rPr>
          <w:szCs w:val="22"/>
        </w:rPr>
        <w:t xml:space="preserve">management of applications by Department staff, including: </w:t>
      </w:r>
    </w:p>
    <w:p w14:paraId="4266D8AF" w14:textId="46B26870" w:rsidR="00312FDC" w:rsidRPr="00FC0242" w:rsidRDefault="00312FDC" w:rsidP="00312FDC">
      <w:pPr>
        <w:pStyle w:val="ListParagraph"/>
        <w:numPr>
          <w:ilvl w:val="1"/>
          <w:numId w:val="11"/>
        </w:numPr>
        <w:rPr>
          <w:szCs w:val="22"/>
        </w:rPr>
      </w:pPr>
      <w:r w:rsidRPr="00FC0242">
        <w:rPr>
          <w:szCs w:val="22"/>
        </w:rPr>
        <w:t>initial assessment to ensure the application is valid</w:t>
      </w:r>
      <w:r w:rsidR="00676A15" w:rsidRPr="00FC0242">
        <w:rPr>
          <w:szCs w:val="22"/>
        </w:rPr>
        <w:t xml:space="preserve"> and the product meets</w:t>
      </w:r>
      <w:r w:rsidR="00676A15" w:rsidRPr="00FC0242">
        <w:t xml:space="preserve"> </w:t>
      </w:r>
      <w:r w:rsidR="00676A15" w:rsidRPr="00FC0242">
        <w:rPr>
          <w:szCs w:val="22"/>
        </w:rPr>
        <w:t>the criteria for listing</w:t>
      </w:r>
      <w:r w:rsidRPr="00FC0242">
        <w:rPr>
          <w:szCs w:val="22"/>
        </w:rPr>
        <w:t>; and</w:t>
      </w:r>
    </w:p>
    <w:p w14:paraId="7E9386B0" w14:textId="77777777" w:rsidR="00312FDC" w:rsidRPr="00FC0242" w:rsidRDefault="00312FDC" w:rsidP="00312FDC">
      <w:pPr>
        <w:pStyle w:val="ListParagraph"/>
        <w:numPr>
          <w:ilvl w:val="1"/>
          <w:numId w:val="11"/>
        </w:numPr>
        <w:rPr>
          <w:szCs w:val="22"/>
        </w:rPr>
      </w:pPr>
      <w:r w:rsidRPr="00FC0242">
        <w:rPr>
          <w:szCs w:val="22"/>
        </w:rPr>
        <w:t>liaising with applicants on the requirements and progress of the application.</w:t>
      </w:r>
    </w:p>
    <w:p w14:paraId="7CA31B53" w14:textId="77777777" w:rsidR="00312FDC" w:rsidRPr="00FC0242" w:rsidRDefault="00312FDC" w:rsidP="00312FDC">
      <w:pPr>
        <w:pStyle w:val="ListParagraph"/>
        <w:numPr>
          <w:ilvl w:val="0"/>
          <w:numId w:val="11"/>
        </w:numPr>
        <w:rPr>
          <w:szCs w:val="22"/>
        </w:rPr>
      </w:pPr>
      <w:r w:rsidRPr="00FC0242">
        <w:rPr>
          <w:szCs w:val="22"/>
        </w:rPr>
        <w:t xml:space="preserve">provision of secretariat support by the Department to the Prostheses List Advisory Committee (PLAC) and its sub-committees, including organising meetings and preparing </w:t>
      </w:r>
      <w:proofErr w:type="gramStart"/>
      <w:r w:rsidRPr="00FC0242">
        <w:rPr>
          <w:szCs w:val="22"/>
        </w:rPr>
        <w:t>papers;</w:t>
      </w:r>
      <w:proofErr w:type="gramEnd"/>
    </w:p>
    <w:p w14:paraId="185C3611" w14:textId="7D72DE5A" w:rsidR="00312FDC" w:rsidRPr="00FC0242" w:rsidRDefault="00312FDC" w:rsidP="00312FDC">
      <w:pPr>
        <w:pStyle w:val="ListParagraph"/>
        <w:numPr>
          <w:ilvl w:val="0"/>
          <w:numId w:val="11"/>
        </w:numPr>
        <w:rPr>
          <w:szCs w:val="22"/>
        </w:rPr>
      </w:pPr>
      <w:r w:rsidRPr="00FC0242">
        <w:rPr>
          <w:szCs w:val="22"/>
        </w:rPr>
        <w:t xml:space="preserve">assessment of applications by the PLAC and its subcommittees and making recommendations to the Minister or the Minister’s </w:t>
      </w:r>
      <w:proofErr w:type="gramStart"/>
      <w:r w:rsidRPr="00FC0242">
        <w:rPr>
          <w:szCs w:val="22"/>
        </w:rPr>
        <w:t>delegate;</w:t>
      </w:r>
      <w:proofErr w:type="gramEnd"/>
    </w:p>
    <w:p w14:paraId="2492E7D8" w14:textId="77777777" w:rsidR="00312FDC" w:rsidRPr="00FC0242" w:rsidRDefault="00312FDC" w:rsidP="00312FDC">
      <w:pPr>
        <w:pStyle w:val="ListParagraph"/>
        <w:numPr>
          <w:ilvl w:val="0"/>
          <w:numId w:val="11"/>
        </w:numPr>
        <w:rPr>
          <w:szCs w:val="22"/>
        </w:rPr>
      </w:pPr>
      <w:r w:rsidRPr="00FC0242">
        <w:rPr>
          <w:szCs w:val="22"/>
        </w:rPr>
        <w:t xml:space="preserve">making the Prostheses </w:t>
      </w:r>
      <w:proofErr w:type="gramStart"/>
      <w:r w:rsidRPr="00FC0242">
        <w:rPr>
          <w:szCs w:val="22"/>
        </w:rPr>
        <w:t>Rules;</w:t>
      </w:r>
      <w:proofErr w:type="gramEnd"/>
    </w:p>
    <w:p w14:paraId="32D50FC1" w14:textId="77777777" w:rsidR="00312FDC" w:rsidRPr="00FC0242" w:rsidRDefault="00312FDC" w:rsidP="00312FDC">
      <w:pPr>
        <w:pStyle w:val="ListParagraph"/>
        <w:numPr>
          <w:ilvl w:val="0"/>
          <w:numId w:val="11"/>
        </w:numPr>
        <w:rPr>
          <w:szCs w:val="22"/>
        </w:rPr>
      </w:pPr>
      <w:r w:rsidRPr="00FC0242">
        <w:rPr>
          <w:szCs w:val="22"/>
        </w:rPr>
        <w:t>developing and maintaining IT systems to support the Prostheses List arrangements; and</w:t>
      </w:r>
    </w:p>
    <w:p w14:paraId="67A07581" w14:textId="1CDA91EC" w:rsidR="00234D7D" w:rsidRPr="002847F5" w:rsidRDefault="00312FDC" w:rsidP="002847F5">
      <w:pPr>
        <w:pStyle w:val="ListParagraph"/>
        <w:numPr>
          <w:ilvl w:val="0"/>
          <w:numId w:val="11"/>
        </w:numPr>
        <w:spacing w:after="0"/>
        <w:rPr>
          <w:szCs w:val="22"/>
        </w:rPr>
      </w:pPr>
      <w:r w:rsidRPr="00FC0242">
        <w:rPr>
          <w:szCs w:val="22"/>
        </w:rPr>
        <w:t>providing and maintaining information for stakeholders about the Prostheses List processes and policy on the department’s website.</w:t>
      </w:r>
    </w:p>
    <w:p w14:paraId="0F65A371" w14:textId="77777777" w:rsidR="00312FDC" w:rsidRPr="00FC0242" w:rsidRDefault="00312FDC" w:rsidP="002847F5">
      <w:r w:rsidRPr="00FC0242">
        <w:t>The costs of administering the List, including assessing applications and producing the List, are currently recovered from prostheses sponsors via payment of:</w:t>
      </w:r>
    </w:p>
    <w:p w14:paraId="493BDF39" w14:textId="77777777" w:rsidR="00312FDC" w:rsidRPr="00FC0242" w:rsidRDefault="00312FDC" w:rsidP="00312FDC">
      <w:pPr>
        <w:pStyle w:val="ListParagraph"/>
        <w:numPr>
          <w:ilvl w:val="0"/>
          <w:numId w:val="4"/>
        </w:numPr>
        <w:spacing w:before="0" w:after="0"/>
        <w:rPr>
          <w:szCs w:val="22"/>
        </w:rPr>
      </w:pPr>
      <w:r w:rsidRPr="00FC0242">
        <w:rPr>
          <w:szCs w:val="22"/>
        </w:rPr>
        <w:t xml:space="preserve">an application fee in respect of each application to list a new </w:t>
      </w:r>
      <w:proofErr w:type="gramStart"/>
      <w:r w:rsidRPr="00FC0242">
        <w:rPr>
          <w:szCs w:val="22"/>
        </w:rPr>
        <w:t>prosthesis;</w:t>
      </w:r>
      <w:proofErr w:type="gramEnd"/>
      <w:r w:rsidRPr="00FC0242">
        <w:rPr>
          <w:szCs w:val="22"/>
        </w:rPr>
        <w:t xml:space="preserve"> </w:t>
      </w:r>
    </w:p>
    <w:p w14:paraId="18EF57E4" w14:textId="77777777" w:rsidR="00312FDC" w:rsidRPr="00FC0242" w:rsidRDefault="00312FDC" w:rsidP="00312FDC">
      <w:pPr>
        <w:pStyle w:val="ListParagraph"/>
        <w:numPr>
          <w:ilvl w:val="0"/>
          <w:numId w:val="4"/>
        </w:numPr>
        <w:rPr>
          <w:szCs w:val="22"/>
        </w:rPr>
      </w:pPr>
      <w:r w:rsidRPr="00FC0242">
        <w:rPr>
          <w:szCs w:val="22"/>
        </w:rPr>
        <w:t>a fee to initially list each new prosthesis on the List; and</w:t>
      </w:r>
    </w:p>
    <w:p w14:paraId="310B7290" w14:textId="77777777" w:rsidR="00312FDC" w:rsidRPr="00FC0242" w:rsidRDefault="00312FDC" w:rsidP="00312FDC">
      <w:pPr>
        <w:pStyle w:val="ListParagraph"/>
        <w:numPr>
          <w:ilvl w:val="0"/>
          <w:numId w:val="4"/>
        </w:numPr>
        <w:rPr>
          <w:szCs w:val="22"/>
        </w:rPr>
      </w:pPr>
      <w:r w:rsidRPr="00FC0242">
        <w:rPr>
          <w:szCs w:val="22"/>
        </w:rPr>
        <w:t>a fee to maintain the ongoing listing of each prosthesis on the List.</w:t>
      </w:r>
    </w:p>
    <w:p w14:paraId="12D626F6" w14:textId="77777777" w:rsidR="00312FDC" w:rsidRPr="00FC0242" w:rsidRDefault="00312FDC" w:rsidP="00312FDC">
      <w:pPr>
        <w:pStyle w:val="Heading1"/>
      </w:pPr>
      <w:r w:rsidRPr="00FC0242">
        <w:t>POLICY AND STATUTORY AUTHORITY TO COST RECOVER</w:t>
      </w:r>
    </w:p>
    <w:p w14:paraId="3CA157E0" w14:textId="77777777" w:rsidR="00312FDC" w:rsidRPr="00FC0242" w:rsidRDefault="00312FDC" w:rsidP="00312FDC">
      <w:pPr>
        <w:pStyle w:val="Heading2"/>
      </w:pPr>
      <w:r w:rsidRPr="00FC0242">
        <w:t>Government policy approval to cost recover the activity</w:t>
      </w:r>
    </w:p>
    <w:p w14:paraId="14B5022C" w14:textId="5F3230D5" w:rsidR="00312FDC" w:rsidRPr="00FC0242" w:rsidRDefault="00312FDC" w:rsidP="00312FDC">
      <w:pPr>
        <w:rPr>
          <w:szCs w:val="22"/>
        </w:rPr>
      </w:pPr>
      <w:r w:rsidRPr="00FC0242">
        <w:rPr>
          <w:szCs w:val="22"/>
        </w:rPr>
        <w:t xml:space="preserve">In February 2003, a decision was made by </w:t>
      </w:r>
      <w:r w:rsidR="00B32F8D">
        <w:rPr>
          <w:szCs w:val="22"/>
        </w:rPr>
        <w:t xml:space="preserve">the Australian </w:t>
      </w:r>
      <w:r w:rsidRPr="00FC0242">
        <w:rPr>
          <w:szCs w:val="22"/>
        </w:rPr>
        <w:t>Government that some costs associated with clinical assessment and benefit setting processes related to the List would be met by sponsors.  Legislation to give effect to the decision commenced 31 October 2005.</w:t>
      </w:r>
    </w:p>
    <w:p w14:paraId="7F2104A2" w14:textId="72EB5DAD" w:rsidR="00312FDC" w:rsidRPr="00FC0242" w:rsidRDefault="00312FDC" w:rsidP="00312FDC">
      <w:pPr>
        <w:rPr>
          <w:szCs w:val="22"/>
        </w:rPr>
      </w:pPr>
      <w:r w:rsidRPr="00FC0242">
        <w:rPr>
          <w:szCs w:val="22"/>
        </w:rPr>
        <w:t xml:space="preserve">In the early 2000s, private health insurance benefit setting was </w:t>
      </w:r>
      <w:proofErr w:type="gramStart"/>
      <w:r w:rsidRPr="00FC0242">
        <w:rPr>
          <w:szCs w:val="22"/>
        </w:rPr>
        <w:t>deregulated</w:t>
      </w:r>
      <w:proofErr w:type="gramEnd"/>
      <w:r w:rsidRPr="00FC0242">
        <w:rPr>
          <w:szCs w:val="22"/>
        </w:rPr>
        <w:t xml:space="preserve"> and a consequence was that the benefits paid through private health insurance arrangements increased significantly.  The effect of increased benefit payments was an increase to annual private health insurance premium increases.  A benefit setting mechanism was introduced to determine the amount private health insurers are legally bound to pay for </w:t>
      </w:r>
      <w:r w:rsidR="00127B11" w:rsidRPr="00FC0242">
        <w:rPr>
          <w:szCs w:val="22"/>
        </w:rPr>
        <w:lastRenderedPageBreak/>
        <w:t xml:space="preserve">prostheses benefits. </w:t>
      </w:r>
      <w:r w:rsidRPr="00FC0242">
        <w:rPr>
          <w:szCs w:val="22"/>
        </w:rPr>
        <w:t>The List is the policy instrument that assists in managing the costs of private health insurance by setting the appropriate benefit for each prosthes</w:t>
      </w:r>
      <w:r w:rsidR="00726037">
        <w:rPr>
          <w:szCs w:val="22"/>
        </w:rPr>
        <w:t>i</w:t>
      </w:r>
      <w:r w:rsidRPr="00FC0242">
        <w:rPr>
          <w:szCs w:val="22"/>
        </w:rPr>
        <w:t xml:space="preserve">s.  </w:t>
      </w:r>
    </w:p>
    <w:p w14:paraId="30BBB2F6" w14:textId="7DCCB56C" w:rsidR="00312FDC" w:rsidRPr="00FC0242" w:rsidRDefault="00312FDC" w:rsidP="00312FDC">
      <w:pPr>
        <w:spacing w:after="0"/>
        <w:rPr>
          <w:szCs w:val="22"/>
        </w:rPr>
      </w:pPr>
      <w:r w:rsidRPr="00FC0242">
        <w:rPr>
          <w:szCs w:val="22"/>
        </w:rPr>
        <w:t xml:space="preserve">Medical device </w:t>
      </w:r>
      <w:r w:rsidR="00BF31CB" w:rsidRPr="00FC0242">
        <w:rPr>
          <w:szCs w:val="22"/>
        </w:rPr>
        <w:t xml:space="preserve">companies </w:t>
      </w:r>
      <w:r w:rsidRPr="00FC0242">
        <w:rPr>
          <w:szCs w:val="22"/>
        </w:rPr>
        <w:t>and suppliers (collectively referred to as ‘sponsors’) apply to list prostheses on the List so the listed item may be reimbursed by private health insurers.  Through this process, sponsors</w:t>
      </w:r>
      <w:r w:rsidR="00BF31CB" w:rsidRPr="00FC0242">
        <w:rPr>
          <w:szCs w:val="22"/>
        </w:rPr>
        <w:t xml:space="preserve"> effectively</w:t>
      </w:r>
      <w:r w:rsidRPr="00FC0242">
        <w:rPr>
          <w:szCs w:val="22"/>
        </w:rPr>
        <w:t xml:space="preserve"> gain access to the private health market.</w:t>
      </w:r>
    </w:p>
    <w:p w14:paraId="34343F74" w14:textId="1E03EFED" w:rsidR="000E0408" w:rsidRPr="00FC0242" w:rsidRDefault="00F9326A" w:rsidP="00312FDC">
      <w:pPr>
        <w:spacing w:after="0"/>
        <w:rPr>
          <w:szCs w:val="22"/>
        </w:rPr>
      </w:pPr>
      <w:r w:rsidRPr="00FC0242">
        <w:rPr>
          <w:szCs w:val="22"/>
        </w:rPr>
        <w:t>Following broad consultation on P</w:t>
      </w:r>
      <w:r w:rsidR="00BC4A2C" w:rsidRPr="00FC0242">
        <w:rPr>
          <w:szCs w:val="22"/>
        </w:rPr>
        <w:t xml:space="preserve">rostheses </w:t>
      </w:r>
      <w:r w:rsidRPr="00FC0242">
        <w:rPr>
          <w:szCs w:val="22"/>
        </w:rPr>
        <w:t>L</w:t>
      </w:r>
      <w:r w:rsidR="00BC4A2C" w:rsidRPr="00FC0242">
        <w:rPr>
          <w:szCs w:val="22"/>
        </w:rPr>
        <w:t>ist</w:t>
      </w:r>
      <w:r w:rsidRPr="00FC0242">
        <w:rPr>
          <w:szCs w:val="22"/>
        </w:rPr>
        <w:t xml:space="preserve"> reform options, in the 2021-22 Budget, the Government announced its intention to implement reforms to improve and modernise the Prostheses List arrangements, which will include changes to cost recovery arrangements (see Section 3.3.1 for more details).</w:t>
      </w:r>
    </w:p>
    <w:p w14:paraId="2BCD67CD" w14:textId="77777777" w:rsidR="00312FDC" w:rsidRPr="00FC0242" w:rsidRDefault="00312FDC" w:rsidP="00312FDC">
      <w:pPr>
        <w:pStyle w:val="Heading2"/>
      </w:pPr>
      <w:r w:rsidRPr="00FC0242">
        <w:t>Statutory authority to charge</w:t>
      </w:r>
    </w:p>
    <w:p w14:paraId="0BA02BCA" w14:textId="594D1751" w:rsidR="00E67A6B" w:rsidRPr="002847F5" w:rsidRDefault="00E67A6B" w:rsidP="002847F5">
      <w:r w:rsidRPr="00FC0242">
        <w:rPr>
          <w:iCs/>
        </w:rPr>
        <w:t>Under Section 72-10</w:t>
      </w:r>
      <w:r w:rsidRPr="00FC0242">
        <w:t xml:space="preserve"> of the </w:t>
      </w:r>
      <w:r w:rsidRPr="002847F5">
        <w:rPr>
          <w:rStyle w:val="Emphasis"/>
        </w:rPr>
        <w:t>Private Health Insurance Act 2007</w:t>
      </w:r>
      <w:r w:rsidRPr="00FC0242">
        <w:t xml:space="preserve"> (the PHI Act)</w:t>
      </w:r>
      <w:r w:rsidRPr="00FC0242">
        <w:rPr>
          <w:iCs/>
        </w:rPr>
        <w:t xml:space="preserve">, </w:t>
      </w:r>
      <w:r w:rsidRPr="00FC0242">
        <w:t xml:space="preserve">an application for listing in the </w:t>
      </w:r>
      <w:r w:rsidRPr="00FC0242">
        <w:rPr>
          <w:iCs/>
        </w:rPr>
        <w:t>Private Health Insurance (</w:t>
      </w:r>
      <w:r w:rsidR="005156B9" w:rsidRPr="00FC0242">
        <w:rPr>
          <w:iCs/>
        </w:rPr>
        <w:t>P</w:t>
      </w:r>
      <w:r w:rsidRPr="00FC0242">
        <w:rPr>
          <w:iCs/>
        </w:rPr>
        <w:t>rostheses) Rules</w:t>
      </w:r>
      <w:r w:rsidRPr="00FC0242">
        <w:t xml:space="preserve"> must be accompanied by a fee set out in the </w:t>
      </w:r>
      <w:r w:rsidRPr="002847F5">
        <w:rPr>
          <w:rStyle w:val="Emphasis"/>
        </w:rPr>
        <w:t>Private Health Insurance (Prostheses Application and Listing Fees) Act 2007</w:t>
      </w:r>
      <w:r w:rsidRPr="00FC0242">
        <w:rPr>
          <w:iCs/>
        </w:rPr>
        <w:t>.</w:t>
      </w:r>
      <w:r w:rsidRPr="00FC0242">
        <w:t xml:space="preserve"> </w:t>
      </w:r>
    </w:p>
    <w:p w14:paraId="57E238D8" w14:textId="0582944C" w:rsidR="00D22F88" w:rsidRPr="002847F5" w:rsidRDefault="00312FDC" w:rsidP="002847F5">
      <w:r w:rsidRPr="00FC0242">
        <w:t xml:space="preserve">From 1 July 2007, cost recovery arrangements were established through the </w:t>
      </w:r>
      <w:r w:rsidRPr="002847F5">
        <w:rPr>
          <w:rStyle w:val="Emphasis"/>
        </w:rPr>
        <w:t>Private Health Insurance (Prostheses Application and Listing Fees) Act 2007</w:t>
      </w:r>
      <w:r w:rsidRPr="00FC0242">
        <w:t xml:space="preserve"> and the </w:t>
      </w:r>
      <w:r w:rsidRPr="002847F5">
        <w:rPr>
          <w:rStyle w:val="Emphasis"/>
        </w:rPr>
        <w:t>Private Health Insurance (Prostheses Application and Listing Fees) Rules 2008 (No.1).</w:t>
      </w:r>
    </w:p>
    <w:p w14:paraId="2C30213D" w14:textId="77777777" w:rsidR="00312FDC" w:rsidRPr="00FC0242" w:rsidRDefault="00312FDC" w:rsidP="00312FDC">
      <w:pPr>
        <w:pStyle w:val="Heading1"/>
      </w:pPr>
      <w:r w:rsidRPr="00FC0242">
        <w:t>COST RECOVERY MODEL</w:t>
      </w:r>
    </w:p>
    <w:p w14:paraId="4D77E33F" w14:textId="77777777" w:rsidR="00312FDC" w:rsidRPr="00FC0242" w:rsidRDefault="00312FDC" w:rsidP="00312FDC">
      <w:pPr>
        <w:pStyle w:val="Heading2"/>
      </w:pPr>
      <w:r w:rsidRPr="00FC0242">
        <w:t xml:space="preserve">Outputs and business processes of the activity </w:t>
      </w:r>
    </w:p>
    <w:p w14:paraId="0B55C9AC" w14:textId="0C4DC23B" w:rsidR="00312FDC" w:rsidRPr="002847F5" w:rsidRDefault="00312FDC" w:rsidP="002847F5">
      <w:r w:rsidRPr="002847F5">
        <w:t xml:space="preserve">The key output activity is the List, which is published </w:t>
      </w:r>
      <w:r w:rsidR="004379C0" w:rsidRPr="002847F5">
        <w:t xml:space="preserve">minimum </w:t>
      </w:r>
      <w:r w:rsidRPr="002847F5">
        <w:t xml:space="preserve">three times per year in March, </w:t>
      </w:r>
      <w:proofErr w:type="gramStart"/>
      <w:r w:rsidRPr="002847F5">
        <w:t>July</w:t>
      </w:r>
      <w:proofErr w:type="gramEnd"/>
      <w:r w:rsidRPr="002847F5">
        <w:t xml:space="preserve"> and November.</w:t>
      </w:r>
    </w:p>
    <w:p w14:paraId="75268088" w14:textId="09142606" w:rsidR="00312FDC" w:rsidRPr="00FC0242" w:rsidRDefault="00312FDC" w:rsidP="00312FDC">
      <w:pPr>
        <w:spacing w:before="0" w:after="0"/>
        <w:rPr>
          <w:szCs w:val="22"/>
        </w:rPr>
      </w:pPr>
      <w:r w:rsidRPr="00FC0242">
        <w:rPr>
          <w:szCs w:val="22"/>
        </w:rPr>
        <w:t>The key business processes associated with applications to list prostheses</w:t>
      </w:r>
      <w:r w:rsidR="004379C0" w:rsidRPr="00FC0242">
        <w:rPr>
          <w:szCs w:val="22"/>
        </w:rPr>
        <w:t xml:space="preserve"> on the List first time,</w:t>
      </w:r>
      <w:r w:rsidRPr="00FC0242">
        <w:rPr>
          <w:szCs w:val="22"/>
        </w:rPr>
        <w:t xml:space="preserve"> or amend current </w:t>
      </w:r>
      <w:r w:rsidR="004379C0" w:rsidRPr="00FC0242">
        <w:rPr>
          <w:szCs w:val="22"/>
        </w:rPr>
        <w:t xml:space="preserve">codes on the List </w:t>
      </w:r>
      <w:r w:rsidRPr="00FC0242">
        <w:rPr>
          <w:szCs w:val="22"/>
        </w:rPr>
        <w:t>are:</w:t>
      </w:r>
    </w:p>
    <w:p w14:paraId="611DD252" w14:textId="6B850A0F" w:rsidR="00312FDC" w:rsidRPr="00FC0242" w:rsidRDefault="00312FDC" w:rsidP="00312FDC">
      <w:pPr>
        <w:pStyle w:val="ListParagraph"/>
        <w:numPr>
          <w:ilvl w:val="0"/>
          <w:numId w:val="28"/>
        </w:numPr>
        <w:spacing w:before="0" w:after="0"/>
        <w:rPr>
          <w:szCs w:val="22"/>
        </w:rPr>
      </w:pPr>
      <w:r w:rsidRPr="00FC0242">
        <w:rPr>
          <w:szCs w:val="22"/>
        </w:rPr>
        <w:t xml:space="preserve">application input by sponsor into </w:t>
      </w:r>
      <w:r w:rsidR="00127B11" w:rsidRPr="00FC0242">
        <w:rPr>
          <w:szCs w:val="22"/>
        </w:rPr>
        <w:t xml:space="preserve">the </w:t>
      </w:r>
      <w:r w:rsidRPr="00FC0242">
        <w:rPr>
          <w:szCs w:val="22"/>
        </w:rPr>
        <w:t>P</w:t>
      </w:r>
      <w:r w:rsidR="00127B11" w:rsidRPr="00FC0242">
        <w:rPr>
          <w:szCs w:val="22"/>
        </w:rPr>
        <w:t xml:space="preserve">rostheses </w:t>
      </w:r>
      <w:r w:rsidRPr="00FC0242">
        <w:rPr>
          <w:szCs w:val="22"/>
        </w:rPr>
        <w:t>L</w:t>
      </w:r>
      <w:r w:rsidR="00127B11" w:rsidRPr="00FC0242">
        <w:rPr>
          <w:szCs w:val="22"/>
        </w:rPr>
        <w:t xml:space="preserve">ist </w:t>
      </w:r>
      <w:r w:rsidRPr="00FC0242">
        <w:rPr>
          <w:szCs w:val="22"/>
        </w:rPr>
        <w:t>M</w:t>
      </w:r>
      <w:r w:rsidR="00127B11" w:rsidRPr="00FC0242">
        <w:rPr>
          <w:szCs w:val="22"/>
        </w:rPr>
        <w:t xml:space="preserve">anagement </w:t>
      </w:r>
      <w:r w:rsidRPr="00FC0242">
        <w:rPr>
          <w:szCs w:val="22"/>
        </w:rPr>
        <w:t>S</w:t>
      </w:r>
      <w:r w:rsidR="00127B11" w:rsidRPr="00FC0242">
        <w:rPr>
          <w:szCs w:val="22"/>
        </w:rPr>
        <w:t>ystem</w:t>
      </w:r>
      <w:r w:rsidRPr="00FC0242">
        <w:rPr>
          <w:szCs w:val="22"/>
        </w:rPr>
        <w:t xml:space="preserve">, which is facilitated by mandatory data fields to guide integrity of the application </w:t>
      </w:r>
      <w:proofErr w:type="gramStart"/>
      <w:r w:rsidRPr="00FC0242">
        <w:rPr>
          <w:szCs w:val="22"/>
        </w:rPr>
        <w:t>process;</w:t>
      </w:r>
      <w:proofErr w:type="gramEnd"/>
    </w:p>
    <w:p w14:paraId="501A89CD" w14:textId="77777777" w:rsidR="00312FDC" w:rsidRPr="00FC0242" w:rsidRDefault="00312FDC" w:rsidP="00312FDC">
      <w:pPr>
        <w:pStyle w:val="ListParagraph"/>
        <w:numPr>
          <w:ilvl w:val="0"/>
          <w:numId w:val="28"/>
        </w:numPr>
        <w:rPr>
          <w:szCs w:val="22"/>
        </w:rPr>
      </w:pPr>
      <w:r w:rsidRPr="00FC0242">
        <w:rPr>
          <w:szCs w:val="22"/>
        </w:rPr>
        <w:t xml:space="preserve">application </w:t>
      </w:r>
      <w:proofErr w:type="gramStart"/>
      <w:r w:rsidRPr="00FC0242">
        <w:rPr>
          <w:szCs w:val="22"/>
        </w:rPr>
        <w:t>fee;</w:t>
      </w:r>
      <w:proofErr w:type="gramEnd"/>
      <w:r w:rsidRPr="00FC0242">
        <w:rPr>
          <w:szCs w:val="22"/>
        </w:rPr>
        <w:t xml:space="preserve"> </w:t>
      </w:r>
    </w:p>
    <w:p w14:paraId="25255A89" w14:textId="3057960D" w:rsidR="00312FDC" w:rsidRPr="00FC0242" w:rsidRDefault="00312FDC" w:rsidP="00312FDC">
      <w:pPr>
        <w:pStyle w:val="ListParagraph"/>
        <w:numPr>
          <w:ilvl w:val="0"/>
          <w:numId w:val="28"/>
        </w:numPr>
        <w:rPr>
          <w:szCs w:val="22"/>
        </w:rPr>
      </w:pPr>
      <w:r w:rsidRPr="00FC0242">
        <w:rPr>
          <w:szCs w:val="22"/>
        </w:rPr>
        <w:t xml:space="preserve">applications are assessed by the Department and relevant expert clinicians for compliance with the listing criteria and comparative clinical </w:t>
      </w:r>
      <w:r w:rsidR="004379C0" w:rsidRPr="00FC0242">
        <w:rPr>
          <w:szCs w:val="22"/>
        </w:rPr>
        <w:t xml:space="preserve">effectiveness </w:t>
      </w:r>
      <w:r w:rsidRPr="00FC0242">
        <w:rPr>
          <w:szCs w:val="22"/>
        </w:rPr>
        <w:t xml:space="preserve">of the </w:t>
      </w:r>
      <w:proofErr w:type="gramStart"/>
      <w:r w:rsidRPr="00FC0242">
        <w:rPr>
          <w:szCs w:val="22"/>
        </w:rPr>
        <w:t>device;</w:t>
      </w:r>
      <w:proofErr w:type="gramEnd"/>
    </w:p>
    <w:p w14:paraId="250F042D" w14:textId="77777777" w:rsidR="00312FDC" w:rsidRPr="00FC0242" w:rsidRDefault="00312FDC" w:rsidP="00312FDC">
      <w:pPr>
        <w:pStyle w:val="ListParagraph"/>
        <w:numPr>
          <w:ilvl w:val="0"/>
          <w:numId w:val="28"/>
        </w:numPr>
        <w:rPr>
          <w:szCs w:val="22"/>
        </w:rPr>
      </w:pPr>
      <w:r w:rsidRPr="00FC0242">
        <w:rPr>
          <w:szCs w:val="22"/>
        </w:rPr>
        <w:t xml:space="preserve">if the device is new or novel, benefit validation through a health technology </w:t>
      </w:r>
      <w:proofErr w:type="gramStart"/>
      <w:r w:rsidRPr="00FC0242">
        <w:rPr>
          <w:szCs w:val="22"/>
        </w:rPr>
        <w:t>assessment;</w:t>
      </w:r>
      <w:proofErr w:type="gramEnd"/>
    </w:p>
    <w:p w14:paraId="4C1FF3FC" w14:textId="77777777" w:rsidR="00312FDC" w:rsidRPr="00FC0242" w:rsidRDefault="00312FDC" w:rsidP="00312FDC">
      <w:pPr>
        <w:pStyle w:val="ListParagraph"/>
        <w:numPr>
          <w:ilvl w:val="0"/>
          <w:numId w:val="28"/>
        </w:numPr>
        <w:rPr>
          <w:szCs w:val="22"/>
        </w:rPr>
      </w:pPr>
      <w:r w:rsidRPr="00FC0242">
        <w:rPr>
          <w:szCs w:val="22"/>
        </w:rPr>
        <w:t xml:space="preserve">the PLAC consideration of clinical and/or cost-effectiveness </w:t>
      </w:r>
      <w:proofErr w:type="gramStart"/>
      <w:r w:rsidRPr="00FC0242">
        <w:rPr>
          <w:szCs w:val="22"/>
        </w:rPr>
        <w:t>recommendations;</w:t>
      </w:r>
      <w:proofErr w:type="gramEnd"/>
    </w:p>
    <w:p w14:paraId="00DFE8E3" w14:textId="77777777" w:rsidR="00312FDC" w:rsidRPr="00FC0242" w:rsidRDefault="00312FDC" w:rsidP="00312FDC">
      <w:pPr>
        <w:pStyle w:val="ListParagraph"/>
        <w:numPr>
          <w:ilvl w:val="0"/>
          <w:numId w:val="28"/>
        </w:numPr>
        <w:rPr>
          <w:szCs w:val="22"/>
        </w:rPr>
      </w:pPr>
      <w:r w:rsidRPr="00FC0242">
        <w:rPr>
          <w:szCs w:val="22"/>
        </w:rPr>
        <w:t>the PLAC advice provided to the Minister</w:t>
      </w:r>
      <w:r w:rsidRPr="00FC0242">
        <w:t xml:space="preserve"> </w:t>
      </w:r>
      <w:r w:rsidRPr="00FC0242">
        <w:rPr>
          <w:szCs w:val="22"/>
        </w:rPr>
        <w:t xml:space="preserve">or Minister’s </w:t>
      </w:r>
      <w:proofErr w:type="gramStart"/>
      <w:r w:rsidRPr="00FC0242">
        <w:rPr>
          <w:szCs w:val="22"/>
        </w:rPr>
        <w:t>Delegate;</w:t>
      </w:r>
      <w:proofErr w:type="gramEnd"/>
    </w:p>
    <w:p w14:paraId="28F5F3E1" w14:textId="77777777" w:rsidR="00312FDC" w:rsidRPr="00FC0242" w:rsidRDefault="00312FDC" w:rsidP="00312FDC">
      <w:pPr>
        <w:pStyle w:val="ListParagraph"/>
        <w:numPr>
          <w:ilvl w:val="0"/>
          <w:numId w:val="28"/>
        </w:numPr>
        <w:rPr>
          <w:szCs w:val="22"/>
        </w:rPr>
      </w:pPr>
      <w:r w:rsidRPr="00FC0242">
        <w:rPr>
          <w:szCs w:val="22"/>
        </w:rPr>
        <w:t xml:space="preserve">granting of application by the Minister or Minister’s </w:t>
      </w:r>
      <w:proofErr w:type="gramStart"/>
      <w:r w:rsidRPr="00FC0242">
        <w:rPr>
          <w:szCs w:val="22"/>
        </w:rPr>
        <w:t>Delegate;</w:t>
      </w:r>
      <w:proofErr w:type="gramEnd"/>
    </w:p>
    <w:p w14:paraId="7E99C70B" w14:textId="05BC950F" w:rsidR="00312FDC" w:rsidRPr="00FC0242" w:rsidRDefault="00312FDC" w:rsidP="00312FDC">
      <w:pPr>
        <w:pStyle w:val="ListParagraph"/>
        <w:numPr>
          <w:ilvl w:val="0"/>
          <w:numId w:val="28"/>
        </w:numPr>
        <w:rPr>
          <w:szCs w:val="22"/>
        </w:rPr>
      </w:pPr>
      <w:r w:rsidRPr="00FC0242">
        <w:rPr>
          <w:szCs w:val="22"/>
        </w:rPr>
        <w:t xml:space="preserve">initial listing </w:t>
      </w:r>
      <w:proofErr w:type="gramStart"/>
      <w:r w:rsidRPr="00FC0242">
        <w:rPr>
          <w:szCs w:val="22"/>
        </w:rPr>
        <w:t>fee;</w:t>
      </w:r>
      <w:proofErr w:type="gramEnd"/>
      <w:r w:rsidRPr="00FC0242">
        <w:rPr>
          <w:szCs w:val="22"/>
        </w:rPr>
        <w:t xml:space="preserve"> </w:t>
      </w:r>
    </w:p>
    <w:p w14:paraId="6C75E133" w14:textId="2A31226E" w:rsidR="00312FDC" w:rsidRPr="00FC0242" w:rsidRDefault="00127B11" w:rsidP="00312FDC">
      <w:pPr>
        <w:pStyle w:val="ListParagraph"/>
        <w:numPr>
          <w:ilvl w:val="0"/>
          <w:numId w:val="28"/>
        </w:numPr>
        <w:rPr>
          <w:szCs w:val="22"/>
        </w:rPr>
      </w:pPr>
      <w:r w:rsidRPr="00FC0242">
        <w:rPr>
          <w:szCs w:val="22"/>
        </w:rPr>
        <w:t xml:space="preserve">Prostheses Rules updated; and </w:t>
      </w:r>
    </w:p>
    <w:p w14:paraId="3A02A623" w14:textId="75E2106C" w:rsidR="00127B11" w:rsidRPr="00FC0242" w:rsidRDefault="00127B11" w:rsidP="00312FDC">
      <w:pPr>
        <w:pStyle w:val="ListParagraph"/>
        <w:numPr>
          <w:ilvl w:val="0"/>
          <w:numId w:val="28"/>
        </w:numPr>
        <w:rPr>
          <w:szCs w:val="22"/>
        </w:rPr>
      </w:pPr>
      <w:r w:rsidRPr="00FC0242">
        <w:rPr>
          <w:szCs w:val="22"/>
        </w:rPr>
        <w:t>ongoing listing fee.</w:t>
      </w:r>
    </w:p>
    <w:p w14:paraId="0DD6B546" w14:textId="77777777" w:rsidR="00312FDC" w:rsidRPr="00FC0242" w:rsidRDefault="00312FDC" w:rsidP="00312FDC">
      <w:pPr>
        <w:pStyle w:val="Heading2"/>
      </w:pPr>
      <w:r w:rsidRPr="00FC0242">
        <w:t>Costs of the regulatory charging activity</w:t>
      </w:r>
    </w:p>
    <w:p w14:paraId="00F4FB20" w14:textId="77777777" w:rsidR="00312FDC" w:rsidRPr="002847F5" w:rsidRDefault="00312FDC" w:rsidP="002847F5">
      <w:r w:rsidRPr="002847F5">
        <w:t>The main cost drivers for the cost recovered activity are:</w:t>
      </w:r>
    </w:p>
    <w:p w14:paraId="5152BE8C" w14:textId="6C437501" w:rsidR="00312FDC" w:rsidRPr="00FC0242" w:rsidRDefault="00312FDC" w:rsidP="00312FDC">
      <w:pPr>
        <w:pStyle w:val="ListParagraph"/>
        <w:numPr>
          <w:ilvl w:val="0"/>
          <w:numId w:val="6"/>
        </w:numPr>
        <w:spacing w:before="0"/>
        <w:rPr>
          <w:rFonts w:cs="Arial"/>
          <w:szCs w:val="22"/>
        </w:rPr>
      </w:pPr>
      <w:r w:rsidRPr="00FC0242">
        <w:rPr>
          <w:rFonts w:cs="Arial"/>
          <w:szCs w:val="22"/>
        </w:rPr>
        <w:t>staffing and associated costs to manage applications</w:t>
      </w:r>
      <w:r w:rsidR="00127B11" w:rsidRPr="00FC0242">
        <w:rPr>
          <w:rFonts w:cs="Arial"/>
          <w:szCs w:val="22"/>
        </w:rPr>
        <w:t xml:space="preserve">, coordinate </w:t>
      </w:r>
      <w:r w:rsidR="004379C0" w:rsidRPr="00FC0242">
        <w:rPr>
          <w:rFonts w:cs="Arial"/>
          <w:szCs w:val="22"/>
        </w:rPr>
        <w:t xml:space="preserve">health technology assessment </w:t>
      </w:r>
      <w:r w:rsidR="00127B11" w:rsidRPr="00FC0242">
        <w:rPr>
          <w:rFonts w:cs="Arial"/>
          <w:szCs w:val="22"/>
        </w:rPr>
        <w:t>and reviews,</w:t>
      </w:r>
      <w:r w:rsidRPr="00FC0242">
        <w:rPr>
          <w:rFonts w:cs="Arial"/>
          <w:szCs w:val="22"/>
        </w:rPr>
        <w:t xml:space="preserve"> and provide secretariat and support services to the PLAC, Clinical Advisory Groups and Panel of Clinical </w:t>
      </w:r>
      <w:proofErr w:type="gramStart"/>
      <w:r w:rsidRPr="00FC0242">
        <w:rPr>
          <w:rFonts w:cs="Arial"/>
          <w:szCs w:val="22"/>
        </w:rPr>
        <w:t>Experts;</w:t>
      </w:r>
      <w:proofErr w:type="gramEnd"/>
    </w:p>
    <w:p w14:paraId="6E64E0BB" w14:textId="5A5E3A57" w:rsidR="00312FDC" w:rsidRPr="00FC0242" w:rsidRDefault="00312FDC" w:rsidP="00312FDC">
      <w:pPr>
        <w:pStyle w:val="ListParagraph"/>
        <w:numPr>
          <w:ilvl w:val="0"/>
          <w:numId w:val="6"/>
        </w:numPr>
        <w:rPr>
          <w:rFonts w:cs="Arial"/>
          <w:szCs w:val="22"/>
        </w:rPr>
      </w:pPr>
      <w:r w:rsidRPr="00FC0242">
        <w:rPr>
          <w:rFonts w:cs="Arial"/>
          <w:szCs w:val="22"/>
        </w:rPr>
        <w:t xml:space="preserve">maintenance and improvements to the IT </w:t>
      </w:r>
      <w:r w:rsidR="00127B11" w:rsidRPr="00FC0242">
        <w:rPr>
          <w:rFonts w:cs="Arial"/>
          <w:szCs w:val="22"/>
        </w:rPr>
        <w:t>systems</w:t>
      </w:r>
      <w:r w:rsidRPr="00FC0242">
        <w:rPr>
          <w:rFonts w:cs="Arial"/>
          <w:szCs w:val="22"/>
        </w:rPr>
        <w:t xml:space="preserve"> that manage and store applications and related </w:t>
      </w:r>
      <w:proofErr w:type="gramStart"/>
      <w:r w:rsidRPr="00FC0242">
        <w:rPr>
          <w:rFonts w:cs="Arial"/>
          <w:szCs w:val="22"/>
        </w:rPr>
        <w:t>information;</w:t>
      </w:r>
      <w:proofErr w:type="gramEnd"/>
    </w:p>
    <w:p w14:paraId="2F0E47CB" w14:textId="6E98C515" w:rsidR="00312FDC" w:rsidRPr="00FC0242" w:rsidRDefault="00312FDC" w:rsidP="00312FDC">
      <w:pPr>
        <w:pStyle w:val="ListParagraph"/>
        <w:numPr>
          <w:ilvl w:val="0"/>
          <w:numId w:val="6"/>
        </w:numPr>
        <w:rPr>
          <w:rFonts w:cs="Arial"/>
          <w:szCs w:val="22"/>
        </w:rPr>
      </w:pPr>
      <w:r w:rsidRPr="00FC0242">
        <w:rPr>
          <w:rFonts w:cs="Arial"/>
          <w:szCs w:val="22"/>
        </w:rPr>
        <w:t>payment to clinicians and health technology assessors for application assessment</w:t>
      </w:r>
      <w:r w:rsidR="00127B11" w:rsidRPr="00FC0242">
        <w:rPr>
          <w:rFonts w:cs="Arial"/>
          <w:szCs w:val="22"/>
        </w:rPr>
        <w:t xml:space="preserve"> and reviews</w:t>
      </w:r>
      <w:r w:rsidRPr="00FC0242">
        <w:rPr>
          <w:rFonts w:cs="Arial"/>
          <w:szCs w:val="22"/>
        </w:rPr>
        <w:t>; and</w:t>
      </w:r>
    </w:p>
    <w:p w14:paraId="51E4F2EA" w14:textId="5A004A40" w:rsidR="00312FDC" w:rsidRPr="00FC0242" w:rsidRDefault="00312FDC" w:rsidP="00312FDC">
      <w:pPr>
        <w:pStyle w:val="ListParagraph"/>
        <w:numPr>
          <w:ilvl w:val="0"/>
          <w:numId w:val="6"/>
        </w:numPr>
        <w:rPr>
          <w:rFonts w:cs="Arial"/>
          <w:szCs w:val="22"/>
        </w:rPr>
      </w:pPr>
      <w:r w:rsidRPr="00FC0242">
        <w:rPr>
          <w:rFonts w:cs="Arial"/>
          <w:szCs w:val="22"/>
        </w:rPr>
        <w:t>Committee costs (including sitting fees for members).</w:t>
      </w:r>
    </w:p>
    <w:p w14:paraId="5747CF60" w14:textId="7D5040F2" w:rsidR="00312FDC" w:rsidRPr="00FC0242" w:rsidRDefault="00312FDC" w:rsidP="00312FDC">
      <w:pPr>
        <w:pStyle w:val="ListParagraph"/>
        <w:ind w:left="0"/>
        <w:contextualSpacing w:val="0"/>
        <w:rPr>
          <w:rFonts w:cs="Arial"/>
          <w:szCs w:val="22"/>
        </w:rPr>
      </w:pPr>
      <w:r w:rsidRPr="00FC0242">
        <w:rPr>
          <w:rFonts w:cs="Arial"/>
          <w:szCs w:val="22"/>
        </w:rPr>
        <w:t xml:space="preserve">A summary of </w:t>
      </w:r>
      <w:r w:rsidR="00F11A25" w:rsidRPr="00FC0242">
        <w:rPr>
          <w:rFonts w:cs="Arial"/>
          <w:szCs w:val="22"/>
        </w:rPr>
        <w:t xml:space="preserve">the forecast </w:t>
      </w:r>
      <w:r w:rsidRPr="00FC0242">
        <w:rPr>
          <w:rFonts w:cs="Arial"/>
          <w:szCs w:val="22"/>
        </w:rPr>
        <w:t xml:space="preserve">cost components for </w:t>
      </w:r>
      <w:bookmarkStart w:id="0" w:name="_Hlk105573780"/>
      <w:r w:rsidRPr="00FC0242">
        <w:rPr>
          <w:rFonts w:cs="Arial"/>
          <w:szCs w:val="22"/>
        </w:rPr>
        <w:t>202</w:t>
      </w:r>
      <w:r w:rsidR="002005A1" w:rsidRPr="00FC0242">
        <w:rPr>
          <w:rFonts w:cs="Arial"/>
          <w:szCs w:val="22"/>
        </w:rPr>
        <w:t>2</w:t>
      </w:r>
      <w:r w:rsidR="0087390D" w:rsidRPr="00FC0242">
        <w:rPr>
          <w:rFonts w:cs="Arial"/>
          <w:szCs w:val="22"/>
        </w:rPr>
        <w:t>-2</w:t>
      </w:r>
      <w:r w:rsidR="002005A1" w:rsidRPr="00FC0242">
        <w:rPr>
          <w:rFonts w:cs="Arial"/>
          <w:szCs w:val="22"/>
        </w:rPr>
        <w:t>3</w:t>
      </w:r>
      <w:r w:rsidRPr="00FC0242">
        <w:rPr>
          <w:rFonts w:cs="Arial"/>
          <w:szCs w:val="22"/>
        </w:rPr>
        <w:t xml:space="preserve"> </w:t>
      </w:r>
      <w:bookmarkEnd w:id="0"/>
      <w:r w:rsidRPr="00FC0242">
        <w:rPr>
          <w:rFonts w:cs="Arial"/>
          <w:szCs w:val="22"/>
        </w:rPr>
        <w:t>is at Table 1.</w:t>
      </w:r>
    </w:p>
    <w:p w14:paraId="78EB83F1" w14:textId="712C6507" w:rsidR="00312FDC" w:rsidRPr="00FC0242" w:rsidRDefault="00E55AB1" w:rsidP="002847F5">
      <w:pPr>
        <w:pStyle w:val="Caption"/>
        <w:pageBreakBefore/>
      </w:pPr>
      <w:r w:rsidRPr="00FC0242">
        <w:lastRenderedPageBreak/>
        <w:t xml:space="preserve">Table </w:t>
      </w:r>
      <w:r w:rsidR="00FC7DBA">
        <w:fldChar w:fldCharType="begin"/>
      </w:r>
      <w:r w:rsidR="00FC7DBA">
        <w:instrText xml:space="preserve"> SEQ Table \* ARABIC </w:instrText>
      </w:r>
      <w:r w:rsidR="00FC7DBA">
        <w:fldChar w:fldCharType="separate"/>
      </w:r>
      <w:r w:rsidR="00B32F8D">
        <w:rPr>
          <w:noProof/>
        </w:rPr>
        <w:t>1</w:t>
      </w:r>
      <w:r w:rsidR="00FC7DBA">
        <w:rPr>
          <w:noProof/>
        </w:rPr>
        <w:fldChar w:fldCharType="end"/>
      </w:r>
      <w:r w:rsidR="002847F5">
        <w:t>-</w:t>
      </w:r>
      <w:r w:rsidR="00312FDC" w:rsidRPr="00FC0242">
        <w:t xml:space="preserve">Summary of </w:t>
      </w:r>
      <w:r w:rsidR="00F11A25" w:rsidRPr="00FC0242">
        <w:t xml:space="preserve">forecast </w:t>
      </w:r>
      <w:r w:rsidR="00312FDC" w:rsidRPr="00FC0242">
        <w:t xml:space="preserve">cost components for </w:t>
      </w:r>
      <w:r w:rsidR="002005A1" w:rsidRPr="00FC0242">
        <w:rPr>
          <w:rFonts w:cs="Arial"/>
          <w:szCs w:val="20"/>
        </w:rPr>
        <w:t>2022-23</w:t>
      </w:r>
    </w:p>
    <w:tbl>
      <w:tblPr>
        <w:tblW w:w="0" w:type="auto"/>
        <w:tblLook w:val="04A0" w:firstRow="1" w:lastRow="0" w:firstColumn="1" w:lastColumn="0" w:noHBand="0" w:noVBand="1"/>
        <w:tblDescription w:val="Table 1 – Summary of forecast cost components for 2021-22"/>
      </w:tblPr>
      <w:tblGrid>
        <w:gridCol w:w="8715"/>
        <w:gridCol w:w="1110"/>
      </w:tblGrid>
      <w:tr w:rsidR="00FC7DBA" w:rsidRPr="00FC7DBA" w14:paraId="445EF8FF" w14:textId="77777777" w:rsidTr="00262D38">
        <w:trPr>
          <w:trHeight w:val="300"/>
          <w:tblHeader/>
        </w:trPr>
        <w:tc>
          <w:tcPr>
            <w:tcW w:w="0" w:type="auto"/>
            <w:tcBorders>
              <w:top w:val="single" w:sz="4" w:space="0" w:color="808080"/>
              <w:left w:val="single" w:sz="4" w:space="0" w:color="808080"/>
              <w:bottom w:val="single" w:sz="4" w:space="0" w:color="808080"/>
              <w:right w:val="single" w:sz="4" w:space="0" w:color="808080"/>
            </w:tcBorders>
            <w:shd w:val="clear" w:color="000000" w:fill="DBE5F1"/>
            <w:vAlign w:val="center"/>
            <w:hideMark/>
          </w:tcPr>
          <w:p w14:paraId="7E31AE3B" w14:textId="77777777" w:rsidR="00312FDC" w:rsidRPr="00FC0242" w:rsidRDefault="00312FDC" w:rsidP="00AC0D3C">
            <w:pPr>
              <w:spacing w:before="0" w:after="0"/>
              <w:rPr>
                <w:rFonts w:ascii="Calibri" w:hAnsi="Calibri" w:cs="Calibri"/>
                <w:b/>
                <w:bCs/>
                <w:szCs w:val="22"/>
                <w:lang w:eastAsia="en-AU"/>
              </w:rPr>
            </w:pPr>
            <w:r w:rsidRPr="00FC0242">
              <w:rPr>
                <w:rFonts w:ascii="Calibri" w:hAnsi="Calibri" w:cs="Calibri"/>
                <w:b/>
                <w:bCs/>
                <w:szCs w:val="22"/>
                <w:lang w:eastAsia="en-AU"/>
              </w:rPr>
              <w:t>Output: Prostheses List</w:t>
            </w:r>
          </w:p>
        </w:tc>
        <w:tc>
          <w:tcPr>
            <w:tcW w:w="0" w:type="auto"/>
            <w:tcBorders>
              <w:top w:val="single" w:sz="4" w:space="0" w:color="808080"/>
              <w:left w:val="nil"/>
              <w:bottom w:val="single" w:sz="4" w:space="0" w:color="808080"/>
              <w:right w:val="single" w:sz="4" w:space="0" w:color="808080"/>
            </w:tcBorders>
            <w:shd w:val="clear" w:color="000000" w:fill="DBE5F1"/>
            <w:vAlign w:val="center"/>
            <w:hideMark/>
          </w:tcPr>
          <w:p w14:paraId="36D63A11" w14:textId="77777777" w:rsidR="002005A1" w:rsidRPr="00FC7DBA" w:rsidRDefault="002005A1">
            <w:pPr>
              <w:spacing w:before="0" w:after="0"/>
              <w:jc w:val="center"/>
              <w:rPr>
                <w:rFonts w:ascii="Calibri" w:hAnsi="Calibri" w:cs="Calibri"/>
                <w:b/>
                <w:bCs/>
                <w:szCs w:val="22"/>
                <w:lang w:eastAsia="en-AU"/>
              </w:rPr>
            </w:pPr>
            <w:r w:rsidRPr="00FC7DBA">
              <w:rPr>
                <w:rFonts w:cs="Arial"/>
                <w:b/>
                <w:bCs/>
                <w:szCs w:val="22"/>
              </w:rPr>
              <w:t>2022-23</w:t>
            </w:r>
            <w:r w:rsidRPr="00FC7DBA">
              <w:rPr>
                <w:rFonts w:cs="Arial"/>
                <w:szCs w:val="22"/>
              </w:rPr>
              <w:t xml:space="preserve"> </w:t>
            </w:r>
          </w:p>
          <w:p w14:paraId="52F60D09" w14:textId="754A1A0C" w:rsidR="0028751F" w:rsidRPr="00FC7DBA" w:rsidRDefault="0028751F">
            <w:pPr>
              <w:spacing w:before="0" w:after="0"/>
              <w:jc w:val="center"/>
              <w:rPr>
                <w:rFonts w:ascii="Calibri" w:hAnsi="Calibri" w:cs="Calibri"/>
                <w:b/>
                <w:bCs/>
                <w:szCs w:val="22"/>
                <w:lang w:eastAsia="en-AU"/>
              </w:rPr>
            </w:pPr>
            <w:r w:rsidRPr="00FC7DBA">
              <w:rPr>
                <w:rFonts w:ascii="Calibri" w:hAnsi="Calibri" w:cs="Calibri"/>
                <w:b/>
                <w:bCs/>
                <w:szCs w:val="22"/>
                <w:lang w:eastAsia="en-AU"/>
              </w:rPr>
              <w:t>$</w:t>
            </w:r>
          </w:p>
        </w:tc>
      </w:tr>
      <w:tr w:rsidR="00FC7DBA" w:rsidRPr="00FC7DBA" w14:paraId="76D79B05" w14:textId="77777777" w:rsidTr="00E06198">
        <w:trPr>
          <w:trHeight w:val="3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0A83299A" w14:textId="77777777" w:rsidR="00A71BBC" w:rsidRPr="00FC0242" w:rsidRDefault="00A71BBC" w:rsidP="00A71BBC">
            <w:pPr>
              <w:spacing w:before="0" w:after="0"/>
              <w:rPr>
                <w:rFonts w:ascii="Calibri" w:hAnsi="Calibri" w:cs="Calibri"/>
                <w:szCs w:val="22"/>
                <w:lang w:eastAsia="en-AU"/>
              </w:rPr>
            </w:pPr>
            <w:r w:rsidRPr="00FC0242">
              <w:rPr>
                <w:rFonts w:ascii="Calibri" w:hAnsi="Calibri" w:cs="Calibri"/>
                <w:szCs w:val="22"/>
                <w:lang w:eastAsia="en-AU"/>
              </w:rPr>
              <w:t>Employee expenses</w:t>
            </w:r>
          </w:p>
        </w:tc>
        <w:tc>
          <w:tcPr>
            <w:tcW w:w="0" w:type="auto"/>
            <w:tcBorders>
              <w:top w:val="nil"/>
              <w:left w:val="nil"/>
              <w:bottom w:val="single" w:sz="4" w:space="0" w:color="808080"/>
              <w:right w:val="single" w:sz="4" w:space="0" w:color="808080"/>
            </w:tcBorders>
            <w:shd w:val="clear" w:color="auto" w:fill="auto"/>
            <w:vAlign w:val="bottom"/>
            <w:hideMark/>
          </w:tcPr>
          <w:p w14:paraId="64DFC00D" w14:textId="509ACF32" w:rsidR="00A71BBC" w:rsidRPr="00FC7DBA" w:rsidRDefault="00A71BBC" w:rsidP="00A71BBC">
            <w:pPr>
              <w:spacing w:before="0" w:after="0"/>
              <w:jc w:val="center"/>
              <w:rPr>
                <w:rFonts w:ascii="Calibri" w:hAnsi="Calibri" w:cs="Calibri"/>
                <w:szCs w:val="22"/>
                <w:highlight w:val="yellow"/>
                <w:lang w:eastAsia="en-AU"/>
              </w:rPr>
            </w:pPr>
            <w:r w:rsidRPr="00FC7DBA">
              <w:rPr>
                <w:rFonts w:ascii="Calibri" w:hAnsi="Calibri" w:cs="Calibri"/>
                <w:szCs w:val="22"/>
              </w:rPr>
              <w:t>2,704,884</w:t>
            </w:r>
          </w:p>
        </w:tc>
      </w:tr>
      <w:tr w:rsidR="00FC7DBA" w:rsidRPr="00FC7DBA" w14:paraId="256ED16B" w14:textId="77777777" w:rsidTr="00262D38">
        <w:trPr>
          <w:trHeight w:val="9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48630906" w14:textId="77777777" w:rsidR="00A71BBC" w:rsidRPr="00FC0242" w:rsidRDefault="00A71BBC" w:rsidP="00A71BBC">
            <w:pPr>
              <w:spacing w:before="0" w:after="0"/>
              <w:rPr>
                <w:rFonts w:ascii="Calibri" w:hAnsi="Calibri" w:cs="Calibri"/>
                <w:szCs w:val="22"/>
                <w:lang w:eastAsia="en-AU"/>
              </w:rPr>
            </w:pPr>
            <w:r w:rsidRPr="00FC0242">
              <w:rPr>
                <w:rFonts w:ascii="Calibri" w:hAnsi="Calibri" w:cs="Calibri"/>
                <w:szCs w:val="22"/>
                <w:lang w:eastAsia="en-AU"/>
              </w:rPr>
              <w:t>Supplier expenses (including Secretariat services and Committee meeting and member payments)</w:t>
            </w:r>
          </w:p>
        </w:tc>
        <w:tc>
          <w:tcPr>
            <w:tcW w:w="0" w:type="auto"/>
            <w:tcBorders>
              <w:top w:val="nil"/>
              <w:left w:val="nil"/>
              <w:bottom w:val="single" w:sz="4" w:space="0" w:color="808080"/>
              <w:right w:val="single" w:sz="4" w:space="0" w:color="808080"/>
            </w:tcBorders>
            <w:shd w:val="clear" w:color="auto" w:fill="auto"/>
            <w:vAlign w:val="center"/>
            <w:hideMark/>
          </w:tcPr>
          <w:p w14:paraId="1A5E0EE9" w14:textId="7E10FDD0" w:rsidR="00A71BBC" w:rsidRPr="00FC7DBA" w:rsidRDefault="00A71BBC" w:rsidP="00A71BBC">
            <w:pPr>
              <w:spacing w:before="0" w:after="0"/>
              <w:jc w:val="center"/>
              <w:rPr>
                <w:rFonts w:ascii="Calibri" w:hAnsi="Calibri" w:cs="Calibri"/>
                <w:szCs w:val="22"/>
                <w:highlight w:val="yellow"/>
                <w:lang w:eastAsia="en-AU"/>
              </w:rPr>
            </w:pPr>
            <w:r w:rsidRPr="00FC7DBA">
              <w:rPr>
                <w:rFonts w:ascii="Calibri" w:hAnsi="Calibri" w:cs="Calibri"/>
                <w:szCs w:val="22"/>
              </w:rPr>
              <w:t>950,000</w:t>
            </w:r>
          </w:p>
        </w:tc>
      </w:tr>
      <w:tr w:rsidR="00FC7DBA" w:rsidRPr="00FC7DBA" w14:paraId="012A777E" w14:textId="77777777" w:rsidTr="00E06198">
        <w:trPr>
          <w:trHeight w:val="3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2764C85E" w14:textId="77777777" w:rsidR="00A71BBC" w:rsidRPr="00FC0242" w:rsidRDefault="00A71BBC" w:rsidP="00A71BBC">
            <w:pPr>
              <w:spacing w:before="0" w:after="0"/>
              <w:rPr>
                <w:rFonts w:ascii="Calibri" w:hAnsi="Calibri" w:cs="Calibri"/>
                <w:szCs w:val="22"/>
                <w:lang w:eastAsia="en-AU"/>
              </w:rPr>
            </w:pPr>
            <w:r w:rsidRPr="00FC0242">
              <w:rPr>
                <w:rFonts w:ascii="Calibri" w:hAnsi="Calibri" w:cs="Calibri"/>
                <w:szCs w:val="22"/>
                <w:lang w:eastAsia="en-AU"/>
              </w:rPr>
              <w:t>IT depreciation and maintenance</w:t>
            </w:r>
          </w:p>
        </w:tc>
        <w:tc>
          <w:tcPr>
            <w:tcW w:w="0" w:type="auto"/>
            <w:tcBorders>
              <w:top w:val="nil"/>
              <w:left w:val="nil"/>
              <w:bottom w:val="single" w:sz="4" w:space="0" w:color="808080"/>
              <w:right w:val="single" w:sz="4" w:space="0" w:color="808080"/>
            </w:tcBorders>
            <w:shd w:val="clear" w:color="auto" w:fill="auto"/>
            <w:vAlign w:val="bottom"/>
            <w:hideMark/>
          </w:tcPr>
          <w:p w14:paraId="60679776" w14:textId="51F3D229" w:rsidR="00A71BBC" w:rsidRPr="00FC7DBA" w:rsidRDefault="00A71BBC" w:rsidP="00A71BBC">
            <w:pPr>
              <w:spacing w:before="0" w:after="0"/>
              <w:jc w:val="center"/>
              <w:rPr>
                <w:rFonts w:ascii="Calibri" w:hAnsi="Calibri" w:cs="Calibri"/>
                <w:szCs w:val="22"/>
                <w:highlight w:val="yellow"/>
                <w:lang w:eastAsia="en-AU"/>
              </w:rPr>
            </w:pPr>
            <w:r w:rsidRPr="00FC7DBA">
              <w:rPr>
                <w:rFonts w:ascii="Calibri" w:hAnsi="Calibri" w:cs="Calibri"/>
                <w:szCs w:val="22"/>
              </w:rPr>
              <w:t>561,694</w:t>
            </w:r>
          </w:p>
        </w:tc>
      </w:tr>
      <w:tr w:rsidR="00FC7DBA" w:rsidRPr="00FC7DBA" w14:paraId="0AC85722" w14:textId="77777777" w:rsidTr="00262D38">
        <w:trPr>
          <w:trHeight w:val="3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5536C648" w14:textId="77777777" w:rsidR="00A71BBC" w:rsidRPr="00FC0242" w:rsidRDefault="00A71BBC" w:rsidP="00A71BBC">
            <w:pPr>
              <w:spacing w:before="0" w:after="0"/>
              <w:rPr>
                <w:rFonts w:ascii="Calibri" w:hAnsi="Calibri" w:cs="Calibri"/>
                <w:szCs w:val="22"/>
                <w:lang w:eastAsia="en-AU"/>
              </w:rPr>
            </w:pPr>
            <w:r w:rsidRPr="00FC0242">
              <w:rPr>
                <w:rFonts w:ascii="Calibri" w:hAnsi="Calibri" w:cs="Calibri"/>
                <w:szCs w:val="22"/>
                <w:lang w:eastAsia="en-AU"/>
              </w:rPr>
              <w:t>Indirect costs*</w:t>
            </w:r>
          </w:p>
        </w:tc>
        <w:tc>
          <w:tcPr>
            <w:tcW w:w="0" w:type="auto"/>
            <w:tcBorders>
              <w:top w:val="nil"/>
              <w:left w:val="nil"/>
              <w:bottom w:val="single" w:sz="4" w:space="0" w:color="808080"/>
              <w:right w:val="single" w:sz="4" w:space="0" w:color="808080"/>
            </w:tcBorders>
            <w:shd w:val="clear" w:color="auto" w:fill="auto"/>
            <w:vAlign w:val="center"/>
            <w:hideMark/>
          </w:tcPr>
          <w:p w14:paraId="3161AA20" w14:textId="49B6378F" w:rsidR="00A71BBC" w:rsidRPr="00FC7DBA" w:rsidRDefault="00A71BBC" w:rsidP="00A71BBC">
            <w:pPr>
              <w:spacing w:before="0" w:after="0"/>
              <w:jc w:val="center"/>
              <w:rPr>
                <w:rFonts w:ascii="Calibri" w:hAnsi="Calibri" w:cs="Calibri"/>
                <w:szCs w:val="22"/>
                <w:highlight w:val="yellow"/>
                <w:lang w:eastAsia="en-AU"/>
              </w:rPr>
            </w:pPr>
            <w:r w:rsidRPr="00FC7DBA">
              <w:rPr>
                <w:rFonts w:ascii="Calibri" w:hAnsi="Calibri" w:cs="Calibri"/>
                <w:szCs w:val="22"/>
              </w:rPr>
              <w:t>534,256</w:t>
            </w:r>
          </w:p>
        </w:tc>
      </w:tr>
      <w:tr w:rsidR="00FC7DBA" w:rsidRPr="00FC7DBA" w14:paraId="2904ECB9" w14:textId="77777777" w:rsidTr="00E06198">
        <w:trPr>
          <w:trHeight w:val="300"/>
        </w:trPr>
        <w:tc>
          <w:tcPr>
            <w:tcW w:w="0" w:type="auto"/>
            <w:tcBorders>
              <w:top w:val="nil"/>
              <w:left w:val="single" w:sz="4" w:space="0" w:color="808080"/>
              <w:bottom w:val="single" w:sz="4" w:space="0" w:color="808080"/>
              <w:right w:val="single" w:sz="4" w:space="0" w:color="808080"/>
            </w:tcBorders>
            <w:shd w:val="clear" w:color="auto" w:fill="auto"/>
            <w:vAlign w:val="center"/>
            <w:hideMark/>
          </w:tcPr>
          <w:p w14:paraId="42C36E18" w14:textId="77777777" w:rsidR="00A71BBC" w:rsidRPr="00FC0242" w:rsidRDefault="00A71BBC" w:rsidP="00A71BBC">
            <w:pPr>
              <w:spacing w:before="0" w:after="0"/>
              <w:rPr>
                <w:rFonts w:ascii="Calibri" w:hAnsi="Calibri" w:cs="Calibri"/>
                <w:b/>
                <w:bCs/>
                <w:szCs w:val="22"/>
                <w:lang w:eastAsia="en-AU"/>
              </w:rPr>
            </w:pPr>
            <w:r w:rsidRPr="00FC0242">
              <w:rPr>
                <w:rFonts w:ascii="Calibri" w:hAnsi="Calibri" w:cs="Calibri"/>
                <w:b/>
                <w:bCs/>
                <w:szCs w:val="22"/>
                <w:lang w:eastAsia="en-AU"/>
              </w:rPr>
              <w:t>TOTAL</w:t>
            </w:r>
          </w:p>
        </w:tc>
        <w:tc>
          <w:tcPr>
            <w:tcW w:w="0" w:type="auto"/>
            <w:tcBorders>
              <w:top w:val="nil"/>
              <w:left w:val="nil"/>
              <w:bottom w:val="single" w:sz="4" w:space="0" w:color="808080"/>
              <w:right w:val="single" w:sz="4" w:space="0" w:color="808080"/>
            </w:tcBorders>
            <w:shd w:val="clear" w:color="auto" w:fill="auto"/>
            <w:vAlign w:val="bottom"/>
            <w:hideMark/>
          </w:tcPr>
          <w:p w14:paraId="5E637824" w14:textId="7A84EBB1" w:rsidR="00A71BBC" w:rsidRPr="00FC7DBA" w:rsidRDefault="00A71BBC" w:rsidP="00A71BBC">
            <w:pPr>
              <w:spacing w:before="0" w:after="0"/>
              <w:jc w:val="center"/>
              <w:rPr>
                <w:rFonts w:ascii="Calibri" w:hAnsi="Calibri" w:cs="Calibri"/>
                <w:b/>
                <w:bCs/>
                <w:szCs w:val="22"/>
                <w:highlight w:val="yellow"/>
                <w:lang w:eastAsia="en-AU"/>
              </w:rPr>
            </w:pPr>
            <w:r w:rsidRPr="00FC7DBA">
              <w:rPr>
                <w:rFonts w:ascii="Calibri" w:hAnsi="Calibri" w:cs="Calibri"/>
                <w:b/>
                <w:bCs/>
                <w:szCs w:val="22"/>
              </w:rPr>
              <w:t>4,750,834</w:t>
            </w:r>
          </w:p>
        </w:tc>
      </w:tr>
    </w:tbl>
    <w:p w14:paraId="3CFA4169" w14:textId="23884E52" w:rsidR="00014B21" w:rsidRPr="00FC0242" w:rsidRDefault="00312FDC" w:rsidP="002847F5">
      <w:pPr>
        <w:pStyle w:val="NoSpacing"/>
      </w:pPr>
      <w:r w:rsidRPr="00FC0242">
        <w:rPr>
          <w:b/>
        </w:rPr>
        <w:t xml:space="preserve">* </w:t>
      </w:r>
      <w:r w:rsidRPr="00FC0242">
        <w:t>Indirect costs are those costs that cannot be easily linked to a cost object or for which the costs of tracking this outweigh the benefits.  Indirect costs are apportioned to a cost object using the Department</w:t>
      </w:r>
      <w:r w:rsidR="00B32F8D">
        <w:t xml:space="preserve">’s </w:t>
      </w:r>
      <w:r w:rsidRPr="00FC0242">
        <w:t>documented internal costing methodology.  Common indirect costs include overhead costs such as salaries of staff in corporate (</w:t>
      </w:r>
      <w:r w:rsidR="002847F5" w:rsidRPr="00FC0242">
        <w:t>e.g.,</w:t>
      </w:r>
      <w:r w:rsidRPr="00FC0242">
        <w:t xml:space="preserve"> finance, human resources), technical support areas, accommodation costs (</w:t>
      </w:r>
      <w:proofErr w:type="gramStart"/>
      <w:r w:rsidRPr="00FC0242">
        <w:t>e.g.</w:t>
      </w:r>
      <w:proofErr w:type="gramEnd"/>
      <w:r w:rsidRPr="00FC0242">
        <w:t xml:space="preserve"> rent, maintenance and utilities), as well as staff training and workers compensation.  </w:t>
      </w:r>
    </w:p>
    <w:p w14:paraId="67AC2891" w14:textId="52FD4E13" w:rsidR="00312FDC" w:rsidRPr="00FC0242" w:rsidRDefault="00312FDC" w:rsidP="00312FDC">
      <w:pPr>
        <w:pStyle w:val="Heading2"/>
      </w:pPr>
      <w:r w:rsidRPr="00FC0242">
        <w:t>Design of regulatory charges</w:t>
      </w:r>
    </w:p>
    <w:p w14:paraId="529D3132" w14:textId="77777777" w:rsidR="00312FDC" w:rsidRPr="00FC0242" w:rsidRDefault="00312FDC" w:rsidP="00312FDC">
      <w:pPr>
        <w:spacing w:before="0" w:after="0"/>
        <w:rPr>
          <w:szCs w:val="22"/>
        </w:rPr>
      </w:pPr>
      <w:r w:rsidRPr="00FC0242">
        <w:rPr>
          <w:szCs w:val="22"/>
        </w:rPr>
        <w:t>There are three fees associated with the List:</w:t>
      </w:r>
    </w:p>
    <w:p w14:paraId="737521EE" w14:textId="77777777" w:rsidR="00312FDC" w:rsidRPr="00FC0242" w:rsidRDefault="00312FDC" w:rsidP="00312FDC">
      <w:pPr>
        <w:pStyle w:val="ListParagraph"/>
        <w:numPr>
          <w:ilvl w:val="0"/>
          <w:numId w:val="39"/>
        </w:numPr>
        <w:spacing w:before="0" w:after="0"/>
        <w:rPr>
          <w:szCs w:val="22"/>
        </w:rPr>
      </w:pPr>
      <w:r w:rsidRPr="00FC0242">
        <w:rPr>
          <w:szCs w:val="22"/>
        </w:rPr>
        <w:t xml:space="preserve">An application fee of $600 per application that covers the cost of processing and assessing an application to include an item on the List. </w:t>
      </w:r>
    </w:p>
    <w:p w14:paraId="6FA38E56" w14:textId="77777777" w:rsidR="00312FDC" w:rsidRPr="00FC0242" w:rsidRDefault="00312FDC" w:rsidP="00312FDC">
      <w:pPr>
        <w:pStyle w:val="ListParagraph"/>
        <w:numPr>
          <w:ilvl w:val="0"/>
          <w:numId w:val="39"/>
        </w:numPr>
        <w:rPr>
          <w:szCs w:val="22"/>
        </w:rPr>
      </w:pPr>
      <w:r w:rsidRPr="00FC0242">
        <w:rPr>
          <w:szCs w:val="22"/>
        </w:rPr>
        <w:t>An initial listing fee of $200 per prostheses that covers the cost of granting applications and adding new prostheses on the List.</w:t>
      </w:r>
    </w:p>
    <w:p w14:paraId="70986237" w14:textId="2D103A42" w:rsidR="00312FDC" w:rsidRPr="00FC0242" w:rsidRDefault="00312FDC" w:rsidP="00312FDC">
      <w:pPr>
        <w:pStyle w:val="ListParagraph"/>
        <w:numPr>
          <w:ilvl w:val="0"/>
          <w:numId w:val="39"/>
        </w:numPr>
        <w:rPr>
          <w:szCs w:val="22"/>
        </w:rPr>
      </w:pPr>
      <w:r w:rsidRPr="00FC0242">
        <w:rPr>
          <w:szCs w:val="22"/>
        </w:rPr>
        <w:t xml:space="preserve">An ongoing listing fee of $200 that is paid every six months.  The ongoing listing fee is required to be paid for as long as a </w:t>
      </w:r>
      <w:r w:rsidR="00D918E3" w:rsidRPr="00FC0242">
        <w:rPr>
          <w:szCs w:val="22"/>
        </w:rPr>
        <w:t>prosthesis</w:t>
      </w:r>
      <w:r w:rsidRPr="00FC0242">
        <w:rPr>
          <w:szCs w:val="22"/>
        </w:rPr>
        <w:t xml:space="preserve"> remains on the List.  The ongoing listing fee contributes to the cost of maintaining the List, including making amendments to listing as required from time to time.  </w:t>
      </w:r>
    </w:p>
    <w:p w14:paraId="6356BFF0" w14:textId="5DECE76A" w:rsidR="00AA3480" w:rsidRPr="00FC0242" w:rsidRDefault="00312FDC" w:rsidP="00312FDC">
      <w:pPr>
        <w:rPr>
          <w:szCs w:val="22"/>
        </w:rPr>
      </w:pPr>
      <w:r w:rsidRPr="00FC0242">
        <w:rPr>
          <w:szCs w:val="22"/>
        </w:rPr>
        <w:t xml:space="preserve">The fees outlined above have not been adjusted since </w:t>
      </w:r>
      <w:r w:rsidR="00A71BBC" w:rsidRPr="00FC0242">
        <w:rPr>
          <w:szCs w:val="22"/>
        </w:rPr>
        <w:t>cost recovery arrangements were established</w:t>
      </w:r>
      <w:r w:rsidRPr="00FC0242">
        <w:rPr>
          <w:szCs w:val="22"/>
        </w:rPr>
        <w:t xml:space="preserve">.  </w:t>
      </w:r>
    </w:p>
    <w:p w14:paraId="1C01B739" w14:textId="77777777" w:rsidR="00312FDC" w:rsidRPr="00FC0242" w:rsidRDefault="00312FDC" w:rsidP="00312FDC">
      <w:pPr>
        <w:pStyle w:val="Heading3"/>
        <w:ind w:left="0" w:hanging="12"/>
        <w:rPr>
          <w:b/>
        </w:rPr>
      </w:pPr>
      <w:r w:rsidRPr="00FC0242">
        <w:rPr>
          <w:b/>
        </w:rPr>
        <w:t>PLAC Reforms and Review Arrangements</w:t>
      </w:r>
    </w:p>
    <w:p w14:paraId="4D5D8AEF" w14:textId="1C951B0A" w:rsidR="00106034" w:rsidRPr="00FC0242" w:rsidRDefault="00626751" w:rsidP="00106034">
      <w:pPr>
        <w:rPr>
          <w:szCs w:val="22"/>
        </w:rPr>
      </w:pPr>
      <w:r w:rsidRPr="00FC0242">
        <w:rPr>
          <w:szCs w:val="22"/>
        </w:rPr>
        <w:t>I</w:t>
      </w:r>
      <w:r w:rsidR="00014B21" w:rsidRPr="00FC0242">
        <w:rPr>
          <w:szCs w:val="22"/>
        </w:rPr>
        <w:t xml:space="preserve">n the 2021-22 Budget, </w:t>
      </w:r>
      <w:r w:rsidR="00106034" w:rsidRPr="00FC0242">
        <w:rPr>
          <w:szCs w:val="22"/>
        </w:rPr>
        <w:t xml:space="preserve">the Government committed $22 million over four years to improve the </w:t>
      </w:r>
      <w:r w:rsidR="00282F3F">
        <w:rPr>
          <w:szCs w:val="22"/>
        </w:rPr>
        <w:t>PL</w:t>
      </w:r>
      <w:r w:rsidR="00282F3F" w:rsidRPr="00FC0242">
        <w:rPr>
          <w:szCs w:val="22"/>
        </w:rPr>
        <w:t xml:space="preserve"> </w:t>
      </w:r>
      <w:r w:rsidR="00106034" w:rsidRPr="00FC0242">
        <w:rPr>
          <w:szCs w:val="22"/>
        </w:rPr>
        <w:t>and its arrangements.</w:t>
      </w:r>
      <w:r w:rsidRPr="00FC0242">
        <w:rPr>
          <w:szCs w:val="22"/>
        </w:rPr>
        <w:t xml:space="preserve"> </w:t>
      </w:r>
      <w:r w:rsidR="00106034" w:rsidRPr="00FC0242">
        <w:rPr>
          <w:szCs w:val="22"/>
        </w:rPr>
        <w:t xml:space="preserve">Building on the previous reform activities, the Government has agreed to maintain the </w:t>
      </w:r>
      <w:r w:rsidR="00161F87">
        <w:rPr>
          <w:szCs w:val="22"/>
        </w:rPr>
        <w:t>PL</w:t>
      </w:r>
      <w:r w:rsidR="00106034" w:rsidRPr="00FC0242">
        <w:rPr>
          <w:szCs w:val="22"/>
        </w:rPr>
        <w:t>, with some improvements.</w:t>
      </w:r>
    </w:p>
    <w:p w14:paraId="7BE43F14" w14:textId="5E7AF8E4" w:rsidR="00106034" w:rsidRPr="00FC0242" w:rsidRDefault="00106034" w:rsidP="00106034">
      <w:pPr>
        <w:rPr>
          <w:szCs w:val="22"/>
        </w:rPr>
      </w:pPr>
      <w:r w:rsidRPr="00FC0242">
        <w:rPr>
          <w:szCs w:val="22"/>
        </w:rPr>
        <w:t xml:space="preserve">The </w:t>
      </w:r>
      <w:r w:rsidR="00282F3F">
        <w:rPr>
          <w:szCs w:val="22"/>
        </w:rPr>
        <w:t>PL</w:t>
      </w:r>
      <w:r w:rsidR="00282F3F" w:rsidRPr="00FC0242">
        <w:rPr>
          <w:szCs w:val="22"/>
        </w:rPr>
        <w:t xml:space="preserve"> </w:t>
      </w:r>
      <w:r w:rsidRPr="00FC0242">
        <w:rPr>
          <w:szCs w:val="22"/>
        </w:rPr>
        <w:t xml:space="preserve">will continue to be the way in which hospitals, insurers and device companies know what benefits are payable for listed prostheses. Over time, </w:t>
      </w:r>
      <w:r w:rsidR="0097673B" w:rsidRPr="00FC0242">
        <w:rPr>
          <w:szCs w:val="22"/>
        </w:rPr>
        <w:t>the</w:t>
      </w:r>
      <w:r w:rsidRPr="00FC0242">
        <w:rPr>
          <w:szCs w:val="22"/>
        </w:rPr>
        <w:t xml:space="preserve"> List benefits will better align with the price paid in the public hospital system, supported by the Independent Hospital Pricing Authority (IHPA). Other key features of the reforms include:</w:t>
      </w:r>
    </w:p>
    <w:p w14:paraId="1678CA43" w14:textId="1B96E101" w:rsidR="00106034" w:rsidRPr="00FC0242" w:rsidRDefault="00106034" w:rsidP="007D3BC5">
      <w:pPr>
        <w:pStyle w:val="ListParagraph"/>
        <w:numPr>
          <w:ilvl w:val="0"/>
          <w:numId w:val="40"/>
        </w:numPr>
        <w:rPr>
          <w:szCs w:val="22"/>
        </w:rPr>
      </w:pPr>
      <w:r w:rsidRPr="00FC0242">
        <w:rPr>
          <w:szCs w:val="22"/>
        </w:rPr>
        <w:t xml:space="preserve">Clarifying the scope of the List by defining which prostheses are eligible for inclusion on the </w:t>
      </w:r>
      <w:r w:rsidR="00D918E3" w:rsidRPr="00FC0242">
        <w:rPr>
          <w:szCs w:val="22"/>
        </w:rPr>
        <w:t>List and</w:t>
      </w:r>
      <w:r w:rsidRPr="00FC0242">
        <w:rPr>
          <w:szCs w:val="22"/>
        </w:rPr>
        <w:t xml:space="preserve"> removing ineligible products.</w:t>
      </w:r>
    </w:p>
    <w:p w14:paraId="32F4268F" w14:textId="353651B7" w:rsidR="00106034" w:rsidRPr="00FC0242" w:rsidRDefault="00106034" w:rsidP="007D3BC5">
      <w:pPr>
        <w:pStyle w:val="ListParagraph"/>
        <w:numPr>
          <w:ilvl w:val="0"/>
          <w:numId w:val="40"/>
        </w:numPr>
        <w:rPr>
          <w:szCs w:val="22"/>
        </w:rPr>
      </w:pPr>
      <w:r w:rsidRPr="00FC0242">
        <w:rPr>
          <w:szCs w:val="22"/>
        </w:rPr>
        <w:t>Regrouping the items on the List to better align devices with similar intended use or health outcomes.</w:t>
      </w:r>
    </w:p>
    <w:p w14:paraId="5B781AF5" w14:textId="72C2FA92" w:rsidR="00106034" w:rsidRPr="00FC0242" w:rsidRDefault="00106034" w:rsidP="007D3BC5">
      <w:pPr>
        <w:pStyle w:val="ListParagraph"/>
        <w:numPr>
          <w:ilvl w:val="0"/>
          <w:numId w:val="40"/>
        </w:numPr>
        <w:rPr>
          <w:szCs w:val="22"/>
        </w:rPr>
      </w:pPr>
      <w:r w:rsidRPr="00FC0242">
        <w:rPr>
          <w:szCs w:val="22"/>
        </w:rPr>
        <w:t xml:space="preserve">Streamlining the listing of new devices and reviewing the functions of the </w:t>
      </w:r>
      <w:r w:rsidR="0097673B" w:rsidRPr="00FC0242">
        <w:rPr>
          <w:szCs w:val="22"/>
        </w:rPr>
        <w:t>PLAC</w:t>
      </w:r>
      <w:r w:rsidRPr="00FC0242">
        <w:rPr>
          <w:szCs w:val="22"/>
        </w:rPr>
        <w:t>.</w:t>
      </w:r>
    </w:p>
    <w:p w14:paraId="114BA076" w14:textId="77777777" w:rsidR="008B6D5C" w:rsidRPr="00FC0242" w:rsidRDefault="00106034" w:rsidP="007D3BC5">
      <w:pPr>
        <w:pStyle w:val="ListParagraph"/>
        <w:numPr>
          <w:ilvl w:val="0"/>
          <w:numId w:val="40"/>
        </w:numPr>
        <w:rPr>
          <w:szCs w:val="22"/>
        </w:rPr>
      </w:pPr>
      <w:r w:rsidRPr="00FC0242">
        <w:rPr>
          <w:szCs w:val="22"/>
        </w:rPr>
        <w:t>Improving the post-listing activities, including reviews and compliance activities.</w:t>
      </w:r>
    </w:p>
    <w:p w14:paraId="160243B6" w14:textId="1B900A93" w:rsidR="008B6D5C" w:rsidRPr="00FC0242" w:rsidRDefault="008B6D5C" w:rsidP="007D3BC5">
      <w:pPr>
        <w:pStyle w:val="ListParagraph"/>
        <w:numPr>
          <w:ilvl w:val="0"/>
          <w:numId w:val="40"/>
        </w:numPr>
        <w:rPr>
          <w:szCs w:val="22"/>
        </w:rPr>
      </w:pPr>
      <w:r w:rsidRPr="00FC0242">
        <w:rPr>
          <w:szCs w:val="22"/>
        </w:rPr>
        <w:t>Updating the existing cost recovery arrangements to align with the Australian Government Charging Framework.</w:t>
      </w:r>
    </w:p>
    <w:p w14:paraId="60BB581B" w14:textId="2A7A983D" w:rsidR="00014B21" w:rsidRDefault="00106034" w:rsidP="008B6D5C">
      <w:pPr>
        <w:rPr>
          <w:szCs w:val="22"/>
        </w:rPr>
      </w:pPr>
      <w:r w:rsidRPr="00FC0242">
        <w:rPr>
          <w:szCs w:val="22"/>
        </w:rPr>
        <w:t xml:space="preserve">These reforms will be implemented over </w:t>
      </w:r>
      <w:proofErr w:type="gramStart"/>
      <w:r w:rsidRPr="00FC0242">
        <w:rPr>
          <w:szCs w:val="22"/>
        </w:rPr>
        <w:t>a number of</w:t>
      </w:r>
      <w:proofErr w:type="gramEnd"/>
      <w:r w:rsidRPr="00FC0242">
        <w:rPr>
          <w:szCs w:val="22"/>
        </w:rPr>
        <w:t xml:space="preserve"> years, commencing 1 February 2022. The reforms are expected to be implemented by 2025. A review of these reforms will be conducted in 2024.</w:t>
      </w:r>
    </w:p>
    <w:p w14:paraId="615C3D5E" w14:textId="4EB585CC" w:rsidR="00282F3F" w:rsidRPr="00FC7DBA" w:rsidRDefault="00282F3F" w:rsidP="008B6D5C">
      <w:pPr>
        <w:rPr>
          <w:szCs w:val="22"/>
        </w:rPr>
      </w:pPr>
      <w:r w:rsidRPr="00FC7DBA">
        <w:rPr>
          <w:szCs w:val="22"/>
        </w:rPr>
        <w:t xml:space="preserve">There have been </w:t>
      </w:r>
      <w:proofErr w:type="gramStart"/>
      <w:r w:rsidRPr="00FC7DBA">
        <w:rPr>
          <w:szCs w:val="22"/>
        </w:rPr>
        <w:t>a number of</w:t>
      </w:r>
      <w:proofErr w:type="gramEnd"/>
      <w:r w:rsidRPr="00FC7DBA">
        <w:rPr>
          <w:szCs w:val="22"/>
        </w:rPr>
        <w:t xml:space="preserve"> consultation </w:t>
      </w:r>
      <w:r w:rsidR="00A857E8" w:rsidRPr="00FC7DBA">
        <w:rPr>
          <w:szCs w:val="22"/>
        </w:rPr>
        <w:t>papers released to support the reforms of the PL; information on these reforms and relevant consultations is available on the PL reforms webpage.</w:t>
      </w:r>
      <w:r w:rsidR="00A857E8" w:rsidRPr="00FC7DBA">
        <w:rPr>
          <w:rStyle w:val="FootnoteReference"/>
          <w:color w:val="auto"/>
          <w:szCs w:val="22"/>
        </w:rPr>
        <w:footnoteReference w:id="2"/>
      </w:r>
      <w:r w:rsidR="00A857E8" w:rsidRPr="00FC7DBA">
        <w:rPr>
          <w:szCs w:val="22"/>
        </w:rPr>
        <w:t xml:space="preserve"> </w:t>
      </w:r>
    </w:p>
    <w:p w14:paraId="4AE59316" w14:textId="6CC5BB5B" w:rsidR="00FD6810" w:rsidRPr="00FC0242" w:rsidRDefault="00014B21" w:rsidP="00014B21">
      <w:pPr>
        <w:rPr>
          <w:szCs w:val="22"/>
        </w:rPr>
      </w:pPr>
      <w:r w:rsidRPr="00FC0242">
        <w:rPr>
          <w:szCs w:val="22"/>
        </w:rPr>
        <w:lastRenderedPageBreak/>
        <w:t xml:space="preserve">All future changes to cost recovery arrangements will ensure compliance with the Australian Government </w:t>
      </w:r>
      <w:r w:rsidR="00BC4A2C" w:rsidRPr="00FC0242">
        <w:rPr>
          <w:szCs w:val="22"/>
        </w:rPr>
        <w:t xml:space="preserve">Charging Framework </w:t>
      </w:r>
      <w:r w:rsidRPr="00FC0242">
        <w:rPr>
          <w:szCs w:val="22"/>
        </w:rPr>
        <w:t xml:space="preserve">and will be consistent with requirements under the </w:t>
      </w:r>
      <w:r w:rsidRPr="002847F5">
        <w:rPr>
          <w:rStyle w:val="Emphasis"/>
        </w:rPr>
        <w:t>Public Governance, Performance and Accountability Act 2013</w:t>
      </w:r>
      <w:r w:rsidRPr="00FC0242">
        <w:rPr>
          <w:szCs w:val="22"/>
        </w:rPr>
        <w:t>.</w:t>
      </w:r>
    </w:p>
    <w:p w14:paraId="6F483E1E" w14:textId="77777777" w:rsidR="00312FDC" w:rsidRPr="00FC0242" w:rsidRDefault="00312FDC" w:rsidP="00312FDC">
      <w:pPr>
        <w:pStyle w:val="Heading1"/>
      </w:pPr>
      <w:r w:rsidRPr="00FC0242">
        <w:t>RISK ASSESSMENT</w:t>
      </w:r>
    </w:p>
    <w:p w14:paraId="4183EEC6" w14:textId="28AAD1AE" w:rsidR="00312FDC" w:rsidRPr="00FC0242" w:rsidRDefault="00312FDC" w:rsidP="00312FDC">
      <w:pPr>
        <w:spacing w:before="0" w:after="0"/>
        <w:rPr>
          <w:szCs w:val="22"/>
        </w:rPr>
      </w:pPr>
      <w:r w:rsidRPr="00FC0242">
        <w:rPr>
          <w:szCs w:val="22"/>
        </w:rPr>
        <w:t xml:space="preserve">A cost recovery risk assessment for this activity was undertaken in </w:t>
      </w:r>
      <w:r w:rsidR="003C0AF4" w:rsidRPr="00FC0242">
        <w:rPr>
          <w:szCs w:val="22"/>
        </w:rPr>
        <w:t>May 2022</w:t>
      </w:r>
      <w:r w:rsidRPr="00FC0242">
        <w:rPr>
          <w:szCs w:val="22"/>
        </w:rPr>
        <w:t xml:space="preserve">, resulting in a </w:t>
      </w:r>
      <w:proofErr w:type="gramStart"/>
      <w:r w:rsidRPr="00FC0242">
        <w:rPr>
          <w:szCs w:val="22"/>
        </w:rPr>
        <w:t>low risk</w:t>
      </w:r>
      <w:proofErr w:type="gramEnd"/>
      <w:r w:rsidRPr="00FC0242">
        <w:rPr>
          <w:szCs w:val="22"/>
        </w:rPr>
        <w:t xml:space="preserve"> rating.</w:t>
      </w:r>
    </w:p>
    <w:p w14:paraId="7D6BEEBA" w14:textId="77777777" w:rsidR="00312FDC" w:rsidRPr="00FC0242" w:rsidRDefault="00312FDC" w:rsidP="00312FDC">
      <w:pPr>
        <w:pStyle w:val="Heading1"/>
      </w:pPr>
      <w:r w:rsidRPr="00FC0242">
        <w:t>STAKEHOLDER ENGAGEMENT</w:t>
      </w:r>
    </w:p>
    <w:p w14:paraId="5F8B40DA" w14:textId="2776BFDD" w:rsidR="00FD6810" w:rsidRPr="00FC0242" w:rsidRDefault="00312FDC" w:rsidP="002847F5">
      <w:r w:rsidRPr="00FC0242">
        <w:t xml:space="preserve">The CRIS will be reviewed and updated at least </w:t>
      </w:r>
      <w:r w:rsidR="00C804A7" w:rsidRPr="00FC0242">
        <w:t>annually and</w:t>
      </w:r>
      <w:r w:rsidRPr="00FC0242">
        <w:t xml:space="preserve"> published on the Department’s website for stakeholders. </w:t>
      </w:r>
      <w:r w:rsidR="00866E2A" w:rsidRPr="00FC0242">
        <w:t xml:space="preserve"> Consultation </w:t>
      </w:r>
      <w:r w:rsidR="00B00158" w:rsidRPr="00FC0242">
        <w:t>w</w:t>
      </w:r>
      <w:r w:rsidR="00B32F8D">
        <w:t>as</w:t>
      </w:r>
      <w:r w:rsidR="00B00158" w:rsidRPr="00FC0242">
        <w:t xml:space="preserve"> undertaken in </w:t>
      </w:r>
      <w:r w:rsidR="00E33621" w:rsidRPr="00FC0242">
        <w:t xml:space="preserve">the second half of </w:t>
      </w:r>
      <w:r w:rsidR="003F4A5C" w:rsidRPr="00FC0242">
        <w:t>202</w:t>
      </w:r>
      <w:r w:rsidR="00482BE4" w:rsidRPr="00FC0242">
        <w:t>2</w:t>
      </w:r>
      <w:r w:rsidR="003F4A5C" w:rsidRPr="00FC0242">
        <w:t xml:space="preserve"> on</w:t>
      </w:r>
      <w:r w:rsidR="00866E2A" w:rsidRPr="00FC0242">
        <w:t xml:space="preserve"> </w:t>
      </w:r>
      <w:r w:rsidR="00B00158" w:rsidRPr="00FC0242">
        <w:t xml:space="preserve">proposed </w:t>
      </w:r>
      <w:r w:rsidR="00866E2A" w:rsidRPr="00FC0242">
        <w:t>changes to</w:t>
      </w:r>
      <w:r w:rsidR="00B00158" w:rsidRPr="00FC0242">
        <w:t xml:space="preserve"> cost recovery arrangements</w:t>
      </w:r>
      <w:r w:rsidR="00305483" w:rsidRPr="00FC0242">
        <w:t xml:space="preserve"> </w:t>
      </w:r>
      <w:r w:rsidR="00747324" w:rsidRPr="00FC0242">
        <w:t xml:space="preserve">to support the </w:t>
      </w:r>
      <w:r w:rsidR="00482BE4" w:rsidRPr="00FC0242">
        <w:t>modernised listing processes prior to implementation</w:t>
      </w:r>
      <w:r w:rsidR="003F4A5C" w:rsidRPr="00FC0242">
        <w:t xml:space="preserve">. An updated </w:t>
      </w:r>
      <w:r w:rsidR="00FC5DCC" w:rsidRPr="00FC0242">
        <w:t xml:space="preserve">CRIS </w:t>
      </w:r>
      <w:r w:rsidR="003F4A5C" w:rsidRPr="00FC0242">
        <w:t xml:space="preserve">will be published </w:t>
      </w:r>
      <w:r w:rsidR="00B00158" w:rsidRPr="00FC0242">
        <w:t>outlining the changes to cost recovery arrangements</w:t>
      </w:r>
      <w:r w:rsidR="00305483" w:rsidRPr="00FC0242">
        <w:t>, prior to commencement of the new charges</w:t>
      </w:r>
      <w:r w:rsidR="003A3337" w:rsidRPr="00FC0242">
        <w:t>.</w:t>
      </w:r>
    </w:p>
    <w:p w14:paraId="277B8B2B" w14:textId="6EB5178A" w:rsidR="00312FDC" w:rsidRPr="00FC0242" w:rsidRDefault="00312FDC">
      <w:pPr>
        <w:pStyle w:val="Heading1"/>
      </w:pPr>
      <w:r w:rsidRPr="00FC0242">
        <w:t>FINANCIAL ESTIMATES</w:t>
      </w:r>
    </w:p>
    <w:p w14:paraId="4996BB53" w14:textId="450994D1" w:rsidR="00312FDC" w:rsidRDefault="00312FDC" w:rsidP="002847F5">
      <w:r w:rsidRPr="00FC0242">
        <w:t xml:space="preserve">Table 2 reflects the forecast expenses along with the estimated revenue for </w:t>
      </w:r>
      <w:r w:rsidR="00E33621" w:rsidRPr="00FC0242">
        <w:t>2022-2023</w:t>
      </w:r>
      <w:r w:rsidRPr="00FC0242">
        <w:t xml:space="preserve"> and three forward years. Should there be any change to the cost recovery fees and charges as set out in this CRIS, a new financial estimates table will be provided.</w:t>
      </w:r>
    </w:p>
    <w:p w14:paraId="1802B3C3" w14:textId="4F6CDC8E" w:rsidR="00A7264A" w:rsidRPr="00FC7DBA" w:rsidRDefault="00A7264A" w:rsidP="002847F5">
      <w:pPr>
        <w:rPr>
          <w:b/>
          <w:iCs/>
          <w:sz w:val="20"/>
          <w:szCs w:val="18"/>
        </w:rPr>
      </w:pPr>
      <w:r w:rsidRPr="00FC7DBA">
        <w:rPr>
          <w:b/>
          <w:iCs/>
          <w:sz w:val="20"/>
          <w:szCs w:val="18"/>
        </w:rPr>
        <w:t>Table 2 – Financial estimates for PLAC cost recovery activities for 2022-23 and three forward years</w:t>
      </w:r>
    </w:p>
    <w:tbl>
      <w:tblPr>
        <w:tblW w:w="9776" w:type="dxa"/>
        <w:tblLayout w:type="fixed"/>
        <w:tblLook w:val="04A0" w:firstRow="1" w:lastRow="0" w:firstColumn="1" w:lastColumn="0" w:noHBand="0" w:noVBand="1"/>
      </w:tblPr>
      <w:tblGrid>
        <w:gridCol w:w="2480"/>
        <w:gridCol w:w="1824"/>
        <w:gridCol w:w="1824"/>
        <w:gridCol w:w="1824"/>
        <w:gridCol w:w="1824"/>
      </w:tblGrid>
      <w:tr w:rsidR="00FC7DBA" w:rsidRPr="00FC7DBA" w14:paraId="5A74B08E" w14:textId="77777777" w:rsidTr="006D5311">
        <w:trPr>
          <w:trHeight w:val="600"/>
        </w:trPr>
        <w:tc>
          <w:tcPr>
            <w:tcW w:w="24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79C5E8F9" w14:textId="77777777" w:rsidR="00A7264A" w:rsidRPr="00FC7DBA" w:rsidRDefault="00A7264A" w:rsidP="00A7264A">
            <w:pPr>
              <w:spacing w:before="0" w:after="0"/>
              <w:jc w:val="center"/>
              <w:rPr>
                <w:rFonts w:ascii="Calibri" w:hAnsi="Calibri" w:cs="Calibri"/>
                <w:b/>
                <w:bCs/>
                <w:szCs w:val="22"/>
                <w:lang w:eastAsia="en-AU"/>
              </w:rPr>
            </w:pPr>
            <w:r w:rsidRPr="00FC7DBA">
              <w:rPr>
                <w:rFonts w:ascii="Calibri" w:hAnsi="Calibri" w:cs="Calibri"/>
                <w:b/>
                <w:bCs/>
                <w:szCs w:val="22"/>
                <w:lang w:eastAsia="en-AU"/>
              </w:rPr>
              <w:t>Forecast Financial Estimates</w:t>
            </w:r>
          </w:p>
        </w:tc>
        <w:tc>
          <w:tcPr>
            <w:tcW w:w="182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8783AE" w14:textId="77777777" w:rsidR="00A7264A" w:rsidRPr="00FC7DBA" w:rsidRDefault="00A7264A" w:rsidP="00A7264A">
            <w:pPr>
              <w:spacing w:before="0" w:after="0"/>
              <w:jc w:val="center"/>
              <w:rPr>
                <w:rFonts w:ascii="Calibri" w:hAnsi="Calibri" w:cs="Calibri"/>
                <w:b/>
                <w:bCs/>
                <w:szCs w:val="22"/>
                <w:lang w:eastAsia="en-AU"/>
              </w:rPr>
            </w:pPr>
            <w:r w:rsidRPr="00FC7DBA">
              <w:rPr>
                <w:rFonts w:ascii="Calibri" w:hAnsi="Calibri" w:cs="Calibri"/>
                <w:b/>
                <w:bCs/>
                <w:szCs w:val="22"/>
                <w:lang w:eastAsia="en-AU"/>
              </w:rPr>
              <w:t>2022-23</w:t>
            </w:r>
            <w:r w:rsidRPr="00FC7DBA">
              <w:rPr>
                <w:rFonts w:ascii="Calibri" w:hAnsi="Calibri" w:cs="Calibri"/>
                <w:b/>
                <w:bCs/>
                <w:szCs w:val="22"/>
                <w:lang w:eastAsia="en-AU"/>
              </w:rPr>
              <w:br/>
              <w:t>$</w:t>
            </w:r>
          </w:p>
        </w:tc>
        <w:tc>
          <w:tcPr>
            <w:tcW w:w="182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1D3815A" w14:textId="77777777" w:rsidR="00A7264A" w:rsidRPr="00FC7DBA" w:rsidRDefault="00A7264A" w:rsidP="00A7264A">
            <w:pPr>
              <w:spacing w:before="0" w:after="0"/>
              <w:jc w:val="center"/>
              <w:rPr>
                <w:rFonts w:ascii="Calibri" w:hAnsi="Calibri" w:cs="Calibri"/>
                <w:b/>
                <w:bCs/>
                <w:szCs w:val="22"/>
                <w:lang w:eastAsia="en-AU"/>
              </w:rPr>
            </w:pPr>
            <w:r w:rsidRPr="00FC7DBA">
              <w:rPr>
                <w:rFonts w:ascii="Calibri" w:hAnsi="Calibri" w:cs="Calibri"/>
                <w:b/>
                <w:bCs/>
                <w:szCs w:val="22"/>
                <w:lang w:eastAsia="en-AU"/>
              </w:rPr>
              <w:t>2023-24</w:t>
            </w:r>
            <w:r w:rsidRPr="00FC7DBA">
              <w:rPr>
                <w:rFonts w:ascii="Calibri" w:hAnsi="Calibri" w:cs="Calibri"/>
                <w:b/>
                <w:bCs/>
                <w:szCs w:val="22"/>
                <w:lang w:eastAsia="en-AU"/>
              </w:rPr>
              <w:br/>
              <w:t>$</w:t>
            </w:r>
          </w:p>
        </w:tc>
        <w:tc>
          <w:tcPr>
            <w:tcW w:w="182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A163D0C" w14:textId="77777777" w:rsidR="00A7264A" w:rsidRPr="00FC7DBA" w:rsidRDefault="00A7264A" w:rsidP="00A7264A">
            <w:pPr>
              <w:spacing w:before="0" w:after="0"/>
              <w:jc w:val="center"/>
              <w:rPr>
                <w:rFonts w:ascii="Calibri" w:hAnsi="Calibri" w:cs="Calibri"/>
                <w:b/>
                <w:bCs/>
                <w:szCs w:val="22"/>
                <w:lang w:eastAsia="en-AU"/>
              </w:rPr>
            </w:pPr>
            <w:r w:rsidRPr="00FC7DBA">
              <w:rPr>
                <w:rFonts w:ascii="Calibri" w:hAnsi="Calibri" w:cs="Calibri"/>
                <w:b/>
                <w:bCs/>
                <w:szCs w:val="22"/>
                <w:lang w:eastAsia="en-AU"/>
              </w:rPr>
              <w:t>2024-25</w:t>
            </w:r>
            <w:r w:rsidRPr="00FC7DBA">
              <w:rPr>
                <w:rFonts w:ascii="Calibri" w:hAnsi="Calibri" w:cs="Calibri"/>
                <w:b/>
                <w:bCs/>
                <w:szCs w:val="22"/>
                <w:lang w:eastAsia="en-AU"/>
              </w:rPr>
              <w:br/>
              <w:t>$</w:t>
            </w:r>
          </w:p>
        </w:tc>
        <w:tc>
          <w:tcPr>
            <w:tcW w:w="182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230F004" w14:textId="77777777" w:rsidR="00A7264A" w:rsidRPr="00FC7DBA" w:rsidRDefault="00A7264A" w:rsidP="00A7264A">
            <w:pPr>
              <w:spacing w:before="0" w:after="0"/>
              <w:jc w:val="center"/>
              <w:rPr>
                <w:rFonts w:ascii="Calibri" w:hAnsi="Calibri" w:cs="Calibri"/>
                <w:b/>
                <w:bCs/>
                <w:szCs w:val="22"/>
                <w:lang w:eastAsia="en-AU"/>
              </w:rPr>
            </w:pPr>
            <w:r w:rsidRPr="00FC7DBA">
              <w:rPr>
                <w:rFonts w:ascii="Calibri" w:hAnsi="Calibri" w:cs="Calibri"/>
                <w:b/>
                <w:bCs/>
                <w:szCs w:val="22"/>
                <w:lang w:eastAsia="en-AU"/>
              </w:rPr>
              <w:t>2025-26</w:t>
            </w:r>
            <w:r w:rsidRPr="00FC7DBA">
              <w:rPr>
                <w:rFonts w:ascii="Calibri" w:hAnsi="Calibri" w:cs="Calibri"/>
                <w:b/>
                <w:bCs/>
                <w:szCs w:val="22"/>
                <w:lang w:eastAsia="en-AU"/>
              </w:rPr>
              <w:br/>
              <w:t>$</w:t>
            </w:r>
          </w:p>
        </w:tc>
      </w:tr>
      <w:tr w:rsidR="00FC7DBA" w:rsidRPr="00FC7DBA" w14:paraId="7CA63E34" w14:textId="77777777" w:rsidTr="00A7264A">
        <w:trPr>
          <w:trHeight w:val="300"/>
        </w:trPr>
        <w:tc>
          <w:tcPr>
            <w:tcW w:w="2480" w:type="dxa"/>
            <w:tcBorders>
              <w:top w:val="nil"/>
              <w:left w:val="single" w:sz="4" w:space="0" w:color="auto"/>
              <w:bottom w:val="single" w:sz="4" w:space="0" w:color="auto"/>
              <w:right w:val="single" w:sz="4" w:space="0" w:color="000000"/>
            </w:tcBorders>
            <w:shd w:val="clear" w:color="auto" w:fill="auto"/>
            <w:noWrap/>
            <w:vAlign w:val="bottom"/>
            <w:hideMark/>
          </w:tcPr>
          <w:p w14:paraId="49A60F07" w14:textId="77777777" w:rsidR="00A7264A" w:rsidRPr="00FC7DBA" w:rsidRDefault="00A7264A" w:rsidP="00A7264A">
            <w:pPr>
              <w:spacing w:before="0" w:after="0"/>
              <w:rPr>
                <w:rFonts w:ascii="Calibri" w:hAnsi="Calibri" w:cs="Calibri"/>
                <w:szCs w:val="22"/>
                <w:lang w:eastAsia="en-AU"/>
              </w:rPr>
            </w:pPr>
            <w:r w:rsidRPr="00FC7DBA">
              <w:rPr>
                <w:rFonts w:ascii="Calibri" w:hAnsi="Calibri" w:cs="Calibri"/>
                <w:szCs w:val="22"/>
                <w:lang w:eastAsia="en-AU"/>
              </w:rPr>
              <w:t>Combined Expenses = X</w:t>
            </w:r>
          </w:p>
        </w:tc>
        <w:tc>
          <w:tcPr>
            <w:tcW w:w="1824" w:type="dxa"/>
            <w:tcBorders>
              <w:top w:val="nil"/>
              <w:left w:val="nil"/>
              <w:bottom w:val="single" w:sz="4" w:space="0" w:color="auto"/>
              <w:right w:val="single" w:sz="4" w:space="0" w:color="auto"/>
            </w:tcBorders>
            <w:shd w:val="clear" w:color="auto" w:fill="auto"/>
            <w:noWrap/>
            <w:vAlign w:val="bottom"/>
            <w:hideMark/>
          </w:tcPr>
          <w:p w14:paraId="029B5869"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 xml:space="preserve">          4,750,834 </w:t>
            </w:r>
          </w:p>
        </w:tc>
        <w:tc>
          <w:tcPr>
            <w:tcW w:w="1824" w:type="dxa"/>
            <w:tcBorders>
              <w:top w:val="nil"/>
              <w:left w:val="nil"/>
              <w:bottom w:val="single" w:sz="4" w:space="0" w:color="auto"/>
              <w:right w:val="single" w:sz="4" w:space="0" w:color="auto"/>
            </w:tcBorders>
            <w:shd w:val="clear" w:color="auto" w:fill="auto"/>
            <w:noWrap/>
            <w:vAlign w:val="bottom"/>
            <w:hideMark/>
          </w:tcPr>
          <w:p w14:paraId="1C9B77F5"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 xml:space="preserve">          4,610,551 </w:t>
            </w:r>
          </w:p>
        </w:tc>
        <w:tc>
          <w:tcPr>
            <w:tcW w:w="1824" w:type="dxa"/>
            <w:tcBorders>
              <w:top w:val="nil"/>
              <w:left w:val="nil"/>
              <w:bottom w:val="single" w:sz="4" w:space="0" w:color="auto"/>
              <w:right w:val="single" w:sz="4" w:space="0" w:color="auto"/>
            </w:tcBorders>
            <w:shd w:val="clear" w:color="auto" w:fill="auto"/>
            <w:noWrap/>
            <w:vAlign w:val="bottom"/>
            <w:hideMark/>
          </w:tcPr>
          <w:p w14:paraId="1355B43F"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 xml:space="preserve">          4,684,633 </w:t>
            </w:r>
          </w:p>
        </w:tc>
        <w:tc>
          <w:tcPr>
            <w:tcW w:w="1824" w:type="dxa"/>
            <w:tcBorders>
              <w:top w:val="nil"/>
              <w:left w:val="nil"/>
              <w:bottom w:val="single" w:sz="4" w:space="0" w:color="auto"/>
              <w:right w:val="single" w:sz="4" w:space="0" w:color="auto"/>
            </w:tcBorders>
            <w:shd w:val="clear" w:color="auto" w:fill="auto"/>
            <w:noWrap/>
            <w:vAlign w:val="bottom"/>
            <w:hideMark/>
          </w:tcPr>
          <w:p w14:paraId="59F08EE1"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 xml:space="preserve">          4,759,975 </w:t>
            </w:r>
          </w:p>
        </w:tc>
      </w:tr>
      <w:tr w:rsidR="00FC7DBA" w:rsidRPr="00FC7DBA" w14:paraId="0A93D459" w14:textId="77777777" w:rsidTr="00A7264A">
        <w:trPr>
          <w:trHeight w:val="300"/>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AD4362" w14:textId="77777777" w:rsidR="00A7264A" w:rsidRPr="00FC7DBA" w:rsidRDefault="00A7264A" w:rsidP="00A7264A">
            <w:pPr>
              <w:spacing w:before="0" w:after="0"/>
              <w:rPr>
                <w:rFonts w:ascii="Calibri" w:hAnsi="Calibri" w:cs="Calibri"/>
                <w:szCs w:val="22"/>
                <w:lang w:eastAsia="en-AU"/>
              </w:rPr>
            </w:pPr>
            <w:r w:rsidRPr="00FC7DBA">
              <w:rPr>
                <w:rFonts w:ascii="Calibri" w:hAnsi="Calibri" w:cs="Calibri"/>
                <w:szCs w:val="22"/>
                <w:lang w:eastAsia="en-AU"/>
              </w:rPr>
              <w:t>Combined Revenue = Y</w:t>
            </w:r>
          </w:p>
        </w:tc>
        <w:tc>
          <w:tcPr>
            <w:tcW w:w="1824" w:type="dxa"/>
            <w:tcBorders>
              <w:top w:val="nil"/>
              <w:left w:val="nil"/>
              <w:bottom w:val="single" w:sz="4" w:space="0" w:color="auto"/>
              <w:right w:val="single" w:sz="4" w:space="0" w:color="auto"/>
            </w:tcBorders>
            <w:shd w:val="clear" w:color="auto" w:fill="auto"/>
            <w:noWrap/>
            <w:vAlign w:val="bottom"/>
            <w:hideMark/>
          </w:tcPr>
          <w:p w14:paraId="61FECF0E"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 xml:space="preserve">          4,750,000 </w:t>
            </w:r>
          </w:p>
        </w:tc>
        <w:tc>
          <w:tcPr>
            <w:tcW w:w="1824" w:type="dxa"/>
            <w:tcBorders>
              <w:top w:val="nil"/>
              <w:left w:val="nil"/>
              <w:bottom w:val="single" w:sz="4" w:space="0" w:color="auto"/>
              <w:right w:val="single" w:sz="4" w:space="0" w:color="auto"/>
            </w:tcBorders>
            <w:shd w:val="clear" w:color="auto" w:fill="auto"/>
            <w:noWrap/>
            <w:vAlign w:val="bottom"/>
            <w:hideMark/>
          </w:tcPr>
          <w:p w14:paraId="075A3EBB"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 xml:space="preserve">          4,759,200 </w:t>
            </w:r>
          </w:p>
        </w:tc>
        <w:tc>
          <w:tcPr>
            <w:tcW w:w="1824" w:type="dxa"/>
            <w:tcBorders>
              <w:top w:val="nil"/>
              <w:left w:val="nil"/>
              <w:bottom w:val="single" w:sz="4" w:space="0" w:color="auto"/>
              <w:right w:val="single" w:sz="4" w:space="0" w:color="auto"/>
            </w:tcBorders>
            <w:shd w:val="clear" w:color="auto" w:fill="auto"/>
            <w:noWrap/>
            <w:vAlign w:val="bottom"/>
            <w:hideMark/>
          </w:tcPr>
          <w:p w14:paraId="2C253BF7"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 xml:space="preserve">          4,759,200 </w:t>
            </w:r>
          </w:p>
        </w:tc>
        <w:tc>
          <w:tcPr>
            <w:tcW w:w="1824" w:type="dxa"/>
            <w:tcBorders>
              <w:top w:val="nil"/>
              <w:left w:val="nil"/>
              <w:bottom w:val="single" w:sz="4" w:space="0" w:color="auto"/>
              <w:right w:val="single" w:sz="4" w:space="0" w:color="auto"/>
            </w:tcBorders>
            <w:shd w:val="clear" w:color="auto" w:fill="auto"/>
            <w:noWrap/>
            <w:vAlign w:val="bottom"/>
            <w:hideMark/>
          </w:tcPr>
          <w:p w14:paraId="2B7A36C4"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 xml:space="preserve">          4,759,200 </w:t>
            </w:r>
          </w:p>
        </w:tc>
      </w:tr>
      <w:tr w:rsidR="00FC7DBA" w:rsidRPr="00FC7DBA" w14:paraId="00C7F2C3" w14:textId="77777777" w:rsidTr="00A7264A">
        <w:trPr>
          <w:trHeight w:val="300"/>
        </w:trPr>
        <w:tc>
          <w:tcPr>
            <w:tcW w:w="24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4461752" w14:textId="77777777" w:rsidR="00A7264A" w:rsidRPr="00FC7DBA" w:rsidRDefault="00A7264A" w:rsidP="00A7264A">
            <w:pPr>
              <w:spacing w:before="0" w:after="0"/>
              <w:rPr>
                <w:rFonts w:ascii="Calibri" w:hAnsi="Calibri" w:cs="Calibri"/>
                <w:szCs w:val="22"/>
                <w:lang w:eastAsia="en-AU"/>
              </w:rPr>
            </w:pPr>
            <w:r w:rsidRPr="00FC7DBA">
              <w:rPr>
                <w:rFonts w:ascii="Calibri" w:hAnsi="Calibri" w:cs="Calibri"/>
                <w:szCs w:val="22"/>
                <w:lang w:eastAsia="en-AU"/>
              </w:rPr>
              <w:t>Balance = X - Y</w:t>
            </w:r>
            <w:r w:rsidRPr="00FC7DBA">
              <w:rPr>
                <w:rFonts w:ascii="Calibri" w:hAnsi="Calibri" w:cs="Calibri"/>
                <w:szCs w:val="22"/>
                <w:lang w:eastAsia="en-AU"/>
              </w:rPr>
              <w:br/>
              <w:t>(negative deficit)</w:t>
            </w:r>
          </w:p>
        </w:tc>
        <w:tc>
          <w:tcPr>
            <w:tcW w:w="1824" w:type="dxa"/>
            <w:tcBorders>
              <w:top w:val="nil"/>
              <w:left w:val="nil"/>
              <w:bottom w:val="single" w:sz="4" w:space="0" w:color="auto"/>
              <w:right w:val="single" w:sz="4" w:space="0" w:color="auto"/>
            </w:tcBorders>
            <w:shd w:val="clear" w:color="auto" w:fill="auto"/>
            <w:noWrap/>
            <w:vAlign w:val="center"/>
            <w:hideMark/>
          </w:tcPr>
          <w:p w14:paraId="6FF99F72" w14:textId="3A691035" w:rsidR="00A7264A" w:rsidRPr="00FC7DBA" w:rsidRDefault="009E379C" w:rsidP="00AB0518">
            <w:pPr>
              <w:spacing w:before="0" w:after="0"/>
              <w:jc w:val="right"/>
              <w:rPr>
                <w:rFonts w:ascii="Calibri" w:hAnsi="Calibri" w:cs="Calibri"/>
                <w:szCs w:val="22"/>
              </w:rPr>
            </w:pPr>
            <w:r w:rsidRPr="00FC7DBA">
              <w:rPr>
                <w:rFonts w:ascii="Calibri" w:hAnsi="Calibri" w:cs="Calibri"/>
                <w:szCs w:val="22"/>
              </w:rPr>
              <w:t>(</w:t>
            </w:r>
            <w:r w:rsidR="00A7264A" w:rsidRPr="00FC7DBA">
              <w:rPr>
                <w:rFonts w:ascii="Calibri" w:hAnsi="Calibri" w:cs="Calibri"/>
                <w:szCs w:val="22"/>
              </w:rPr>
              <w:t>834</w:t>
            </w:r>
            <w:r w:rsidRPr="00FC7DBA">
              <w:rPr>
                <w:rFonts w:ascii="Calibri" w:hAnsi="Calibri" w:cs="Calibri"/>
                <w:szCs w:val="22"/>
              </w:rPr>
              <w:t>)</w:t>
            </w:r>
          </w:p>
        </w:tc>
        <w:tc>
          <w:tcPr>
            <w:tcW w:w="1824" w:type="dxa"/>
            <w:tcBorders>
              <w:top w:val="nil"/>
              <w:left w:val="nil"/>
              <w:bottom w:val="single" w:sz="4" w:space="0" w:color="auto"/>
              <w:right w:val="single" w:sz="4" w:space="0" w:color="auto"/>
            </w:tcBorders>
            <w:shd w:val="clear" w:color="auto" w:fill="auto"/>
            <w:noWrap/>
            <w:vAlign w:val="center"/>
            <w:hideMark/>
          </w:tcPr>
          <w:p w14:paraId="5666BF84"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148,649</w:t>
            </w:r>
          </w:p>
        </w:tc>
        <w:tc>
          <w:tcPr>
            <w:tcW w:w="1824" w:type="dxa"/>
            <w:tcBorders>
              <w:top w:val="nil"/>
              <w:left w:val="nil"/>
              <w:bottom w:val="single" w:sz="4" w:space="0" w:color="auto"/>
              <w:right w:val="single" w:sz="4" w:space="0" w:color="auto"/>
            </w:tcBorders>
            <w:shd w:val="clear" w:color="auto" w:fill="auto"/>
            <w:noWrap/>
            <w:vAlign w:val="center"/>
            <w:hideMark/>
          </w:tcPr>
          <w:p w14:paraId="3ECE0265"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74,567</w:t>
            </w:r>
          </w:p>
        </w:tc>
        <w:tc>
          <w:tcPr>
            <w:tcW w:w="1824" w:type="dxa"/>
            <w:tcBorders>
              <w:top w:val="nil"/>
              <w:left w:val="nil"/>
              <w:bottom w:val="single" w:sz="4" w:space="0" w:color="auto"/>
              <w:right w:val="single" w:sz="4" w:space="0" w:color="auto"/>
            </w:tcBorders>
            <w:shd w:val="clear" w:color="auto" w:fill="auto"/>
            <w:noWrap/>
            <w:vAlign w:val="center"/>
            <w:hideMark/>
          </w:tcPr>
          <w:p w14:paraId="003EB590" w14:textId="4B142306" w:rsidR="00A7264A" w:rsidRPr="00FC7DBA" w:rsidRDefault="009E379C" w:rsidP="00AB0518">
            <w:pPr>
              <w:spacing w:before="0" w:after="0"/>
              <w:jc w:val="right"/>
              <w:rPr>
                <w:rFonts w:ascii="Calibri" w:hAnsi="Calibri" w:cs="Calibri"/>
                <w:szCs w:val="22"/>
              </w:rPr>
            </w:pPr>
            <w:r w:rsidRPr="00FC7DBA">
              <w:rPr>
                <w:rFonts w:ascii="Calibri" w:hAnsi="Calibri" w:cs="Calibri"/>
                <w:szCs w:val="22"/>
              </w:rPr>
              <w:t>(</w:t>
            </w:r>
            <w:r w:rsidR="00A7264A" w:rsidRPr="00FC7DBA">
              <w:rPr>
                <w:rFonts w:ascii="Calibri" w:hAnsi="Calibri" w:cs="Calibri"/>
                <w:szCs w:val="22"/>
              </w:rPr>
              <w:t>775</w:t>
            </w:r>
            <w:r w:rsidRPr="00FC7DBA">
              <w:rPr>
                <w:rFonts w:ascii="Calibri" w:hAnsi="Calibri" w:cs="Calibri"/>
                <w:szCs w:val="22"/>
              </w:rPr>
              <w:t>)</w:t>
            </w:r>
          </w:p>
        </w:tc>
      </w:tr>
      <w:tr w:rsidR="00FC7DBA" w:rsidRPr="00FC7DBA" w14:paraId="0B9ADAED" w14:textId="77777777" w:rsidTr="00A7264A">
        <w:trPr>
          <w:trHeight w:val="300"/>
        </w:trPr>
        <w:tc>
          <w:tcPr>
            <w:tcW w:w="24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11B8E515" w14:textId="77777777" w:rsidR="00A7264A" w:rsidRPr="00FC7DBA" w:rsidRDefault="00A7264A" w:rsidP="00A7264A">
            <w:pPr>
              <w:spacing w:before="0" w:after="0"/>
              <w:rPr>
                <w:rFonts w:ascii="Calibri" w:hAnsi="Calibri" w:cs="Calibri"/>
                <w:szCs w:val="22"/>
                <w:lang w:eastAsia="en-AU"/>
              </w:rPr>
            </w:pPr>
            <w:r w:rsidRPr="00FC7DBA">
              <w:rPr>
                <w:rFonts w:ascii="Calibri" w:hAnsi="Calibri" w:cs="Calibri"/>
                <w:szCs w:val="22"/>
                <w:lang w:eastAsia="en-AU"/>
              </w:rPr>
              <w:t>Cumulative Balance</w:t>
            </w:r>
            <w:r w:rsidRPr="00FC7DBA">
              <w:rPr>
                <w:rFonts w:ascii="Calibri" w:hAnsi="Calibri" w:cs="Calibri"/>
                <w:szCs w:val="22"/>
                <w:lang w:eastAsia="en-AU"/>
              </w:rPr>
              <w:br/>
              <w:t>(negative deficit)</w:t>
            </w:r>
          </w:p>
        </w:tc>
        <w:tc>
          <w:tcPr>
            <w:tcW w:w="1824" w:type="dxa"/>
            <w:tcBorders>
              <w:top w:val="nil"/>
              <w:left w:val="nil"/>
              <w:bottom w:val="single" w:sz="4" w:space="0" w:color="auto"/>
              <w:right w:val="single" w:sz="4" w:space="0" w:color="auto"/>
            </w:tcBorders>
            <w:shd w:val="clear" w:color="auto" w:fill="auto"/>
            <w:noWrap/>
            <w:vAlign w:val="center"/>
            <w:hideMark/>
          </w:tcPr>
          <w:p w14:paraId="7D3907FE"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2,144,929</w:t>
            </w:r>
          </w:p>
        </w:tc>
        <w:tc>
          <w:tcPr>
            <w:tcW w:w="1824" w:type="dxa"/>
            <w:tcBorders>
              <w:top w:val="nil"/>
              <w:left w:val="nil"/>
              <w:bottom w:val="single" w:sz="4" w:space="0" w:color="auto"/>
              <w:right w:val="single" w:sz="4" w:space="0" w:color="auto"/>
            </w:tcBorders>
            <w:shd w:val="clear" w:color="auto" w:fill="auto"/>
            <w:noWrap/>
            <w:vAlign w:val="center"/>
            <w:hideMark/>
          </w:tcPr>
          <w:p w14:paraId="0FF484A0"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2,293,578</w:t>
            </w:r>
          </w:p>
        </w:tc>
        <w:tc>
          <w:tcPr>
            <w:tcW w:w="1824" w:type="dxa"/>
            <w:tcBorders>
              <w:top w:val="nil"/>
              <w:left w:val="nil"/>
              <w:bottom w:val="single" w:sz="4" w:space="0" w:color="auto"/>
              <w:right w:val="single" w:sz="4" w:space="0" w:color="auto"/>
            </w:tcBorders>
            <w:shd w:val="clear" w:color="auto" w:fill="auto"/>
            <w:noWrap/>
            <w:vAlign w:val="center"/>
            <w:hideMark/>
          </w:tcPr>
          <w:p w14:paraId="3290B096"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2,368,145</w:t>
            </w:r>
          </w:p>
        </w:tc>
        <w:tc>
          <w:tcPr>
            <w:tcW w:w="1824" w:type="dxa"/>
            <w:tcBorders>
              <w:top w:val="nil"/>
              <w:left w:val="nil"/>
              <w:bottom w:val="single" w:sz="4" w:space="0" w:color="auto"/>
              <w:right w:val="single" w:sz="4" w:space="0" w:color="auto"/>
            </w:tcBorders>
            <w:shd w:val="clear" w:color="auto" w:fill="auto"/>
            <w:noWrap/>
            <w:vAlign w:val="center"/>
            <w:hideMark/>
          </w:tcPr>
          <w:p w14:paraId="73D348C0" w14:textId="77777777" w:rsidR="00A7264A" w:rsidRPr="00FC7DBA" w:rsidRDefault="00A7264A" w:rsidP="00AB0518">
            <w:pPr>
              <w:spacing w:before="0" w:after="0"/>
              <w:jc w:val="right"/>
              <w:rPr>
                <w:rFonts w:ascii="Calibri" w:hAnsi="Calibri" w:cs="Calibri"/>
                <w:szCs w:val="22"/>
              </w:rPr>
            </w:pPr>
            <w:r w:rsidRPr="00FC7DBA">
              <w:rPr>
                <w:rFonts w:ascii="Calibri" w:hAnsi="Calibri" w:cs="Calibri"/>
                <w:szCs w:val="22"/>
              </w:rPr>
              <w:t>2,367,370</w:t>
            </w:r>
          </w:p>
        </w:tc>
      </w:tr>
      <w:tr w:rsidR="00FC7DBA" w:rsidRPr="00FC7DBA" w14:paraId="52C557C1" w14:textId="77777777" w:rsidTr="00A7264A">
        <w:trPr>
          <w:trHeight w:val="1823"/>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D5C3C" w14:textId="77777777" w:rsidR="00A7264A" w:rsidRPr="00FC7DBA" w:rsidRDefault="00A7264A" w:rsidP="00A7264A">
            <w:pPr>
              <w:spacing w:before="0" w:after="0"/>
              <w:jc w:val="center"/>
              <w:rPr>
                <w:rFonts w:ascii="Calibri" w:hAnsi="Calibri" w:cs="Calibri"/>
                <w:szCs w:val="22"/>
                <w:lang w:eastAsia="en-AU"/>
              </w:rPr>
            </w:pPr>
            <w:r w:rsidRPr="00FC7DBA">
              <w:rPr>
                <w:rFonts w:ascii="Calibri" w:hAnsi="Calibri" w:cs="Calibri"/>
                <w:szCs w:val="22"/>
                <w:lang w:eastAsia="en-AU"/>
              </w:rPr>
              <w:t xml:space="preserve">Balance Management Strategy </w:t>
            </w:r>
          </w:p>
        </w:tc>
        <w:tc>
          <w:tcPr>
            <w:tcW w:w="7296" w:type="dxa"/>
            <w:gridSpan w:val="4"/>
            <w:tcBorders>
              <w:top w:val="single" w:sz="4" w:space="0" w:color="auto"/>
              <w:left w:val="nil"/>
              <w:bottom w:val="single" w:sz="4" w:space="0" w:color="auto"/>
              <w:right w:val="single" w:sz="4" w:space="0" w:color="000000"/>
            </w:tcBorders>
            <w:shd w:val="clear" w:color="auto" w:fill="auto"/>
            <w:vAlign w:val="bottom"/>
            <w:hideMark/>
          </w:tcPr>
          <w:p w14:paraId="37585518" w14:textId="1C17B504" w:rsidR="00A7264A" w:rsidRPr="00FC7DBA" w:rsidRDefault="00A7264A" w:rsidP="00A7264A">
            <w:pPr>
              <w:spacing w:before="0" w:after="0"/>
              <w:rPr>
                <w:rFonts w:ascii="Calibri" w:hAnsi="Calibri" w:cs="Calibri"/>
                <w:szCs w:val="22"/>
                <w:lang w:eastAsia="en-AU"/>
              </w:rPr>
            </w:pPr>
            <w:r w:rsidRPr="00FC7DBA">
              <w:rPr>
                <w:rFonts w:ascii="Calibri" w:hAnsi="Calibri" w:cs="Calibri"/>
                <w:szCs w:val="22"/>
                <w:lang w:eastAsia="en-AU"/>
              </w:rPr>
              <w:t>The existing fees and levies charged do not reflect the assessment effort and activities undertaken, resulting in non-alignment of revenue and expenses incurred to perform the administration of PL and cross-subsidisation of charging. In the 2021-22 Budget, the Government agreed to update the cost recovery arrangements to align with the Australian Government Charging Framework and to support a modern listing process for PL applications</w:t>
            </w:r>
            <w:r w:rsidR="00161F87" w:rsidRPr="00FC7DBA">
              <w:rPr>
                <w:rFonts w:ascii="Calibri" w:hAnsi="Calibri" w:cs="Calibri"/>
                <w:szCs w:val="22"/>
                <w:lang w:eastAsia="en-AU"/>
              </w:rPr>
              <w:t>. As outlined in 3.3.1, this will form part of ongoing reforms.</w:t>
            </w:r>
          </w:p>
        </w:tc>
      </w:tr>
    </w:tbl>
    <w:p w14:paraId="0D0F9DCA" w14:textId="4B4B0BA6" w:rsidR="00312FDC" w:rsidRPr="00FC0242" w:rsidRDefault="00312FDC" w:rsidP="00312FDC">
      <w:pPr>
        <w:pStyle w:val="Heading1"/>
      </w:pPr>
      <w:r w:rsidRPr="00FC0242">
        <w:t>PERFORMANCE</w:t>
      </w:r>
    </w:p>
    <w:p w14:paraId="2B2518CA" w14:textId="77777777" w:rsidR="00312FDC" w:rsidRPr="00FC0242" w:rsidRDefault="00312FDC" w:rsidP="00312FDC">
      <w:pPr>
        <w:pStyle w:val="Heading2"/>
      </w:pPr>
      <w:r w:rsidRPr="00FC0242">
        <w:t>Financial Performance</w:t>
      </w:r>
    </w:p>
    <w:p w14:paraId="4934BF05" w14:textId="70B4121D" w:rsidR="00312FDC" w:rsidRPr="00FC0242" w:rsidRDefault="00312FDC" w:rsidP="00312FDC">
      <w:pPr>
        <w:rPr>
          <w:rFonts w:cstheme="minorHAnsi"/>
          <w:iCs/>
          <w:szCs w:val="22"/>
        </w:rPr>
      </w:pPr>
      <w:r w:rsidRPr="00FC0242">
        <w:rPr>
          <w:rFonts w:cstheme="minorHAnsi"/>
          <w:iCs/>
          <w:szCs w:val="22"/>
        </w:rPr>
        <w:t xml:space="preserve">The following table will be updated after each financial year to report on the actual financial performance and </w:t>
      </w:r>
      <w:r w:rsidR="00E10450" w:rsidRPr="00FC0242">
        <w:rPr>
          <w:rFonts w:cstheme="minorHAnsi"/>
          <w:iCs/>
          <w:szCs w:val="22"/>
        </w:rPr>
        <w:t>has been</w:t>
      </w:r>
      <w:r w:rsidRPr="00FC0242">
        <w:rPr>
          <w:rFonts w:cstheme="minorHAnsi"/>
          <w:iCs/>
          <w:szCs w:val="22"/>
        </w:rPr>
        <w:t xml:space="preserve"> compared with the forecast financial performance for 2019-20 as published in the CRIS for the 2019-20 financial year. Any variance greater than 5% </w:t>
      </w:r>
      <w:r w:rsidR="00E10450" w:rsidRPr="00FC0242">
        <w:rPr>
          <w:rFonts w:cstheme="minorHAnsi"/>
          <w:iCs/>
          <w:szCs w:val="22"/>
        </w:rPr>
        <w:t>has been</w:t>
      </w:r>
      <w:r w:rsidRPr="00FC0242">
        <w:rPr>
          <w:rFonts w:cstheme="minorHAnsi"/>
          <w:iCs/>
          <w:szCs w:val="22"/>
        </w:rPr>
        <w:t xml:space="preserve"> identified and explained. </w:t>
      </w:r>
    </w:p>
    <w:p w14:paraId="07910128" w14:textId="18180B07" w:rsidR="00312FDC" w:rsidRPr="00FC0242" w:rsidRDefault="00312FDC" w:rsidP="00312FDC">
      <w:pPr>
        <w:rPr>
          <w:rFonts w:cstheme="minorHAnsi"/>
          <w:iCs/>
          <w:szCs w:val="22"/>
        </w:rPr>
      </w:pPr>
      <w:r w:rsidRPr="00FC0242">
        <w:rPr>
          <w:rFonts w:cstheme="minorHAnsi"/>
          <w:iCs/>
          <w:szCs w:val="22"/>
        </w:rPr>
        <w:t xml:space="preserve">The aim of comparing the actual financial results with forecast financial estimates over a 5-year period is to ensure that the degree of alignment of under or over recovery of costs is agreed by the Government as part of the department’s balance management strategy. </w:t>
      </w:r>
    </w:p>
    <w:p w14:paraId="5FC0E6AD" w14:textId="65EBA595" w:rsidR="00D74B72" w:rsidRPr="00FC7DBA" w:rsidRDefault="00D74B72" w:rsidP="00E55AB1">
      <w:pPr>
        <w:pStyle w:val="Caption"/>
      </w:pPr>
      <w:r w:rsidRPr="00FC7DBA">
        <w:t>Table 3 – Financial performance for cost recovered activities</w:t>
      </w:r>
    </w:p>
    <w:tbl>
      <w:tblPr>
        <w:tblW w:w="9680" w:type="dxa"/>
        <w:tblLook w:val="04A0" w:firstRow="1" w:lastRow="0" w:firstColumn="1" w:lastColumn="0" w:noHBand="0" w:noVBand="1"/>
      </w:tblPr>
      <w:tblGrid>
        <w:gridCol w:w="2480"/>
        <w:gridCol w:w="1440"/>
        <w:gridCol w:w="1440"/>
        <w:gridCol w:w="1440"/>
        <w:gridCol w:w="1440"/>
        <w:gridCol w:w="1440"/>
      </w:tblGrid>
      <w:tr w:rsidR="00FC7DBA" w:rsidRPr="00FC7DBA" w14:paraId="6EBF2E1F" w14:textId="77777777" w:rsidTr="006D5311">
        <w:trPr>
          <w:trHeight w:val="600"/>
        </w:trPr>
        <w:tc>
          <w:tcPr>
            <w:tcW w:w="24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54960D4" w14:textId="77777777" w:rsidR="00D74B72" w:rsidRPr="00FC7DBA" w:rsidRDefault="00D74B72" w:rsidP="00D74B72">
            <w:pPr>
              <w:spacing w:before="0" w:after="0"/>
              <w:jc w:val="center"/>
              <w:rPr>
                <w:rFonts w:ascii="Calibri" w:hAnsi="Calibri" w:cs="Calibri"/>
                <w:b/>
                <w:bCs/>
                <w:szCs w:val="22"/>
                <w:lang w:eastAsia="en-AU"/>
              </w:rPr>
            </w:pPr>
            <w:r w:rsidRPr="00FC7DBA">
              <w:rPr>
                <w:rFonts w:ascii="Calibri" w:hAnsi="Calibri" w:cs="Calibri"/>
                <w:b/>
                <w:bCs/>
                <w:szCs w:val="22"/>
                <w:lang w:eastAsia="en-AU"/>
              </w:rPr>
              <w:t>Actual Financial Performance</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B147E8E" w14:textId="77777777" w:rsidR="00D74B72" w:rsidRPr="00FC7DBA" w:rsidRDefault="00D74B72" w:rsidP="00D74B72">
            <w:pPr>
              <w:spacing w:before="0" w:after="0"/>
              <w:jc w:val="center"/>
              <w:rPr>
                <w:rFonts w:ascii="Calibri" w:hAnsi="Calibri" w:cs="Calibri"/>
                <w:b/>
                <w:bCs/>
                <w:szCs w:val="22"/>
                <w:lang w:eastAsia="en-AU"/>
              </w:rPr>
            </w:pPr>
            <w:r w:rsidRPr="00FC7DBA">
              <w:rPr>
                <w:rFonts w:ascii="Calibri" w:hAnsi="Calibri" w:cs="Calibri"/>
                <w:b/>
                <w:bCs/>
                <w:szCs w:val="22"/>
                <w:lang w:eastAsia="en-AU"/>
              </w:rPr>
              <w:t>2017-18</w:t>
            </w:r>
            <w:r w:rsidRPr="00FC7DBA">
              <w:rPr>
                <w:rFonts w:ascii="Calibri" w:hAnsi="Calibri" w:cs="Calibri"/>
                <w:b/>
                <w:bCs/>
                <w:szCs w:val="22"/>
                <w:lang w:eastAsia="en-AU"/>
              </w:rPr>
              <w:br/>
              <w:t>$</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C47E9C0" w14:textId="77777777" w:rsidR="00D74B72" w:rsidRPr="00FC7DBA" w:rsidRDefault="00D74B72" w:rsidP="00D74B72">
            <w:pPr>
              <w:spacing w:before="0" w:after="0"/>
              <w:jc w:val="center"/>
              <w:rPr>
                <w:rFonts w:ascii="Calibri" w:hAnsi="Calibri" w:cs="Calibri"/>
                <w:b/>
                <w:bCs/>
                <w:szCs w:val="22"/>
                <w:lang w:eastAsia="en-AU"/>
              </w:rPr>
            </w:pPr>
            <w:r w:rsidRPr="00FC7DBA">
              <w:rPr>
                <w:rFonts w:ascii="Calibri" w:hAnsi="Calibri" w:cs="Calibri"/>
                <w:b/>
                <w:bCs/>
                <w:szCs w:val="22"/>
                <w:lang w:eastAsia="en-AU"/>
              </w:rPr>
              <w:t>2018-19</w:t>
            </w:r>
            <w:r w:rsidRPr="00FC7DBA">
              <w:rPr>
                <w:rFonts w:ascii="Calibri" w:hAnsi="Calibri" w:cs="Calibri"/>
                <w:b/>
                <w:bCs/>
                <w:szCs w:val="22"/>
                <w:lang w:eastAsia="en-AU"/>
              </w:rPr>
              <w:br/>
              <w:t>$</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DDF2E43" w14:textId="77777777" w:rsidR="00D74B72" w:rsidRPr="00FC7DBA" w:rsidRDefault="00D74B72" w:rsidP="00D74B72">
            <w:pPr>
              <w:spacing w:before="0" w:after="0"/>
              <w:jc w:val="center"/>
              <w:rPr>
                <w:rFonts w:ascii="Calibri" w:hAnsi="Calibri" w:cs="Calibri"/>
                <w:b/>
                <w:bCs/>
                <w:szCs w:val="22"/>
                <w:lang w:eastAsia="en-AU"/>
              </w:rPr>
            </w:pPr>
            <w:r w:rsidRPr="00FC7DBA">
              <w:rPr>
                <w:rFonts w:ascii="Calibri" w:hAnsi="Calibri" w:cs="Calibri"/>
                <w:b/>
                <w:bCs/>
                <w:szCs w:val="22"/>
                <w:lang w:eastAsia="en-AU"/>
              </w:rPr>
              <w:t>2019-20</w:t>
            </w:r>
            <w:r w:rsidRPr="00FC7DBA">
              <w:rPr>
                <w:rFonts w:ascii="Calibri" w:hAnsi="Calibri" w:cs="Calibri"/>
                <w:b/>
                <w:bCs/>
                <w:szCs w:val="22"/>
                <w:lang w:eastAsia="en-AU"/>
              </w:rPr>
              <w:br/>
              <w:t>$</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5FE8D10" w14:textId="77777777" w:rsidR="00D74B72" w:rsidRPr="00FC7DBA" w:rsidRDefault="00D74B72" w:rsidP="00D74B72">
            <w:pPr>
              <w:spacing w:before="0" w:after="0"/>
              <w:jc w:val="center"/>
              <w:rPr>
                <w:rFonts w:ascii="Calibri" w:hAnsi="Calibri" w:cs="Calibri"/>
                <w:b/>
                <w:bCs/>
                <w:szCs w:val="22"/>
                <w:lang w:eastAsia="en-AU"/>
              </w:rPr>
            </w:pPr>
            <w:r w:rsidRPr="00FC7DBA">
              <w:rPr>
                <w:rFonts w:ascii="Calibri" w:hAnsi="Calibri" w:cs="Calibri"/>
                <w:b/>
                <w:bCs/>
                <w:szCs w:val="22"/>
                <w:lang w:eastAsia="en-AU"/>
              </w:rPr>
              <w:t>2020-21</w:t>
            </w:r>
            <w:r w:rsidRPr="00FC7DBA">
              <w:rPr>
                <w:rFonts w:ascii="Calibri" w:hAnsi="Calibri" w:cs="Calibri"/>
                <w:b/>
                <w:bCs/>
                <w:szCs w:val="22"/>
                <w:lang w:eastAsia="en-AU"/>
              </w:rPr>
              <w:br/>
              <w:t>$</w:t>
            </w:r>
          </w:p>
        </w:tc>
        <w:tc>
          <w:tcPr>
            <w:tcW w:w="14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1769F03" w14:textId="77777777" w:rsidR="00D74B72" w:rsidRPr="00FC7DBA" w:rsidRDefault="00D74B72" w:rsidP="00D74B72">
            <w:pPr>
              <w:spacing w:before="0" w:after="0"/>
              <w:jc w:val="center"/>
              <w:rPr>
                <w:rFonts w:ascii="Calibri" w:hAnsi="Calibri" w:cs="Calibri"/>
                <w:b/>
                <w:bCs/>
                <w:szCs w:val="22"/>
                <w:lang w:eastAsia="en-AU"/>
              </w:rPr>
            </w:pPr>
            <w:r w:rsidRPr="00FC7DBA">
              <w:rPr>
                <w:rFonts w:ascii="Calibri" w:hAnsi="Calibri" w:cs="Calibri"/>
                <w:b/>
                <w:bCs/>
                <w:szCs w:val="22"/>
                <w:lang w:eastAsia="en-AU"/>
              </w:rPr>
              <w:t>2021-22</w:t>
            </w:r>
            <w:r w:rsidRPr="00FC7DBA">
              <w:rPr>
                <w:rFonts w:ascii="Calibri" w:hAnsi="Calibri" w:cs="Calibri"/>
                <w:b/>
                <w:bCs/>
                <w:szCs w:val="22"/>
                <w:lang w:eastAsia="en-AU"/>
              </w:rPr>
              <w:br/>
              <w:t>$</w:t>
            </w:r>
          </w:p>
        </w:tc>
      </w:tr>
      <w:tr w:rsidR="00FC7DBA" w:rsidRPr="00FC7DBA" w14:paraId="695C89A2" w14:textId="77777777" w:rsidTr="00D74B72">
        <w:trPr>
          <w:trHeight w:val="300"/>
        </w:trPr>
        <w:tc>
          <w:tcPr>
            <w:tcW w:w="2480" w:type="dxa"/>
            <w:tcBorders>
              <w:top w:val="nil"/>
              <w:left w:val="single" w:sz="4" w:space="0" w:color="auto"/>
              <w:bottom w:val="single" w:sz="4" w:space="0" w:color="auto"/>
              <w:right w:val="single" w:sz="4" w:space="0" w:color="000000"/>
            </w:tcBorders>
            <w:shd w:val="clear" w:color="auto" w:fill="auto"/>
            <w:noWrap/>
            <w:vAlign w:val="bottom"/>
            <w:hideMark/>
          </w:tcPr>
          <w:p w14:paraId="37595B2A" w14:textId="77777777" w:rsidR="00D74B72" w:rsidRPr="00FC7DBA" w:rsidRDefault="00D74B72" w:rsidP="00D74B72">
            <w:pPr>
              <w:spacing w:before="0" w:after="0"/>
              <w:rPr>
                <w:rFonts w:ascii="Calibri" w:hAnsi="Calibri" w:cs="Calibri"/>
                <w:szCs w:val="22"/>
                <w:lang w:eastAsia="en-AU"/>
              </w:rPr>
            </w:pPr>
            <w:r w:rsidRPr="00FC7DBA">
              <w:rPr>
                <w:rFonts w:ascii="Calibri" w:hAnsi="Calibri" w:cs="Calibri"/>
                <w:szCs w:val="22"/>
                <w:lang w:eastAsia="en-AU"/>
              </w:rPr>
              <w:t>Combined Expenses = X</w:t>
            </w:r>
          </w:p>
        </w:tc>
        <w:tc>
          <w:tcPr>
            <w:tcW w:w="1440" w:type="dxa"/>
            <w:tcBorders>
              <w:top w:val="nil"/>
              <w:left w:val="nil"/>
              <w:bottom w:val="single" w:sz="4" w:space="0" w:color="auto"/>
              <w:right w:val="single" w:sz="4" w:space="0" w:color="auto"/>
            </w:tcBorders>
            <w:shd w:val="clear" w:color="auto" w:fill="auto"/>
            <w:noWrap/>
            <w:vAlign w:val="center"/>
            <w:hideMark/>
          </w:tcPr>
          <w:p w14:paraId="7A0B367E"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4,310,442</w:t>
            </w:r>
          </w:p>
        </w:tc>
        <w:tc>
          <w:tcPr>
            <w:tcW w:w="1440" w:type="dxa"/>
            <w:tcBorders>
              <w:top w:val="nil"/>
              <w:left w:val="nil"/>
              <w:bottom w:val="single" w:sz="4" w:space="0" w:color="auto"/>
              <w:right w:val="single" w:sz="4" w:space="0" w:color="auto"/>
            </w:tcBorders>
            <w:shd w:val="clear" w:color="auto" w:fill="auto"/>
            <w:noWrap/>
            <w:vAlign w:val="center"/>
            <w:hideMark/>
          </w:tcPr>
          <w:p w14:paraId="1B36709E"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3,840,471</w:t>
            </w:r>
          </w:p>
        </w:tc>
        <w:tc>
          <w:tcPr>
            <w:tcW w:w="1440" w:type="dxa"/>
            <w:tcBorders>
              <w:top w:val="nil"/>
              <w:left w:val="nil"/>
              <w:bottom w:val="single" w:sz="4" w:space="0" w:color="auto"/>
              <w:right w:val="single" w:sz="4" w:space="0" w:color="auto"/>
            </w:tcBorders>
            <w:shd w:val="clear" w:color="auto" w:fill="auto"/>
            <w:noWrap/>
            <w:vAlign w:val="center"/>
            <w:hideMark/>
          </w:tcPr>
          <w:p w14:paraId="128B2628"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5,018,799</w:t>
            </w:r>
          </w:p>
        </w:tc>
        <w:tc>
          <w:tcPr>
            <w:tcW w:w="1440" w:type="dxa"/>
            <w:tcBorders>
              <w:top w:val="nil"/>
              <w:left w:val="nil"/>
              <w:bottom w:val="single" w:sz="4" w:space="0" w:color="auto"/>
              <w:right w:val="single" w:sz="4" w:space="0" w:color="auto"/>
            </w:tcBorders>
            <w:shd w:val="clear" w:color="auto" w:fill="auto"/>
            <w:noWrap/>
            <w:vAlign w:val="center"/>
            <w:hideMark/>
          </w:tcPr>
          <w:p w14:paraId="7F438E51"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4,529,491</w:t>
            </w:r>
          </w:p>
        </w:tc>
        <w:tc>
          <w:tcPr>
            <w:tcW w:w="1440" w:type="dxa"/>
            <w:tcBorders>
              <w:top w:val="nil"/>
              <w:left w:val="nil"/>
              <w:bottom w:val="single" w:sz="4" w:space="0" w:color="auto"/>
              <w:right w:val="single" w:sz="4" w:space="0" w:color="auto"/>
            </w:tcBorders>
            <w:shd w:val="clear" w:color="auto" w:fill="auto"/>
            <w:noWrap/>
            <w:vAlign w:val="center"/>
            <w:hideMark/>
          </w:tcPr>
          <w:p w14:paraId="5DB7A5B2"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4,639,072</w:t>
            </w:r>
          </w:p>
        </w:tc>
      </w:tr>
      <w:tr w:rsidR="00FC7DBA" w:rsidRPr="00FC7DBA" w14:paraId="65B84160" w14:textId="77777777" w:rsidTr="00D74B72">
        <w:trPr>
          <w:trHeight w:val="300"/>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19023E" w14:textId="77777777" w:rsidR="00D74B72" w:rsidRPr="00FC7DBA" w:rsidRDefault="00D74B72" w:rsidP="00D74B72">
            <w:pPr>
              <w:spacing w:before="0" w:after="0"/>
              <w:rPr>
                <w:rFonts w:ascii="Calibri" w:hAnsi="Calibri" w:cs="Calibri"/>
                <w:szCs w:val="22"/>
                <w:lang w:eastAsia="en-AU"/>
              </w:rPr>
            </w:pPr>
            <w:r w:rsidRPr="00FC7DBA">
              <w:rPr>
                <w:rFonts w:ascii="Calibri" w:hAnsi="Calibri" w:cs="Calibri"/>
                <w:szCs w:val="22"/>
                <w:lang w:eastAsia="en-AU"/>
              </w:rPr>
              <w:t>Combined Revenue = Y</w:t>
            </w:r>
          </w:p>
        </w:tc>
        <w:tc>
          <w:tcPr>
            <w:tcW w:w="1440" w:type="dxa"/>
            <w:tcBorders>
              <w:top w:val="nil"/>
              <w:left w:val="nil"/>
              <w:bottom w:val="single" w:sz="4" w:space="0" w:color="auto"/>
              <w:right w:val="single" w:sz="4" w:space="0" w:color="auto"/>
            </w:tcBorders>
            <w:shd w:val="clear" w:color="auto" w:fill="auto"/>
            <w:noWrap/>
            <w:vAlign w:val="center"/>
            <w:hideMark/>
          </w:tcPr>
          <w:p w14:paraId="4077B7B3"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4,887,526</w:t>
            </w:r>
          </w:p>
        </w:tc>
        <w:tc>
          <w:tcPr>
            <w:tcW w:w="1440" w:type="dxa"/>
            <w:tcBorders>
              <w:top w:val="nil"/>
              <w:left w:val="nil"/>
              <w:bottom w:val="single" w:sz="4" w:space="0" w:color="auto"/>
              <w:right w:val="single" w:sz="4" w:space="0" w:color="auto"/>
            </w:tcBorders>
            <w:shd w:val="clear" w:color="auto" w:fill="auto"/>
            <w:noWrap/>
            <w:vAlign w:val="center"/>
            <w:hideMark/>
          </w:tcPr>
          <w:p w14:paraId="4BCF2A30"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4,721,600</w:t>
            </w:r>
          </w:p>
        </w:tc>
        <w:tc>
          <w:tcPr>
            <w:tcW w:w="1440" w:type="dxa"/>
            <w:tcBorders>
              <w:top w:val="nil"/>
              <w:left w:val="nil"/>
              <w:bottom w:val="single" w:sz="4" w:space="0" w:color="auto"/>
              <w:right w:val="single" w:sz="4" w:space="0" w:color="auto"/>
            </w:tcBorders>
            <w:shd w:val="clear" w:color="auto" w:fill="auto"/>
            <w:noWrap/>
            <w:vAlign w:val="center"/>
            <w:hideMark/>
          </w:tcPr>
          <w:p w14:paraId="65925D4F"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4,791,400</w:t>
            </w:r>
          </w:p>
        </w:tc>
        <w:tc>
          <w:tcPr>
            <w:tcW w:w="1440" w:type="dxa"/>
            <w:tcBorders>
              <w:top w:val="nil"/>
              <w:left w:val="nil"/>
              <w:bottom w:val="single" w:sz="4" w:space="0" w:color="auto"/>
              <w:right w:val="single" w:sz="4" w:space="0" w:color="auto"/>
            </w:tcBorders>
            <w:shd w:val="clear" w:color="auto" w:fill="auto"/>
            <w:noWrap/>
            <w:vAlign w:val="center"/>
            <w:hideMark/>
          </w:tcPr>
          <w:p w14:paraId="3B1292CA"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4,736,200</w:t>
            </w:r>
          </w:p>
        </w:tc>
        <w:tc>
          <w:tcPr>
            <w:tcW w:w="1440" w:type="dxa"/>
            <w:tcBorders>
              <w:top w:val="nil"/>
              <w:left w:val="nil"/>
              <w:bottom w:val="single" w:sz="4" w:space="0" w:color="auto"/>
              <w:right w:val="single" w:sz="4" w:space="0" w:color="auto"/>
            </w:tcBorders>
            <w:shd w:val="clear" w:color="auto" w:fill="auto"/>
            <w:noWrap/>
            <w:vAlign w:val="center"/>
            <w:hideMark/>
          </w:tcPr>
          <w:p w14:paraId="52962939"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4,599,800</w:t>
            </w:r>
          </w:p>
        </w:tc>
      </w:tr>
      <w:tr w:rsidR="00FC7DBA" w:rsidRPr="00FC7DBA" w14:paraId="4D13C945" w14:textId="77777777" w:rsidTr="00D74B72">
        <w:trPr>
          <w:trHeight w:val="300"/>
        </w:trPr>
        <w:tc>
          <w:tcPr>
            <w:tcW w:w="24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68B0FFA0" w14:textId="77777777" w:rsidR="00D74B72" w:rsidRPr="00FC7DBA" w:rsidRDefault="00D74B72" w:rsidP="00D74B72">
            <w:pPr>
              <w:spacing w:before="0" w:after="0"/>
              <w:rPr>
                <w:rFonts w:ascii="Calibri" w:hAnsi="Calibri" w:cs="Calibri"/>
                <w:szCs w:val="22"/>
                <w:lang w:eastAsia="en-AU"/>
              </w:rPr>
            </w:pPr>
            <w:r w:rsidRPr="00FC7DBA">
              <w:rPr>
                <w:rFonts w:ascii="Calibri" w:hAnsi="Calibri" w:cs="Calibri"/>
                <w:szCs w:val="22"/>
                <w:lang w:eastAsia="en-AU"/>
              </w:rPr>
              <w:t>Balance = X - Y</w:t>
            </w:r>
            <w:r w:rsidRPr="00FC7DBA">
              <w:rPr>
                <w:rFonts w:ascii="Calibri" w:hAnsi="Calibri" w:cs="Calibri"/>
                <w:szCs w:val="22"/>
                <w:lang w:eastAsia="en-AU"/>
              </w:rPr>
              <w:br/>
              <w:t>(negative deficit)</w:t>
            </w:r>
          </w:p>
        </w:tc>
        <w:tc>
          <w:tcPr>
            <w:tcW w:w="1440" w:type="dxa"/>
            <w:tcBorders>
              <w:top w:val="nil"/>
              <w:left w:val="nil"/>
              <w:bottom w:val="single" w:sz="4" w:space="0" w:color="auto"/>
              <w:right w:val="single" w:sz="4" w:space="0" w:color="auto"/>
            </w:tcBorders>
            <w:shd w:val="clear" w:color="auto" w:fill="auto"/>
            <w:noWrap/>
            <w:vAlign w:val="center"/>
            <w:hideMark/>
          </w:tcPr>
          <w:p w14:paraId="694B91B6"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577,084</w:t>
            </w:r>
          </w:p>
        </w:tc>
        <w:tc>
          <w:tcPr>
            <w:tcW w:w="1440" w:type="dxa"/>
            <w:tcBorders>
              <w:top w:val="nil"/>
              <w:left w:val="nil"/>
              <w:bottom w:val="single" w:sz="4" w:space="0" w:color="auto"/>
              <w:right w:val="single" w:sz="4" w:space="0" w:color="auto"/>
            </w:tcBorders>
            <w:shd w:val="clear" w:color="auto" w:fill="auto"/>
            <w:noWrap/>
            <w:vAlign w:val="center"/>
            <w:hideMark/>
          </w:tcPr>
          <w:p w14:paraId="1321E53C"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881,129</w:t>
            </w:r>
          </w:p>
        </w:tc>
        <w:tc>
          <w:tcPr>
            <w:tcW w:w="1440" w:type="dxa"/>
            <w:tcBorders>
              <w:top w:val="nil"/>
              <w:left w:val="nil"/>
              <w:bottom w:val="single" w:sz="4" w:space="0" w:color="auto"/>
              <w:right w:val="single" w:sz="4" w:space="0" w:color="auto"/>
            </w:tcBorders>
            <w:shd w:val="clear" w:color="auto" w:fill="auto"/>
            <w:noWrap/>
            <w:vAlign w:val="center"/>
            <w:hideMark/>
          </w:tcPr>
          <w:p w14:paraId="1663FAC7" w14:textId="559BCECE" w:rsidR="00D74B72" w:rsidRPr="00FC7DBA" w:rsidRDefault="009E379C"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w:t>
            </w:r>
            <w:r w:rsidR="00D74B72" w:rsidRPr="00FC7DBA">
              <w:rPr>
                <w:rFonts w:ascii="Calibri" w:hAnsi="Calibri" w:cs="Calibri"/>
                <w:szCs w:val="22"/>
                <w:lang w:eastAsia="en-AU"/>
              </w:rPr>
              <w:t>227,399</w:t>
            </w:r>
            <w:r w:rsidRPr="00FC7DBA">
              <w:rPr>
                <w:rFonts w:ascii="Calibri" w:hAnsi="Calibri" w:cs="Calibri"/>
                <w:szCs w:val="22"/>
                <w:lang w:eastAsia="en-AU"/>
              </w:rPr>
              <w:t>)</w:t>
            </w:r>
          </w:p>
        </w:tc>
        <w:tc>
          <w:tcPr>
            <w:tcW w:w="1440" w:type="dxa"/>
            <w:tcBorders>
              <w:top w:val="nil"/>
              <w:left w:val="nil"/>
              <w:bottom w:val="single" w:sz="4" w:space="0" w:color="auto"/>
              <w:right w:val="single" w:sz="4" w:space="0" w:color="auto"/>
            </w:tcBorders>
            <w:shd w:val="clear" w:color="auto" w:fill="auto"/>
            <w:noWrap/>
            <w:vAlign w:val="center"/>
            <w:hideMark/>
          </w:tcPr>
          <w:p w14:paraId="14985ED1"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206,709</w:t>
            </w:r>
          </w:p>
        </w:tc>
        <w:tc>
          <w:tcPr>
            <w:tcW w:w="1440" w:type="dxa"/>
            <w:tcBorders>
              <w:top w:val="nil"/>
              <w:left w:val="nil"/>
              <w:bottom w:val="single" w:sz="4" w:space="0" w:color="auto"/>
              <w:right w:val="single" w:sz="4" w:space="0" w:color="auto"/>
            </w:tcBorders>
            <w:shd w:val="clear" w:color="auto" w:fill="auto"/>
            <w:noWrap/>
            <w:vAlign w:val="center"/>
            <w:hideMark/>
          </w:tcPr>
          <w:p w14:paraId="347A2615" w14:textId="1C738CE5" w:rsidR="00D74B72" w:rsidRPr="00FC7DBA" w:rsidRDefault="009E379C"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w:t>
            </w:r>
            <w:r w:rsidR="00D74B72" w:rsidRPr="00FC7DBA">
              <w:rPr>
                <w:rFonts w:ascii="Calibri" w:hAnsi="Calibri" w:cs="Calibri"/>
                <w:szCs w:val="22"/>
                <w:lang w:eastAsia="en-AU"/>
              </w:rPr>
              <w:t>39,272</w:t>
            </w:r>
            <w:r w:rsidRPr="00FC7DBA">
              <w:rPr>
                <w:rFonts w:ascii="Calibri" w:hAnsi="Calibri" w:cs="Calibri"/>
                <w:szCs w:val="22"/>
                <w:lang w:eastAsia="en-AU"/>
              </w:rPr>
              <w:t>)</w:t>
            </w:r>
          </w:p>
        </w:tc>
      </w:tr>
      <w:tr w:rsidR="00FC7DBA" w:rsidRPr="00FC7DBA" w14:paraId="518A3C8E" w14:textId="77777777" w:rsidTr="00D74B72">
        <w:trPr>
          <w:trHeight w:val="300"/>
        </w:trPr>
        <w:tc>
          <w:tcPr>
            <w:tcW w:w="2480"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B1D4D83" w14:textId="77777777" w:rsidR="00D74B72" w:rsidRPr="00FC7DBA" w:rsidRDefault="00D74B72" w:rsidP="00D74B72">
            <w:pPr>
              <w:spacing w:before="0" w:after="0"/>
              <w:rPr>
                <w:rFonts w:ascii="Calibri" w:hAnsi="Calibri" w:cs="Calibri"/>
                <w:szCs w:val="22"/>
                <w:lang w:eastAsia="en-AU"/>
              </w:rPr>
            </w:pPr>
            <w:r w:rsidRPr="00FC7DBA">
              <w:rPr>
                <w:rFonts w:ascii="Calibri" w:hAnsi="Calibri" w:cs="Calibri"/>
                <w:szCs w:val="22"/>
                <w:lang w:eastAsia="en-AU"/>
              </w:rPr>
              <w:lastRenderedPageBreak/>
              <w:t>Cumulative Balance</w:t>
            </w:r>
            <w:r w:rsidRPr="00FC7DBA">
              <w:rPr>
                <w:rFonts w:ascii="Calibri" w:hAnsi="Calibri" w:cs="Calibri"/>
                <w:szCs w:val="22"/>
                <w:lang w:eastAsia="en-AU"/>
              </w:rPr>
              <w:br/>
              <w:t>(negative deficit) ~</w:t>
            </w:r>
          </w:p>
        </w:tc>
        <w:tc>
          <w:tcPr>
            <w:tcW w:w="1440" w:type="dxa"/>
            <w:tcBorders>
              <w:top w:val="nil"/>
              <w:left w:val="nil"/>
              <w:bottom w:val="single" w:sz="4" w:space="0" w:color="auto"/>
              <w:right w:val="single" w:sz="4" w:space="0" w:color="auto"/>
            </w:tcBorders>
            <w:shd w:val="clear" w:color="auto" w:fill="auto"/>
            <w:noWrap/>
            <w:vAlign w:val="center"/>
            <w:hideMark/>
          </w:tcPr>
          <w:p w14:paraId="7E334E36"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1,324,596</w:t>
            </w:r>
          </w:p>
        </w:tc>
        <w:tc>
          <w:tcPr>
            <w:tcW w:w="1440" w:type="dxa"/>
            <w:tcBorders>
              <w:top w:val="nil"/>
              <w:left w:val="nil"/>
              <w:bottom w:val="single" w:sz="4" w:space="0" w:color="auto"/>
              <w:right w:val="single" w:sz="4" w:space="0" w:color="auto"/>
            </w:tcBorders>
            <w:shd w:val="clear" w:color="auto" w:fill="auto"/>
            <w:noWrap/>
            <w:vAlign w:val="center"/>
            <w:hideMark/>
          </w:tcPr>
          <w:p w14:paraId="114C7398"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2,205,725</w:t>
            </w:r>
          </w:p>
        </w:tc>
        <w:tc>
          <w:tcPr>
            <w:tcW w:w="1440" w:type="dxa"/>
            <w:tcBorders>
              <w:top w:val="nil"/>
              <w:left w:val="nil"/>
              <w:bottom w:val="single" w:sz="4" w:space="0" w:color="auto"/>
              <w:right w:val="single" w:sz="4" w:space="0" w:color="auto"/>
            </w:tcBorders>
            <w:shd w:val="clear" w:color="auto" w:fill="auto"/>
            <w:noWrap/>
            <w:vAlign w:val="center"/>
            <w:hideMark/>
          </w:tcPr>
          <w:p w14:paraId="3CFB3901"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1,978,326</w:t>
            </w:r>
          </w:p>
        </w:tc>
        <w:tc>
          <w:tcPr>
            <w:tcW w:w="1440" w:type="dxa"/>
            <w:tcBorders>
              <w:top w:val="nil"/>
              <w:left w:val="nil"/>
              <w:bottom w:val="single" w:sz="4" w:space="0" w:color="auto"/>
              <w:right w:val="single" w:sz="4" w:space="0" w:color="auto"/>
            </w:tcBorders>
            <w:shd w:val="clear" w:color="auto" w:fill="auto"/>
            <w:noWrap/>
            <w:vAlign w:val="center"/>
            <w:hideMark/>
          </w:tcPr>
          <w:p w14:paraId="0CC6AA57"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2,185,035</w:t>
            </w:r>
          </w:p>
        </w:tc>
        <w:tc>
          <w:tcPr>
            <w:tcW w:w="1440" w:type="dxa"/>
            <w:tcBorders>
              <w:top w:val="nil"/>
              <w:left w:val="nil"/>
              <w:bottom w:val="single" w:sz="4" w:space="0" w:color="auto"/>
              <w:right w:val="single" w:sz="4" w:space="0" w:color="auto"/>
            </w:tcBorders>
            <w:shd w:val="clear" w:color="auto" w:fill="auto"/>
            <w:noWrap/>
            <w:vAlign w:val="center"/>
            <w:hideMark/>
          </w:tcPr>
          <w:p w14:paraId="3C819051" w14:textId="77777777" w:rsidR="00D74B72" w:rsidRPr="00FC7DBA" w:rsidRDefault="00D74B72" w:rsidP="00D74B72">
            <w:pPr>
              <w:spacing w:before="0" w:after="0"/>
              <w:ind w:firstLineChars="100" w:firstLine="220"/>
              <w:jc w:val="right"/>
              <w:rPr>
                <w:rFonts w:ascii="Calibri" w:hAnsi="Calibri" w:cs="Calibri"/>
                <w:szCs w:val="22"/>
                <w:lang w:eastAsia="en-AU"/>
              </w:rPr>
            </w:pPr>
            <w:r w:rsidRPr="00FC7DBA">
              <w:rPr>
                <w:rFonts w:ascii="Calibri" w:hAnsi="Calibri" w:cs="Calibri"/>
                <w:szCs w:val="22"/>
                <w:lang w:eastAsia="en-AU"/>
              </w:rPr>
              <w:t>2,145,763</w:t>
            </w:r>
          </w:p>
        </w:tc>
      </w:tr>
      <w:tr w:rsidR="00FC7DBA" w:rsidRPr="00FC7DBA" w14:paraId="79D000B5" w14:textId="77777777" w:rsidTr="00D74B72">
        <w:trPr>
          <w:trHeight w:val="69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1F837" w14:textId="77777777" w:rsidR="00D74B72" w:rsidRPr="00FC7DBA" w:rsidRDefault="00D74B72" w:rsidP="00D74B72">
            <w:pPr>
              <w:spacing w:before="0" w:after="0"/>
              <w:jc w:val="center"/>
              <w:rPr>
                <w:rFonts w:ascii="Calibri" w:hAnsi="Calibri" w:cs="Calibri"/>
                <w:szCs w:val="22"/>
                <w:lang w:eastAsia="en-AU"/>
              </w:rPr>
            </w:pPr>
            <w:r w:rsidRPr="00FC7DBA">
              <w:rPr>
                <w:rFonts w:ascii="Calibri" w:hAnsi="Calibri" w:cs="Calibri"/>
                <w:szCs w:val="22"/>
                <w:lang w:eastAsia="en-AU"/>
              </w:rPr>
              <w:t>Variance explanation</w:t>
            </w:r>
          </w:p>
        </w:tc>
        <w:tc>
          <w:tcPr>
            <w:tcW w:w="7200" w:type="dxa"/>
            <w:gridSpan w:val="5"/>
            <w:tcBorders>
              <w:top w:val="single" w:sz="4" w:space="0" w:color="auto"/>
              <w:left w:val="nil"/>
              <w:bottom w:val="single" w:sz="4" w:space="0" w:color="auto"/>
              <w:right w:val="single" w:sz="4" w:space="0" w:color="000000"/>
            </w:tcBorders>
            <w:shd w:val="clear" w:color="auto" w:fill="auto"/>
            <w:vAlign w:val="bottom"/>
            <w:hideMark/>
          </w:tcPr>
          <w:p w14:paraId="60DC2DA5" w14:textId="57D6C665" w:rsidR="00A14E97" w:rsidRPr="00FC7DBA" w:rsidRDefault="00A14E97" w:rsidP="00D74B72">
            <w:pPr>
              <w:spacing w:before="0" w:after="0"/>
              <w:rPr>
                <w:rFonts w:ascii="Calibri" w:hAnsi="Calibri" w:cs="Calibri"/>
                <w:szCs w:val="22"/>
                <w:lang w:eastAsia="en-AU"/>
              </w:rPr>
            </w:pPr>
            <w:r w:rsidRPr="00FC7DBA">
              <w:rPr>
                <w:rFonts w:ascii="Calibri" w:hAnsi="Calibri" w:cs="Calibri"/>
                <w:szCs w:val="22"/>
                <w:lang w:eastAsia="en-AU"/>
              </w:rPr>
              <w:t xml:space="preserve">The revenue for 2021-22 was lower than originally forecast due to </w:t>
            </w:r>
            <w:r w:rsidR="00450D48" w:rsidRPr="00FC7DBA">
              <w:rPr>
                <w:rFonts w:ascii="Calibri" w:hAnsi="Calibri" w:cs="Calibri"/>
                <w:szCs w:val="22"/>
                <w:lang w:eastAsia="en-AU"/>
              </w:rPr>
              <w:t xml:space="preserve">slightly </w:t>
            </w:r>
            <w:r w:rsidRPr="00FC7DBA">
              <w:rPr>
                <w:rFonts w:ascii="Calibri" w:hAnsi="Calibri" w:cs="Calibri"/>
                <w:szCs w:val="22"/>
                <w:lang w:eastAsia="en-AU"/>
              </w:rPr>
              <w:t>fewer applications received than anticipated</w:t>
            </w:r>
            <w:r w:rsidR="00F46BAE" w:rsidRPr="00FC7DBA">
              <w:rPr>
                <w:rFonts w:ascii="Calibri" w:hAnsi="Calibri" w:cs="Calibri"/>
                <w:szCs w:val="22"/>
                <w:lang w:eastAsia="en-AU"/>
              </w:rPr>
              <w:t xml:space="preserve"> (-3% variance)</w:t>
            </w:r>
            <w:r w:rsidRPr="00FC7DBA">
              <w:rPr>
                <w:rFonts w:ascii="Calibri" w:hAnsi="Calibri" w:cs="Calibri"/>
                <w:szCs w:val="22"/>
                <w:lang w:eastAsia="en-AU"/>
              </w:rPr>
              <w:t xml:space="preserve">. Actual expenses were </w:t>
            </w:r>
            <w:r w:rsidR="00F46BAE" w:rsidRPr="00FC7DBA">
              <w:rPr>
                <w:rFonts w:ascii="Calibri" w:hAnsi="Calibri" w:cs="Calibri"/>
                <w:szCs w:val="22"/>
                <w:lang w:eastAsia="en-AU"/>
              </w:rPr>
              <w:t xml:space="preserve">lower than forecast (-21% variance). This is explained </w:t>
            </w:r>
            <w:r w:rsidR="00450D48" w:rsidRPr="00FC7DBA">
              <w:rPr>
                <w:rFonts w:ascii="Calibri" w:hAnsi="Calibri" w:cs="Calibri"/>
                <w:szCs w:val="22"/>
                <w:lang w:eastAsia="en-AU"/>
              </w:rPr>
              <w:t xml:space="preserve">by the lower than forecast expenditure on </w:t>
            </w:r>
            <w:r w:rsidR="009E379C" w:rsidRPr="00FC7DBA">
              <w:rPr>
                <w:rFonts w:ascii="Calibri" w:hAnsi="Calibri" w:cs="Calibri"/>
                <w:szCs w:val="22"/>
                <w:lang w:eastAsia="en-AU"/>
              </w:rPr>
              <w:t xml:space="preserve">supplier costs (including </w:t>
            </w:r>
            <w:r w:rsidR="00450D48" w:rsidRPr="00FC7DBA">
              <w:rPr>
                <w:rFonts w:ascii="Calibri" w:hAnsi="Calibri" w:cs="Calibri"/>
                <w:szCs w:val="22"/>
                <w:lang w:eastAsia="en-AU"/>
              </w:rPr>
              <w:t>committee costs</w:t>
            </w:r>
            <w:r w:rsidR="009E379C" w:rsidRPr="00FC7DBA">
              <w:rPr>
                <w:rFonts w:ascii="Calibri" w:hAnsi="Calibri" w:cs="Calibri"/>
                <w:szCs w:val="22"/>
                <w:lang w:eastAsia="en-AU"/>
              </w:rPr>
              <w:t>)</w:t>
            </w:r>
            <w:r w:rsidR="00450D48" w:rsidRPr="00FC7DBA">
              <w:rPr>
                <w:rFonts w:ascii="Calibri" w:hAnsi="Calibri" w:cs="Calibri"/>
                <w:szCs w:val="22"/>
                <w:lang w:eastAsia="en-AU"/>
              </w:rPr>
              <w:t xml:space="preserve"> and lower than expected </w:t>
            </w:r>
            <w:r w:rsidR="006D5311" w:rsidRPr="00FC7DBA">
              <w:rPr>
                <w:rFonts w:ascii="Calibri" w:hAnsi="Calibri" w:cs="Calibri"/>
                <w:szCs w:val="22"/>
                <w:lang w:eastAsia="en-AU"/>
              </w:rPr>
              <w:t>contracts for service expenses</w:t>
            </w:r>
            <w:r w:rsidR="009E379C" w:rsidRPr="00FC7DBA">
              <w:rPr>
                <w:rFonts w:ascii="Calibri" w:hAnsi="Calibri" w:cs="Calibri"/>
                <w:szCs w:val="22"/>
                <w:lang w:eastAsia="en-AU"/>
              </w:rPr>
              <w:t xml:space="preserve"> </w:t>
            </w:r>
            <w:r w:rsidR="006D5311" w:rsidRPr="00FC7DBA">
              <w:rPr>
                <w:rFonts w:ascii="Calibri" w:hAnsi="Calibri" w:cs="Calibri"/>
                <w:szCs w:val="22"/>
                <w:lang w:eastAsia="en-AU"/>
              </w:rPr>
              <w:t xml:space="preserve">associated with </w:t>
            </w:r>
            <w:r w:rsidR="009E379C" w:rsidRPr="00FC7DBA">
              <w:rPr>
                <w:rFonts w:ascii="Calibri" w:hAnsi="Calibri" w:cs="Calibri"/>
                <w:szCs w:val="22"/>
                <w:lang w:eastAsia="en-AU"/>
              </w:rPr>
              <w:t>evaluating applications.</w:t>
            </w:r>
          </w:p>
        </w:tc>
      </w:tr>
      <w:tr w:rsidR="00FC7DBA" w:rsidRPr="00FC7DBA" w14:paraId="1E5C7172" w14:textId="77777777" w:rsidTr="00D74B72">
        <w:trPr>
          <w:trHeight w:val="983"/>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823EE" w14:textId="77777777" w:rsidR="00D74B72" w:rsidRPr="00FC7DBA" w:rsidRDefault="00D74B72" w:rsidP="00D74B72">
            <w:pPr>
              <w:spacing w:before="0" w:after="0"/>
              <w:jc w:val="center"/>
              <w:rPr>
                <w:rFonts w:ascii="Calibri" w:hAnsi="Calibri" w:cs="Calibri"/>
                <w:szCs w:val="22"/>
                <w:lang w:eastAsia="en-AU"/>
              </w:rPr>
            </w:pPr>
            <w:r w:rsidRPr="00FC7DBA">
              <w:rPr>
                <w:rFonts w:ascii="Calibri" w:hAnsi="Calibri" w:cs="Calibri"/>
                <w:szCs w:val="22"/>
                <w:lang w:eastAsia="en-AU"/>
              </w:rPr>
              <w:t>Balance Management Strategy</w:t>
            </w:r>
          </w:p>
        </w:tc>
        <w:tc>
          <w:tcPr>
            <w:tcW w:w="7200" w:type="dxa"/>
            <w:gridSpan w:val="5"/>
            <w:tcBorders>
              <w:top w:val="single" w:sz="4" w:space="0" w:color="auto"/>
              <w:left w:val="nil"/>
              <w:bottom w:val="single" w:sz="4" w:space="0" w:color="auto"/>
              <w:right w:val="single" w:sz="4" w:space="0" w:color="auto"/>
            </w:tcBorders>
            <w:shd w:val="clear" w:color="auto" w:fill="auto"/>
            <w:vAlign w:val="bottom"/>
            <w:hideMark/>
          </w:tcPr>
          <w:p w14:paraId="224724D3" w14:textId="59D67DB5" w:rsidR="00D74B72" w:rsidRPr="00FC7DBA" w:rsidRDefault="00D74B72" w:rsidP="00D74B72">
            <w:pPr>
              <w:spacing w:before="0" w:after="0"/>
              <w:rPr>
                <w:rFonts w:ascii="Calibri" w:hAnsi="Calibri" w:cs="Calibri"/>
                <w:sz w:val="18"/>
                <w:szCs w:val="18"/>
                <w:lang w:eastAsia="en-AU"/>
              </w:rPr>
            </w:pPr>
            <w:r w:rsidRPr="00FC7DBA">
              <w:rPr>
                <w:rFonts w:ascii="Calibri" w:hAnsi="Calibri" w:cs="Calibri"/>
                <w:szCs w:val="22"/>
                <w:lang w:eastAsia="en-AU"/>
              </w:rPr>
              <w:t xml:space="preserve">In recent years there has been a </w:t>
            </w:r>
            <w:r w:rsidR="00AB0518" w:rsidRPr="00FC7DBA">
              <w:rPr>
                <w:rFonts w:ascii="Calibri" w:hAnsi="Calibri" w:cs="Calibri"/>
                <w:szCs w:val="22"/>
                <w:lang w:eastAsia="en-AU"/>
              </w:rPr>
              <w:t>misalignment</w:t>
            </w:r>
            <w:r w:rsidRPr="00FC7DBA">
              <w:rPr>
                <w:rFonts w:ascii="Calibri" w:hAnsi="Calibri" w:cs="Calibri"/>
                <w:szCs w:val="22"/>
                <w:lang w:eastAsia="en-AU"/>
              </w:rPr>
              <w:t xml:space="preserve"> between revenue and expenses in the administration of the </w:t>
            </w:r>
            <w:r w:rsidR="00AB0518" w:rsidRPr="00FC7DBA">
              <w:rPr>
                <w:rFonts w:ascii="Calibri" w:hAnsi="Calibri" w:cs="Calibri"/>
                <w:szCs w:val="22"/>
                <w:lang w:eastAsia="en-AU"/>
              </w:rPr>
              <w:t>PL.</w:t>
            </w:r>
            <w:r w:rsidRPr="00FC7DBA">
              <w:rPr>
                <w:rFonts w:ascii="Calibri" w:hAnsi="Calibri" w:cs="Calibri"/>
                <w:szCs w:val="22"/>
                <w:lang w:eastAsia="en-AU"/>
              </w:rPr>
              <w:t xml:space="preserve"> In accordance with Australian Government policy, the costs associated with this program are being reviewed and the fees charged to sponsors will be aligned with these costs.</w:t>
            </w:r>
            <w:r w:rsidR="00161F87" w:rsidRPr="00FC7DBA">
              <w:rPr>
                <w:rFonts w:ascii="Calibri" w:hAnsi="Calibri" w:cs="Calibri"/>
                <w:szCs w:val="22"/>
                <w:lang w:eastAsia="en-AU"/>
              </w:rPr>
              <w:t xml:space="preserve"> As outlined in 3.3.1, this will form part of ongoing reforms.</w:t>
            </w:r>
          </w:p>
        </w:tc>
      </w:tr>
    </w:tbl>
    <w:p w14:paraId="1C3C26FD" w14:textId="0A835CF9" w:rsidR="00D74B72" w:rsidRPr="00FC7DBA" w:rsidRDefault="00D74B72" w:rsidP="00AB0518">
      <w:r w:rsidRPr="00FC7DBA">
        <w:t>~The cumulative balance for 2017-18 includes a carried forward cumulative balance of $747,512 from 2016</w:t>
      </w:r>
      <w:r w:rsidRPr="00FC7DBA">
        <w:noBreakHyphen/>
        <w:t>17.</w:t>
      </w:r>
    </w:p>
    <w:p w14:paraId="348A2F08" w14:textId="31DC8D25" w:rsidR="00312FDC" w:rsidRPr="00FC0242" w:rsidRDefault="00312FDC" w:rsidP="00312FDC">
      <w:pPr>
        <w:pStyle w:val="Heading2"/>
      </w:pPr>
      <w:r w:rsidRPr="00FC0242">
        <w:t>NON-FINANCIAL PERFORMANCE</w:t>
      </w:r>
    </w:p>
    <w:p w14:paraId="343B0572" w14:textId="77777777" w:rsidR="00312FDC" w:rsidRPr="006D5311" w:rsidRDefault="00312FDC" w:rsidP="00312FDC">
      <w:pPr>
        <w:spacing w:before="0" w:after="0"/>
        <w:rPr>
          <w:szCs w:val="22"/>
        </w:rPr>
      </w:pPr>
      <w:r w:rsidRPr="006D5311">
        <w:rPr>
          <w:szCs w:val="22"/>
        </w:rPr>
        <w:t>In line with the Department’s Performance Measurement and Reporting Framework, the key performance indicators for Prostheses List activity are:</w:t>
      </w:r>
    </w:p>
    <w:p w14:paraId="574CC173" w14:textId="77777777" w:rsidR="00312FDC" w:rsidRPr="006D5311" w:rsidRDefault="00312FDC" w:rsidP="00312FDC">
      <w:pPr>
        <w:pStyle w:val="ListParagraph"/>
        <w:numPr>
          <w:ilvl w:val="0"/>
          <w:numId w:val="31"/>
        </w:numPr>
        <w:spacing w:before="0" w:after="0"/>
        <w:rPr>
          <w:szCs w:val="22"/>
        </w:rPr>
      </w:pPr>
      <w:r w:rsidRPr="006D5311">
        <w:rPr>
          <w:szCs w:val="22"/>
        </w:rPr>
        <w:t>The Prostheses List Advisory Committee was supported to reform the prostheses listing arrangements; and</w:t>
      </w:r>
    </w:p>
    <w:p w14:paraId="36A64D38" w14:textId="77777777" w:rsidR="00312FDC" w:rsidRPr="006D5311" w:rsidRDefault="00312FDC" w:rsidP="00312FDC">
      <w:pPr>
        <w:pStyle w:val="ListParagraph"/>
        <w:numPr>
          <w:ilvl w:val="0"/>
          <w:numId w:val="31"/>
        </w:numPr>
        <w:rPr>
          <w:szCs w:val="22"/>
        </w:rPr>
      </w:pPr>
      <w:r w:rsidRPr="006D5311">
        <w:rPr>
          <w:szCs w:val="22"/>
        </w:rPr>
        <w:t>The Updated Prostheses List enabled access to devices, including cardiac ablation catheters for atrial fibrillation for privately insured patients.</w:t>
      </w:r>
    </w:p>
    <w:p w14:paraId="3737C81D" w14:textId="77777777" w:rsidR="00312FDC" w:rsidRPr="00FC0242" w:rsidRDefault="00312FDC" w:rsidP="00312FDC">
      <w:pPr>
        <w:pStyle w:val="Heading1"/>
        <w:numPr>
          <w:ilvl w:val="0"/>
          <w:numId w:val="32"/>
        </w:numPr>
      </w:pPr>
      <w:bookmarkStart w:id="1" w:name="_Hlk87548209"/>
      <w:r w:rsidRPr="00FC0242">
        <w:t>KEY FORWARD DATES AND EVENTS</w:t>
      </w:r>
    </w:p>
    <w:tbl>
      <w:tblPr>
        <w:tblStyle w:val="TableGrid"/>
        <w:tblW w:w="9962" w:type="dxa"/>
        <w:tblLook w:val="01E0" w:firstRow="1" w:lastRow="1" w:firstColumn="1" w:lastColumn="1" w:noHBand="0" w:noVBand="0"/>
        <w:tblDescription w:val="Table of the timelines for future action on this document"/>
      </w:tblPr>
      <w:tblGrid>
        <w:gridCol w:w="6164"/>
        <w:gridCol w:w="3798"/>
      </w:tblGrid>
      <w:tr w:rsidR="00FC0242" w:rsidRPr="00FC0242" w14:paraId="6D97A136" w14:textId="77777777" w:rsidTr="002847F5">
        <w:trPr>
          <w:cnfStyle w:val="100000000000" w:firstRow="1" w:lastRow="0" w:firstColumn="0" w:lastColumn="0" w:oddVBand="0" w:evenVBand="0" w:oddHBand="0" w:evenHBand="0" w:firstRowFirstColumn="0" w:firstRowLastColumn="0" w:lastRowFirstColumn="0" w:lastRowLastColumn="0"/>
          <w:trHeight w:val="413"/>
        </w:trPr>
        <w:tc>
          <w:tcPr>
            <w:tcW w:w="3094" w:type="pct"/>
          </w:tcPr>
          <w:p w14:paraId="7204E0AA" w14:textId="77777777" w:rsidR="00312FDC" w:rsidRPr="002847F5" w:rsidRDefault="00312FDC" w:rsidP="002847F5">
            <w:bookmarkStart w:id="2" w:name="_Hlk87548140"/>
            <w:bookmarkEnd w:id="1"/>
            <w:r w:rsidRPr="002847F5">
              <w:t xml:space="preserve">Activity </w:t>
            </w:r>
          </w:p>
        </w:tc>
        <w:tc>
          <w:tcPr>
            <w:tcW w:w="1906" w:type="pct"/>
          </w:tcPr>
          <w:p w14:paraId="402BDBAF" w14:textId="7A56C4E3" w:rsidR="00312FDC" w:rsidRPr="002847F5" w:rsidRDefault="006829AF" w:rsidP="002847F5">
            <w:r w:rsidRPr="002847F5">
              <w:t>Date</w:t>
            </w:r>
          </w:p>
        </w:tc>
      </w:tr>
      <w:tr w:rsidR="00FC0242" w:rsidRPr="00FC0242" w14:paraId="486D478B" w14:textId="77777777" w:rsidTr="002847F5">
        <w:trPr>
          <w:trHeight w:val="412"/>
        </w:trPr>
        <w:tc>
          <w:tcPr>
            <w:tcW w:w="3094" w:type="pct"/>
          </w:tcPr>
          <w:p w14:paraId="03DC8D28" w14:textId="24C590CB" w:rsidR="00E54DB4" w:rsidRPr="002847F5" w:rsidRDefault="00482BE4" w:rsidP="002847F5">
            <w:r w:rsidRPr="002847F5">
              <w:t>Consultation on</w:t>
            </w:r>
            <w:r w:rsidR="00E54DB4" w:rsidRPr="002847F5">
              <w:t xml:space="preserve"> revised cost recovery arrangements to reflect </w:t>
            </w:r>
            <w:r w:rsidRPr="002847F5">
              <w:t>PL</w:t>
            </w:r>
            <w:r w:rsidR="00E54DB4" w:rsidRPr="002847F5">
              <w:t xml:space="preserve"> reforms</w:t>
            </w:r>
          </w:p>
        </w:tc>
        <w:tc>
          <w:tcPr>
            <w:tcW w:w="1906" w:type="pct"/>
          </w:tcPr>
          <w:p w14:paraId="3F1FF7AC" w14:textId="100EB299" w:rsidR="00E54DB4" w:rsidRPr="002847F5" w:rsidRDefault="00482BE4" w:rsidP="002847F5">
            <w:r w:rsidRPr="002847F5">
              <w:t xml:space="preserve">During </w:t>
            </w:r>
            <w:r w:rsidR="00E54DB4" w:rsidRPr="002847F5">
              <w:t>2022</w:t>
            </w:r>
          </w:p>
        </w:tc>
      </w:tr>
      <w:tr w:rsidR="00FC0242" w:rsidRPr="00FC0242" w14:paraId="25EC4FD6" w14:textId="77777777" w:rsidTr="002847F5">
        <w:trPr>
          <w:trHeight w:val="412"/>
        </w:trPr>
        <w:tc>
          <w:tcPr>
            <w:tcW w:w="3094" w:type="pct"/>
          </w:tcPr>
          <w:p w14:paraId="37F1D2E7" w14:textId="2D38C332" w:rsidR="00E54DB4" w:rsidRPr="002847F5" w:rsidRDefault="00E54DB4" w:rsidP="002847F5">
            <w:r w:rsidRPr="002847F5">
              <w:t xml:space="preserve">Commence Portfolio Charging Review for 2023-24 Budget </w:t>
            </w:r>
          </w:p>
        </w:tc>
        <w:tc>
          <w:tcPr>
            <w:tcW w:w="1906" w:type="pct"/>
          </w:tcPr>
          <w:p w14:paraId="5334A6B5" w14:textId="5528838D" w:rsidR="00E54DB4" w:rsidRPr="002847F5" w:rsidRDefault="00E54DB4" w:rsidP="002847F5">
            <w:r w:rsidRPr="002847F5">
              <w:t>During 2022</w:t>
            </w:r>
          </w:p>
        </w:tc>
      </w:tr>
      <w:tr w:rsidR="00D74B72" w:rsidRPr="00FC0242" w14:paraId="0FC854AA" w14:textId="77777777" w:rsidTr="002847F5">
        <w:trPr>
          <w:trHeight w:val="412"/>
        </w:trPr>
        <w:tc>
          <w:tcPr>
            <w:tcW w:w="3094" w:type="pct"/>
          </w:tcPr>
          <w:p w14:paraId="48ECEEF4" w14:textId="503EE35F" w:rsidR="00D74B72" w:rsidRPr="002847F5" w:rsidRDefault="00D74B72" w:rsidP="002847F5">
            <w:r>
              <w:t>Update CRIS for 2023-24</w:t>
            </w:r>
          </w:p>
        </w:tc>
        <w:tc>
          <w:tcPr>
            <w:tcW w:w="1906" w:type="pct"/>
          </w:tcPr>
          <w:p w14:paraId="4497D4B7" w14:textId="6485256C" w:rsidR="00D74B72" w:rsidRPr="002847F5" w:rsidRDefault="00D74B72" w:rsidP="002847F5">
            <w:r>
              <w:t>June 2023</w:t>
            </w:r>
          </w:p>
        </w:tc>
      </w:tr>
    </w:tbl>
    <w:bookmarkEnd w:id="2"/>
    <w:p w14:paraId="75BF95A9" w14:textId="1E2E967D" w:rsidR="00312FDC" w:rsidRPr="00FC0242" w:rsidRDefault="00312FDC" w:rsidP="00312FDC">
      <w:pPr>
        <w:pStyle w:val="Heading1"/>
      </w:pPr>
      <w:r w:rsidRPr="00FC0242">
        <w:t>CRIS APPROVAL AND CHANGE REGISTER</w:t>
      </w:r>
    </w:p>
    <w:tbl>
      <w:tblPr>
        <w:tblStyle w:val="TableGrid"/>
        <w:tblW w:w="5000" w:type="pct"/>
        <w:tblCellMar>
          <w:top w:w="85" w:type="dxa"/>
          <w:bottom w:w="85" w:type="dxa"/>
        </w:tblCellMar>
        <w:tblLook w:val="04A0" w:firstRow="1" w:lastRow="0" w:firstColumn="1" w:lastColumn="0" w:noHBand="0" w:noVBand="1"/>
        <w:tblDescription w:val="Register of Cost Recovery Implementation Statement (CRIS) changes table provides information about the history of the CRIS. This table contains 4 column headings: Date of change, CRIS change, Approver and basis for change."/>
      </w:tblPr>
      <w:tblGrid>
        <w:gridCol w:w="1490"/>
        <w:gridCol w:w="2442"/>
        <w:gridCol w:w="3148"/>
        <w:gridCol w:w="2745"/>
      </w:tblGrid>
      <w:tr w:rsidR="00FC0242" w:rsidRPr="00FC0242" w14:paraId="1240675C" w14:textId="77777777" w:rsidTr="006A5072">
        <w:trPr>
          <w:cnfStyle w:val="100000000000" w:firstRow="1" w:lastRow="0" w:firstColumn="0" w:lastColumn="0" w:oddVBand="0" w:evenVBand="0" w:oddHBand="0" w:evenHBand="0" w:firstRowFirstColumn="0" w:firstRowLastColumn="0" w:lastRowFirstColumn="0" w:lastRowLastColumn="0"/>
          <w:trHeight w:val="910"/>
          <w:tblHeader/>
        </w:trPr>
        <w:tc>
          <w:tcPr>
            <w:tcW w:w="758" w:type="pct"/>
          </w:tcPr>
          <w:p w14:paraId="51DD7B31" w14:textId="77777777" w:rsidR="00312FDC" w:rsidRPr="00FC0242" w:rsidRDefault="00312FDC" w:rsidP="00AC0D3C">
            <w:pPr>
              <w:pStyle w:val="Tableheadings"/>
              <w:rPr>
                <w:rFonts w:asciiTheme="minorHAnsi" w:hAnsiTheme="minorHAnsi" w:cstheme="minorHAnsi"/>
                <w:szCs w:val="22"/>
              </w:rPr>
            </w:pPr>
            <w:r w:rsidRPr="00FC0242">
              <w:rPr>
                <w:rFonts w:asciiTheme="minorHAnsi" w:hAnsiTheme="minorHAnsi" w:cstheme="minorHAnsi"/>
                <w:szCs w:val="22"/>
              </w:rPr>
              <w:t>Date of CRIS Change</w:t>
            </w:r>
          </w:p>
        </w:tc>
        <w:tc>
          <w:tcPr>
            <w:tcW w:w="1243" w:type="pct"/>
          </w:tcPr>
          <w:p w14:paraId="38CBD7F3" w14:textId="77777777" w:rsidR="00312FDC" w:rsidRPr="00FC0242" w:rsidRDefault="00312FDC" w:rsidP="00AC0D3C">
            <w:pPr>
              <w:pStyle w:val="Tableheadings"/>
              <w:rPr>
                <w:rFonts w:asciiTheme="minorHAnsi" w:hAnsiTheme="minorHAnsi" w:cstheme="minorHAnsi"/>
                <w:szCs w:val="22"/>
              </w:rPr>
            </w:pPr>
            <w:r w:rsidRPr="00FC0242">
              <w:rPr>
                <w:rFonts w:asciiTheme="minorHAnsi" w:hAnsiTheme="minorHAnsi" w:cstheme="minorHAnsi"/>
                <w:szCs w:val="22"/>
              </w:rPr>
              <w:t>CRIS Change</w:t>
            </w:r>
          </w:p>
        </w:tc>
        <w:tc>
          <w:tcPr>
            <w:tcW w:w="1602" w:type="pct"/>
          </w:tcPr>
          <w:p w14:paraId="7F285440" w14:textId="77777777" w:rsidR="00312FDC" w:rsidRPr="00FC0242" w:rsidRDefault="00312FDC" w:rsidP="00AC0D3C">
            <w:pPr>
              <w:pStyle w:val="Tableheadings"/>
              <w:rPr>
                <w:rFonts w:asciiTheme="minorHAnsi" w:hAnsiTheme="minorHAnsi" w:cstheme="minorHAnsi"/>
                <w:szCs w:val="22"/>
              </w:rPr>
            </w:pPr>
            <w:r w:rsidRPr="00FC0242">
              <w:rPr>
                <w:rFonts w:asciiTheme="minorHAnsi" w:hAnsiTheme="minorHAnsi" w:cstheme="minorHAnsi"/>
                <w:szCs w:val="22"/>
              </w:rPr>
              <w:t>Approver</w:t>
            </w:r>
          </w:p>
        </w:tc>
        <w:tc>
          <w:tcPr>
            <w:tcW w:w="1397" w:type="pct"/>
          </w:tcPr>
          <w:p w14:paraId="49350653" w14:textId="77777777" w:rsidR="00312FDC" w:rsidRPr="00FC0242" w:rsidRDefault="00312FDC" w:rsidP="00AC0D3C">
            <w:pPr>
              <w:pStyle w:val="Tableheadings"/>
              <w:rPr>
                <w:rFonts w:asciiTheme="minorHAnsi" w:hAnsiTheme="minorHAnsi" w:cstheme="minorHAnsi"/>
                <w:szCs w:val="22"/>
              </w:rPr>
            </w:pPr>
            <w:r w:rsidRPr="00FC0242">
              <w:rPr>
                <w:rFonts w:asciiTheme="minorHAnsi" w:hAnsiTheme="minorHAnsi" w:cstheme="minorHAnsi"/>
                <w:szCs w:val="22"/>
              </w:rPr>
              <w:t>Basis for Change</w:t>
            </w:r>
          </w:p>
        </w:tc>
      </w:tr>
      <w:tr w:rsidR="00D74B72" w:rsidRPr="00FC0242" w14:paraId="30BC848A" w14:textId="77777777" w:rsidTr="006A5072">
        <w:trPr>
          <w:trHeight w:val="57"/>
        </w:trPr>
        <w:tc>
          <w:tcPr>
            <w:tcW w:w="758" w:type="pct"/>
            <w:shd w:val="clear" w:color="auto" w:fill="auto"/>
          </w:tcPr>
          <w:p w14:paraId="2DD97910" w14:textId="713E7716" w:rsidR="00D74B72" w:rsidRPr="00FC7DBA" w:rsidRDefault="00D74B72" w:rsidP="00DA383D">
            <w:pPr>
              <w:spacing w:before="0" w:after="0"/>
              <w:rPr>
                <w:rFonts w:cstheme="minorHAnsi"/>
                <w:szCs w:val="22"/>
              </w:rPr>
            </w:pPr>
            <w:r w:rsidRPr="00FC7DBA">
              <w:rPr>
                <w:rFonts w:cstheme="minorHAnsi"/>
                <w:szCs w:val="22"/>
              </w:rPr>
              <w:t>November 2022</w:t>
            </w:r>
          </w:p>
        </w:tc>
        <w:tc>
          <w:tcPr>
            <w:tcW w:w="1243" w:type="pct"/>
            <w:shd w:val="clear" w:color="auto" w:fill="auto"/>
          </w:tcPr>
          <w:p w14:paraId="0B06267E" w14:textId="1DF4B990" w:rsidR="00D74B72" w:rsidRPr="00FC7DBA" w:rsidRDefault="00D74B72" w:rsidP="00DA383D">
            <w:pPr>
              <w:spacing w:before="0" w:after="0"/>
              <w:rPr>
                <w:rFonts w:cstheme="minorHAnsi"/>
                <w:szCs w:val="22"/>
              </w:rPr>
            </w:pPr>
            <w:r w:rsidRPr="00FC7DBA">
              <w:rPr>
                <w:rFonts w:cstheme="minorHAnsi"/>
                <w:szCs w:val="22"/>
              </w:rPr>
              <w:t>Update of CRIS with 2021-22 financial performance data (Version 1.2)</w:t>
            </w:r>
          </w:p>
        </w:tc>
        <w:tc>
          <w:tcPr>
            <w:tcW w:w="1602" w:type="pct"/>
            <w:shd w:val="clear" w:color="auto" w:fill="auto"/>
          </w:tcPr>
          <w:p w14:paraId="05FF74C9" w14:textId="058BB154" w:rsidR="00D74B72" w:rsidRPr="00FC7DBA" w:rsidRDefault="00D74B72" w:rsidP="00DA383D">
            <w:pPr>
              <w:spacing w:before="0" w:after="0"/>
              <w:rPr>
                <w:rFonts w:cstheme="minorHAnsi"/>
                <w:szCs w:val="22"/>
              </w:rPr>
            </w:pPr>
            <w:r w:rsidRPr="00FC7DBA">
              <w:rPr>
                <w:rFonts w:asciiTheme="minorHAnsi" w:hAnsiTheme="minorHAnsi" w:cstheme="minorHAnsi"/>
                <w:szCs w:val="22"/>
              </w:rPr>
              <w:t>First Assistant Secretary, Technology Assessment and Access Division</w:t>
            </w:r>
          </w:p>
        </w:tc>
        <w:tc>
          <w:tcPr>
            <w:tcW w:w="1397" w:type="pct"/>
            <w:shd w:val="clear" w:color="auto" w:fill="auto"/>
            <w:vAlign w:val="center"/>
          </w:tcPr>
          <w:p w14:paraId="343001A9" w14:textId="7BC89F59" w:rsidR="00D74B72" w:rsidRPr="00FC7DBA" w:rsidRDefault="00D74B72" w:rsidP="00DA383D">
            <w:pPr>
              <w:spacing w:before="0" w:after="0"/>
              <w:rPr>
                <w:rFonts w:cstheme="minorHAnsi"/>
                <w:szCs w:val="22"/>
              </w:rPr>
            </w:pPr>
            <w:r w:rsidRPr="00FC7DBA">
              <w:rPr>
                <w:rFonts w:cstheme="minorHAnsi"/>
                <w:szCs w:val="22"/>
              </w:rPr>
              <w:t>Updated for 2021-22 financial results</w:t>
            </w:r>
          </w:p>
        </w:tc>
      </w:tr>
      <w:tr w:rsidR="00FC0242" w:rsidRPr="00FC0242" w14:paraId="5B3165AA" w14:textId="77777777" w:rsidTr="006A5072">
        <w:trPr>
          <w:trHeight w:val="57"/>
        </w:trPr>
        <w:tc>
          <w:tcPr>
            <w:tcW w:w="758" w:type="pct"/>
            <w:shd w:val="clear" w:color="auto" w:fill="auto"/>
          </w:tcPr>
          <w:p w14:paraId="336BA1C3" w14:textId="2F9C6EFD" w:rsidR="00DA383D" w:rsidRPr="00FC0242" w:rsidRDefault="00DA383D" w:rsidP="00DA383D">
            <w:pPr>
              <w:spacing w:before="0" w:after="0"/>
              <w:rPr>
                <w:rFonts w:cstheme="minorHAnsi"/>
                <w:szCs w:val="22"/>
              </w:rPr>
            </w:pPr>
            <w:r w:rsidRPr="00FC0242">
              <w:rPr>
                <w:rFonts w:asciiTheme="minorHAnsi" w:hAnsiTheme="minorHAnsi" w:cstheme="minorHAnsi"/>
                <w:szCs w:val="22"/>
              </w:rPr>
              <w:t>June 2022</w:t>
            </w:r>
          </w:p>
        </w:tc>
        <w:tc>
          <w:tcPr>
            <w:tcW w:w="1243" w:type="pct"/>
            <w:shd w:val="clear" w:color="auto" w:fill="auto"/>
          </w:tcPr>
          <w:p w14:paraId="4329766E" w14:textId="0FD887F6" w:rsidR="00DA383D" w:rsidRPr="00FC0242" w:rsidRDefault="00DA383D" w:rsidP="00DA383D">
            <w:pPr>
              <w:spacing w:before="0" w:after="0"/>
              <w:rPr>
                <w:rFonts w:cstheme="minorHAnsi"/>
                <w:szCs w:val="22"/>
              </w:rPr>
            </w:pPr>
            <w:r w:rsidRPr="00FC0242">
              <w:rPr>
                <w:rFonts w:asciiTheme="minorHAnsi" w:hAnsiTheme="minorHAnsi" w:cstheme="minorHAnsi"/>
                <w:szCs w:val="22"/>
              </w:rPr>
              <w:t>Update of CRIS for 2022</w:t>
            </w:r>
            <w:r w:rsidRPr="00FC0242">
              <w:rPr>
                <w:rFonts w:asciiTheme="minorHAnsi" w:hAnsiTheme="minorHAnsi" w:cstheme="minorHAnsi"/>
                <w:szCs w:val="22"/>
              </w:rPr>
              <w:noBreakHyphen/>
              <w:t>23 (Version 1.</w:t>
            </w:r>
            <w:r w:rsidR="00D74B72">
              <w:rPr>
                <w:rFonts w:asciiTheme="minorHAnsi" w:hAnsiTheme="minorHAnsi" w:cstheme="minorHAnsi"/>
                <w:szCs w:val="22"/>
              </w:rPr>
              <w:t>1</w:t>
            </w:r>
            <w:r w:rsidRPr="00FC0242">
              <w:rPr>
                <w:rFonts w:asciiTheme="minorHAnsi" w:hAnsiTheme="minorHAnsi" w:cstheme="minorHAnsi"/>
                <w:szCs w:val="22"/>
              </w:rPr>
              <w:t>)</w:t>
            </w:r>
          </w:p>
        </w:tc>
        <w:tc>
          <w:tcPr>
            <w:tcW w:w="1602" w:type="pct"/>
            <w:shd w:val="clear" w:color="auto" w:fill="auto"/>
          </w:tcPr>
          <w:p w14:paraId="28B12378" w14:textId="72C93822" w:rsidR="00DA383D" w:rsidRPr="00FC0242" w:rsidRDefault="00DA383D" w:rsidP="00DA383D">
            <w:pPr>
              <w:spacing w:before="0" w:after="0"/>
              <w:rPr>
                <w:rFonts w:cstheme="minorHAnsi"/>
                <w:szCs w:val="22"/>
              </w:rPr>
            </w:pPr>
            <w:r w:rsidRPr="00FC0242">
              <w:rPr>
                <w:rFonts w:asciiTheme="minorHAnsi" w:hAnsiTheme="minorHAnsi" w:cstheme="minorHAnsi"/>
                <w:szCs w:val="22"/>
              </w:rPr>
              <w:t>First Assistant Secretary, Technology Assessment and Access Division</w:t>
            </w:r>
          </w:p>
        </w:tc>
        <w:tc>
          <w:tcPr>
            <w:tcW w:w="1397" w:type="pct"/>
            <w:shd w:val="clear" w:color="auto" w:fill="auto"/>
            <w:vAlign w:val="center"/>
          </w:tcPr>
          <w:p w14:paraId="2EAA6D57" w14:textId="2C7B5595" w:rsidR="00DA383D" w:rsidRPr="00FC0242" w:rsidRDefault="00DA383D" w:rsidP="00DA383D">
            <w:pPr>
              <w:spacing w:before="0" w:after="0"/>
              <w:rPr>
                <w:rFonts w:cstheme="minorHAnsi"/>
                <w:szCs w:val="22"/>
              </w:rPr>
            </w:pPr>
            <w:r w:rsidRPr="00FC0242">
              <w:rPr>
                <w:rFonts w:asciiTheme="minorHAnsi" w:hAnsiTheme="minorHAnsi" w:cstheme="minorHAnsi"/>
                <w:szCs w:val="22"/>
              </w:rPr>
              <w:t>Annual CRIS update</w:t>
            </w:r>
          </w:p>
        </w:tc>
      </w:tr>
      <w:tr w:rsidR="00FC0242" w:rsidRPr="00FC0242" w14:paraId="007E74D0" w14:textId="77777777" w:rsidTr="006A5072">
        <w:trPr>
          <w:trHeight w:val="57"/>
        </w:trPr>
        <w:tc>
          <w:tcPr>
            <w:tcW w:w="758" w:type="pct"/>
            <w:shd w:val="clear" w:color="auto" w:fill="auto"/>
          </w:tcPr>
          <w:p w14:paraId="410A124C" w14:textId="0DF1CB12" w:rsidR="00E54DB4" w:rsidRPr="00FC0242" w:rsidRDefault="00E54DB4" w:rsidP="00E54DB4">
            <w:pPr>
              <w:spacing w:before="0" w:after="0"/>
              <w:rPr>
                <w:rFonts w:cstheme="minorHAnsi"/>
                <w:szCs w:val="22"/>
              </w:rPr>
            </w:pPr>
            <w:r w:rsidRPr="00FC0242">
              <w:rPr>
                <w:rFonts w:asciiTheme="minorHAnsi" w:hAnsiTheme="minorHAnsi" w:cstheme="minorHAnsi"/>
                <w:szCs w:val="22"/>
              </w:rPr>
              <w:t>November 2021</w:t>
            </w:r>
          </w:p>
        </w:tc>
        <w:tc>
          <w:tcPr>
            <w:tcW w:w="1243" w:type="pct"/>
            <w:shd w:val="clear" w:color="auto" w:fill="auto"/>
          </w:tcPr>
          <w:p w14:paraId="3A6CCBDF" w14:textId="7A07385E" w:rsidR="00E54DB4" w:rsidRPr="00FC0242" w:rsidRDefault="00E54DB4" w:rsidP="00E54DB4">
            <w:pPr>
              <w:spacing w:before="0" w:after="0"/>
              <w:rPr>
                <w:rFonts w:cstheme="minorHAnsi"/>
                <w:szCs w:val="22"/>
              </w:rPr>
            </w:pPr>
            <w:r w:rsidRPr="00FC0242">
              <w:rPr>
                <w:rFonts w:asciiTheme="minorHAnsi" w:hAnsiTheme="minorHAnsi" w:cstheme="minorHAnsi"/>
                <w:szCs w:val="22"/>
              </w:rPr>
              <w:t xml:space="preserve">Update of CRIS </w:t>
            </w:r>
            <w:r w:rsidR="002A1939" w:rsidRPr="00FC0242">
              <w:rPr>
                <w:rFonts w:asciiTheme="minorHAnsi" w:hAnsiTheme="minorHAnsi" w:cstheme="minorHAnsi"/>
                <w:szCs w:val="22"/>
              </w:rPr>
              <w:t xml:space="preserve">with </w:t>
            </w:r>
            <w:r w:rsidRPr="00FC0242">
              <w:rPr>
                <w:rFonts w:asciiTheme="minorHAnsi" w:hAnsiTheme="minorHAnsi" w:cstheme="minorHAnsi"/>
                <w:szCs w:val="22"/>
              </w:rPr>
              <w:t>2020</w:t>
            </w:r>
            <w:r w:rsidR="0073303A" w:rsidRPr="00FC0242">
              <w:rPr>
                <w:rFonts w:asciiTheme="minorHAnsi" w:hAnsiTheme="minorHAnsi" w:cstheme="minorHAnsi"/>
                <w:szCs w:val="22"/>
              </w:rPr>
              <w:noBreakHyphen/>
            </w:r>
            <w:r w:rsidRPr="00FC0242">
              <w:rPr>
                <w:rFonts w:asciiTheme="minorHAnsi" w:hAnsiTheme="minorHAnsi" w:cstheme="minorHAnsi"/>
                <w:szCs w:val="22"/>
              </w:rPr>
              <w:t xml:space="preserve">21 </w:t>
            </w:r>
            <w:r w:rsidR="00262D42" w:rsidRPr="00FC0242">
              <w:rPr>
                <w:rFonts w:asciiTheme="minorHAnsi" w:hAnsiTheme="minorHAnsi" w:cstheme="minorHAnsi"/>
                <w:szCs w:val="22"/>
              </w:rPr>
              <w:t xml:space="preserve">financial </w:t>
            </w:r>
            <w:r w:rsidRPr="00FC0242">
              <w:rPr>
                <w:rFonts w:asciiTheme="minorHAnsi" w:hAnsiTheme="minorHAnsi" w:cstheme="minorHAnsi"/>
                <w:szCs w:val="22"/>
              </w:rPr>
              <w:t>performance data</w:t>
            </w:r>
            <w:r w:rsidR="002A1939" w:rsidRPr="00FC0242">
              <w:rPr>
                <w:rFonts w:asciiTheme="minorHAnsi" w:hAnsiTheme="minorHAnsi" w:cstheme="minorHAnsi"/>
                <w:szCs w:val="22"/>
              </w:rPr>
              <w:t xml:space="preserve"> (Version 1.1)</w:t>
            </w:r>
          </w:p>
        </w:tc>
        <w:tc>
          <w:tcPr>
            <w:tcW w:w="1602" w:type="pct"/>
            <w:shd w:val="clear" w:color="auto" w:fill="auto"/>
          </w:tcPr>
          <w:p w14:paraId="7AD5F0D1" w14:textId="75801A3A" w:rsidR="00E54DB4" w:rsidRPr="00FC0242" w:rsidRDefault="00E54DB4" w:rsidP="00E54DB4">
            <w:pPr>
              <w:spacing w:before="0" w:after="0"/>
              <w:rPr>
                <w:rFonts w:cstheme="minorHAnsi"/>
                <w:szCs w:val="22"/>
              </w:rPr>
            </w:pPr>
            <w:r w:rsidRPr="00FC0242">
              <w:rPr>
                <w:rFonts w:asciiTheme="minorHAnsi" w:hAnsiTheme="minorHAnsi" w:cstheme="minorHAnsi"/>
                <w:szCs w:val="22"/>
              </w:rPr>
              <w:t>First Assistant Secretary, Technology Assessment and Access Division</w:t>
            </w:r>
          </w:p>
        </w:tc>
        <w:tc>
          <w:tcPr>
            <w:tcW w:w="1397" w:type="pct"/>
            <w:shd w:val="clear" w:color="auto" w:fill="auto"/>
            <w:vAlign w:val="center"/>
          </w:tcPr>
          <w:p w14:paraId="7C8474B6" w14:textId="7035B0D2" w:rsidR="00E54DB4" w:rsidRPr="00FC0242" w:rsidRDefault="00E54DB4" w:rsidP="00E54DB4">
            <w:pPr>
              <w:spacing w:before="0" w:after="0"/>
              <w:rPr>
                <w:rFonts w:cstheme="minorHAnsi"/>
                <w:szCs w:val="22"/>
              </w:rPr>
            </w:pPr>
            <w:r w:rsidRPr="00FC0242">
              <w:rPr>
                <w:rFonts w:asciiTheme="minorHAnsi" w:hAnsiTheme="minorHAnsi" w:cstheme="minorHAnsi"/>
                <w:szCs w:val="22"/>
              </w:rPr>
              <w:t>Updated for 2020-21 financial results</w:t>
            </w:r>
          </w:p>
        </w:tc>
      </w:tr>
      <w:tr w:rsidR="00FC0242" w:rsidRPr="00FC0242" w14:paraId="3FDD5F0B" w14:textId="77777777" w:rsidTr="006A5072">
        <w:trPr>
          <w:trHeight w:val="57"/>
        </w:trPr>
        <w:tc>
          <w:tcPr>
            <w:tcW w:w="758" w:type="pct"/>
            <w:shd w:val="clear" w:color="auto" w:fill="auto"/>
          </w:tcPr>
          <w:p w14:paraId="44E579A2" w14:textId="1CE5E573"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lastRenderedPageBreak/>
              <w:t>June 2021</w:t>
            </w:r>
          </w:p>
        </w:tc>
        <w:tc>
          <w:tcPr>
            <w:tcW w:w="1243" w:type="pct"/>
            <w:shd w:val="clear" w:color="auto" w:fill="auto"/>
          </w:tcPr>
          <w:p w14:paraId="32781551" w14:textId="020A5794"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Update of CRIS for 2021</w:t>
            </w:r>
            <w:r w:rsidR="002A1939" w:rsidRPr="00FC0242">
              <w:rPr>
                <w:rFonts w:asciiTheme="minorHAnsi" w:hAnsiTheme="minorHAnsi" w:cstheme="minorHAnsi"/>
                <w:szCs w:val="22"/>
              </w:rPr>
              <w:noBreakHyphen/>
            </w:r>
            <w:r w:rsidRPr="00FC0242">
              <w:rPr>
                <w:rFonts w:asciiTheme="minorHAnsi" w:hAnsiTheme="minorHAnsi" w:cstheme="minorHAnsi"/>
                <w:szCs w:val="22"/>
              </w:rPr>
              <w:t>22</w:t>
            </w:r>
            <w:r w:rsidR="002A1939" w:rsidRPr="00FC0242">
              <w:rPr>
                <w:rFonts w:asciiTheme="minorHAnsi" w:hAnsiTheme="minorHAnsi" w:cstheme="minorHAnsi"/>
                <w:szCs w:val="22"/>
              </w:rPr>
              <w:t xml:space="preserve"> (Version 1.0)</w:t>
            </w:r>
          </w:p>
        </w:tc>
        <w:tc>
          <w:tcPr>
            <w:tcW w:w="1602" w:type="pct"/>
            <w:shd w:val="clear" w:color="auto" w:fill="auto"/>
          </w:tcPr>
          <w:p w14:paraId="43D6999F" w14:textId="515E78FE"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First Assistant Secretary, Technology Assessment and Access Division</w:t>
            </w:r>
          </w:p>
        </w:tc>
        <w:tc>
          <w:tcPr>
            <w:tcW w:w="1397" w:type="pct"/>
            <w:shd w:val="clear" w:color="auto" w:fill="auto"/>
            <w:vAlign w:val="center"/>
          </w:tcPr>
          <w:p w14:paraId="1AD03065" w14:textId="2287DC63"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Annual CRIS update</w:t>
            </w:r>
          </w:p>
        </w:tc>
      </w:tr>
      <w:tr w:rsidR="00FC0242" w:rsidRPr="00FC0242" w14:paraId="5F1F8DEC" w14:textId="77777777" w:rsidTr="006A5072">
        <w:trPr>
          <w:trHeight w:val="57"/>
        </w:trPr>
        <w:tc>
          <w:tcPr>
            <w:tcW w:w="758" w:type="pct"/>
            <w:shd w:val="clear" w:color="auto" w:fill="auto"/>
          </w:tcPr>
          <w:p w14:paraId="4BC9F9A8" w14:textId="3073ADF8" w:rsidR="003F4A5C" w:rsidRPr="00FC0242" w:rsidRDefault="003F4A5C" w:rsidP="006A5072">
            <w:pPr>
              <w:spacing w:before="0" w:after="0"/>
              <w:rPr>
                <w:rFonts w:cstheme="minorHAnsi"/>
                <w:szCs w:val="22"/>
              </w:rPr>
            </w:pPr>
            <w:r w:rsidRPr="00FC0242">
              <w:rPr>
                <w:rFonts w:asciiTheme="minorHAnsi" w:hAnsiTheme="minorHAnsi" w:cstheme="minorHAnsi"/>
                <w:szCs w:val="22"/>
              </w:rPr>
              <w:t>April 2021</w:t>
            </w:r>
          </w:p>
        </w:tc>
        <w:tc>
          <w:tcPr>
            <w:tcW w:w="1243" w:type="pct"/>
            <w:shd w:val="clear" w:color="auto" w:fill="auto"/>
          </w:tcPr>
          <w:p w14:paraId="1E7B7594" w14:textId="61CE6BC1" w:rsidR="003F4A5C" w:rsidRPr="00FC0242" w:rsidRDefault="003F4A5C" w:rsidP="006A5072">
            <w:pPr>
              <w:spacing w:before="0" w:after="0"/>
              <w:rPr>
                <w:rFonts w:cstheme="minorHAnsi"/>
                <w:szCs w:val="22"/>
              </w:rPr>
            </w:pPr>
            <w:r w:rsidRPr="00FC0242">
              <w:rPr>
                <w:rFonts w:asciiTheme="minorHAnsi" w:hAnsiTheme="minorHAnsi" w:cstheme="minorHAnsi"/>
                <w:szCs w:val="22"/>
              </w:rPr>
              <w:t>Update of CRIS for 2019</w:t>
            </w:r>
            <w:r w:rsidR="002A1939" w:rsidRPr="00FC0242">
              <w:rPr>
                <w:rFonts w:asciiTheme="minorHAnsi" w:hAnsiTheme="minorHAnsi" w:cstheme="minorHAnsi"/>
                <w:szCs w:val="22"/>
              </w:rPr>
              <w:noBreakHyphen/>
            </w:r>
            <w:r w:rsidRPr="00FC0242">
              <w:rPr>
                <w:rFonts w:asciiTheme="minorHAnsi" w:hAnsiTheme="minorHAnsi" w:cstheme="minorHAnsi"/>
                <w:szCs w:val="22"/>
              </w:rPr>
              <w:t>20 performance data</w:t>
            </w:r>
          </w:p>
        </w:tc>
        <w:tc>
          <w:tcPr>
            <w:tcW w:w="1602" w:type="pct"/>
            <w:shd w:val="clear" w:color="auto" w:fill="auto"/>
          </w:tcPr>
          <w:p w14:paraId="015A768D" w14:textId="77777777" w:rsidR="003F4A5C" w:rsidRPr="00FC0242" w:rsidRDefault="003F4A5C" w:rsidP="006A5072">
            <w:pPr>
              <w:spacing w:before="0" w:after="0"/>
              <w:rPr>
                <w:rFonts w:cstheme="minorHAnsi"/>
                <w:szCs w:val="22"/>
              </w:rPr>
            </w:pPr>
            <w:r w:rsidRPr="00FC0242">
              <w:rPr>
                <w:rFonts w:asciiTheme="minorHAnsi" w:hAnsiTheme="minorHAnsi" w:cstheme="minorHAnsi"/>
                <w:szCs w:val="22"/>
              </w:rPr>
              <w:t>First Assistant Secretary, Technology Assessment and Access Division</w:t>
            </w:r>
          </w:p>
        </w:tc>
        <w:tc>
          <w:tcPr>
            <w:tcW w:w="1397" w:type="pct"/>
            <w:shd w:val="clear" w:color="auto" w:fill="auto"/>
            <w:vAlign w:val="center"/>
          </w:tcPr>
          <w:p w14:paraId="0682B327" w14:textId="77777777" w:rsidR="003F4A5C" w:rsidRPr="00FC0242" w:rsidRDefault="003F4A5C" w:rsidP="006A5072">
            <w:pPr>
              <w:spacing w:before="0" w:after="0"/>
              <w:rPr>
                <w:rFonts w:cstheme="minorHAnsi"/>
                <w:szCs w:val="22"/>
              </w:rPr>
            </w:pPr>
            <w:r w:rsidRPr="00FC0242">
              <w:rPr>
                <w:rFonts w:asciiTheme="minorHAnsi" w:hAnsiTheme="minorHAnsi" w:cstheme="minorHAnsi"/>
                <w:szCs w:val="22"/>
              </w:rPr>
              <w:t>Updated for 2019-20 financial results</w:t>
            </w:r>
          </w:p>
        </w:tc>
      </w:tr>
      <w:tr w:rsidR="00FC0242" w:rsidRPr="00FC0242" w14:paraId="2F525B66" w14:textId="77777777" w:rsidTr="006A5072">
        <w:trPr>
          <w:trHeight w:val="57"/>
        </w:trPr>
        <w:tc>
          <w:tcPr>
            <w:tcW w:w="758" w:type="pct"/>
            <w:shd w:val="clear" w:color="auto" w:fill="auto"/>
          </w:tcPr>
          <w:p w14:paraId="58948942"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June 2020</w:t>
            </w:r>
          </w:p>
        </w:tc>
        <w:tc>
          <w:tcPr>
            <w:tcW w:w="1243" w:type="pct"/>
            <w:shd w:val="clear" w:color="auto" w:fill="auto"/>
          </w:tcPr>
          <w:p w14:paraId="5562807E"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Update of CRIS for 2020-21</w:t>
            </w:r>
          </w:p>
        </w:tc>
        <w:tc>
          <w:tcPr>
            <w:tcW w:w="1602" w:type="pct"/>
            <w:shd w:val="clear" w:color="auto" w:fill="auto"/>
          </w:tcPr>
          <w:p w14:paraId="3EE8419B"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First Assistant Secretary, Technology Assessment and Access Division</w:t>
            </w:r>
          </w:p>
        </w:tc>
        <w:tc>
          <w:tcPr>
            <w:tcW w:w="1397" w:type="pct"/>
            <w:shd w:val="clear" w:color="auto" w:fill="auto"/>
            <w:vAlign w:val="center"/>
          </w:tcPr>
          <w:p w14:paraId="6F29BD5C"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 xml:space="preserve">Annual CRIS update </w:t>
            </w:r>
          </w:p>
        </w:tc>
      </w:tr>
      <w:tr w:rsidR="00FC0242" w:rsidRPr="00FC0242" w14:paraId="1C6C4560" w14:textId="77777777" w:rsidTr="006A5072">
        <w:trPr>
          <w:trHeight w:val="57"/>
        </w:trPr>
        <w:tc>
          <w:tcPr>
            <w:tcW w:w="758" w:type="pct"/>
            <w:shd w:val="clear" w:color="auto" w:fill="auto"/>
          </w:tcPr>
          <w:p w14:paraId="05891DF7"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November 2019</w:t>
            </w:r>
          </w:p>
        </w:tc>
        <w:tc>
          <w:tcPr>
            <w:tcW w:w="1243" w:type="pct"/>
            <w:shd w:val="clear" w:color="auto" w:fill="auto"/>
          </w:tcPr>
          <w:p w14:paraId="784F5243"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Update of CRIS for 2018-19 performance data</w:t>
            </w:r>
          </w:p>
        </w:tc>
        <w:tc>
          <w:tcPr>
            <w:tcW w:w="1602" w:type="pct"/>
            <w:shd w:val="clear" w:color="auto" w:fill="auto"/>
          </w:tcPr>
          <w:p w14:paraId="1613C3C3" w14:textId="77777777" w:rsidR="003F4A5C" w:rsidRPr="00FC0242" w:rsidRDefault="003F4A5C" w:rsidP="006A5072">
            <w:pPr>
              <w:spacing w:before="0" w:after="0"/>
              <w:rPr>
                <w:rFonts w:cstheme="minorHAnsi"/>
                <w:szCs w:val="22"/>
              </w:rPr>
            </w:pPr>
            <w:r w:rsidRPr="00FC0242">
              <w:rPr>
                <w:rFonts w:asciiTheme="minorHAnsi" w:hAnsiTheme="minorHAnsi" w:cstheme="minorHAnsi"/>
                <w:szCs w:val="22"/>
              </w:rPr>
              <w:t>First Assistant Secretary, Technology Assessment and Access Division</w:t>
            </w:r>
          </w:p>
        </w:tc>
        <w:tc>
          <w:tcPr>
            <w:tcW w:w="1397" w:type="pct"/>
            <w:shd w:val="clear" w:color="auto" w:fill="auto"/>
            <w:vAlign w:val="center"/>
          </w:tcPr>
          <w:p w14:paraId="0F49C737" w14:textId="77777777" w:rsidR="003F4A5C" w:rsidRPr="00FC0242" w:rsidRDefault="003F4A5C" w:rsidP="006A5072">
            <w:pPr>
              <w:spacing w:before="0" w:after="0"/>
              <w:rPr>
                <w:rFonts w:cstheme="minorHAnsi"/>
                <w:szCs w:val="22"/>
              </w:rPr>
            </w:pPr>
            <w:r w:rsidRPr="00FC0242">
              <w:rPr>
                <w:rFonts w:asciiTheme="minorHAnsi" w:hAnsiTheme="minorHAnsi" w:cstheme="minorHAnsi"/>
                <w:szCs w:val="22"/>
              </w:rPr>
              <w:t>Updated for 2018-19 financial results</w:t>
            </w:r>
          </w:p>
        </w:tc>
      </w:tr>
      <w:tr w:rsidR="00FC0242" w:rsidRPr="00FC0242" w14:paraId="1FBCBF67" w14:textId="77777777" w:rsidTr="006A5072">
        <w:trPr>
          <w:trHeight w:val="57"/>
        </w:trPr>
        <w:tc>
          <w:tcPr>
            <w:tcW w:w="758" w:type="pct"/>
            <w:shd w:val="clear" w:color="auto" w:fill="auto"/>
          </w:tcPr>
          <w:p w14:paraId="00AE36CA"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June 2019</w:t>
            </w:r>
          </w:p>
        </w:tc>
        <w:tc>
          <w:tcPr>
            <w:tcW w:w="1243" w:type="pct"/>
            <w:shd w:val="clear" w:color="auto" w:fill="auto"/>
          </w:tcPr>
          <w:p w14:paraId="36789EBA" w14:textId="704DD804"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Update of CRIS for 2018-19 and 2019-20</w:t>
            </w:r>
          </w:p>
        </w:tc>
        <w:tc>
          <w:tcPr>
            <w:tcW w:w="1602" w:type="pct"/>
            <w:shd w:val="clear" w:color="auto" w:fill="auto"/>
          </w:tcPr>
          <w:p w14:paraId="4C6E1A04"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Secretary, Department of Health</w:t>
            </w:r>
          </w:p>
        </w:tc>
        <w:tc>
          <w:tcPr>
            <w:tcW w:w="1397" w:type="pct"/>
            <w:shd w:val="clear" w:color="auto" w:fill="auto"/>
            <w:vAlign w:val="center"/>
          </w:tcPr>
          <w:p w14:paraId="36E8E598"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 xml:space="preserve">Updated for 2017-18 financial results and financial estimates </w:t>
            </w:r>
          </w:p>
        </w:tc>
      </w:tr>
      <w:tr w:rsidR="00FC0242" w:rsidRPr="00FC0242" w14:paraId="13285D31" w14:textId="77777777" w:rsidTr="006A5072">
        <w:trPr>
          <w:trHeight w:val="57"/>
        </w:trPr>
        <w:tc>
          <w:tcPr>
            <w:tcW w:w="758" w:type="pct"/>
          </w:tcPr>
          <w:p w14:paraId="27079B53"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July 2018</w:t>
            </w:r>
          </w:p>
        </w:tc>
        <w:tc>
          <w:tcPr>
            <w:tcW w:w="1243" w:type="pct"/>
          </w:tcPr>
          <w:p w14:paraId="69DE8EE0"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Update of CRIS for 2017-18</w:t>
            </w:r>
          </w:p>
        </w:tc>
        <w:tc>
          <w:tcPr>
            <w:tcW w:w="1602" w:type="pct"/>
          </w:tcPr>
          <w:p w14:paraId="1A1C0B68"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First Assistant Secretary, Technology Assessment and Access Division</w:t>
            </w:r>
          </w:p>
        </w:tc>
        <w:tc>
          <w:tcPr>
            <w:tcW w:w="1397" w:type="pct"/>
            <w:vAlign w:val="center"/>
          </w:tcPr>
          <w:p w14:paraId="40EE5B10"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Update of financial estimates</w:t>
            </w:r>
          </w:p>
        </w:tc>
      </w:tr>
      <w:tr w:rsidR="00FC0242" w:rsidRPr="00FC0242" w14:paraId="6D701D75" w14:textId="77777777" w:rsidTr="006A5072">
        <w:trPr>
          <w:trHeight w:val="57"/>
        </w:trPr>
        <w:tc>
          <w:tcPr>
            <w:tcW w:w="758" w:type="pct"/>
          </w:tcPr>
          <w:p w14:paraId="0E8BD541"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February 2018</w:t>
            </w:r>
          </w:p>
        </w:tc>
        <w:tc>
          <w:tcPr>
            <w:tcW w:w="1243" w:type="pct"/>
          </w:tcPr>
          <w:p w14:paraId="2580D7C9"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 xml:space="preserve">Update of 2016-17 performance data </w:t>
            </w:r>
          </w:p>
        </w:tc>
        <w:tc>
          <w:tcPr>
            <w:tcW w:w="1602" w:type="pct"/>
          </w:tcPr>
          <w:p w14:paraId="5AE30432"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Secretary, Department of Health</w:t>
            </w:r>
          </w:p>
        </w:tc>
        <w:tc>
          <w:tcPr>
            <w:tcW w:w="1397" w:type="pct"/>
            <w:vAlign w:val="center"/>
          </w:tcPr>
          <w:p w14:paraId="5224EB9F" w14:textId="77777777" w:rsidR="003F4A5C" w:rsidRPr="00FC0242" w:rsidRDefault="003F4A5C" w:rsidP="006A5072">
            <w:pPr>
              <w:spacing w:before="0" w:after="0"/>
              <w:rPr>
                <w:rFonts w:asciiTheme="minorHAnsi" w:hAnsiTheme="minorHAnsi" w:cstheme="minorHAnsi"/>
                <w:szCs w:val="22"/>
              </w:rPr>
            </w:pPr>
            <w:r w:rsidRPr="00FC0242">
              <w:rPr>
                <w:rFonts w:asciiTheme="minorHAnsi" w:hAnsiTheme="minorHAnsi" w:cstheme="minorHAnsi"/>
                <w:szCs w:val="22"/>
              </w:rPr>
              <w:t xml:space="preserve">Updated for 2016-17 financial results </w:t>
            </w:r>
          </w:p>
        </w:tc>
      </w:tr>
      <w:tr w:rsidR="00FC0242" w:rsidRPr="00FC0242" w14:paraId="48E9A1F1" w14:textId="77777777" w:rsidTr="006A5072">
        <w:trPr>
          <w:trHeight w:val="57"/>
        </w:trPr>
        <w:tc>
          <w:tcPr>
            <w:tcW w:w="758" w:type="pct"/>
          </w:tcPr>
          <w:p w14:paraId="01270486" w14:textId="77777777" w:rsidR="003F4A5C" w:rsidRPr="00FC0242" w:rsidRDefault="003F4A5C" w:rsidP="006A5072">
            <w:pPr>
              <w:spacing w:before="0" w:after="0"/>
              <w:rPr>
                <w:rFonts w:asciiTheme="minorHAnsi" w:hAnsiTheme="minorHAnsi"/>
                <w:szCs w:val="22"/>
              </w:rPr>
            </w:pPr>
            <w:r w:rsidRPr="00FC0242">
              <w:rPr>
                <w:rFonts w:asciiTheme="minorHAnsi" w:hAnsiTheme="minorHAnsi"/>
                <w:szCs w:val="22"/>
              </w:rPr>
              <w:t>24 October 2016</w:t>
            </w:r>
          </w:p>
        </w:tc>
        <w:tc>
          <w:tcPr>
            <w:tcW w:w="1243" w:type="pct"/>
          </w:tcPr>
          <w:p w14:paraId="50E53543" w14:textId="77777777" w:rsidR="003F4A5C" w:rsidRPr="00FC0242" w:rsidRDefault="003F4A5C" w:rsidP="006A5072">
            <w:pPr>
              <w:spacing w:before="0" w:after="0"/>
              <w:rPr>
                <w:rFonts w:asciiTheme="minorHAnsi" w:hAnsiTheme="minorHAnsi"/>
                <w:szCs w:val="22"/>
              </w:rPr>
            </w:pPr>
            <w:r w:rsidRPr="00FC0242">
              <w:rPr>
                <w:rFonts w:asciiTheme="minorHAnsi" w:hAnsiTheme="minorHAnsi"/>
                <w:szCs w:val="22"/>
              </w:rPr>
              <w:t>Agreement</w:t>
            </w:r>
          </w:p>
        </w:tc>
        <w:tc>
          <w:tcPr>
            <w:tcW w:w="1602" w:type="pct"/>
          </w:tcPr>
          <w:p w14:paraId="0439281B" w14:textId="40E1FA7E" w:rsidR="003F4A5C" w:rsidRPr="00FC0242" w:rsidRDefault="003F4A5C" w:rsidP="006A5072">
            <w:pPr>
              <w:spacing w:before="0" w:after="0"/>
              <w:rPr>
                <w:rFonts w:asciiTheme="minorHAnsi" w:hAnsiTheme="minorHAnsi"/>
                <w:szCs w:val="22"/>
              </w:rPr>
            </w:pPr>
            <w:r w:rsidRPr="00FC0242">
              <w:rPr>
                <w:rFonts w:asciiTheme="minorHAnsi" w:hAnsiTheme="minorHAnsi"/>
                <w:szCs w:val="22"/>
              </w:rPr>
              <w:t>Minister for Health</w:t>
            </w:r>
            <w:r w:rsidR="003C0AF4" w:rsidRPr="00FC0242">
              <w:rPr>
                <w:rFonts w:asciiTheme="minorHAnsi" w:hAnsiTheme="minorHAnsi"/>
                <w:szCs w:val="22"/>
              </w:rPr>
              <w:t xml:space="preserve"> and Aged Care</w:t>
            </w:r>
          </w:p>
        </w:tc>
        <w:tc>
          <w:tcPr>
            <w:tcW w:w="1397" w:type="pct"/>
          </w:tcPr>
          <w:p w14:paraId="1FC44DCE" w14:textId="77777777" w:rsidR="003F4A5C" w:rsidRPr="00FC0242" w:rsidRDefault="003F4A5C" w:rsidP="006A5072">
            <w:pPr>
              <w:spacing w:before="0" w:after="0"/>
              <w:rPr>
                <w:rFonts w:asciiTheme="minorHAnsi" w:hAnsiTheme="minorHAnsi"/>
                <w:szCs w:val="22"/>
              </w:rPr>
            </w:pPr>
            <w:r w:rsidRPr="00FC0242">
              <w:rPr>
                <w:rFonts w:asciiTheme="minorHAnsi" w:hAnsiTheme="minorHAnsi"/>
                <w:szCs w:val="22"/>
              </w:rPr>
              <w:t>Review of Cost Recovery</w:t>
            </w:r>
          </w:p>
        </w:tc>
      </w:tr>
      <w:tr w:rsidR="003F4A5C" w:rsidRPr="00FC0242" w14:paraId="48E39BD0" w14:textId="77777777" w:rsidTr="006A5072">
        <w:trPr>
          <w:trHeight w:val="57"/>
        </w:trPr>
        <w:tc>
          <w:tcPr>
            <w:tcW w:w="758" w:type="pct"/>
          </w:tcPr>
          <w:p w14:paraId="45F666AE" w14:textId="77777777" w:rsidR="003F4A5C" w:rsidRPr="00FC0242" w:rsidRDefault="003F4A5C" w:rsidP="006A5072">
            <w:pPr>
              <w:spacing w:before="0" w:after="0"/>
              <w:rPr>
                <w:rFonts w:asciiTheme="minorHAnsi" w:hAnsiTheme="minorHAnsi"/>
                <w:szCs w:val="22"/>
              </w:rPr>
            </w:pPr>
            <w:r w:rsidRPr="00FC0242">
              <w:rPr>
                <w:rFonts w:asciiTheme="minorHAnsi" w:hAnsiTheme="minorHAnsi"/>
                <w:szCs w:val="22"/>
              </w:rPr>
              <w:t>16 August 2016</w:t>
            </w:r>
          </w:p>
        </w:tc>
        <w:tc>
          <w:tcPr>
            <w:tcW w:w="1243" w:type="pct"/>
          </w:tcPr>
          <w:p w14:paraId="18CDE9AB" w14:textId="22D14713" w:rsidR="006A5072" w:rsidRPr="00FC0242" w:rsidRDefault="003F4A5C" w:rsidP="006A5072">
            <w:pPr>
              <w:spacing w:before="0" w:after="0"/>
              <w:rPr>
                <w:rFonts w:asciiTheme="minorHAnsi" w:hAnsiTheme="minorHAnsi"/>
                <w:szCs w:val="22"/>
              </w:rPr>
            </w:pPr>
            <w:r w:rsidRPr="00FC0242">
              <w:rPr>
                <w:rFonts w:asciiTheme="minorHAnsi" w:hAnsiTheme="minorHAnsi"/>
                <w:szCs w:val="22"/>
              </w:rPr>
              <w:t>Certification</w:t>
            </w:r>
          </w:p>
        </w:tc>
        <w:tc>
          <w:tcPr>
            <w:tcW w:w="1602" w:type="pct"/>
          </w:tcPr>
          <w:p w14:paraId="2E8A1166" w14:textId="77777777" w:rsidR="003F4A5C" w:rsidRPr="00FC0242" w:rsidRDefault="003F4A5C" w:rsidP="006A5072">
            <w:pPr>
              <w:spacing w:before="0" w:after="0"/>
              <w:rPr>
                <w:rFonts w:asciiTheme="minorHAnsi" w:hAnsiTheme="minorHAnsi"/>
                <w:szCs w:val="22"/>
              </w:rPr>
            </w:pPr>
            <w:r w:rsidRPr="00FC0242">
              <w:rPr>
                <w:rFonts w:asciiTheme="minorHAnsi" w:hAnsiTheme="minorHAnsi"/>
                <w:szCs w:val="22"/>
              </w:rPr>
              <w:t>Secretary, Department of Health</w:t>
            </w:r>
          </w:p>
        </w:tc>
        <w:tc>
          <w:tcPr>
            <w:tcW w:w="1397" w:type="pct"/>
          </w:tcPr>
          <w:p w14:paraId="01CA4C73" w14:textId="77777777" w:rsidR="003F4A5C" w:rsidRPr="00FC0242" w:rsidRDefault="003F4A5C" w:rsidP="006A5072">
            <w:pPr>
              <w:spacing w:before="0" w:after="0"/>
              <w:rPr>
                <w:rFonts w:asciiTheme="minorHAnsi" w:hAnsiTheme="minorHAnsi"/>
                <w:szCs w:val="22"/>
              </w:rPr>
            </w:pPr>
            <w:r w:rsidRPr="00FC0242">
              <w:rPr>
                <w:rFonts w:asciiTheme="minorHAnsi" w:hAnsiTheme="minorHAnsi"/>
                <w:szCs w:val="22"/>
              </w:rPr>
              <w:t>Review of Cost Recovery</w:t>
            </w:r>
          </w:p>
        </w:tc>
      </w:tr>
    </w:tbl>
    <w:p w14:paraId="5EDD51B4" w14:textId="77777777" w:rsidR="001F00D0" w:rsidRPr="002847F5" w:rsidRDefault="001F00D0" w:rsidP="002847F5"/>
    <w:sectPr w:rsidR="001F00D0" w:rsidRPr="002847F5" w:rsidSect="006A5072">
      <w:footerReference w:type="default" r:id="rId10"/>
      <w:pgSz w:w="11906" w:h="16838"/>
      <w:pgMar w:top="1134" w:right="991" w:bottom="568" w:left="1080" w:header="708"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81CF" w14:textId="77777777" w:rsidR="001D241F" w:rsidRDefault="001D241F" w:rsidP="008B679D">
      <w:r>
        <w:separator/>
      </w:r>
    </w:p>
  </w:endnote>
  <w:endnote w:type="continuationSeparator" w:id="0">
    <w:p w14:paraId="6218DEA7" w14:textId="77777777" w:rsidR="001D241F" w:rsidRDefault="001D241F"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1018" w14:textId="77777777" w:rsidR="00E73366" w:rsidRDefault="00E73366">
    <w:pPr>
      <w:pStyle w:val="Footer"/>
      <w:jc w:val="right"/>
    </w:pPr>
  </w:p>
  <w:p w14:paraId="54910F3B" w14:textId="77777777" w:rsidR="00E73366" w:rsidRDefault="00E73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70211"/>
      <w:docPartObj>
        <w:docPartGallery w:val="Page Numbers (Bottom of Page)"/>
        <w:docPartUnique/>
      </w:docPartObj>
    </w:sdtPr>
    <w:sdtEndPr/>
    <w:sdtContent>
      <w:sdt>
        <w:sdtPr>
          <w:id w:val="254949593"/>
          <w:docPartObj>
            <w:docPartGallery w:val="Page Numbers (Top of Page)"/>
            <w:docPartUnique/>
          </w:docPartObj>
        </w:sdtPr>
        <w:sdtEndPr/>
        <w:sdtContent>
          <w:p w14:paraId="5B4D0B0C" w14:textId="52F2736D" w:rsidR="00E83742" w:rsidRDefault="00E83742">
            <w:pPr>
              <w:pStyle w:val="Footer"/>
              <w:jc w:val="right"/>
            </w:pPr>
            <w:r>
              <w:t xml:space="preserve">Page </w:t>
            </w:r>
            <w:r>
              <w:rPr>
                <w:b/>
                <w:bCs/>
              </w:rPr>
              <w:fldChar w:fldCharType="begin"/>
            </w:r>
            <w:r>
              <w:rPr>
                <w:b/>
                <w:bCs/>
              </w:rPr>
              <w:instrText xml:space="preserve"> PAGE </w:instrText>
            </w:r>
            <w:r>
              <w:rPr>
                <w:b/>
                <w:bCs/>
              </w:rPr>
              <w:fldChar w:fldCharType="separate"/>
            </w:r>
            <w:r w:rsidR="005156B9">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5156B9">
              <w:rPr>
                <w:b/>
                <w:bCs/>
                <w:noProof/>
              </w:rPr>
              <w:t>10</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7E69" w14:textId="77777777" w:rsidR="001D241F" w:rsidRDefault="001D241F" w:rsidP="008B679D">
      <w:r>
        <w:separator/>
      </w:r>
    </w:p>
  </w:footnote>
  <w:footnote w:type="continuationSeparator" w:id="0">
    <w:p w14:paraId="30EEB604" w14:textId="77777777" w:rsidR="001D241F" w:rsidRDefault="001D241F" w:rsidP="008B679D">
      <w:r>
        <w:continuationSeparator/>
      </w:r>
    </w:p>
  </w:footnote>
  <w:footnote w:id="1">
    <w:p w14:paraId="2748907B" w14:textId="77777777" w:rsidR="00CA1625" w:rsidRPr="006A2116" w:rsidRDefault="00CA1625" w:rsidP="00CA1625">
      <w:pPr>
        <w:pStyle w:val="FootnoteText"/>
      </w:pPr>
      <w:r w:rsidRPr="00101163">
        <w:rPr>
          <w:rStyle w:val="FootnoteReference"/>
        </w:rPr>
        <w:footnoteRef/>
      </w:r>
      <w:r w:rsidRPr="00101163">
        <w:t xml:space="preserve"> </w:t>
      </w:r>
      <w:r>
        <w:t xml:space="preserve">The CRGs are available on the Department of Finance website </w:t>
      </w:r>
      <w:hyperlink r:id="rId1" w:history="1">
        <w:r w:rsidRPr="00D0727A">
          <w:rPr>
            <w:rStyle w:val="Hyperlink"/>
          </w:rPr>
          <w:t>Cost Recovery Guidelines</w:t>
        </w:r>
      </w:hyperlink>
      <w:r>
        <w:t xml:space="preserve"> </w:t>
      </w:r>
    </w:p>
  </w:footnote>
  <w:footnote w:id="2">
    <w:p w14:paraId="65D842E9" w14:textId="5785E77C" w:rsidR="00A857E8" w:rsidRPr="00161F87" w:rsidRDefault="00A857E8">
      <w:pPr>
        <w:pStyle w:val="FootnoteText"/>
        <w:rPr>
          <w:color w:val="FF0000"/>
        </w:rPr>
      </w:pPr>
      <w:r w:rsidRPr="00FC7DBA">
        <w:rPr>
          <w:rStyle w:val="FootnoteReference"/>
          <w:color w:val="auto"/>
        </w:rPr>
        <w:footnoteRef/>
      </w:r>
      <w:r w:rsidRPr="00FC7DBA">
        <w:t xml:space="preserve"> https://www.health.gov.au/health-topics/private-health-insurance/the-prostheses-list/the-prostheses-list-reforms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A0A2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088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AE5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FEBA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FA25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C7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8C7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70FF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6C78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02B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301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903A05"/>
    <w:multiLevelType w:val="hybridMultilevel"/>
    <w:tmpl w:val="2A3A3E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08F67B0"/>
    <w:multiLevelType w:val="hybridMultilevel"/>
    <w:tmpl w:val="3B522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DC12D9"/>
    <w:multiLevelType w:val="hybridMultilevel"/>
    <w:tmpl w:val="95D8E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5B208E"/>
    <w:multiLevelType w:val="hybridMultilevel"/>
    <w:tmpl w:val="4D92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C4A4D"/>
    <w:multiLevelType w:val="hybridMultilevel"/>
    <w:tmpl w:val="59CC3F44"/>
    <w:lvl w:ilvl="0" w:tplc="60B6AA50">
      <w:start w:val="1"/>
      <w:numFmt w:val="decimal"/>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A425E8"/>
    <w:multiLevelType w:val="hybridMultilevel"/>
    <w:tmpl w:val="163E9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D44CBF"/>
    <w:multiLevelType w:val="hybridMultilevel"/>
    <w:tmpl w:val="8F58A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8016A5"/>
    <w:multiLevelType w:val="hybridMultilevel"/>
    <w:tmpl w:val="DCA07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BD14C0"/>
    <w:multiLevelType w:val="hybridMultilevel"/>
    <w:tmpl w:val="5742D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7F1839"/>
    <w:multiLevelType w:val="hybridMultilevel"/>
    <w:tmpl w:val="F5324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013F2D"/>
    <w:multiLevelType w:val="hybridMultilevel"/>
    <w:tmpl w:val="8084B2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BF111E"/>
    <w:multiLevelType w:val="hybridMultilevel"/>
    <w:tmpl w:val="4BF2DBAA"/>
    <w:lvl w:ilvl="0" w:tplc="BB7AA89E">
      <w:start w:val="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775DB5"/>
    <w:multiLevelType w:val="multilevel"/>
    <w:tmpl w:val="7174E5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470499C"/>
    <w:multiLevelType w:val="hybridMultilevel"/>
    <w:tmpl w:val="5D2E01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47AB20AD"/>
    <w:multiLevelType w:val="hybridMultilevel"/>
    <w:tmpl w:val="7370F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22A83"/>
    <w:multiLevelType w:val="hybridMultilevel"/>
    <w:tmpl w:val="7CB47D9E"/>
    <w:lvl w:ilvl="0" w:tplc="B90EE1E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DA7349"/>
    <w:multiLevelType w:val="hybridMultilevel"/>
    <w:tmpl w:val="005C2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160868"/>
    <w:multiLevelType w:val="multilevel"/>
    <w:tmpl w:val="91BA2B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313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E3C4845"/>
    <w:multiLevelType w:val="hybridMultilevel"/>
    <w:tmpl w:val="FFB0A7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4D44AF4"/>
    <w:multiLevelType w:val="hybridMultilevel"/>
    <w:tmpl w:val="8862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A648DB"/>
    <w:multiLevelType w:val="multilevel"/>
    <w:tmpl w:val="6B12F78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7D310796"/>
    <w:multiLevelType w:val="hybridMultilevel"/>
    <w:tmpl w:val="7FE01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25"/>
  </w:num>
  <w:num w:numId="4">
    <w:abstractNumId w:val="32"/>
  </w:num>
  <w:num w:numId="5">
    <w:abstractNumId w:val="27"/>
  </w:num>
  <w:num w:numId="6">
    <w:abstractNumId w:val="13"/>
  </w:num>
  <w:num w:numId="7">
    <w:abstractNumId w:val="29"/>
  </w:num>
  <w:num w:numId="8">
    <w:abstractNumId w:val="17"/>
  </w:num>
  <w:num w:numId="9">
    <w:abstractNumId w:val="24"/>
  </w:num>
  <w:num w:numId="10">
    <w:abstractNumId w:val="12"/>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28"/>
  </w:num>
  <w:num w:numId="24">
    <w:abstractNumId w:val="31"/>
  </w:num>
  <w:num w:numId="25">
    <w:abstractNumId w:val="23"/>
  </w:num>
  <w:num w:numId="26">
    <w:abstractNumId w:val="10"/>
  </w:num>
  <w:num w:numId="27">
    <w:abstractNumId w:val="20"/>
  </w:num>
  <w:num w:numId="28">
    <w:abstractNumId w:val="30"/>
  </w:num>
  <w:num w:numId="29">
    <w:abstractNumId w:val="28"/>
  </w:num>
  <w:num w:numId="30">
    <w:abstractNumId w:val="28"/>
  </w:num>
  <w:num w:numId="31">
    <w:abstractNumId w:val="14"/>
  </w:num>
  <w:num w:numId="32">
    <w:abstractNumId w:val="28"/>
    <w:lvlOverride w:ilvl="0">
      <w:startOverride w:val="8"/>
    </w:lvlOverride>
  </w:num>
  <w:num w:numId="33">
    <w:abstractNumId w:val="11"/>
  </w:num>
  <w:num w:numId="34">
    <w:abstractNumId w:val="21"/>
  </w:num>
  <w:num w:numId="35">
    <w:abstractNumId w:val="28"/>
  </w:num>
  <w:num w:numId="36">
    <w:abstractNumId w:val="15"/>
  </w:num>
  <w:num w:numId="37">
    <w:abstractNumId w:val="28"/>
  </w:num>
  <w:num w:numId="38">
    <w:abstractNumId w:val="28"/>
  </w:num>
  <w:num w:numId="39">
    <w:abstractNumId w:val="26"/>
  </w:num>
  <w:num w:numId="40">
    <w:abstractNumId w:val="19"/>
  </w:num>
  <w:num w:numId="41">
    <w:abstractNumId w:val="2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0832"/>
    <w:rsid w:val="00006910"/>
    <w:rsid w:val="00010A10"/>
    <w:rsid w:val="00010FD2"/>
    <w:rsid w:val="000126B8"/>
    <w:rsid w:val="00014B21"/>
    <w:rsid w:val="000170BD"/>
    <w:rsid w:val="00033DB6"/>
    <w:rsid w:val="00041FCC"/>
    <w:rsid w:val="000430E1"/>
    <w:rsid w:val="0004541A"/>
    <w:rsid w:val="00051E56"/>
    <w:rsid w:val="0005223D"/>
    <w:rsid w:val="000525B4"/>
    <w:rsid w:val="00052EF7"/>
    <w:rsid w:val="0005354A"/>
    <w:rsid w:val="00054D13"/>
    <w:rsid w:val="000571A4"/>
    <w:rsid w:val="00070EE1"/>
    <w:rsid w:val="000757AB"/>
    <w:rsid w:val="00076936"/>
    <w:rsid w:val="000813BD"/>
    <w:rsid w:val="000833FB"/>
    <w:rsid w:val="00085170"/>
    <w:rsid w:val="000861ED"/>
    <w:rsid w:val="000A0394"/>
    <w:rsid w:val="000A2E2B"/>
    <w:rsid w:val="000B2915"/>
    <w:rsid w:val="000B4500"/>
    <w:rsid w:val="000B4784"/>
    <w:rsid w:val="000B5626"/>
    <w:rsid w:val="000B7E05"/>
    <w:rsid w:val="000C03AE"/>
    <w:rsid w:val="000C0544"/>
    <w:rsid w:val="000C13B6"/>
    <w:rsid w:val="000C4443"/>
    <w:rsid w:val="000D2651"/>
    <w:rsid w:val="000D2E9A"/>
    <w:rsid w:val="000D3CA2"/>
    <w:rsid w:val="000D4C40"/>
    <w:rsid w:val="000D65A5"/>
    <w:rsid w:val="000D7320"/>
    <w:rsid w:val="000E0408"/>
    <w:rsid w:val="000E3647"/>
    <w:rsid w:val="000F3CDB"/>
    <w:rsid w:val="000F6D53"/>
    <w:rsid w:val="000F7E9D"/>
    <w:rsid w:val="0010102C"/>
    <w:rsid w:val="00101163"/>
    <w:rsid w:val="0010181F"/>
    <w:rsid w:val="00106034"/>
    <w:rsid w:val="00106AB5"/>
    <w:rsid w:val="00111001"/>
    <w:rsid w:val="00112882"/>
    <w:rsid w:val="00113386"/>
    <w:rsid w:val="00114276"/>
    <w:rsid w:val="00124205"/>
    <w:rsid w:val="00127B11"/>
    <w:rsid w:val="00134156"/>
    <w:rsid w:val="00141CFA"/>
    <w:rsid w:val="00143AA2"/>
    <w:rsid w:val="00144D33"/>
    <w:rsid w:val="0015405F"/>
    <w:rsid w:val="00161CF1"/>
    <w:rsid w:val="00161F87"/>
    <w:rsid w:val="00162A1F"/>
    <w:rsid w:val="0016712E"/>
    <w:rsid w:val="0016779E"/>
    <w:rsid w:val="001707AF"/>
    <w:rsid w:val="00173F52"/>
    <w:rsid w:val="00183D20"/>
    <w:rsid w:val="0018555E"/>
    <w:rsid w:val="00193EE0"/>
    <w:rsid w:val="0019656F"/>
    <w:rsid w:val="00197648"/>
    <w:rsid w:val="001B0211"/>
    <w:rsid w:val="001B7412"/>
    <w:rsid w:val="001C1275"/>
    <w:rsid w:val="001C2D3E"/>
    <w:rsid w:val="001C35C0"/>
    <w:rsid w:val="001C3997"/>
    <w:rsid w:val="001C7D6B"/>
    <w:rsid w:val="001D241F"/>
    <w:rsid w:val="001D2669"/>
    <w:rsid w:val="001D542F"/>
    <w:rsid w:val="001D55C1"/>
    <w:rsid w:val="001F00D0"/>
    <w:rsid w:val="001F15B9"/>
    <w:rsid w:val="001F29C0"/>
    <w:rsid w:val="001F5363"/>
    <w:rsid w:val="002005A1"/>
    <w:rsid w:val="00205A4E"/>
    <w:rsid w:val="00207FDA"/>
    <w:rsid w:val="0021687E"/>
    <w:rsid w:val="0022478A"/>
    <w:rsid w:val="00234D7D"/>
    <w:rsid w:val="00236122"/>
    <w:rsid w:val="00245DA7"/>
    <w:rsid w:val="00247FF2"/>
    <w:rsid w:val="0025157D"/>
    <w:rsid w:val="0025370F"/>
    <w:rsid w:val="00255CCC"/>
    <w:rsid w:val="00262D38"/>
    <w:rsid w:val="00262D42"/>
    <w:rsid w:val="0026673F"/>
    <w:rsid w:val="00266D09"/>
    <w:rsid w:val="00270AC7"/>
    <w:rsid w:val="00280C05"/>
    <w:rsid w:val="00282F3F"/>
    <w:rsid w:val="0028328D"/>
    <w:rsid w:val="00283C39"/>
    <w:rsid w:val="00284234"/>
    <w:rsid w:val="002847F5"/>
    <w:rsid w:val="00285F10"/>
    <w:rsid w:val="0028751F"/>
    <w:rsid w:val="00294FA9"/>
    <w:rsid w:val="00296B30"/>
    <w:rsid w:val="002A0C5C"/>
    <w:rsid w:val="002A1939"/>
    <w:rsid w:val="002A20B7"/>
    <w:rsid w:val="002A4EF2"/>
    <w:rsid w:val="002B0E73"/>
    <w:rsid w:val="002B1DF5"/>
    <w:rsid w:val="002B33DE"/>
    <w:rsid w:val="002B4840"/>
    <w:rsid w:val="002C3F6D"/>
    <w:rsid w:val="002C7862"/>
    <w:rsid w:val="002D12B4"/>
    <w:rsid w:val="002D585F"/>
    <w:rsid w:val="002E4C0A"/>
    <w:rsid w:val="002E7ABF"/>
    <w:rsid w:val="002F0754"/>
    <w:rsid w:val="002F165C"/>
    <w:rsid w:val="002F1B19"/>
    <w:rsid w:val="002F3066"/>
    <w:rsid w:val="00305483"/>
    <w:rsid w:val="003115A0"/>
    <w:rsid w:val="00311BE2"/>
    <w:rsid w:val="003122B9"/>
    <w:rsid w:val="00312FDC"/>
    <w:rsid w:val="003130A3"/>
    <w:rsid w:val="00313C3D"/>
    <w:rsid w:val="00314066"/>
    <w:rsid w:val="00314476"/>
    <w:rsid w:val="00315147"/>
    <w:rsid w:val="00316A15"/>
    <w:rsid w:val="0032311C"/>
    <w:rsid w:val="0033561D"/>
    <w:rsid w:val="00344E86"/>
    <w:rsid w:val="003474F7"/>
    <w:rsid w:val="00350643"/>
    <w:rsid w:val="00352391"/>
    <w:rsid w:val="00352F7A"/>
    <w:rsid w:val="00353838"/>
    <w:rsid w:val="00355C27"/>
    <w:rsid w:val="003563C9"/>
    <w:rsid w:val="00364AB1"/>
    <w:rsid w:val="00366F16"/>
    <w:rsid w:val="0037383C"/>
    <w:rsid w:val="00377B20"/>
    <w:rsid w:val="00381390"/>
    <w:rsid w:val="0038166C"/>
    <w:rsid w:val="00385494"/>
    <w:rsid w:val="003915D0"/>
    <w:rsid w:val="003A1129"/>
    <w:rsid w:val="003A2A83"/>
    <w:rsid w:val="003A3337"/>
    <w:rsid w:val="003A3979"/>
    <w:rsid w:val="003A3A3A"/>
    <w:rsid w:val="003A788C"/>
    <w:rsid w:val="003B0BD9"/>
    <w:rsid w:val="003B2141"/>
    <w:rsid w:val="003B596E"/>
    <w:rsid w:val="003C0AF4"/>
    <w:rsid w:val="003C246E"/>
    <w:rsid w:val="003C570A"/>
    <w:rsid w:val="003C60CC"/>
    <w:rsid w:val="003D520D"/>
    <w:rsid w:val="003D5269"/>
    <w:rsid w:val="003D6AB0"/>
    <w:rsid w:val="003D7025"/>
    <w:rsid w:val="003E3F89"/>
    <w:rsid w:val="003E4E11"/>
    <w:rsid w:val="003E4F69"/>
    <w:rsid w:val="003E7454"/>
    <w:rsid w:val="003F2521"/>
    <w:rsid w:val="003F3240"/>
    <w:rsid w:val="003F4A5C"/>
    <w:rsid w:val="003F5F2F"/>
    <w:rsid w:val="003F6ADE"/>
    <w:rsid w:val="004005CD"/>
    <w:rsid w:val="004050F5"/>
    <w:rsid w:val="00411F76"/>
    <w:rsid w:val="00413EA9"/>
    <w:rsid w:val="00415299"/>
    <w:rsid w:val="00422A61"/>
    <w:rsid w:val="00423660"/>
    <w:rsid w:val="004253C6"/>
    <w:rsid w:val="00426FEB"/>
    <w:rsid w:val="00427A84"/>
    <w:rsid w:val="004379C0"/>
    <w:rsid w:val="00440E67"/>
    <w:rsid w:val="00450D48"/>
    <w:rsid w:val="00452E92"/>
    <w:rsid w:val="0045608A"/>
    <w:rsid w:val="00464DE0"/>
    <w:rsid w:val="0047295E"/>
    <w:rsid w:val="00476D12"/>
    <w:rsid w:val="00477D7D"/>
    <w:rsid w:val="0048079B"/>
    <w:rsid w:val="00482BE4"/>
    <w:rsid w:val="00483419"/>
    <w:rsid w:val="00483D5F"/>
    <w:rsid w:val="004873FE"/>
    <w:rsid w:val="00487440"/>
    <w:rsid w:val="00491945"/>
    <w:rsid w:val="00492A18"/>
    <w:rsid w:val="0049314F"/>
    <w:rsid w:val="00494B36"/>
    <w:rsid w:val="00496FDE"/>
    <w:rsid w:val="004979F4"/>
    <w:rsid w:val="004B27F2"/>
    <w:rsid w:val="004B4210"/>
    <w:rsid w:val="004B5EDF"/>
    <w:rsid w:val="004B6637"/>
    <w:rsid w:val="004B6FF4"/>
    <w:rsid w:val="004C1EDD"/>
    <w:rsid w:val="004C3AB4"/>
    <w:rsid w:val="004C433F"/>
    <w:rsid w:val="004C4B2B"/>
    <w:rsid w:val="004C57D0"/>
    <w:rsid w:val="004C5CA4"/>
    <w:rsid w:val="004D4CAF"/>
    <w:rsid w:val="004E1B13"/>
    <w:rsid w:val="004E6200"/>
    <w:rsid w:val="004E69AF"/>
    <w:rsid w:val="004E7637"/>
    <w:rsid w:val="004F3542"/>
    <w:rsid w:val="004F43AC"/>
    <w:rsid w:val="004F658F"/>
    <w:rsid w:val="005002DB"/>
    <w:rsid w:val="00500E54"/>
    <w:rsid w:val="0050133E"/>
    <w:rsid w:val="00504E70"/>
    <w:rsid w:val="0050617F"/>
    <w:rsid w:val="005108EF"/>
    <w:rsid w:val="005156B9"/>
    <w:rsid w:val="00521955"/>
    <w:rsid w:val="0052246D"/>
    <w:rsid w:val="0052263D"/>
    <w:rsid w:val="00523044"/>
    <w:rsid w:val="00525A3D"/>
    <w:rsid w:val="005262AB"/>
    <w:rsid w:val="005265D6"/>
    <w:rsid w:val="00526E8E"/>
    <w:rsid w:val="0053236A"/>
    <w:rsid w:val="005343A0"/>
    <w:rsid w:val="00534826"/>
    <w:rsid w:val="0053700B"/>
    <w:rsid w:val="00537BEA"/>
    <w:rsid w:val="00557A28"/>
    <w:rsid w:val="00557D2A"/>
    <w:rsid w:val="005615D6"/>
    <w:rsid w:val="00564A58"/>
    <w:rsid w:val="00565BF7"/>
    <w:rsid w:val="00571771"/>
    <w:rsid w:val="00573115"/>
    <w:rsid w:val="005746B2"/>
    <w:rsid w:val="005767EB"/>
    <w:rsid w:val="00580788"/>
    <w:rsid w:val="00580AD1"/>
    <w:rsid w:val="00580E16"/>
    <w:rsid w:val="00584E33"/>
    <w:rsid w:val="005901B4"/>
    <w:rsid w:val="00591902"/>
    <w:rsid w:val="005919B6"/>
    <w:rsid w:val="005953FB"/>
    <w:rsid w:val="00595F9F"/>
    <w:rsid w:val="00597C46"/>
    <w:rsid w:val="005B0022"/>
    <w:rsid w:val="005B5CE6"/>
    <w:rsid w:val="005B7CED"/>
    <w:rsid w:val="005C735C"/>
    <w:rsid w:val="005D13C1"/>
    <w:rsid w:val="005D1586"/>
    <w:rsid w:val="005D285C"/>
    <w:rsid w:val="005D5F83"/>
    <w:rsid w:val="005E152D"/>
    <w:rsid w:val="005E29CA"/>
    <w:rsid w:val="005F3D8D"/>
    <w:rsid w:val="005F5A76"/>
    <w:rsid w:val="00610B6D"/>
    <w:rsid w:val="00615473"/>
    <w:rsid w:val="006179F3"/>
    <w:rsid w:val="00626751"/>
    <w:rsid w:val="00627802"/>
    <w:rsid w:val="00632871"/>
    <w:rsid w:val="0063541B"/>
    <w:rsid w:val="00642076"/>
    <w:rsid w:val="006424C3"/>
    <w:rsid w:val="00643273"/>
    <w:rsid w:val="00643BAE"/>
    <w:rsid w:val="006537C9"/>
    <w:rsid w:val="00653AA1"/>
    <w:rsid w:val="00655497"/>
    <w:rsid w:val="00657A6C"/>
    <w:rsid w:val="006636F7"/>
    <w:rsid w:val="0066686D"/>
    <w:rsid w:val="00667B43"/>
    <w:rsid w:val="00673153"/>
    <w:rsid w:val="006742A2"/>
    <w:rsid w:val="00676A15"/>
    <w:rsid w:val="00677512"/>
    <w:rsid w:val="00677F16"/>
    <w:rsid w:val="0068234A"/>
    <w:rsid w:val="006829AF"/>
    <w:rsid w:val="00683AC7"/>
    <w:rsid w:val="00683EE5"/>
    <w:rsid w:val="006853CA"/>
    <w:rsid w:val="0068652A"/>
    <w:rsid w:val="006928A7"/>
    <w:rsid w:val="006A0011"/>
    <w:rsid w:val="006A0290"/>
    <w:rsid w:val="006A2116"/>
    <w:rsid w:val="006A5072"/>
    <w:rsid w:val="006A5D0D"/>
    <w:rsid w:val="006B0C93"/>
    <w:rsid w:val="006B1367"/>
    <w:rsid w:val="006B27BD"/>
    <w:rsid w:val="006B3055"/>
    <w:rsid w:val="006B6DF7"/>
    <w:rsid w:val="006B7151"/>
    <w:rsid w:val="006C2B7C"/>
    <w:rsid w:val="006C2C19"/>
    <w:rsid w:val="006C2C40"/>
    <w:rsid w:val="006C479B"/>
    <w:rsid w:val="006C5F9E"/>
    <w:rsid w:val="006C6CD1"/>
    <w:rsid w:val="006D2553"/>
    <w:rsid w:val="006D5311"/>
    <w:rsid w:val="006D6E17"/>
    <w:rsid w:val="006D6E3A"/>
    <w:rsid w:val="006E00F0"/>
    <w:rsid w:val="006F092A"/>
    <w:rsid w:val="006F60E1"/>
    <w:rsid w:val="00700B4B"/>
    <w:rsid w:val="007030EE"/>
    <w:rsid w:val="007033FE"/>
    <w:rsid w:val="007035EA"/>
    <w:rsid w:val="00705DA5"/>
    <w:rsid w:val="0070745E"/>
    <w:rsid w:val="0071071F"/>
    <w:rsid w:val="007172A7"/>
    <w:rsid w:val="007203D0"/>
    <w:rsid w:val="00723A54"/>
    <w:rsid w:val="00726037"/>
    <w:rsid w:val="00726296"/>
    <w:rsid w:val="0073175C"/>
    <w:rsid w:val="0073303A"/>
    <w:rsid w:val="00734C96"/>
    <w:rsid w:val="007352FE"/>
    <w:rsid w:val="007373CB"/>
    <w:rsid w:val="007436C8"/>
    <w:rsid w:val="0074539B"/>
    <w:rsid w:val="0074547D"/>
    <w:rsid w:val="00746194"/>
    <w:rsid w:val="00747324"/>
    <w:rsid w:val="0075355F"/>
    <w:rsid w:val="007551F7"/>
    <w:rsid w:val="00760FFC"/>
    <w:rsid w:val="0076435A"/>
    <w:rsid w:val="00780082"/>
    <w:rsid w:val="007817D2"/>
    <w:rsid w:val="00783F10"/>
    <w:rsid w:val="00784EF0"/>
    <w:rsid w:val="007876B1"/>
    <w:rsid w:val="0079501D"/>
    <w:rsid w:val="00796105"/>
    <w:rsid w:val="007962C8"/>
    <w:rsid w:val="007A0820"/>
    <w:rsid w:val="007A4138"/>
    <w:rsid w:val="007B17BD"/>
    <w:rsid w:val="007B59C3"/>
    <w:rsid w:val="007B6395"/>
    <w:rsid w:val="007C096D"/>
    <w:rsid w:val="007C64CD"/>
    <w:rsid w:val="007D1631"/>
    <w:rsid w:val="007D2C9B"/>
    <w:rsid w:val="007D3BC5"/>
    <w:rsid w:val="007E4F43"/>
    <w:rsid w:val="007E5B69"/>
    <w:rsid w:val="007E6DF9"/>
    <w:rsid w:val="007F2FAB"/>
    <w:rsid w:val="007F3B52"/>
    <w:rsid w:val="007F4594"/>
    <w:rsid w:val="007F7C2D"/>
    <w:rsid w:val="0080141B"/>
    <w:rsid w:val="00802167"/>
    <w:rsid w:val="00811B0F"/>
    <w:rsid w:val="00812743"/>
    <w:rsid w:val="00813795"/>
    <w:rsid w:val="00816F9E"/>
    <w:rsid w:val="008226B3"/>
    <w:rsid w:val="00827556"/>
    <w:rsid w:val="0083381C"/>
    <w:rsid w:val="00837573"/>
    <w:rsid w:val="00843215"/>
    <w:rsid w:val="00846780"/>
    <w:rsid w:val="008510A9"/>
    <w:rsid w:val="00851194"/>
    <w:rsid w:val="00851BEE"/>
    <w:rsid w:val="00854746"/>
    <w:rsid w:val="00855B8B"/>
    <w:rsid w:val="008604E0"/>
    <w:rsid w:val="00864C95"/>
    <w:rsid w:val="00866577"/>
    <w:rsid w:val="00866A8F"/>
    <w:rsid w:val="00866E2A"/>
    <w:rsid w:val="0087390D"/>
    <w:rsid w:val="008747B2"/>
    <w:rsid w:val="00876A95"/>
    <w:rsid w:val="00882BD6"/>
    <w:rsid w:val="00886D1A"/>
    <w:rsid w:val="008905EE"/>
    <w:rsid w:val="008909AB"/>
    <w:rsid w:val="00891E65"/>
    <w:rsid w:val="0089221F"/>
    <w:rsid w:val="00892600"/>
    <w:rsid w:val="008968FA"/>
    <w:rsid w:val="008A09AA"/>
    <w:rsid w:val="008A236A"/>
    <w:rsid w:val="008A2CE8"/>
    <w:rsid w:val="008A2F63"/>
    <w:rsid w:val="008A5EBD"/>
    <w:rsid w:val="008B130C"/>
    <w:rsid w:val="008B679D"/>
    <w:rsid w:val="008B68E9"/>
    <w:rsid w:val="008B6D5C"/>
    <w:rsid w:val="008C0C8D"/>
    <w:rsid w:val="008C1812"/>
    <w:rsid w:val="008C2F9E"/>
    <w:rsid w:val="008C4166"/>
    <w:rsid w:val="008D292A"/>
    <w:rsid w:val="008D29BF"/>
    <w:rsid w:val="008D5E17"/>
    <w:rsid w:val="008D65B2"/>
    <w:rsid w:val="008E0639"/>
    <w:rsid w:val="008E0CCA"/>
    <w:rsid w:val="008E4657"/>
    <w:rsid w:val="008E4DBC"/>
    <w:rsid w:val="008E7B2E"/>
    <w:rsid w:val="00901DF6"/>
    <w:rsid w:val="0090635E"/>
    <w:rsid w:val="00910C9D"/>
    <w:rsid w:val="00912210"/>
    <w:rsid w:val="009139C0"/>
    <w:rsid w:val="009161C6"/>
    <w:rsid w:val="00916B4A"/>
    <w:rsid w:val="00920B88"/>
    <w:rsid w:val="00920C67"/>
    <w:rsid w:val="00921767"/>
    <w:rsid w:val="009217E4"/>
    <w:rsid w:val="00922374"/>
    <w:rsid w:val="00932739"/>
    <w:rsid w:val="00936CDF"/>
    <w:rsid w:val="00940579"/>
    <w:rsid w:val="009407E5"/>
    <w:rsid w:val="00946081"/>
    <w:rsid w:val="00947CB6"/>
    <w:rsid w:val="00952D89"/>
    <w:rsid w:val="00954E32"/>
    <w:rsid w:val="00955A4D"/>
    <w:rsid w:val="00955B94"/>
    <w:rsid w:val="00956685"/>
    <w:rsid w:val="00962CEC"/>
    <w:rsid w:val="009657BF"/>
    <w:rsid w:val="00966BB4"/>
    <w:rsid w:val="0096769D"/>
    <w:rsid w:val="00970B5B"/>
    <w:rsid w:val="00971BC8"/>
    <w:rsid w:val="00973A5F"/>
    <w:rsid w:val="009761E5"/>
    <w:rsid w:val="0097673B"/>
    <w:rsid w:val="00977089"/>
    <w:rsid w:val="0098030E"/>
    <w:rsid w:val="009868F3"/>
    <w:rsid w:val="00990533"/>
    <w:rsid w:val="0099190D"/>
    <w:rsid w:val="00994B62"/>
    <w:rsid w:val="0099618C"/>
    <w:rsid w:val="009A2089"/>
    <w:rsid w:val="009A4EA8"/>
    <w:rsid w:val="009A6F94"/>
    <w:rsid w:val="009B1909"/>
    <w:rsid w:val="009B3440"/>
    <w:rsid w:val="009B46B8"/>
    <w:rsid w:val="009C026D"/>
    <w:rsid w:val="009C1A52"/>
    <w:rsid w:val="009C22C3"/>
    <w:rsid w:val="009C378A"/>
    <w:rsid w:val="009C3AB5"/>
    <w:rsid w:val="009C5BDD"/>
    <w:rsid w:val="009C6C59"/>
    <w:rsid w:val="009D6329"/>
    <w:rsid w:val="009E0FE9"/>
    <w:rsid w:val="009E379C"/>
    <w:rsid w:val="009E3862"/>
    <w:rsid w:val="009E4F07"/>
    <w:rsid w:val="009E59D9"/>
    <w:rsid w:val="009E6FF6"/>
    <w:rsid w:val="009F0932"/>
    <w:rsid w:val="009F0DF6"/>
    <w:rsid w:val="009F1497"/>
    <w:rsid w:val="009F2619"/>
    <w:rsid w:val="009F2FEF"/>
    <w:rsid w:val="009F5048"/>
    <w:rsid w:val="009F5C69"/>
    <w:rsid w:val="00A01044"/>
    <w:rsid w:val="00A014CB"/>
    <w:rsid w:val="00A07F13"/>
    <w:rsid w:val="00A1028A"/>
    <w:rsid w:val="00A14E97"/>
    <w:rsid w:val="00A25914"/>
    <w:rsid w:val="00A25E57"/>
    <w:rsid w:val="00A27AD0"/>
    <w:rsid w:val="00A326E0"/>
    <w:rsid w:val="00A3455B"/>
    <w:rsid w:val="00A3466E"/>
    <w:rsid w:val="00A35995"/>
    <w:rsid w:val="00A41282"/>
    <w:rsid w:val="00A42015"/>
    <w:rsid w:val="00A46B4D"/>
    <w:rsid w:val="00A47033"/>
    <w:rsid w:val="00A474A4"/>
    <w:rsid w:val="00A568FB"/>
    <w:rsid w:val="00A61351"/>
    <w:rsid w:val="00A6347D"/>
    <w:rsid w:val="00A63532"/>
    <w:rsid w:val="00A67B63"/>
    <w:rsid w:val="00A71BBC"/>
    <w:rsid w:val="00A7264A"/>
    <w:rsid w:val="00A76FB4"/>
    <w:rsid w:val="00A77C3F"/>
    <w:rsid w:val="00A77F0E"/>
    <w:rsid w:val="00A857E8"/>
    <w:rsid w:val="00A91DC2"/>
    <w:rsid w:val="00A937F6"/>
    <w:rsid w:val="00A9615D"/>
    <w:rsid w:val="00AA3480"/>
    <w:rsid w:val="00AA484B"/>
    <w:rsid w:val="00AA5C0D"/>
    <w:rsid w:val="00AA7258"/>
    <w:rsid w:val="00AB0518"/>
    <w:rsid w:val="00AB20F0"/>
    <w:rsid w:val="00AB7229"/>
    <w:rsid w:val="00AC1918"/>
    <w:rsid w:val="00AC213E"/>
    <w:rsid w:val="00AC2A20"/>
    <w:rsid w:val="00AD12D8"/>
    <w:rsid w:val="00AD2573"/>
    <w:rsid w:val="00AD5379"/>
    <w:rsid w:val="00AE3EFC"/>
    <w:rsid w:val="00AE605D"/>
    <w:rsid w:val="00AE70C8"/>
    <w:rsid w:val="00AE73C0"/>
    <w:rsid w:val="00AF1ECD"/>
    <w:rsid w:val="00AF7374"/>
    <w:rsid w:val="00B00158"/>
    <w:rsid w:val="00B11D3E"/>
    <w:rsid w:val="00B12159"/>
    <w:rsid w:val="00B13A19"/>
    <w:rsid w:val="00B15EF9"/>
    <w:rsid w:val="00B2284D"/>
    <w:rsid w:val="00B2446B"/>
    <w:rsid w:val="00B24DE0"/>
    <w:rsid w:val="00B24E8A"/>
    <w:rsid w:val="00B27126"/>
    <w:rsid w:val="00B31F50"/>
    <w:rsid w:val="00B32F8D"/>
    <w:rsid w:val="00B342F6"/>
    <w:rsid w:val="00B3534F"/>
    <w:rsid w:val="00B4209E"/>
    <w:rsid w:val="00B42A86"/>
    <w:rsid w:val="00B47B82"/>
    <w:rsid w:val="00B520AE"/>
    <w:rsid w:val="00B538A1"/>
    <w:rsid w:val="00B545D6"/>
    <w:rsid w:val="00B54F17"/>
    <w:rsid w:val="00B71EFD"/>
    <w:rsid w:val="00B74699"/>
    <w:rsid w:val="00B80B8E"/>
    <w:rsid w:val="00B812F3"/>
    <w:rsid w:val="00B8225E"/>
    <w:rsid w:val="00B86B16"/>
    <w:rsid w:val="00B906F3"/>
    <w:rsid w:val="00B91E54"/>
    <w:rsid w:val="00B9245B"/>
    <w:rsid w:val="00B935BA"/>
    <w:rsid w:val="00B95B51"/>
    <w:rsid w:val="00B973D3"/>
    <w:rsid w:val="00B974C6"/>
    <w:rsid w:val="00BB6319"/>
    <w:rsid w:val="00BC4A2C"/>
    <w:rsid w:val="00BC6806"/>
    <w:rsid w:val="00BC69DB"/>
    <w:rsid w:val="00BC765E"/>
    <w:rsid w:val="00BD13A0"/>
    <w:rsid w:val="00BD1FF2"/>
    <w:rsid w:val="00BD29EF"/>
    <w:rsid w:val="00BD4218"/>
    <w:rsid w:val="00BD5711"/>
    <w:rsid w:val="00BE604F"/>
    <w:rsid w:val="00BE6C0A"/>
    <w:rsid w:val="00BF0FEA"/>
    <w:rsid w:val="00BF31CB"/>
    <w:rsid w:val="00BF4E91"/>
    <w:rsid w:val="00BF56C9"/>
    <w:rsid w:val="00BF7A86"/>
    <w:rsid w:val="00C01449"/>
    <w:rsid w:val="00C02861"/>
    <w:rsid w:val="00C06C87"/>
    <w:rsid w:val="00C113C8"/>
    <w:rsid w:val="00C14195"/>
    <w:rsid w:val="00C21DCE"/>
    <w:rsid w:val="00C225F9"/>
    <w:rsid w:val="00C23607"/>
    <w:rsid w:val="00C31DCB"/>
    <w:rsid w:val="00C3608C"/>
    <w:rsid w:val="00C40F0B"/>
    <w:rsid w:val="00C4413D"/>
    <w:rsid w:val="00C44302"/>
    <w:rsid w:val="00C453FD"/>
    <w:rsid w:val="00C54085"/>
    <w:rsid w:val="00C6177E"/>
    <w:rsid w:val="00C62AE4"/>
    <w:rsid w:val="00C6341C"/>
    <w:rsid w:val="00C643B2"/>
    <w:rsid w:val="00C7634C"/>
    <w:rsid w:val="00C7652B"/>
    <w:rsid w:val="00C769FD"/>
    <w:rsid w:val="00C76E56"/>
    <w:rsid w:val="00C77712"/>
    <w:rsid w:val="00C77E92"/>
    <w:rsid w:val="00C804A7"/>
    <w:rsid w:val="00C80F76"/>
    <w:rsid w:val="00C832F2"/>
    <w:rsid w:val="00C9133C"/>
    <w:rsid w:val="00C9206D"/>
    <w:rsid w:val="00C93DA3"/>
    <w:rsid w:val="00C96EAC"/>
    <w:rsid w:val="00C97B7E"/>
    <w:rsid w:val="00CA09CA"/>
    <w:rsid w:val="00CA1625"/>
    <w:rsid w:val="00CA2AC4"/>
    <w:rsid w:val="00CA7855"/>
    <w:rsid w:val="00CA7B7E"/>
    <w:rsid w:val="00CB654B"/>
    <w:rsid w:val="00CB738A"/>
    <w:rsid w:val="00CC0D2B"/>
    <w:rsid w:val="00CC1611"/>
    <w:rsid w:val="00CC719F"/>
    <w:rsid w:val="00CC7E93"/>
    <w:rsid w:val="00CD03C8"/>
    <w:rsid w:val="00CD07E4"/>
    <w:rsid w:val="00CD1F19"/>
    <w:rsid w:val="00CD3123"/>
    <w:rsid w:val="00CD4507"/>
    <w:rsid w:val="00CD4741"/>
    <w:rsid w:val="00CE0695"/>
    <w:rsid w:val="00CE635C"/>
    <w:rsid w:val="00CE782B"/>
    <w:rsid w:val="00CF5C0C"/>
    <w:rsid w:val="00CF5CC9"/>
    <w:rsid w:val="00D029BC"/>
    <w:rsid w:val="00D03A02"/>
    <w:rsid w:val="00D06753"/>
    <w:rsid w:val="00D108DE"/>
    <w:rsid w:val="00D11373"/>
    <w:rsid w:val="00D1274B"/>
    <w:rsid w:val="00D17D71"/>
    <w:rsid w:val="00D21BC7"/>
    <w:rsid w:val="00D22352"/>
    <w:rsid w:val="00D22F88"/>
    <w:rsid w:val="00D22F99"/>
    <w:rsid w:val="00D2325D"/>
    <w:rsid w:val="00D36D32"/>
    <w:rsid w:val="00D41D9F"/>
    <w:rsid w:val="00D43835"/>
    <w:rsid w:val="00D43B3D"/>
    <w:rsid w:val="00D45C06"/>
    <w:rsid w:val="00D4611D"/>
    <w:rsid w:val="00D51020"/>
    <w:rsid w:val="00D54751"/>
    <w:rsid w:val="00D70582"/>
    <w:rsid w:val="00D72B53"/>
    <w:rsid w:val="00D744E1"/>
    <w:rsid w:val="00D74B72"/>
    <w:rsid w:val="00D74FB9"/>
    <w:rsid w:val="00D758BF"/>
    <w:rsid w:val="00D75D66"/>
    <w:rsid w:val="00D76DFB"/>
    <w:rsid w:val="00D858D9"/>
    <w:rsid w:val="00D86BD5"/>
    <w:rsid w:val="00D918E3"/>
    <w:rsid w:val="00DA383D"/>
    <w:rsid w:val="00DA38F5"/>
    <w:rsid w:val="00DA40AA"/>
    <w:rsid w:val="00DA425B"/>
    <w:rsid w:val="00DA6CC9"/>
    <w:rsid w:val="00DB7E27"/>
    <w:rsid w:val="00DC129F"/>
    <w:rsid w:val="00DC4472"/>
    <w:rsid w:val="00DC447E"/>
    <w:rsid w:val="00DC6675"/>
    <w:rsid w:val="00DC6E76"/>
    <w:rsid w:val="00DD19FD"/>
    <w:rsid w:val="00DD2B68"/>
    <w:rsid w:val="00DD3986"/>
    <w:rsid w:val="00DD3A67"/>
    <w:rsid w:val="00DD50AA"/>
    <w:rsid w:val="00DE1590"/>
    <w:rsid w:val="00DE51C7"/>
    <w:rsid w:val="00DE5C31"/>
    <w:rsid w:val="00DE6D3A"/>
    <w:rsid w:val="00DE7E94"/>
    <w:rsid w:val="00DF131E"/>
    <w:rsid w:val="00DF2429"/>
    <w:rsid w:val="00DF2607"/>
    <w:rsid w:val="00DF44BF"/>
    <w:rsid w:val="00E02B55"/>
    <w:rsid w:val="00E049E4"/>
    <w:rsid w:val="00E076DE"/>
    <w:rsid w:val="00E10450"/>
    <w:rsid w:val="00E1066E"/>
    <w:rsid w:val="00E129DD"/>
    <w:rsid w:val="00E145A6"/>
    <w:rsid w:val="00E15E16"/>
    <w:rsid w:val="00E20640"/>
    <w:rsid w:val="00E22BE5"/>
    <w:rsid w:val="00E22DE1"/>
    <w:rsid w:val="00E24CC9"/>
    <w:rsid w:val="00E2687D"/>
    <w:rsid w:val="00E26CA3"/>
    <w:rsid w:val="00E27CB7"/>
    <w:rsid w:val="00E33621"/>
    <w:rsid w:val="00E3599A"/>
    <w:rsid w:val="00E4263C"/>
    <w:rsid w:val="00E46B76"/>
    <w:rsid w:val="00E5354E"/>
    <w:rsid w:val="00E54DB4"/>
    <w:rsid w:val="00E55AB1"/>
    <w:rsid w:val="00E563F0"/>
    <w:rsid w:val="00E6144A"/>
    <w:rsid w:val="00E62173"/>
    <w:rsid w:val="00E63703"/>
    <w:rsid w:val="00E6420D"/>
    <w:rsid w:val="00E65983"/>
    <w:rsid w:val="00E67A6B"/>
    <w:rsid w:val="00E73366"/>
    <w:rsid w:val="00E83742"/>
    <w:rsid w:val="00E84C22"/>
    <w:rsid w:val="00E870EA"/>
    <w:rsid w:val="00E92AF9"/>
    <w:rsid w:val="00E93964"/>
    <w:rsid w:val="00EB1722"/>
    <w:rsid w:val="00EB4774"/>
    <w:rsid w:val="00EB4CCE"/>
    <w:rsid w:val="00EB781A"/>
    <w:rsid w:val="00EB7B1C"/>
    <w:rsid w:val="00EC1051"/>
    <w:rsid w:val="00ED03A4"/>
    <w:rsid w:val="00ED1959"/>
    <w:rsid w:val="00ED333C"/>
    <w:rsid w:val="00ED5FB7"/>
    <w:rsid w:val="00ED6214"/>
    <w:rsid w:val="00EE354B"/>
    <w:rsid w:val="00EE574F"/>
    <w:rsid w:val="00EE6C82"/>
    <w:rsid w:val="00EF44F7"/>
    <w:rsid w:val="00F01666"/>
    <w:rsid w:val="00F06F0C"/>
    <w:rsid w:val="00F07D6E"/>
    <w:rsid w:val="00F1193E"/>
    <w:rsid w:val="00F11A25"/>
    <w:rsid w:val="00F1255A"/>
    <w:rsid w:val="00F13B75"/>
    <w:rsid w:val="00F15D29"/>
    <w:rsid w:val="00F17236"/>
    <w:rsid w:val="00F210E3"/>
    <w:rsid w:val="00F24F82"/>
    <w:rsid w:val="00F30BBA"/>
    <w:rsid w:val="00F3482D"/>
    <w:rsid w:val="00F37378"/>
    <w:rsid w:val="00F37967"/>
    <w:rsid w:val="00F37C7C"/>
    <w:rsid w:val="00F409FD"/>
    <w:rsid w:val="00F435B8"/>
    <w:rsid w:val="00F45353"/>
    <w:rsid w:val="00F46BAE"/>
    <w:rsid w:val="00F46EB6"/>
    <w:rsid w:val="00F5131A"/>
    <w:rsid w:val="00F56524"/>
    <w:rsid w:val="00F602A4"/>
    <w:rsid w:val="00F64277"/>
    <w:rsid w:val="00F65F5B"/>
    <w:rsid w:val="00F70214"/>
    <w:rsid w:val="00F70411"/>
    <w:rsid w:val="00F72C5C"/>
    <w:rsid w:val="00F760F9"/>
    <w:rsid w:val="00F77512"/>
    <w:rsid w:val="00F80A9D"/>
    <w:rsid w:val="00F85327"/>
    <w:rsid w:val="00F86413"/>
    <w:rsid w:val="00F86968"/>
    <w:rsid w:val="00F86F99"/>
    <w:rsid w:val="00F9326A"/>
    <w:rsid w:val="00F9682C"/>
    <w:rsid w:val="00FA242B"/>
    <w:rsid w:val="00FA2C57"/>
    <w:rsid w:val="00FA5FB0"/>
    <w:rsid w:val="00FA7986"/>
    <w:rsid w:val="00FB08A8"/>
    <w:rsid w:val="00FB3210"/>
    <w:rsid w:val="00FB5719"/>
    <w:rsid w:val="00FC0242"/>
    <w:rsid w:val="00FC07E0"/>
    <w:rsid w:val="00FC43E7"/>
    <w:rsid w:val="00FC5DCC"/>
    <w:rsid w:val="00FC69D8"/>
    <w:rsid w:val="00FC7DBA"/>
    <w:rsid w:val="00FD0C94"/>
    <w:rsid w:val="00FD3169"/>
    <w:rsid w:val="00FD6810"/>
    <w:rsid w:val="00FD6E47"/>
    <w:rsid w:val="00FD6EA8"/>
    <w:rsid w:val="00FD71C2"/>
    <w:rsid w:val="00FE09C5"/>
    <w:rsid w:val="00FE1E3E"/>
    <w:rsid w:val="00FE4454"/>
    <w:rsid w:val="00FF0B83"/>
    <w:rsid w:val="00FF3403"/>
    <w:rsid w:val="00FF4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101F1"/>
  <w15:docId w15:val="{003ED185-E4F0-49A7-A880-6D9C2098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7F5"/>
    <w:pPr>
      <w:spacing w:before="120" w:after="120" w:line="240" w:lineRule="auto"/>
    </w:pPr>
    <w:rPr>
      <w:rFonts w:eastAsia="Times New Roman" w:cs="Times New Roman"/>
      <w:szCs w:val="24"/>
    </w:rPr>
  </w:style>
  <w:style w:type="paragraph" w:styleId="Heading1">
    <w:name w:val="heading 1"/>
    <w:basedOn w:val="Normal"/>
    <w:next w:val="Normal"/>
    <w:link w:val="Heading1Char"/>
    <w:uiPriority w:val="99"/>
    <w:qFormat/>
    <w:rsid w:val="002847F5"/>
    <w:pPr>
      <w:keepNext/>
      <w:numPr>
        <w:numId w:val="23"/>
      </w:numPr>
      <w:spacing w:before="240" w:after="200"/>
      <w:outlineLvl w:val="0"/>
    </w:pPr>
    <w:rPr>
      <w:b/>
      <w:sz w:val="28"/>
      <w:szCs w:val="28"/>
    </w:rPr>
  </w:style>
  <w:style w:type="paragraph" w:styleId="Heading2">
    <w:name w:val="heading 2"/>
    <w:basedOn w:val="Heading1"/>
    <w:next w:val="Normal"/>
    <w:link w:val="Heading2Char"/>
    <w:uiPriority w:val="99"/>
    <w:qFormat/>
    <w:rsid w:val="007F2FAB"/>
    <w:pPr>
      <w:numPr>
        <w:ilvl w:val="1"/>
      </w:numPr>
      <w:spacing w:after="120"/>
      <w:outlineLvl w:val="1"/>
    </w:pPr>
    <w:rPr>
      <w:rFonts w:ascii="Arial" w:hAnsi="Arial" w:cs="Arial"/>
      <w:bCs/>
      <w:iCs/>
      <w:sz w:val="24"/>
    </w:rPr>
  </w:style>
  <w:style w:type="paragraph" w:styleId="Heading3">
    <w:name w:val="heading 3"/>
    <w:basedOn w:val="Heading2"/>
    <w:next w:val="Normal"/>
    <w:link w:val="Heading3Char"/>
    <w:uiPriority w:val="99"/>
    <w:qFormat/>
    <w:rsid w:val="00C769FD"/>
    <w:pPr>
      <w:numPr>
        <w:ilvl w:val="2"/>
      </w:numPr>
      <w:spacing w:after="60"/>
      <w:ind w:left="7525"/>
      <w:outlineLvl w:val="2"/>
    </w:pPr>
    <w:rPr>
      <w:b w:val="0"/>
      <w:bCs w:val="0"/>
      <w:sz w:val="22"/>
      <w:szCs w:val="26"/>
    </w:rPr>
  </w:style>
  <w:style w:type="paragraph" w:styleId="Heading4">
    <w:name w:val="heading 4"/>
    <w:basedOn w:val="Normal"/>
    <w:next w:val="Normal"/>
    <w:link w:val="Heading4Char"/>
    <w:uiPriority w:val="99"/>
    <w:qFormat/>
    <w:rsid w:val="008B679D"/>
    <w:pPr>
      <w:keepNext/>
      <w:numPr>
        <w:ilvl w:val="3"/>
        <w:numId w:val="23"/>
      </w:numPr>
      <w:spacing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23"/>
      </w:numPr>
      <w:spacing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23"/>
      </w:numPr>
      <w:spacing w:after="60"/>
      <w:outlineLvl w:val="5"/>
    </w:pPr>
    <w:rPr>
      <w:b/>
      <w:bCs/>
      <w:szCs w:val="22"/>
    </w:rPr>
  </w:style>
  <w:style w:type="paragraph" w:styleId="Heading7">
    <w:name w:val="heading 7"/>
    <w:basedOn w:val="Normal"/>
    <w:next w:val="Normal"/>
    <w:link w:val="Heading7Char"/>
    <w:uiPriority w:val="99"/>
    <w:qFormat/>
    <w:rsid w:val="008B679D"/>
    <w:pPr>
      <w:numPr>
        <w:ilvl w:val="6"/>
        <w:numId w:val="23"/>
      </w:numPr>
      <w:spacing w:after="60"/>
      <w:outlineLvl w:val="6"/>
    </w:pPr>
  </w:style>
  <w:style w:type="paragraph" w:styleId="Heading8">
    <w:name w:val="heading 8"/>
    <w:basedOn w:val="Normal"/>
    <w:next w:val="Normal"/>
    <w:link w:val="Heading8Char"/>
    <w:uiPriority w:val="99"/>
    <w:qFormat/>
    <w:rsid w:val="008B679D"/>
    <w:pPr>
      <w:numPr>
        <w:ilvl w:val="7"/>
        <w:numId w:val="23"/>
      </w:numPr>
      <w:spacing w:after="60"/>
      <w:outlineLvl w:val="7"/>
    </w:pPr>
    <w:rPr>
      <w:i/>
      <w:iCs/>
    </w:rPr>
  </w:style>
  <w:style w:type="paragraph" w:styleId="Heading9">
    <w:name w:val="heading 9"/>
    <w:basedOn w:val="Normal"/>
    <w:next w:val="Normal"/>
    <w:link w:val="Heading9Char"/>
    <w:uiPriority w:val="99"/>
    <w:qFormat/>
    <w:rsid w:val="008B679D"/>
    <w:pPr>
      <w:numPr>
        <w:ilvl w:val="8"/>
        <w:numId w:val="23"/>
      </w:numPr>
      <w:spacing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69FD"/>
    <w:rPr>
      <w:rFonts w:eastAsia="Times New Roman" w:cs="Times New Roman"/>
      <w:b/>
      <w:sz w:val="28"/>
      <w:szCs w:val="28"/>
    </w:rPr>
  </w:style>
  <w:style w:type="character" w:customStyle="1" w:styleId="Heading2Char">
    <w:name w:val="Heading 2 Char"/>
    <w:basedOn w:val="DefaultParagraphFont"/>
    <w:link w:val="Heading2"/>
    <w:uiPriority w:val="99"/>
    <w:rsid w:val="007F2FAB"/>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C769FD"/>
    <w:rPr>
      <w:rFonts w:ascii="Arial" w:eastAsia="Times New Roman" w:hAnsi="Arial" w:cs="Arial"/>
      <w:iCs/>
      <w:szCs w:val="26"/>
    </w:rPr>
  </w:style>
  <w:style w:type="character" w:customStyle="1" w:styleId="Heading4Char">
    <w:name w:val="Heading 4 Char"/>
    <w:basedOn w:val="DefaultParagraphFont"/>
    <w:link w:val="Heading4"/>
    <w:uiPriority w:val="99"/>
    <w:rsid w:val="008B679D"/>
    <w:rPr>
      <w:rFonts w:eastAsia="Times New Roman" w:cs="Times New Roman"/>
      <w:b/>
      <w:bCs/>
      <w:sz w:val="28"/>
      <w:szCs w:val="28"/>
    </w:rPr>
  </w:style>
  <w:style w:type="character" w:customStyle="1" w:styleId="Heading5Char">
    <w:name w:val="Heading 5 Char"/>
    <w:basedOn w:val="DefaultParagraphFont"/>
    <w:link w:val="Heading5"/>
    <w:uiPriority w:val="99"/>
    <w:rsid w:val="008B679D"/>
    <w:rPr>
      <w:rFonts w:eastAsia="Times New Roman" w:cs="Times New Roman"/>
      <w:b/>
      <w:bCs/>
      <w:i/>
      <w:iCs/>
      <w:sz w:val="26"/>
      <w:szCs w:val="26"/>
    </w:rPr>
  </w:style>
  <w:style w:type="character" w:customStyle="1" w:styleId="Heading6Char">
    <w:name w:val="Heading 6 Char"/>
    <w:basedOn w:val="DefaultParagraphFont"/>
    <w:link w:val="Heading6"/>
    <w:uiPriority w:val="99"/>
    <w:rsid w:val="008B679D"/>
    <w:rPr>
      <w:rFonts w:eastAsia="Times New Roman" w:cs="Times New Roman"/>
      <w:b/>
      <w:bCs/>
    </w:rPr>
  </w:style>
  <w:style w:type="character" w:customStyle="1" w:styleId="Heading7Char">
    <w:name w:val="Heading 7 Char"/>
    <w:basedOn w:val="DefaultParagraphFont"/>
    <w:link w:val="Heading7"/>
    <w:uiPriority w:val="99"/>
    <w:rsid w:val="008B679D"/>
    <w:rPr>
      <w:rFonts w:eastAsia="Times New Roman" w:cs="Times New Roman"/>
      <w:sz w:val="24"/>
      <w:szCs w:val="24"/>
    </w:rPr>
  </w:style>
  <w:style w:type="character" w:customStyle="1" w:styleId="Heading8Char">
    <w:name w:val="Heading 8 Char"/>
    <w:basedOn w:val="DefaultParagraphFont"/>
    <w:link w:val="Heading8"/>
    <w:uiPriority w:val="99"/>
    <w:rsid w:val="008B679D"/>
    <w:rPr>
      <w:rFonts w:eastAsia="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12">
    <w:name w:val="Pa12"/>
    <w:basedOn w:val="Normal"/>
    <w:next w:val="Normal"/>
    <w:link w:val="Pa12Char"/>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99"/>
    <w:rsid w:val="002847F5"/>
    <w:pPr>
      <w:spacing w:after="0" w:line="240" w:lineRule="auto"/>
    </w:pPr>
    <w:rPr>
      <w:rFonts w:ascii="Calibri" w:eastAsia="Times New Roman" w:hAnsi="Calibri"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BE5F1" w:themeFill="accent1" w:themeFillTint="33"/>
      </w:tcPr>
    </w:tblStyle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paragraph" w:styleId="ListParagraph">
    <w:name w:val="List Paragraph"/>
    <w:basedOn w:val="Normal"/>
    <w:uiPriority w:val="34"/>
    <w:qFormat/>
    <w:rsid w:val="00134156"/>
    <w:pPr>
      <w:ind w:left="720"/>
      <w:contextualSpacing/>
    </w:pPr>
  </w:style>
  <w:style w:type="character" w:styleId="CommentReference">
    <w:name w:val="annotation reference"/>
    <w:basedOn w:val="DefaultParagraphFont"/>
    <w:uiPriority w:val="99"/>
    <w:unhideWhenUsed/>
    <w:rsid w:val="00977089"/>
    <w:rPr>
      <w:sz w:val="16"/>
      <w:szCs w:val="16"/>
    </w:rPr>
  </w:style>
  <w:style w:type="paragraph" w:styleId="CommentText">
    <w:name w:val="annotation text"/>
    <w:basedOn w:val="Normal"/>
    <w:link w:val="CommentTextChar"/>
    <w:uiPriority w:val="99"/>
    <w:unhideWhenUsed/>
    <w:rsid w:val="00977089"/>
    <w:rPr>
      <w:sz w:val="20"/>
      <w:szCs w:val="20"/>
    </w:rPr>
  </w:style>
  <w:style w:type="character" w:customStyle="1" w:styleId="CommentTextChar">
    <w:name w:val="Comment Text Char"/>
    <w:basedOn w:val="DefaultParagraphFont"/>
    <w:link w:val="CommentText"/>
    <w:uiPriority w:val="99"/>
    <w:rsid w:val="009770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7089"/>
    <w:rPr>
      <w:b/>
      <w:bCs/>
    </w:rPr>
  </w:style>
  <w:style w:type="character" w:customStyle="1" w:styleId="CommentSubjectChar">
    <w:name w:val="Comment Subject Char"/>
    <w:basedOn w:val="CommentTextChar"/>
    <w:link w:val="CommentSubject"/>
    <w:uiPriority w:val="99"/>
    <w:semiHidden/>
    <w:rsid w:val="00977089"/>
    <w:rPr>
      <w:rFonts w:ascii="Times New Roman" w:eastAsia="Times New Roman" w:hAnsi="Times New Roman" w:cs="Times New Roman"/>
      <w:b/>
      <w:bCs/>
      <w:sz w:val="20"/>
      <w:szCs w:val="20"/>
    </w:rPr>
  </w:style>
  <w:style w:type="character" w:customStyle="1" w:styleId="Pa12Char">
    <w:name w:val="Pa12 Char"/>
    <w:basedOn w:val="DefaultParagraphFont"/>
    <w:link w:val="Pa12"/>
    <w:uiPriority w:val="99"/>
    <w:rsid w:val="00D43B3D"/>
    <w:rPr>
      <w:rFonts w:ascii="Univers" w:eastAsia="SimSun" w:hAnsi="Univers" w:cs="Univers"/>
      <w:sz w:val="24"/>
      <w:szCs w:val="24"/>
      <w:lang w:val="en-US"/>
    </w:rPr>
  </w:style>
  <w:style w:type="paragraph" w:styleId="Title">
    <w:name w:val="Title"/>
    <w:basedOn w:val="Pa12"/>
    <w:next w:val="Normal"/>
    <w:link w:val="TitleChar"/>
    <w:uiPriority w:val="10"/>
    <w:qFormat/>
    <w:rsid w:val="00262D38"/>
    <w:pPr>
      <w:spacing w:before="1800" w:after="240" w:line="240" w:lineRule="auto"/>
      <w:jc w:val="center"/>
    </w:pPr>
    <w:rPr>
      <w:rFonts w:asciiTheme="minorHAnsi" w:hAnsiTheme="minorHAnsi" w:cs="Times New Roman"/>
      <w:b/>
      <w:bCs/>
      <w:sz w:val="32"/>
      <w:szCs w:val="32"/>
      <w:lang w:val="en-AU"/>
    </w:rPr>
  </w:style>
  <w:style w:type="character" w:customStyle="1" w:styleId="TitleChar">
    <w:name w:val="Title Char"/>
    <w:basedOn w:val="DefaultParagraphFont"/>
    <w:link w:val="Title"/>
    <w:uiPriority w:val="10"/>
    <w:rsid w:val="00262D38"/>
    <w:rPr>
      <w:rFonts w:eastAsia="SimSun" w:cs="Times New Roman"/>
      <w:b/>
      <w:bCs/>
      <w:sz w:val="32"/>
      <w:szCs w:val="32"/>
    </w:rPr>
  </w:style>
  <w:style w:type="paragraph" w:styleId="Subtitle">
    <w:name w:val="Subtitle"/>
    <w:basedOn w:val="Title"/>
    <w:next w:val="Normal"/>
    <w:link w:val="SubtitleChar"/>
    <w:uiPriority w:val="11"/>
    <w:qFormat/>
    <w:rsid w:val="003A3A3A"/>
    <w:pPr>
      <w:spacing w:before="240"/>
    </w:pPr>
    <w:rPr>
      <w:b w:val="0"/>
      <w:bCs w:val="0"/>
      <w:color w:val="595959" w:themeColor="text1" w:themeTint="A6"/>
    </w:rPr>
  </w:style>
  <w:style w:type="character" w:customStyle="1" w:styleId="SubtitleChar">
    <w:name w:val="Subtitle Char"/>
    <w:basedOn w:val="DefaultParagraphFont"/>
    <w:link w:val="Subtitle"/>
    <w:uiPriority w:val="11"/>
    <w:rsid w:val="003A3A3A"/>
    <w:rPr>
      <w:rFonts w:eastAsia="SimSun" w:cs="Times New Roman"/>
      <w:color w:val="595959" w:themeColor="text1" w:themeTint="A6"/>
      <w:sz w:val="32"/>
      <w:szCs w:val="32"/>
    </w:rPr>
  </w:style>
  <w:style w:type="character" w:styleId="Strong">
    <w:name w:val="Strong"/>
    <w:basedOn w:val="DefaultParagraphFont"/>
    <w:uiPriority w:val="22"/>
    <w:qFormat/>
    <w:rsid w:val="000D4C40"/>
    <w:rPr>
      <w:rFonts w:asciiTheme="minorHAnsi" w:hAnsiTheme="minorHAnsi"/>
      <w:b/>
      <w:bCs/>
      <w:sz w:val="24"/>
    </w:rPr>
  </w:style>
  <w:style w:type="paragraph" w:customStyle="1" w:styleId="Tableheadings">
    <w:name w:val="Table headings"/>
    <w:basedOn w:val="Normal"/>
    <w:next w:val="Normal"/>
    <w:qFormat/>
    <w:rsid w:val="00B95B51"/>
    <w:rPr>
      <w:b/>
      <w:lang w:eastAsia="en-AU"/>
    </w:rPr>
  </w:style>
  <w:style w:type="paragraph" w:customStyle="1" w:styleId="IndentParaLevel1">
    <w:name w:val="IndentParaLevel1"/>
    <w:basedOn w:val="Normal"/>
    <w:link w:val="IndentParaLevel1Char"/>
    <w:rsid w:val="00E24CC9"/>
    <w:pPr>
      <w:spacing w:before="0" w:after="220"/>
      <w:ind w:left="964"/>
    </w:pPr>
    <w:rPr>
      <w:rFonts w:ascii="Times New Roman" w:hAnsi="Times New Roman"/>
    </w:rPr>
  </w:style>
  <w:style w:type="character" w:customStyle="1" w:styleId="IndentParaLevel1Char">
    <w:name w:val="IndentParaLevel1 Char"/>
    <w:link w:val="IndentParaLevel1"/>
    <w:locked/>
    <w:rsid w:val="00E24CC9"/>
    <w:rPr>
      <w:rFonts w:ascii="Times New Roman" w:eastAsia="Times New Roman" w:hAnsi="Times New Roman" w:cs="Times New Roman"/>
      <w:szCs w:val="24"/>
    </w:rPr>
  </w:style>
  <w:style w:type="paragraph" w:customStyle="1" w:styleId="Paragraphtext">
    <w:name w:val="Paragraph text"/>
    <w:basedOn w:val="Normal"/>
    <w:qFormat/>
    <w:rsid w:val="00C02861"/>
    <w:pPr>
      <w:spacing w:after="60"/>
    </w:pPr>
    <w:rPr>
      <w:rFonts w:ascii="Arial" w:hAnsi="Arial"/>
      <w:color w:val="000000" w:themeColor="text1"/>
      <w:sz w:val="21"/>
    </w:rPr>
  </w:style>
  <w:style w:type="paragraph" w:styleId="Revision">
    <w:name w:val="Revision"/>
    <w:hidden/>
    <w:uiPriority w:val="99"/>
    <w:semiHidden/>
    <w:rsid w:val="00D43835"/>
    <w:pPr>
      <w:spacing w:after="0" w:line="240" w:lineRule="auto"/>
    </w:pPr>
    <w:rPr>
      <w:rFonts w:eastAsia="Times New Roman" w:cs="Times New Roman"/>
      <w:sz w:val="24"/>
      <w:szCs w:val="24"/>
    </w:rPr>
  </w:style>
  <w:style w:type="paragraph" w:styleId="Caption">
    <w:name w:val="caption"/>
    <w:basedOn w:val="Normal"/>
    <w:next w:val="Normal"/>
    <w:uiPriority w:val="35"/>
    <w:unhideWhenUsed/>
    <w:qFormat/>
    <w:rsid w:val="00E55AB1"/>
    <w:pPr>
      <w:spacing w:after="0"/>
    </w:pPr>
    <w:rPr>
      <w:b/>
      <w:iCs/>
      <w:sz w:val="20"/>
      <w:szCs w:val="18"/>
    </w:rPr>
  </w:style>
  <w:style w:type="paragraph" w:styleId="NoSpacing">
    <w:name w:val="No Spacing"/>
    <w:uiPriority w:val="1"/>
    <w:qFormat/>
    <w:rsid w:val="002847F5"/>
    <w:pPr>
      <w:spacing w:after="0" w:line="240" w:lineRule="auto"/>
    </w:pPr>
    <w:rPr>
      <w:rFonts w:eastAsia="Times New Roman" w:cs="Times New Roman"/>
      <w:szCs w:val="24"/>
    </w:rPr>
  </w:style>
  <w:style w:type="character" w:styleId="Emphasis">
    <w:name w:val="Emphasis"/>
    <w:basedOn w:val="DefaultParagraphFont"/>
    <w:uiPriority w:val="20"/>
    <w:qFormat/>
    <w:rsid w:val="00284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2544">
      <w:bodyDiv w:val="1"/>
      <w:marLeft w:val="0"/>
      <w:marRight w:val="0"/>
      <w:marTop w:val="0"/>
      <w:marBottom w:val="0"/>
      <w:divBdr>
        <w:top w:val="none" w:sz="0" w:space="0" w:color="auto"/>
        <w:left w:val="none" w:sz="0" w:space="0" w:color="auto"/>
        <w:bottom w:val="none" w:sz="0" w:space="0" w:color="auto"/>
        <w:right w:val="none" w:sz="0" w:space="0" w:color="auto"/>
      </w:divBdr>
    </w:div>
    <w:div w:id="420151770">
      <w:bodyDiv w:val="1"/>
      <w:marLeft w:val="0"/>
      <w:marRight w:val="0"/>
      <w:marTop w:val="0"/>
      <w:marBottom w:val="0"/>
      <w:divBdr>
        <w:top w:val="none" w:sz="0" w:space="0" w:color="auto"/>
        <w:left w:val="none" w:sz="0" w:space="0" w:color="auto"/>
        <w:bottom w:val="none" w:sz="0" w:space="0" w:color="auto"/>
        <w:right w:val="none" w:sz="0" w:space="0" w:color="auto"/>
      </w:divBdr>
    </w:div>
    <w:div w:id="438377532">
      <w:bodyDiv w:val="1"/>
      <w:marLeft w:val="0"/>
      <w:marRight w:val="0"/>
      <w:marTop w:val="0"/>
      <w:marBottom w:val="0"/>
      <w:divBdr>
        <w:top w:val="none" w:sz="0" w:space="0" w:color="auto"/>
        <w:left w:val="none" w:sz="0" w:space="0" w:color="auto"/>
        <w:bottom w:val="none" w:sz="0" w:space="0" w:color="auto"/>
        <w:right w:val="none" w:sz="0" w:space="0" w:color="auto"/>
      </w:divBdr>
    </w:div>
    <w:div w:id="607349528">
      <w:bodyDiv w:val="1"/>
      <w:marLeft w:val="0"/>
      <w:marRight w:val="0"/>
      <w:marTop w:val="0"/>
      <w:marBottom w:val="0"/>
      <w:divBdr>
        <w:top w:val="none" w:sz="0" w:space="0" w:color="auto"/>
        <w:left w:val="none" w:sz="0" w:space="0" w:color="auto"/>
        <w:bottom w:val="none" w:sz="0" w:space="0" w:color="auto"/>
        <w:right w:val="none" w:sz="0" w:space="0" w:color="auto"/>
      </w:divBdr>
    </w:div>
    <w:div w:id="805666287">
      <w:bodyDiv w:val="1"/>
      <w:marLeft w:val="0"/>
      <w:marRight w:val="0"/>
      <w:marTop w:val="0"/>
      <w:marBottom w:val="0"/>
      <w:divBdr>
        <w:top w:val="none" w:sz="0" w:space="0" w:color="auto"/>
        <w:left w:val="none" w:sz="0" w:space="0" w:color="auto"/>
        <w:bottom w:val="none" w:sz="0" w:space="0" w:color="auto"/>
        <w:right w:val="none" w:sz="0" w:space="0" w:color="auto"/>
      </w:divBdr>
    </w:div>
    <w:div w:id="821041192">
      <w:bodyDiv w:val="1"/>
      <w:marLeft w:val="0"/>
      <w:marRight w:val="0"/>
      <w:marTop w:val="0"/>
      <w:marBottom w:val="0"/>
      <w:divBdr>
        <w:top w:val="none" w:sz="0" w:space="0" w:color="auto"/>
        <w:left w:val="none" w:sz="0" w:space="0" w:color="auto"/>
        <w:bottom w:val="none" w:sz="0" w:space="0" w:color="auto"/>
        <w:right w:val="none" w:sz="0" w:space="0" w:color="auto"/>
      </w:divBdr>
    </w:div>
    <w:div w:id="864443583">
      <w:bodyDiv w:val="1"/>
      <w:marLeft w:val="0"/>
      <w:marRight w:val="0"/>
      <w:marTop w:val="0"/>
      <w:marBottom w:val="0"/>
      <w:divBdr>
        <w:top w:val="none" w:sz="0" w:space="0" w:color="auto"/>
        <w:left w:val="none" w:sz="0" w:space="0" w:color="auto"/>
        <w:bottom w:val="none" w:sz="0" w:space="0" w:color="auto"/>
        <w:right w:val="none" w:sz="0" w:space="0" w:color="auto"/>
      </w:divBdr>
    </w:div>
    <w:div w:id="994068441">
      <w:bodyDiv w:val="1"/>
      <w:marLeft w:val="0"/>
      <w:marRight w:val="0"/>
      <w:marTop w:val="0"/>
      <w:marBottom w:val="0"/>
      <w:divBdr>
        <w:top w:val="none" w:sz="0" w:space="0" w:color="auto"/>
        <w:left w:val="none" w:sz="0" w:space="0" w:color="auto"/>
        <w:bottom w:val="none" w:sz="0" w:space="0" w:color="auto"/>
        <w:right w:val="none" w:sz="0" w:space="0" w:color="auto"/>
      </w:divBdr>
    </w:div>
    <w:div w:id="1113785092">
      <w:bodyDiv w:val="1"/>
      <w:marLeft w:val="0"/>
      <w:marRight w:val="0"/>
      <w:marTop w:val="0"/>
      <w:marBottom w:val="0"/>
      <w:divBdr>
        <w:top w:val="none" w:sz="0" w:space="0" w:color="auto"/>
        <w:left w:val="none" w:sz="0" w:space="0" w:color="auto"/>
        <w:bottom w:val="none" w:sz="0" w:space="0" w:color="auto"/>
        <w:right w:val="none" w:sz="0" w:space="0" w:color="auto"/>
      </w:divBdr>
    </w:div>
    <w:div w:id="1383093643">
      <w:bodyDiv w:val="1"/>
      <w:marLeft w:val="0"/>
      <w:marRight w:val="0"/>
      <w:marTop w:val="0"/>
      <w:marBottom w:val="0"/>
      <w:divBdr>
        <w:top w:val="none" w:sz="0" w:space="0" w:color="auto"/>
        <w:left w:val="none" w:sz="0" w:space="0" w:color="auto"/>
        <w:bottom w:val="none" w:sz="0" w:space="0" w:color="auto"/>
        <w:right w:val="none" w:sz="0" w:space="0" w:color="auto"/>
      </w:divBdr>
    </w:div>
    <w:div w:id="1437411171">
      <w:bodyDiv w:val="1"/>
      <w:marLeft w:val="0"/>
      <w:marRight w:val="0"/>
      <w:marTop w:val="0"/>
      <w:marBottom w:val="0"/>
      <w:divBdr>
        <w:top w:val="none" w:sz="0" w:space="0" w:color="auto"/>
        <w:left w:val="none" w:sz="0" w:space="0" w:color="auto"/>
        <w:bottom w:val="none" w:sz="0" w:space="0" w:color="auto"/>
        <w:right w:val="none" w:sz="0" w:space="0" w:color="auto"/>
      </w:divBdr>
    </w:div>
    <w:div w:id="1478112770">
      <w:bodyDiv w:val="1"/>
      <w:marLeft w:val="0"/>
      <w:marRight w:val="0"/>
      <w:marTop w:val="0"/>
      <w:marBottom w:val="0"/>
      <w:divBdr>
        <w:top w:val="none" w:sz="0" w:space="0" w:color="auto"/>
        <w:left w:val="none" w:sz="0" w:space="0" w:color="auto"/>
        <w:bottom w:val="none" w:sz="0" w:space="0" w:color="auto"/>
        <w:right w:val="none" w:sz="0" w:space="0" w:color="auto"/>
      </w:divBdr>
    </w:div>
    <w:div w:id="1567301357">
      <w:bodyDiv w:val="1"/>
      <w:marLeft w:val="0"/>
      <w:marRight w:val="0"/>
      <w:marTop w:val="0"/>
      <w:marBottom w:val="0"/>
      <w:divBdr>
        <w:top w:val="none" w:sz="0" w:space="0" w:color="auto"/>
        <w:left w:val="none" w:sz="0" w:space="0" w:color="auto"/>
        <w:bottom w:val="none" w:sz="0" w:space="0" w:color="auto"/>
        <w:right w:val="none" w:sz="0" w:space="0" w:color="auto"/>
      </w:divBdr>
    </w:div>
    <w:div w:id="1605572909">
      <w:bodyDiv w:val="1"/>
      <w:marLeft w:val="0"/>
      <w:marRight w:val="0"/>
      <w:marTop w:val="0"/>
      <w:marBottom w:val="0"/>
      <w:divBdr>
        <w:top w:val="none" w:sz="0" w:space="0" w:color="auto"/>
        <w:left w:val="none" w:sz="0" w:space="0" w:color="auto"/>
        <w:bottom w:val="none" w:sz="0" w:space="0" w:color="auto"/>
        <w:right w:val="none" w:sz="0" w:space="0" w:color="auto"/>
      </w:divBdr>
    </w:div>
    <w:div w:id="19625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australian-government-cost-recovery-guidelin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9A50-6EE6-4811-93BF-61C46523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2463</Words>
  <Characters>14045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Cost Recovery Implementation Statement – Administration of the Prostheses List</vt:lpstr>
    </vt:vector>
  </TitlesOfParts>
  <Company>FINANCE</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Administration of the Prostheses List</dc:title>
  <dc:subject>Prostheses List</dc:subject>
  <dc:creator>Australian Government Department of Health</dc:creator>
  <cp:keywords>Prostheses List;Administration; Cost Recovery Implementation Statement</cp:keywords>
  <dc:description/>
  <cp:lastModifiedBy>PALMER, Sophia</cp:lastModifiedBy>
  <cp:revision>2</cp:revision>
  <cp:lastPrinted>2022-10-26T23:55:00Z</cp:lastPrinted>
  <dcterms:created xsi:type="dcterms:W3CDTF">2022-10-31T23:49:00Z</dcterms:created>
  <dcterms:modified xsi:type="dcterms:W3CDTF">2022-10-31T23:49:00Z</dcterms:modified>
  <cp:category/>
</cp:coreProperties>
</file>